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Poisons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Poisons Regulations 1965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Poisons Regulations 1965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_Toc524795747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_Toc524795748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_Toc524795749 \h </w:instrText>
      </w:r>
      <w:r>
        <w:fldChar w:fldCharType="separate"/>
      </w:r>
      <w:r>
        <w:t>6</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Office prescribed (Act s. 64B)</w:t>
      </w:r>
      <w:r>
        <w:tab/>
      </w:r>
      <w:r>
        <w:fldChar w:fldCharType="begin"/>
      </w:r>
      <w:r>
        <w:instrText xml:space="preserve"> PAGEREF _Toc524795750 \h </w:instrText>
      </w:r>
      <w:r>
        <w:fldChar w:fldCharType="separate"/>
      </w:r>
      <w:r>
        <w:t>7</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Exceptions from Act for certain poisons and paints</w:t>
      </w:r>
      <w:r>
        <w:tab/>
      </w:r>
      <w:r>
        <w:fldChar w:fldCharType="begin"/>
      </w:r>
      <w:r>
        <w:instrText xml:space="preserve"> PAGEREF _Toc524795751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2A</w:t>
      </w:r>
      <w:r>
        <w:rPr>
          <w:b w:val="0"/>
        </w:rPr>
        <w:t> </w:t>
      </w:r>
      <w:r>
        <w:t>—</w:t>
      </w:r>
      <w:r>
        <w:rPr>
          <w:b w:val="0"/>
        </w:rPr>
        <w:t> </w:t>
      </w:r>
      <w:r>
        <w:t>Endorsed health practitioners</w:t>
      </w:r>
    </w:p>
    <w:p>
      <w:pPr>
        <w:pStyle w:val="TOC4"/>
        <w:tabs>
          <w:tab w:val="right" w:leader="dot" w:pos="7077"/>
        </w:tabs>
        <w:rPr>
          <w:rFonts w:asciiTheme="minorHAnsi" w:eastAsiaTheme="minorEastAsia" w:hAnsiTheme="minorHAnsi" w:cstheme="minorBidi"/>
          <w:b w:val="0"/>
          <w:szCs w:val="22"/>
        </w:rPr>
      </w:pPr>
      <w:r>
        <w:t>Division 1 — Endorsed optometrists</w:t>
      </w:r>
    </w:p>
    <w:p>
      <w:pPr>
        <w:pStyle w:val="TOC8"/>
        <w:rPr>
          <w:rFonts w:asciiTheme="minorHAnsi" w:eastAsiaTheme="minorEastAsia" w:hAnsiTheme="minorHAnsi" w:cstheme="minorBidi"/>
          <w:szCs w:val="22"/>
        </w:rPr>
      </w:pPr>
      <w:r>
        <w:t>3A.</w:t>
      </w:r>
      <w:r>
        <w:tab/>
        <w:t>Endorsed optometrists (Act s. 23)</w:t>
      </w:r>
      <w:r>
        <w:tab/>
      </w:r>
      <w:r>
        <w:fldChar w:fldCharType="begin"/>
      </w:r>
      <w:r>
        <w:instrText xml:space="preserve"> PAGEREF _Toc524795754 \h </w:instrText>
      </w:r>
      <w:r>
        <w:fldChar w:fldCharType="separate"/>
      </w:r>
      <w:r>
        <w:t>8</w:t>
      </w:r>
      <w:r>
        <w:fldChar w:fldCharType="end"/>
      </w:r>
    </w:p>
    <w:p>
      <w:pPr>
        <w:pStyle w:val="TOC8"/>
        <w:rPr>
          <w:rFonts w:asciiTheme="minorHAnsi" w:eastAsiaTheme="minorEastAsia" w:hAnsiTheme="minorHAnsi" w:cstheme="minorBidi"/>
          <w:szCs w:val="22"/>
        </w:rPr>
      </w:pPr>
      <w:r>
        <w:t>3B.</w:t>
      </w:r>
      <w:r>
        <w:tab/>
        <w:t>Use of some medicine by endorsed optometrist is not taken to be supplying it</w:t>
      </w:r>
      <w:r>
        <w:tab/>
      </w:r>
      <w:r>
        <w:fldChar w:fldCharType="begin"/>
      </w:r>
      <w:r>
        <w:instrText xml:space="preserve"> PAGEREF _Toc524795755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Endorsed midwives</w:t>
      </w:r>
    </w:p>
    <w:p>
      <w:pPr>
        <w:pStyle w:val="TOC8"/>
        <w:rPr>
          <w:rFonts w:asciiTheme="minorHAnsi" w:eastAsiaTheme="minorEastAsia" w:hAnsiTheme="minorHAnsi" w:cstheme="minorBidi"/>
          <w:szCs w:val="22"/>
        </w:rPr>
      </w:pPr>
      <w:r>
        <w:t>3C.</w:t>
      </w:r>
      <w:r>
        <w:tab/>
        <w:t>Term used: Prescribing Formulary</w:t>
      </w:r>
      <w:r>
        <w:tab/>
      </w:r>
      <w:r>
        <w:fldChar w:fldCharType="begin"/>
      </w:r>
      <w:r>
        <w:instrText xml:space="preserve"> PAGEREF _Toc524795757 \h </w:instrText>
      </w:r>
      <w:r>
        <w:fldChar w:fldCharType="separate"/>
      </w:r>
      <w:r>
        <w:t>9</w:t>
      </w:r>
      <w:r>
        <w:fldChar w:fldCharType="end"/>
      </w:r>
    </w:p>
    <w:p>
      <w:pPr>
        <w:pStyle w:val="TOC8"/>
        <w:rPr>
          <w:rFonts w:asciiTheme="minorHAnsi" w:eastAsiaTheme="minorEastAsia" w:hAnsiTheme="minorHAnsi" w:cstheme="minorBidi"/>
          <w:szCs w:val="22"/>
        </w:rPr>
      </w:pPr>
      <w:r>
        <w:t>3D.</w:t>
      </w:r>
      <w:r>
        <w:tab/>
        <w:t>Endorsed midwives (Act s. 23)</w:t>
      </w:r>
      <w:r>
        <w:tab/>
      </w:r>
      <w:r>
        <w:fldChar w:fldCharType="begin"/>
      </w:r>
      <w:r>
        <w:instrText xml:space="preserve"> PAGEREF _Toc524795758 \h </w:instrText>
      </w:r>
      <w:r>
        <w:fldChar w:fldCharType="separate"/>
      </w:r>
      <w:r>
        <w:t>9</w:t>
      </w:r>
      <w:r>
        <w:fldChar w:fldCharType="end"/>
      </w:r>
    </w:p>
    <w:p>
      <w:pPr>
        <w:pStyle w:val="TOC8"/>
        <w:rPr>
          <w:rFonts w:asciiTheme="minorHAnsi" w:eastAsiaTheme="minorEastAsia" w:hAnsiTheme="minorHAnsi" w:cstheme="minorBidi"/>
          <w:szCs w:val="22"/>
        </w:rPr>
      </w:pPr>
      <w:r>
        <w:t>3E.</w:t>
      </w:r>
      <w:r>
        <w:tab/>
        <w:t>Use of some medicine by endorsed midwife is not taken to be supplying it</w:t>
      </w:r>
      <w:r>
        <w:tab/>
      </w:r>
      <w:r>
        <w:fldChar w:fldCharType="begin"/>
      </w:r>
      <w:r>
        <w:instrText xml:space="preserve"> PAGEREF _Toc524795759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3 — Endorsed podiatrists</w:t>
      </w:r>
    </w:p>
    <w:p>
      <w:pPr>
        <w:pStyle w:val="TOC8"/>
        <w:rPr>
          <w:rFonts w:asciiTheme="minorHAnsi" w:eastAsiaTheme="minorEastAsia" w:hAnsiTheme="minorHAnsi" w:cstheme="minorBidi"/>
          <w:szCs w:val="22"/>
        </w:rPr>
      </w:pPr>
      <w:r>
        <w:t>3F.</w:t>
      </w:r>
      <w:r>
        <w:tab/>
        <w:t>Term used: Medicines List</w:t>
      </w:r>
      <w:r>
        <w:tab/>
      </w:r>
      <w:r>
        <w:fldChar w:fldCharType="begin"/>
      </w:r>
      <w:r>
        <w:instrText xml:space="preserve"> PAGEREF _Toc524795761 \h </w:instrText>
      </w:r>
      <w:r>
        <w:fldChar w:fldCharType="separate"/>
      </w:r>
      <w:r>
        <w:t>10</w:t>
      </w:r>
      <w:r>
        <w:fldChar w:fldCharType="end"/>
      </w:r>
    </w:p>
    <w:p>
      <w:pPr>
        <w:pStyle w:val="TOC8"/>
        <w:rPr>
          <w:rFonts w:asciiTheme="minorHAnsi" w:eastAsiaTheme="minorEastAsia" w:hAnsiTheme="minorHAnsi" w:cstheme="minorBidi"/>
          <w:szCs w:val="22"/>
        </w:rPr>
      </w:pPr>
      <w:r>
        <w:t>3G.</w:t>
      </w:r>
      <w:r>
        <w:tab/>
        <w:t>Endorsed podiatrists (Act s. 23)</w:t>
      </w:r>
      <w:r>
        <w:tab/>
      </w:r>
      <w:r>
        <w:fldChar w:fldCharType="begin"/>
      </w:r>
      <w:r>
        <w:instrText xml:space="preserve"> PAGEREF _Toc524795762 \h </w:instrText>
      </w:r>
      <w:r>
        <w:fldChar w:fldCharType="separate"/>
      </w:r>
      <w:r>
        <w:t>10</w:t>
      </w:r>
      <w:r>
        <w:fldChar w:fldCharType="end"/>
      </w:r>
    </w:p>
    <w:p>
      <w:pPr>
        <w:pStyle w:val="TOC8"/>
        <w:rPr>
          <w:rFonts w:asciiTheme="minorHAnsi" w:eastAsiaTheme="minorEastAsia" w:hAnsiTheme="minorHAnsi" w:cstheme="minorBidi"/>
          <w:szCs w:val="22"/>
        </w:rPr>
      </w:pPr>
      <w:r>
        <w:t>3H.</w:t>
      </w:r>
      <w:r>
        <w:tab/>
        <w:t>Use of some medicine by endorsed podiatrist is not taken to be supplying it</w:t>
      </w:r>
      <w:r>
        <w:tab/>
      </w:r>
      <w:r>
        <w:fldChar w:fldCharType="begin"/>
      </w:r>
      <w:r>
        <w:instrText xml:space="preserve"> PAGEREF _Toc524795763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2 — Licences and permits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effect of etc.</w:t>
      </w:r>
      <w:r>
        <w:tab/>
      </w:r>
      <w:r>
        <w:fldChar w:fldCharType="begin"/>
      </w:r>
      <w:r>
        <w:instrText xml:space="preserve"> PAGEREF _Toc524795766 \h </w:instrText>
      </w:r>
      <w:r>
        <w:fldChar w:fldCharType="separate"/>
      </w:r>
      <w:r>
        <w:t>12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limited to pharmacy in licence</w:t>
      </w:r>
      <w:r>
        <w:tab/>
      </w:r>
      <w:r>
        <w:fldChar w:fldCharType="begin"/>
      </w:r>
      <w:r>
        <w:instrText xml:space="preserve"> PAGEREF _Toc524795767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Sch. 2 poisons, effect of etc.</w:t>
      </w:r>
      <w:r>
        <w:tab/>
      </w:r>
      <w:r>
        <w:fldChar w:fldCharType="begin"/>
      </w:r>
      <w:r>
        <w:instrText xml:space="preserve"> PAGEREF _Toc524795768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Sch. 7 poisons, effect of etc.</w:t>
      </w:r>
      <w:r>
        <w:tab/>
      </w:r>
      <w:r>
        <w:fldChar w:fldCharType="begin"/>
      </w:r>
      <w:r>
        <w:instrText xml:space="preserve"> PAGEREF _Toc524795769 \h </w:instrText>
      </w:r>
      <w:r>
        <w:fldChar w:fldCharType="separate"/>
      </w:r>
      <w:r>
        <w:t>13</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 effect of etc.</w:t>
      </w:r>
      <w:r>
        <w:tab/>
      </w:r>
      <w:r>
        <w:fldChar w:fldCharType="begin"/>
      </w:r>
      <w:r>
        <w:instrText xml:space="preserve"> PAGEREF _Toc524795770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 effect of etc.</w:t>
      </w:r>
      <w:r>
        <w:tab/>
      </w:r>
      <w:r>
        <w:fldChar w:fldCharType="begin"/>
      </w:r>
      <w:r>
        <w:instrText xml:space="preserve"> PAGEREF _Toc524795771 \h </w:instrText>
      </w:r>
      <w:r>
        <w:fldChar w:fldCharType="separate"/>
      </w:r>
      <w:r>
        <w:t>18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 effect of etc.</w:t>
      </w:r>
      <w:r>
        <w:tab/>
      </w:r>
      <w:r>
        <w:fldChar w:fldCharType="begin"/>
      </w:r>
      <w:r>
        <w:instrText xml:space="preserve"> PAGEREF _Toc524795772 \h </w:instrText>
      </w:r>
      <w:r>
        <w:fldChar w:fldCharType="separate"/>
      </w:r>
      <w:r>
        <w:t>18</w:t>
      </w:r>
      <w:r>
        <w:fldChar w:fldCharType="end"/>
      </w:r>
    </w:p>
    <w:p>
      <w:pPr>
        <w:pStyle w:val="TOC8"/>
        <w:rPr>
          <w:rFonts w:asciiTheme="minorHAnsi" w:eastAsiaTheme="minorEastAsia" w:hAnsiTheme="minorHAnsi" w:cstheme="minorBidi"/>
          <w:szCs w:val="22"/>
        </w:rPr>
      </w:pPr>
      <w:r>
        <w:t>10AA.</w:t>
      </w:r>
      <w:r>
        <w:tab/>
        <w:t>Poisons permit (health services),</w:t>
      </w:r>
      <w:r>
        <w:rPr>
          <w:snapToGrid w:val="0"/>
        </w:rPr>
        <w:t xml:space="preserve"> effect of etc.</w:t>
      </w:r>
      <w:r>
        <w:tab/>
      </w:r>
      <w:r>
        <w:fldChar w:fldCharType="begin"/>
      </w:r>
      <w:r>
        <w:instrText xml:space="preserve"> PAGEREF _Toc524795773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 effect of etc.</w:t>
      </w:r>
      <w:r>
        <w:tab/>
      </w:r>
      <w:r>
        <w:fldChar w:fldCharType="begin"/>
      </w:r>
      <w:r>
        <w:instrText xml:space="preserve"> PAGEREF _Toc524795774 \h </w:instrText>
      </w:r>
      <w:r>
        <w:fldChar w:fldCharType="separate"/>
      </w:r>
      <w:r>
        <w:t>18</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 (Act s. 41A), form of</w:t>
      </w:r>
      <w:r>
        <w:tab/>
      </w:r>
      <w:r>
        <w:fldChar w:fldCharType="begin"/>
      </w:r>
      <w:r>
        <w:instrText xml:space="preserve"> PAGEREF _Toc524795775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Remote area nursing posts, designation of</w:t>
      </w:r>
      <w:r>
        <w:tab/>
      </w:r>
      <w:r>
        <w:fldChar w:fldCharType="begin"/>
      </w:r>
      <w:r>
        <w:instrText xml:space="preserve"> PAGEREF _Toc524795776 \h </w:instrText>
      </w:r>
      <w:r>
        <w:fldChar w:fldCharType="separate"/>
      </w:r>
      <w:r>
        <w:t>19</w:t>
      </w:r>
      <w:r>
        <w:fldChar w:fldCharType="end"/>
      </w:r>
    </w:p>
    <w:p>
      <w:pPr>
        <w:pStyle w:val="TOC8"/>
        <w:rPr>
          <w:rFonts w:asciiTheme="minorHAnsi" w:eastAsiaTheme="minorEastAsia" w:hAnsiTheme="minorHAnsi" w:cstheme="minorBidi"/>
          <w:szCs w:val="22"/>
        </w:rPr>
      </w:pPr>
      <w:r>
        <w:t>11A.</w:t>
      </w:r>
      <w:r>
        <w:tab/>
        <w:t>Areas for Act s. 23(2)(e), designation of</w:t>
      </w:r>
      <w:r>
        <w:tab/>
      </w:r>
      <w:r>
        <w:fldChar w:fldCharType="begin"/>
      </w:r>
      <w:r>
        <w:instrText xml:space="preserve"> PAGEREF _Toc524795777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Applications for licences or permits (Act s. 24 and 25)</w:t>
      </w:r>
      <w:r>
        <w:tab/>
      </w:r>
      <w:r>
        <w:fldChar w:fldCharType="begin"/>
      </w:r>
      <w:r>
        <w:instrText xml:space="preserve"> PAGEREF _Toc524795778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programmes</w:t>
      </w:r>
      <w:r>
        <w:tab/>
      </w:r>
      <w:r>
        <w:fldChar w:fldCharType="begin"/>
      </w:r>
      <w:r>
        <w:instrText xml:space="preserve"> PAGEREF _Toc524795780 \h </w:instrText>
      </w:r>
      <w:r>
        <w:fldChar w:fldCharType="separate"/>
      </w:r>
      <w:r>
        <w:t>21</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 to programme coordinator</w:t>
      </w:r>
      <w:r>
        <w:tab/>
      </w:r>
      <w:r>
        <w:fldChar w:fldCharType="begin"/>
      </w:r>
      <w:r>
        <w:instrText xml:space="preserve"> PAGEREF _Toc524795781 \h </w:instrText>
      </w:r>
      <w:r>
        <w:fldChar w:fldCharType="separate"/>
      </w:r>
      <w:r>
        <w:t>22</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Programme coordinator’s duties</w:t>
      </w:r>
      <w:r>
        <w:tab/>
      </w:r>
      <w:r>
        <w:fldChar w:fldCharType="begin"/>
      </w:r>
      <w:r>
        <w:instrText xml:space="preserve"> PAGEREF _Toc524795782 \h </w:instrText>
      </w:r>
      <w:r>
        <w:fldChar w:fldCharType="separate"/>
      </w:r>
      <w:r>
        <w:t>22</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_Toc524795783 \h </w:instrText>
      </w:r>
      <w:r>
        <w:fldChar w:fldCharType="separate"/>
      </w:r>
      <w:r>
        <w:t>23</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_Toc524795784 \h </w:instrText>
      </w:r>
      <w:r>
        <w:fldChar w:fldCharType="separate"/>
      </w:r>
      <w:r>
        <w:t>23</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Used hypodermic needles and syringes, rules as to</w:t>
      </w:r>
      <w:r>
        <w:tab/>
      </w:r>
      <w:r>
        <w:fldChar w:fldCharType="begin"/>
      </w:r>
      <w:r>
        <w:instrText xml:space="preserve"> PAGEREF _Toc524795785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Person under 21 not generally eligible for licence or permit</w:t>
      </w:r>
      <w:r>
        <w:tab/>
      </w:r>
      <w:r>
        <w:fldChar w:fldCharType="begin"/>
      </w:r>
      <w:r>
        <w:instrText xml:space="preserve"> PAGEREF _Toc524795787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to be only by licensee or agent aged 15 or over</w:t>
      </w:r>
      <w:r>
        <w:tab/>
      </w:r>
      <w:r>
        <w:fldChar w:fldCharType="begin"/>
      </w:r>
      <w:r>
        <w:instrText xml:space="preserve"> PAGEREF _Toc524795788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_Toc524795789 \h </w:instrText>
      </w:r>
      <w:r>
        <w:fldChar w:fldCharType="separate"/>
      </w:r>
      <w:r>
        <w:t>25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_Toc524795790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Containers and labels</w:t>
      </w:r>
    </w:p>
    <w:p>
      <w:pPr>
        <w:pStyle w:val="TOC4"/>
        <w:tabs>
          <w:tab w:val="right" w:leader="dot" w:pos="7077"/>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Containers and their labels to comply with SUSMP</w:t>
      </w:r>
      <w:r>
        <w:tab/>
      </w:r>
      <w:r>
        <w:fldChar w:fldCharType="begin"/>
      </w:r>
      <w:r>
        <w:instrText xml:space="preserve"> PAGEREF _Toc524795793 \h </w:instrText>
      </w:r>
      <w:r>
        <w:fldChar w:fldCharType="separate"/>
      </w:r>
      <w:r>
        <w:t>26</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Use of certain containers prohibited</w:t>
      </w:r>
      <w:r>
        <w:tab/>
      </w:r>
      <w:r>
        <w:fldChar w:fldCharType="begin"/>
      </w:r>
      <w:r>
        <w:instrText xml:space="preserve"> PAGEREF _Toc524795794 \h </w:instrText>
      </w:r>
      <w:r>
        <w:fldChar w:fldCharType="separate"/>
      </w:r>
      <w:r>
        <w:t>26</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_Toc524795795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 requirements for despite r. 19</w:t>
      </w:r>
      <w:r>
        <w:tab/>
      </w:r>
      <w:r>
        <w:fldChar w:fldCharType="begin"/>
      </w:r>
      <w:r>
        <w:instrText xml:space="preserve"> PAGEREF _Toc524795797 \h </w:instrText>
      </w:r>
      <w:r>
        <w:fldChar w:fldCharType="separate"/>
      </w:r>
      <w:r>
        <w:t>27</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poison container, labelling requirements for</w:t>
      </w:r>
      <w:r>
        <w:tab/>
      </w:r>
      <w:r>
        <w:fldChar w:fldCharType="begin"/>
      </w:r>
      <w:r>
        <w:instrText xml:space="preserve"> PAGEREF _Toc524795798 \h </w:instrText>
      </w:r>
      <w:r>
        <w:fldChar w:fldCharType="separate"/>
      </w:r>
      <w:r>
        <w:t>30</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_Toc524795799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t xml:space="preserve">Non-complying container or label, </w:t>
      </w:r>
      <w:r>
        <w:t>CEO</w:t>
      </w:r>
      <w:r>
        <w:rPr>
          <w:snapToGrid w:val="0"/>
        </w:rPr>
        <w:t xml:space="preserve"> may approve</w:t>
      </w:r>
      <w:r>
        <w:tab/>
      </w:r>
      <w:r>
        <w:fldChar w:fldCharType="begin"/>
      </w:r>
      <w:r>
        <w:instrText xml:space="preserve"> PAGEREF _Toc524795801 \h </w:instrText>
      </w:r>
      <w:r>
        <w:fldChar w:fldCharType="separate"/>
      </w:r>
      <w:r>
        <w:t>31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w:t>
      </w:r>
      <w:r>
        <w:rPr>
          <w:snapToGrid w:val="0"/>
          <w:spacing w:val="-4"/>
        </w:rPr>
        <w:t>uspending or prohibiting use of container or label</w:t>
      </w:r>
      <w:r>
        <w:tab/>
      </w:r>
      <w:r>
        <w:fldChar w:fldCharType="begin"/>
      </w:r>
      <w:r>
        <w:instrText xml:space="preserve"> PAGEREF _Toc524795802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poisons other than those in r. 56</w:t>
      </w:r>
      <w:r>
        <w:tab/>
      </w:r>
      <w:r>
        <w:fldChar w:fldCharType="begin"/>
      </w:r>
      <w:r>
        <w:instrText xml:space="preserve"> PAGEREF _Toc524795804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_Toc524795805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Loss or theft of poison, police to be notified</w:t>
      </w:r>
      <w:r>
        <w:tab/>
      </w:r>
      <w:r>
        <w:fldChar w:fldCharType="begin"/>
      </w:r>
      <w:r>
        <w:instrText xml:space="preserve"> PAGEREF _Toc524795806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_Toc524795808 \h </w:instrText>
      </w:r>
      <w:r>
        <w:fldChar w:fldCharType="separate"/>
      </w:r>
      <w:r>
        <w:t>34</w:t>
      </w:r>
      <w:r>
        <w:fldChar w:fldCharType="end"/>
      </w:r>
    </w:p>
    <w:p>
      <w:pPr>
        <w:pStyle w:val="TOC8"/>
        <w:rPr>
          <w:rFonts w:asciiTheme="minorHAnsi" w:eastAsiaTheme="minorEastAsia" w:hAnsiTheme="minorHAnsi" w:cstheme="minorBidi"/>
          <w:szCs w:val="22"/>
        </w:rPr>
      </w:pPr>
      <w:r>
        <w:t>32B.</w:t>
      </w:r>
      <w:r>
        <w:tab/>
        <w:t>Approval of systems</w:t>
      </w:r>
      <w:r>
        <w:tab/>
      </w:r>
      <w:r>
        <w:fldChar w:fldCharType="begin"/>
      </w:r>
      <w:r>
        <w:instrText xml:space="preserve"> PAGEREF _Toc524795809 \h </w:instrText>
      </w:r>
      <w:r>
        <w:fldChar w:fldCharType="separate"/>
      </w:r>
      <w:r>
        <w:t>34</w:t>
      </w:r>
      <w:r>
        <w:fldChar w:fldCharType="end"/>
      </w:r>
    </w:p>
    <w:p>
      <w:pPr>
        <w:pStyle w:val="TOC8"/>
        <w:rPr>
          <w:rFonts w:asciiTheme="minorHAnsi" w:eastAsiaTheme="minorEastAsia" w:hAnsiTheme="minorHAnsi" w:cstheme="minorBidi"/>
          <w:szCs w:val="22"/>
        </w:rPr>
      </w:pPr>
      <w:r>
        <w:t>32C.</w:t>
      </w:r>
      <w:r>
        <w:tab/>
        <w:t>Systems to have human administrators</w:t>
      </w:r>
      <w:r>
        <w:tab/>
      </w:r>
      <w:r>
        <w:fldChar w:fldCharType="begin"/>
      </w:r>
      <w:r>
        <w:instrText xml:space="preserve"> PAGEREF _Toc524795810 \h </w:instrText>
      </w:r>
      <w:r>
        <w:fldChar w:fldCharType="separate"/>
      </w:r>
      <w:r>
        <w:t>36</w:t>
      </w:r>
      <w:r>
        <w:fldChar w:fldCharType="end"/>
      </w:r>
    </w:p>
    <w:p>
      <w:pPr>
        <w:pStyle w:val="TOC8"/>
        <w:rPr>
          <w:rFonts w:asciiTheme="minorHAnsi" w:eastAsiaTheme="minorEastAsia" w:hAnsiTheme="minorHAnsi" w:cstheme="minorBidi"/>
          <w:szCs w:val="22"/>
        </w:rPr>
      </w:pPr>
      <w:r>
        <w:t>32D.</w:t>
      </w:r>
      <w:r>
        <w:tab/>
        <w:t>Offences</w:t>
      </w:r>
      <w:r>
        <w:tab/>
      </w:r>
      <w:r>
        <w:fldChar w:fldCharType="begin"/>
      </w:r>
      <w:r>
        <w:instrText xml:space="preserve"> PAGEREF _Toc524795811 \h </w:instrText>
      </w:r>
      <w:r>
        <w:fldChar w:fldCharType="separate"/>
      </w:r>
      <w:r>
        <w:t>36</w:t>
      </w:r>
      <w:r>
        <w:fldChar w:fldCharType="end"/>
      </w:r>
    </w:p>
    <w:p>
      <w:pPr>
        <w:pStyle w:val="TOC8"/>
        <w:rPr>
          <w:rFonts w:asciiTheme="minorHAnsi" w:eastAsiaTheme="minorEastAsia" w:hAnsiTheme="minorHAnsi" w:cstheme="minorBidi"/>
          <w:szCs w:val="22"/>
        </w:rPr>
      </w:pPr>
      <w:r>
        <w:t>32E.</w:t>
      </w:r>
      <w:r>
        <w:tab/>
        <w:t>Miscellaneous provisions</w:t>
      </w:r>
      <w:r>
        <w:tab/>
      </w:r>
      <w:r>
        <w:fldChar w:fldCharType="begin"/>
      </w:r>
      <w:r>
        <w:instrText xml:space="preserve"> PAGEREF _Toc524795812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4B — Electronic storage and supply</w:t>
      </w:r>
    </w:p>
    <w:p>
      <w:pPr>
        <w:pStyle w:val="TOC8"/>
        <w:rPr>
          <w:rFonts w:asciiTheme="minorHAnsi" w:eastAsiaTheme="minorEastAsia" w:hAnsiTheme="minorHAnsi" w:cstheme="minorBidi"/>
          <w:szCs w:val="22"/>
        </w:rPr>
      </w:pPr>
      <w:r>
        <w:t>32F.</w:t>
      </w:r>
      <w:r>
        <w:tab/>
        <w:t>Terms used</w:t>
      </w:r>
      <w:r>
        <w:tab/>
      </w:r>
      <w:r>
        <w:fldChar w:fldCharType="begin"/>
      </w:r>
      <w:r>
        <w:instrText xml:space="preserve"> PAGEREF _Toc524795814 \h </w:instrText>
      </w:r>
      <w:r>
        <w:fldChar w:fldCharType="separate"/>
      </w:r>
      <w:r>
        <w:t>38</w:t>
      </w:r>
      <w:r>
        <w:fldChar w:fldCharType="end"/>
      </w:r>
    </w:p>
    <w:p>
      <w:pPr>
        <w:pStyle w:val="TOC8"/>
        <w:rPr>
          <w:rFonts w:asciiTheme="minorHAnsi" w:eastAsiaTheme="minorEastAsia" w:hAnsiTheme="minorHAnsi" w:cstheme="minorBidi"/>
          <w:szCs w:val="22"/>
        </w:rPr>
      </w:pPr>
      <w:r>
        <w:t>32G.</w:t>
      </w:r>
      <w:r>
        <w:tab/>
        <w:t>Approval of electronic storage and supply units</w:t>
      </w:r>
      <w:r>
        <w:tab/>
      </w:r>
      <w:r>
        <w:fldChar w:fldCharType="begin"/>
      </w:r>
      <w:r>
        <w:instrText xml:space="preserve"> PAGEREF _Toc524795815 \h </w:instrText>
      </w:r>
      <w:r>
        <w:fldChar w:fldCharType="separate"/>
      </w:r>
      <w:r>
        <w:t>38</w:t>
      </w:r>
      <w:r>
        <w:fldChar w:fldCharType="end"/>
      </w:r>
    </w:p>
    <w:p>
      <w:pPr>
        <w:pStyle w:val="TOC8"/>
        <w:rPr>
          <w:rFonts w:asciiTheme="minorHAnsi" w:eastAsiaTheme="minorEastAsia" w:hAnsiTheme="minorHAnsi" w:cstheme="minorBidi"/>
          <w:szCs w:val="22"/>
        </w:rPr>
      </w:pPr>
      <w:r>
        <w:t>32H.</w:t>
      </w:r>
      <w:r>
        <w:tab/>
        <w:t>Offences</w:t>
      </w:r>
      <w:r>
        <w:tab/>
      </w:r>
      <w:r>
        <w:fldChar w:fldCharType="begin"/>
      </w:r>
      <w:r>
        <w:instrText xml:space="preserve"> PAGEREF _Toc524795816 \h </w:instrText>
      </w:r>
      <w:r>
        <w:fldChar w:fldCharType="separate"/>
      </w:r>
      <w:r>
        <w:t>39</w:t>
      </w:r>
      <w:r>
        <w:fldChar w:fldCharType="end"/>
      </w:r>
    </w:p>
    <w:p>
      <w:pPr>
        <w:pStyle w:val="TOC8"/>
        <w:rPr>
          <w:rFonts w:asciiTheme="minorHAnsi" w:eastAsiaTheme="minorEastAsia" w:hAnsiTheme="minorHAnsi" w:cstheme="minorBidi"/>
          <w:szCs w:val="22"/>
        </w:rPr>
      </w:pPr>
      <w:r>
        <w:t>32I.</w:t>
      </w:r>
      <w:r>
        <w:tab/>
        <w:t>Miscellaneous provisions</w:t>
      </w:r>
      <w:r>
        <w:tab/>
      </w:r>
      <w:r>
        <w:fldChar w:fldCharType="begin"/>
      </w:r>
      <w:r>
        <w:instrText xml:space="preserve"> PAGEREF _Toc524795817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5 — Sale, supply and use of poisons</w:t>
      </w:r>
    </w:p>
    <w:p>
      <w:pPr>
        <w:pStyle w:val="TOC4"/>
        <w:tabs>
          <w:tab w:val="right" w:leader="dot" w:pos="7077"/>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 of age</w:t>
      </w:r>
      <w:r>
        <w:tab/>
      </w:r>
      <w:r>
        <w:fldChar w:fldCharType="begin"/>
      </w:r>
      <w:r>
        <w:instrText xml:space="preserve"> PAGEREF _Toc524795820 \h </w:instrText>
      </w:r>
      <w:r>
        <w:fldChar w:fldCharType="separate"/>
      </w:r>
      <w:r>
        <w:t>41</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Veterinary medicines etc. not to be used etc. on humans</w:t>
      </w:r>
      <w:r>
        <w:tab/>
      </w:r>
      <w:r>
        <w:fldChar w:fldCharType="begin"/>
      </w:r>
      <w:r>
        <w:instrText xml:space="preserve"> PAGEREF _Toc524795821 \h </w:instrText>
      </w:r>
      <w:r>
        <w:fldChar w:fldCharType="separate"/>
      </w:r>
      <w:r>
        <w:t>41</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Certain paints, restrictions on manufacture, sale and use of</w:t>
      </w:r>
      <w:r>
        <w:tab/>
      </w:r>
      <w:r>
        <w:fldChar w:fldCharType="begin"/>
      </w:r>
      <w:r>
        <w:instrText xml:space="preserve"> PAGEREF _Toc524795822 \h </w:instrText>
      </w:r>
      <w:r>
        <w:fldChar w:fldCharType="separate"/>
      </w:r>
      <w:r>
        <w:t>41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Sch. 2 substances, restrictions on retail sale of</w:t>
      </w:r>
      <w:r>
        <w:tab/>
      </w:r>
      <w:r>
        <w:fldChar w:fldCharType="begin"/>
      </w:r>
      <w:r>
        <w:instrText xml:space="preserve"> PAGEREF _Toc524795823 \h </w:instrText>
      </w:r>
      <w:r>
        <w:fldChar w:fldCharType="separate"/>
      </w:r>
      <w:r>
        <w:t>42</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Sch. 3 substances, restrictions on retail sale of</w:t>
      </w:r>
      <w:r>
        <w:tab/>
      </w:r>
      <w:r>
        <w:fldChar w:fldCharType="begin"/>
      </w:r>
      <w:r>
        <w:instrText xml:space="preserve"> PAGEREF _Toc524795824 \h </w:instrText>
      </w:r>
      <w:r>
        <w:fldChar w:fldCharType="separate"/>
      </w:r>
      <w:r>
        <w:t>42</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Sch. 3 substances, storage of</w:t>
      </w:r>
      <w:r>
        <w:tab/>
      </w:r>
      <w:r>
        <w:fldChar w:fldCharType="begin"/>
      </w:r>
      <w:r>
        <w:instrText xml:space="preserve"> PAGEREF _Toc524795825 \h </w:instrText>
      </w:r>
      <w:r>
        <w:fldChar w:fldCharType="separate"/>
      </w:r>
      <w:r>
        <w:t>44</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Sch. 3 substances, advertising of</w:t>
      </w:r>
      <w:r>
        <w:tab/>
      </w:r>
      <w:r>
        <w:fldChar w:fldCharType="begin"/>
      </w:r>
      <w:r>
        <w:instrText xml:space="preserve"> PAGEREF _Toc524795826 \h </w:instrText>
      </w:r>
      <w:r>
        <w:fldChar w:fldCharType="separate"/>
      </w:r>
      <w:r>
        <w:t>44</w:t>
      </w:r>
      <w:r>
        <w:fldChar w:fldCharType="end"/>
      </w:r>
    </w:p>
    <w:p>
      <w:pPr>
        <w:pStyle w:val="TOC8"/>
        <w:rPr>
          <w:rFonts w:asciiTheme="minorHAnsi" w:eastAsiaTheme="minorEastAsia" w:hAnsiTheme="minorHAnsi" w:cstheme="minorBidi"/>
          <w:szCs w:val="22"/>
        </w:rPr>
      </w:pPr>
      <w:r>
        <w:t>35D.</w:t>
      </w:r>
      <w:r>
        <w:tab/>
        <w:t>Sch. 4 substances, advertising of</w:t>
      </w:r>
      <w:r>
        <w:tab/>
      </w:r>
      <w:r>
        <w:fldChar w:fldCharType="begin"/>
      </w:r>
      <w:r>
        <w:instrText xml:space="preserve"> PAGEREF _Toc524795827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Sale and supply of Sch. 4 poisons, rules as to</w:t>
      </w:r>
      <w:r>
        <w:tab/>
      </w:r>
      <w:r>
        <w:fldChar w:fldCharType="begin"/>
      </w:r>
      <w:r>
        <w:instrText xml:space="preserve"> PAGEREF _Toc524795829 \h </w:instrText>
      </w:r>
      <w:r>
        <w:fldChar w:fldCharType="separate"/>
      </w:r>
      <w:r>
        <w:t>45</w:t>
      </w:r>
      <w:r>
        <w:fldChar w:fldCharType="end"/>
      </w:r>
    </w:p>
    <w:p>
      <w:pPr>
        <w:pStyle w:val="TOC8"/>
        <w:rPr>
          <w:rFonts w:asciiTheme="minorHAnsi" w:eastAsiaTheme="minorEastAsia" w:hAnsiTheme="minorHAnsi" w:cstheme="minorBidi"/>
          <w:szCs w:val="22"/>
        </w:rPr>
      </w:pPr>
      <w:r>
        <w:t>36AA.</w:t>
      </w:r>
      <w:r>
        <w:tab/>
        <w:t>Starter packs, supply of by registered nurses</w:t>
      </w:r>
      <w:r>
        <w:tab/>
      </w:r>
      <w:r>
        <w:fldChar w:fldCharType="begin"/>
      </w:r>
      <w:r>
        <w:instrText xml:space="preserve"> PAGEREF _Toc524795830 \h </w:instrText>
      </w:r>
      <w:r>
        <w:fldChar w:fldCharType="separate"/>
      </w:r>
      <w:r>
        <w:t>51</w:t>
      </w:r>
      <w:r>
        <w:fldChar w:fldCharType="end"/>
      </w:r>
    </w:p>
    <w:p>
      <w:pPr>
        <w:pStyle w:val="TOC8"/>
        <w:rPr>
          <w:rFonts w:asciiTheme="minorHAnsi" w:eastAsiaTheme="minorEastAsia" w:hAnsiTheme="minorHAnsi" w:cstheme="minorBidi"/>
          <w:szCs w:val="22"/>
        </w:rPr>
      </w:pPr>
      <w:r>
        <w:t>36AAB.</w:t>
      </w:r>
      <w:r>
        <w:tab/>
        <w:t>Psychiatric emergency packs, supply of by certain registered nurses</w:t>
      </w:r>
      <w:r>
        <w:tab/>
      </w:r>
      <w:r>
        <w:fldChar w:fldCharType="begin"/>
      </w:r>
      <w:r>
        <w:instrText xml:space="preserve"> PAGEREF _Toc524795831 \h </w:instrText>
      </w:r>
      <w:r>
        <w:fldChar w:fldCharType="separate"/>
      </w:r>
      <w:r>
        <w:t>55</w:t>
      </w:r>
      <w:r>
        <w:fldChar w:fldCharType="end"/>
      </w:r>
    </w:p>
    <w:p>
      <w:pPr>
        <w:pStyle w:val="TOC8"/>
        <w:rPr>
          <w:rFonts w:asciiTheme="minorHAnsi" w:eastAsiaTheme="minorEastAsia" w:hAnsiTheme="minorHAnsi" w:cstheme="minorBidi"/>
          <w:szCs w:val="22"/>
        </w:rPr>
      </w:pPr>
      <w:r>
        <w:t>36A.</w:t>
      </w:r>
      <w:r>
        <w:tab/>
        <w:t>Storing and displaying Sch. 4 substances for sale</w:t>
      </w:r>
      <w:r>
        <w:tab/>
      </w:r>
      <w:r>
        <w:fldChar w:fldCharType="begin"/>
      </w:r>
      <w:r>
        <w:instrText xml:space="preserve"> PAGEREF _Toc524795832 \h </w:instrText>
      </w:r>
      <w:r>
        <w:fldChar w:fldCharType="separate"/>
      </w:r>
      <w:r>
        <w:t>59</w:t>
      </w:r>
      <w:r>
        <w:fldChar w:fldCharType="end"/>
      </w:r>
    </w:p>
    <w:p>
      <w:pPr>
        <w:pStyle w:val="TOC8"/>
        <w:rPr>
          <w:rFonts w:asciiTheme="minorHAnsi" w:eastAsiaTheme="minorEastAsia" w:hAnsiTheme="minorHAnsi" w:cstheme="minorBidi"/>
          <w:szCs w:val="22"/>
        </w:rPr>
      </w:pPr>
      <w:r>
        <w:t>36B.</w:t>
      </w:r>
      <w:r>
        <w:tab/>
        <w:t>Supply or administration of Sch. 4 substances, records of</w:t>
      </w:r>
      <w:r>
        <w:tab/>
      </w:r>
      <w:r>
        <w:fldChar w:fldCharType="begin"/>
      </w:r>
      <w:r>
        <w:instrText xml:space="preserve"> PAGEREF _Toc524795833 \h </w:instrText>
      </w:r>
      <w:r>
        <w:fldChar w:fldCharType="separate"/>
      </w:r>
      <w:r>
        <w:t>61</w:t>
      </w:r>
      <w:r>
        <w:fldChar w:fldCharType="end"/>
      </w:r>
    </w:p>
    <w:p>
      <w:pPr>
        <w:pStyle w:val="TOC8"/>
        <w:rPr>
          <w:rFonts w:asciiTheme="minorHAnsi" w:eastAsiaTheme="minorEastAsia" w:hAnsiTheme="minorHAnsi" w:cstheme="minorBidi"/>
          <w:szCs w:val="22"/>
        </w:rPr>
      </w:pPr>
      <w:r>
        <w:t>37A.</w:t>
      </w:r>
      <w:r>
        <w:tab/>
        <w:t>H1N1 Pandemic Influenza Vaccine, exemptions for and rules as to</w:t>
      </w:r>
      <w:r>
        <w:tab/>
      </w:r>
      <w:r>
        <w:fldChar w:fldCharType="begin"/>
      </w:r>
      <w:r>
        <w:instrText xml:space="preserve"> PAGEREF _Toc524795834 \h </w:instrText>
      </w:r>
      <w:r>
        <w:fldChar w:fldCharType="separate"/>
      </w:r>
      <w:r>
        <w:t>62</w:t>
      </w:r>
      <w:r>
        <w:fldChar w:fldCharType="end"/>
      </w:r>
    </w:p>
    <w:p>
      <w:pPr>
        <w:pStyle w:val="TOC8"/>
        <w:rPr>
          <w:rFonts w:asciiTheme="minorHAnsi" w:eastAsiaTheme="minorEastAsia" w:hAnsiTheme="minorHAnsi" w:cstheme="minorBidi"/>
          <w:szCs w:val="22"/>
        </w:rPr>
      </w:pPr>
      <w:r>
        <w:t>37B.</w:t>
      </w:r>
      <w:r>
        <w:tab/>
        <w:t>Appendix B vaccines, exemptions for</w:t>
      </w:r>
      <w:r>
        <w:tab/>
      </w:r>
      <w:r>
        <w:fldChar w:fldCharType="begin"/>
      </w:r>
      <w:r>
        <w:instrText xml:space="preserve"> PAGEREF _Toc524795835 \h </w:instrText>
      </w:r>
      <w:r>
        <w:fldChar w:fldCharType="separate"/>
      </w:r>
      <w:r>
        <w:t>63</w:t>
      </w:r>
      <w:r>
        <w:fldChar w:fldCharType="end"/>
      </w:r>
    </w:p>
    <w:p>
      <w:pPr>
        <w:pStyle w:val="TOC8"/>
        <w:rPr>
          <w:rFonts w:asciiTheme="minorHAnsi" w:eastAsiaTheme="minorEastAsia" w:hAnsiTheme="minorHAnsi" w:cstheme="minorBidi"/>
          <w:szCs w:val="22"/>
        </w:rPr>
      </w:pPr>
      <w:r>
        <w:t>37C.</w:t>
      </w:r>
      <w:r>
        <w:tab/>
        <w:t>Sch. 4 poisons, exemptions in connection with public health programmes</w:t>
      </w:r>
      <w:r>
        <w:tab/>
      </w:r>
      <w:r>
        <w:fldChar w:fldCharType="begin"/>
      </w:r>
      <w:r>
        <w:instrText xml:space="preserve"> PAGEREF _Toc524795836 \h </w:instrText>
      </w:r>
      <w:r>
        <w:fldChar w:fldCharType="separate"/>
      </w:r>
      <w:r>
        <w:t>64</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Prescriptions for Sch. 4 poisons, rules for</w:t>
      </w:r>
      <w:r>
        <w:tab/>
      </w:r>
      <w:r>
        <w:fldChar w:fldCharType="begin"/>
      </w:r>
      <w:r>
        <w:instrText xml:space="preserve"> PAGEREF _Toc524795837 \h </w:instrText>
      </w:r>
      <w:r>
        <w:fldChar w:fldCharType="separate"/>
      </w:r>
      <w:r>
        <w:t>65</w:t>
      </w:r>
      <w:r>
        <w:fldChar w:fldCharType="end"/>
      </w:r>
    </w:p>
    <w:p>
      <w:pPr>
        <w:pStyle w:val="TOC8"/>
        <w:rPr>
          <w:rFonts w:asciiTheme="minorHAnsi" w:eastAsiaTheme="minorEastAsia" w:hAnsiTheme="minorHAnsi" w:cstheme="minorBidi"/>
          <w:szCs w:val="22"/>
        </w:rPr>
      </w:pPr>
      <w:r>
        <w:t>38A.</w:t>
      </w:r>
      <w:r>
        <w:tab/>
        <w:t>NIMCs for patients discharged from public hospitals to be taken to be lawful prescriptions</w:t>
      </w:r>
      <w:r>
        <w:tab/>
      </w:r>
      <w:r>
        <w:fldChar w:fldCharType="begin"/>
      </w:r>
      <w:r>
        <w:instrText xml:space="preserve"> PAGEREF _Toc524795838 \h </w:instrText>
      </w:r>
      <w:r>
        <w:fldChar w:fldCharType="separate"/>
      </w:r>
      <w:r>
        <w:t>67</w:t>
      </w:r>
      <w:r>
        <w:fldChar w:fldCharType="end"/>
      </w:r>
    </w:p>
    <w:p>
      <w:pPr>
        <w:pStyle w:val="TOC8"/>
        <w:rPr>
          <w:rFonts w:asciiTheme="minorHAnsi" w:eastAsiaTheme="minorEastAsia" w:hAnsiTheme="minorHAnsi" w:cstheme="minorBidi"/>
          <w:szCs w:val="22"/>
        </w:rPr>
      </w:pPr>
      <w:r>
        <w:t>38B.</w:t>
      </w:r>
      <w:r>
        <w:tab/>
        <w:t>NRMCs to be taken to be lawful prescriptions</w:t>
      </w:r>
      <w:r>
        <w:tab/>
      </w:r>
      <w:r>
        <w:fldChar w:fldCharType="begin"/>
      </w:r>
      <w:r>
        <w:instrText xml:space="preserve"> PAGEREF _Toc524795839 \h </w:instrText>
      </w:r>
      <w:r>
        <w:fldChar w:fldCharType="separate"/>
      </w:r>
      <w:r>
        <w:t>67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Sch. 4 poisons in emergencies</w:t>
      </w:r>
      <w:r>
        <w:tab/>
      </w:r>
      <w:r>
        <w:fldChar w:fldCharType="begin"/>
      </w:r>
      <w:r>
        <w:instrText xml:space="preserve"> PAGEREF _Toc524795840 \h </w:instrText>
      </w:r>
      <w:r>
        <w:fldChar w:fldCharType="separate"/>
      </w:r>
      <w:r>
        <w:t>68</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Administering Sch. 4 poisons to hospital patients</w:t>
      </w:r>
      <w:r>
        <w:tab/>
      </w:r>
      <w:r>
        <w:fldChar w:fldCharType="begin"/>
      </w:r>
      <w:r>
        <w:instrText xml:space="preserve"> PAGEREF _Toc524795841 \h </w:instrText>
      </w:r>
      <w:r>
        <w:fldChar w:fldCharType="separate"/>
      </w:r>
      <w:r>
        <w:t>68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 prescription of</w:t>
      </w:r>
      <w:r>
        <w:tab/>
      </w:r>
      <w:r>
        <w:fldChar w:fldCharType="begin"/>
      </w:r>
      <w:r>
        <w:instrText xml:space="preserve"> PAGEREF _Toc524795842 \h </w:instrText>
      </w:r>
      <w:r>
        <w:fldChar w:fldCharType="separate"/>
      </w:r>
      <w:r>
        <w:t>69</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 prescription of</w:t>
      </w:r>
      <w:r>
        <w:tab/>
      </w:r>
      <w:r>
        <w:fldChar w:fldCharType="begin"/>
      </w:r>
      <w:r>
        <w:instrText xml:space="preserve"> PAGEREF _Toc524795843 \h </w:instrText>
      </w:r>
      <w:r>
        <w:fldChar w:fldCharType="separate"/>
      </w:r>
      <w:r>
        <w:t>70</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 prescription of</w:t>
      </w:r>
      <w:r>
        <w:tab/>
      </w:r>
      <w:r>
        <w:fldChar w:fldCharType="begin"/>
      </w:r>
      <w:r>
        <w:instrText xml:space="preserve"> PAGEREF _Toc524795844 \h </w:instrText>
      </w:r>
      <w:r>
        <w:fldChar w:fldCharType="separate"/>
      </w:r>
      <w:r>
        <w:t>70</w:t>
      </w:r>
      <w:r>
        <w:fldChar w:fldCharType="end"/>
      </w:r>
    </w:p>
    <w:p>
      <w:pPr>
        <w:pStyle w:val="TOC8"/>
        <w:rPr>
          <w:rFonts w:asciiTheme="minorHAnsi" w:eastAsiaTheme="minorEastAsia" w:hAnsiTheme="minorHAnsi" w:cstheme="minorBidi"/>
          <w:szCs w:val="22"/>
        </w:rPr>
      </w:pPr>
      <w:r>
        <w:t>38F.</w:t>
      </w:r>
      <w:r>
        <w:tab/>
        <w:t>Isotr</w:t>
      </w:r>
      <w:r>
        <w:rPr>
          <w:bCs/>
          <w:snapToGrid w:val="0"/>
        </w:rPr>
        <w:t>e</w:t>
      </w:r>
      <w:r>
        <w:t>tinoin, prescription and labelling of</w:t>
      </w:r>
      <w:r>
        <w:tab/>
      </w:r>
      <w:r>
        <w:fldChar w:fldCharType="begin"/>
      </w:r>
      <w:r>
        <w:instrText xml:space="preserve"> PAGEREF _Toc524795845 \h </w:instrText>
      </w:r>
      <w:r>
        <w:fldChar w:fldCharType="separate"/>
      </w:r>
      <w:r>
        <w:t>71</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 xml:space="preserve">Thalidomide, </w:t>
      </w:r>
      <w:r>
        <w:t>prescription and labelling of</w:t>
      </w:r>
      <w:r>
        <w:tab/>
      </w:r>
      <w:r>
        <w:fldChar w:fldCharType="begin"/>
      </w:r>
      <w:r>
        <w:instrText xml:space="preserve"> PAGEREF _Toc524795846 \h </w:instrText>
      </w:r>
      <w:r>
        <w:fldChar w:fldCharType="separate"/>
      </w:r>
      <w:r>
        <w:t>72</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 prescription of</w:t>
      </w:r>
      <w:r>
        <w:tab/>
      </w:r>
      <w:r>
        <w:fldChar w:fldCharType="begin"/>
      </w:r>
      <w:r>
        <w:instrText xml:space="preserve"> PAGEREF _Toc524795847 \h </w:instrText>
      </w:r>
      <w:r>
        <w:fldChar w:fldCharType="separate"/>
      </w:r>
      <w:r>
        <w:t>72</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 prescription of</w:t>
      </w:r>
      <w:r>
        <w:tab/>
      </w:r>
      <w:r>
        <w:fldChar w:fldCharType="begin"/>
      </w:r>
      <w:r>
        <w:instrText xml:space="preserve"> PAGEREF _Toc524795848 \h </w:instrText>
      </w:r>
      <w:r>
        <w:fldChar w:fldCharType="separate"/>
      </w:r>
      <w:r>
        <w:t>73</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 prescription of</w:t>
      </w:r>
      <w:r>
        <w:tab/>
      </w:r>
      <w:r>
        <w:fldChar w:fldCharType="begin"/>
      </w:r>
      <w:r>
        <w:instrText xml:space="preserve"> PAGEREF _Toc524795849 \h </w:instrText>
      </w:r>
      <w:r>
        <w:fldChar w:fldCharType="separate"/>
      </w:r>
      <w:r>
        <w:t>73</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 prescription of</w:t>
      </w:r>
      <w:r>
        <w:tab/>
      </w:r>
      <w:r>
        <w:fldChar w:fldCharType="begin"/>
      </w:r>
      <w:r>
        <w:instrText xml:space="preserve"> PAGEREF _Toc524795850 \h </w:instrText>
      </w:r>
      <w:r>
        <w:fldChar w:fldCharType="separate"/>
      </w:r>
      <w:r>
        <w:t>73</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 prescription of</w:t>
      </w:r>
      <w:r>
        <w:tab/>
      </w:r>
      <w:r>
        <w:fldChar w:fldCharType="begin"/>
      </w:r>
      <w:r>
        <w:instrText xml:space="preserve"> PAGEREF _Toc524795851 \h </w:instrText>
      </w:r>
      <w:r>
        <w:fldChar w:fldCharType="separate"/>
      </w:r>
      <w:r>
        <w:t>73</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Certain nitrofuran derivatives, prescription of</w:t>
      </w:r>
      <w:r>
        <w:tab/>
      </w:r>
      <w:r>
        <w:fldChar w:fldCharType="begin"/>
      </w:r>
      <w:r>
        <w:instrText xml:space="preserve"> PAGEREF _Toc524795852 \h </w:instrText>
      </w:r>
      <w:r>
        <w:fldChar w:fldCharType="separate"/>
      </w:r>
      <w:r>
        <w:t>74</w:t>
      </w:r>
      <w:r>
        <w:fldChar w:fldCharType="end"/>
      </w:r>
    </w:p>
    <w:p>
      <w:pPr>
        <w:pStyle w:val="TOC8"/>
        <w:rPr>
          <w:rFonts w:asciiTheme="minorHAnsi" w:eastAsiaTheme="minorEastAsia" w:hAnsiTheme="minorHAnsi" w:cstheme="minorBidi"/>
          <w:szCs w:val="22"/>
        </w:rPr>
      </w:pPr>
      <w:r>
        <w:t>38O.</w:t>
      </w:r>
      <w:r>
        <w:tab/>
        <w:t>Bosentan, prescription and labelling of</w:t>
      </w:r>
      <w:r>
        <w:tab/>
      </w:r>
      <w:r>
        <w:fldChar w:fldCharType="begin"/>
      </w:r>
      <w:r>
        <w:instrText xml:space="preserve"> PAGEREF _Toc524795853 \h </w:instrText>
      </w:r>
      <w:r>
        <w:fldChar w:fldCharType="separate"/>
      </w:r>
      <w:r>
        <w:t>74</w:t>
      </w:r>
      <w:r>
        <w:fldChar w:fldCharType="end"/>
      </w:r>
    </w:p>
    <w:p>
      <w:pPr>
        <w:pStyle w:val="TOC8"/>
        <w:rPr>
          <w:rFonts w:asciiTheme="minorHAnsi" w:eastAsiaTheme="minorEastAsia" w:hAnsiTheme="minorHAnsi" w:cstheme="minorBidi"/>
          <w:szCs w:val="22"/>
        </w:rPr>
      </w:pPr>
      <w:r>
        <w:t>38P.</w:t>
      </w:r>
      <w:r>
        <w:tab/>
        <w:t>Teriparatide, prescription of</w:t>
      </w:r>
      <w:r>
        <w:tab/>
      </w:r>
      <w:r>
        <w:fldChar w:fldCharType="begin"/>
      </w:r>
      <w:r>
        <w:instrText xml:space="preserve"> PAGEREF _Toc524795854 \h </w:instrText>
      </w:r>
      <w:r>
        <w:fldChar w:fldCharType="separate"/>
      </w:r>
      <w:r>
        <w:t>75</w:t>
      </w:r>
      <w:r>
        <w:fldChar w:fldCharType="end"/>
      </w:r>
    </w:p>
    <w:p>
      <w:pPr>
        <w:pStyle w:val="TOC8"/>
        <w:rPr>
          <w:rFonts w:asciiTheme="minorHAnsi" w:eastAsiaTheme="minorEastAsia" w:hAnsiTheme="minorHAnsi" w:cstheme="minorBidi"/>
          <w:szCs w:val="22"/>
        </w:rPr>
      </w:pPr>
      <w:r>
        <w:t>39AA.</w:t>
      </w:r>
      <w:r>
        <w:tab/>
        <w:t>Sale, supply of Sch. 4 poison without prescription authorised for influenza virus vaccine administered by pharmacist</w:t>
      </w:r>
      <w:r>
        <w:tab/>
      </w:r>
      <w:r>
        <w:fldChar w:fldCharType="begin"/>
      </w:r>
      <w:r>
        <w:instrText xml:space="preserve"> PAGEREF _Toc524795855 \h </w:instrText>
      </w:r>
      <w:r>
        <w:fldChar w:fldCharType="separate"/>
      </w:r>
      <w:r>
        <w:t>76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Sch. 4 poisons in Appendix H, supply of for veterinary use without prescription</w:t>
      </w:r>
      <w:r>
        <w:tab/>
      </w:r>
      <w:r>
        <w:fldChar w:fldCharType="begin"/>
      </w:r>
      <w:r>
        <w:instrText xml:space="preserve"> PAGEREF _Toc524795856 \h </w:instrText>
      </w:r>
      <w:r>
        <w:fldChar w:fldCharType="separate"/>
      </w:r>
      <w:r>
        <w:t>76</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Certain stockfeed manufacturers may sell Sch. 4 poisons</w:t>
      </w:r>
      <w:r>
        <w:tab/>
      </w:r>
      <w:r>
        <w:fldChar w:fldCharType="begin"/>
      </w:r>
      <w:r>
        <w:instrText xml:space="preserve"> PAGEREF _Toc524795857 \h </w:instrText>
      </w:r>
      <w:r>
        <w:fldChar w:fldCharType="separate"/>
      </w:r>
      <w:r>
        <w:t>77</w:t>
      </w:r>
      <w:r>
        <w:fldChar w:fldCharType="end"/>
      </w:r>
    </w:p>
    <w:p>
      <w:pPr>
        <w:pStyle w:val="TOC8"/>
        <w:rPr>
          <w:rFonts w:asciiTheme="minorHAnsi" w:eastAsiaTheme="minorEastAsia" w:hAnsiTheme="minorHAnsi" w:cstheme="minorBidi"/>
          <w:szCs w:val="22"/>
        </w:rPr>
      </w:pPr>
      <w:r>
        <w:t>39BA.</w:t>
      </w:r>
      <w:r>
        <w:tab/>
        <w:t>Certificated commercial vessels, possession etc. of Sch. 4 poisons on</w:t>
      </w:r>
      <w:r>
        <w:tab/>
      </w:r>
      <w:r>
        <w:fldChar w:fldCharType="begin"/>
      </w:r>
      <w:r>
        <w:instrText xml:space="preserve"> PAGEREF _Toc524795858 \h </w:instrText>
      </w:r>
      <w:r>
        <w:fldChar w:fldCharType="separate"/>
      </w:r>
      <w:r>
        <w:t>78</w:t>
      </w:r>
      <w:r>
        <w:fldChar w:fldCharType="end"/>
      </w:r>
    </w:p>
    <w:p>
      <w:pPr>
        <w:pStyle w:val="TOC8"/>
        <w:rPr>
          <w:rFonts w:asciiTheme="minorHAnsi" w:eastAsiaTheme="minorEastAsia" w:hAnsiTheme="minorHAnsi" w:cstheme="minorBidi"/>
          <w:szCs w:val="22"/>
        </w:rPr>
      </w:pPr>
      <w:r>
        <w:t>39BB.</w:t>
      </w:r>
      <w:r>
        <w:tab/>
        <w:t>Racing yachts, possession etc. of Sch. 4 poisons on</w:t>
      </w:r>
      <w:r>
        <w:tab/>
      </w:r>
      <w:r>
        <w:fldChar w:fldCharType="begin"/>
      </w:r>
      <w:r>
        <w:instrText xml:space="preserve"> PAGEREF _Toc524795859 \h </w:instrText>
      </w:r>
      <w:r>
        <w:fldChar w:fldCharType="separate"/>
      </w:r>
      <w:r>
        <w:t>79</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Other ships and aircraft, possession etc. of Sch. 4 poisons on</w:t>
      </w:r>
      <w:r>
        <w:tab/>
      </w:r>
      <w:r>
        <w:fldChar w:fldCharType="begin"/>
      </w:r>
      <w:r>
        <w:instrText xml:space="preserve"> PAGEREF _Toc524795860 \h </w:instrText>
      </w:r>
      <w:r>
        <w:fldChar w:fldCharType="separate"/>
      </w:r>
      <w:r>
        <w:t>80</w:t>
      </w:r>
      <w:r>
        <w:fldChar w:fldCharType="end"/>
      </w:r>
    </w:p>
    <w:p>
      <w:pPr>
        <w:pStyle w:val="TOC8"/>
        <w:rPr>
          <w:rFonts w:asciiTheme="minorHAnsi" w:eastAsiaTheme="minorEastAsia" w:hAnsiTheme="minorHAnsi" w:cstheme="minorBidi"/>
          <w:szCs w:val="22"/>
        </w:rPr>
      </w:pPr>
      <w:r>
        <w:t>39C.</w:t>
      </w:r>
      <w:r>
        <w:tab/>
        <w:t>Ships carrying livestock, possession etc. of Sch. 4 poisons on</w:t>
      </w:r>
      <w:r>
        <w:tab/>
      </w:r>
      <w:r>
        <w:fldChar w:fldCharType="begin"/>
      </w:r>
      <w:r>
        <w:instrText xml:space="preserve"> PAGEREF _Toc524795861 \h </w:instrText>
      </w:r>
      <w:r>
        <w:fldChar w:fldCharType="separate"/>
      </w:r>
      <w:r>
        <w:t>81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Persons authorised to possess Sch. 4 poisons</w:t>
      </w:r>
      <w:r>
        <w:tab/>
      </w:r>
      <w:r>
        <w:fldChar w:fldCharType="begin"/>
      </w:r>
      <w:r>
        <w:instrText xml:space="preserve"> PAGEREF _Toc524795862 \h </w:instrText>
      </w:r>
      <w:r>
        <w:fldChar w:fldCharType="separate"/>
      </w:r>
      <w:r>
        <w:t>83</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Sold Sch. 4 poisons to be delivered only to buyer</w:t>
      </w:r>
      <w:r>
        <w:tab/>
      </w:r>
      <w:r>
        <w:fldChar w:fldCharType="begin"/>
      </w:r>
      <w:r>
        <w:instrText xml:space="preserve"> PAGEREF _Toc524795863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Sch. 6 poisons, revoking authority under Act s. 23(4) to sell</w:t>
      </w:r>
      <w:r>
        <w:tab/>
      </w:r>
      <w:r>
        <w:fldChar w:fldCharType="begin"/>
      </w:r>
      <w:r>
        <w:instrText xml:space="preserve"> PAGEREF _Toc524795865 \h </w:instrText>
      </w:r>
      <w:r>
        <w:fldChar w:fldCharType="separate"/>
      </w:r>
      <w:r>
        <w:t>85</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Sch. 7 poisons, rules as to sale of</w:t>
      </w:r>
      <w:r>
        <w:tab/>
      </w:r>
      <w:r>
        <w:fldChar w:fldCharType="begin"/>
      </w:r>
      <w:r>
        <w:instrText xml:space="preserve"> PAGEREF _Toc524795866 \h </w:instrText>
      </w:r>
      <w:r>
        <w:fldChar w:fldCharType="separate"/>
      </w:r>
      <w:r>
        <w:t>85</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Antibiotics for intramammary infusion in animals, sale and supply of</w:t>
      </w:r>
      <w:r>
        <w:tab/>
      </w:r>
      <w:r>
        <w:fldChar w:fldCharType="begin"/>
      </w:r>
      <w:r>
        <w:instrText xml:space="preserve"> PAGEREF _Toc524795867 \h </w:instrText>
      </w:r>
      <w:r>
        <w:fldChar w:fldCharType="separate"/>
      </w:r>
      <w:r>
        <w:t>86</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 sale and supply of</w:t>
      </w:r>
      <w:r>
        <w:tab/>
      </w:r>
      <w:r>
        <w:fldChar w:fldCharType="begin"/>
      </w:r>
      <w:r>
        <w:instrText xml:space="preserve"> PAGEREF _Toc524795868 \h </w:instrText>
      </w:r>
      <w:r>
        <w:fldChar w:fldCharType="separate"/>
      </w:r>
      <w:r>
        <w:t>87</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Sch. 3, 4 or 7 poisons supplied wholesale, records of to be kept etc.</w:t>
      </w:r>
      <w:r>
        <w:tab/>
      </w:r>
      <w:r>
        <w:fldChar w:fldCharType="begin"/>
      </w:r>
      <w:r>
        <w:instrText xml:space="preserve"> PAGEREF _Toc524795869 \h </w:instrText>
      </w:r>
      <w:r>
        <w:fldChar w:fldCharType="separate"/>
      </w:r>
      <w:r>
        <w:t>87</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Sch. 7 poisons for retail, storage of</w:t>
      </w:r>
      <w:r>
        <w:tab/>
      </w:r>
      <w:r>
        <w:fldChar w:fldCharType="begin"/>
      </w:r>
      <w:r>
        <w:instrText xml:space="preserve"> PAGEREF _Toc524795870 \h </w:instrText>
      </w:r>
      <w:r>
        <w:fldChar w:fldCharType="separate"/>
      </w:r>
      <w:r>
        <w:t>88</w:t>
      </w:r>
      <w:r>
        <w:fldChar w:fldCharType="end"/>
      </w:r>
    </w:p>
    <w:p>
      <w:pPr>
        <w:pStyle w:val="TOC8"/>
        <w:rPr>
          <w:rFonts w:asciiTheme="minorHAnsi" w:eastAsiaTheme="minorEastAsia" w:hAnsiTheme="minorHAnsi" w:cstheme="minorBidi"/>
          <w:szCs w:val="22"/>
        </w:rPr>
      </w:pPr>
      <w:r>
        <w:t>41D.</w:t>
      </w:r>
      <w:r>
        <w:tab/>
        <w:t>Certain medicines for schools and child care services, application of Act to</w:t>
      </w:r>
      <w:r>
        <w:tab/>
      </w:r>
      <w:r>
        <w:fldChar w:fldCharType="begin"/>
      </w:r>
      <w:r>
        <w:instrText xml:space="preserve"> PAGEREF _Toc524795871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6 — Drugs of addiction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_Toc524795874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Persons authorised to possess Sch. 8 poisons</w:t>
      </w:r>
      <w:r>
        <w:tab/>
      </w:r>
      <w:r>
        <w:fldChar w:fldCharType="begin"/>
      </w:r>
      <w:r>
        <w:instrText xml:space="preserve"> PAGEREF _Toc524795875 \h </w:instrText>
      </w:r>
      <w:r>
        <w:fldChar w:fldCharType="separate"/>
      </w:r>
      <w:r>
        <w:t>91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Pharmacists’ authority to manufacture etc. Sch. 8 poisons</w:t>
      </w:r>
      <w:r>
        <w:tab/>
      </w:r>
      <w:r>
        <w:fldChar w:fldCharType="begin"/>
      </w:r>
      <w:r>
        <w:instrText xml:space="preserve"> PAGEREF _Toc524795876 \h </w:instrText>
      </w:r>
      <w:r>
        <w:fldChar w:fldCharType="separate"/>
      </w:r>
      <w:r>
        <w:t>93</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Authority under Act s. 23(2), revoking as to Sch. 8 poisons</w:t>
      </w:r>
      <w:r>
        <w:tab/>
      </w:r>
      <w:r>
        <w:fldChar w:fldCharType="begin"/>
      </w:r>
      <w:r>
        <w:instrText xml:space="preserve"> PAGEREF _Toc524795877 \h </w:instrText>
      </w:r>
      <w:r>
        <w:fldChar w:fldCharType="separate"/>
      </w:r>
      <w:r>
        <w:t>94</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Purposes prescribed (Act s. 41(1))</w:t>
      </w:r>
      <w:r>
        <w:tab/>
      </w:r>
      <w:r>
        <w:fldChar w:fldCharType="begin"/>
      </w:r>
      <w:r>
        <w:instrText xml:space="preserve"> PAGEREF _Toc524795878 \h </w:instrText>
      </w:r>
      <w:r>
        <w:fldChar w:fldCharType="separate"/>
      </w:r>
      <w:r>
        <w:t>94</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Sch. 8 poisons</w:t>
      </w:r>
      <w:r>
        <w:tab/>
      </w:r>
      <w:r>
        <w:fldChar w:fldCharType="begin"/>
      </w:r>
      <w:r>
        <w:instrText xml:space="preserve"> PAGEREF _Toc524795879 \h </w:instrText>
      </w:r>
      <w:r>
        <w:fldChar w:fldCharType="separate"/>
      </w:r>
      <w:r>
        <w:t>94</w:t>
      </w:r>
      <w:r>
        <w:fldChar w:fldCharType="end"/>
      </w:r>
    </w:p>
    <w:p>
      <w:pPr>
        <w:pStyle w:val="TOC8"/>
        <w:rPr>
          <w:rFonts w:asciiTheme="minorHAnsi" w:eastAsiaTheme="minorEastAsia" w:hAnsiTheme="minorHAnsi" w:cstheme="minorBidi"/>
          <w:szCs w:val="22"/>
        </w:rPr>
      </w:pPr>
      <w:r>
        <w:t>44.</w:t>
      </w:r>
      <w:r>
        <w:tab/>
        <w:t>Register of drugs of addiction to be kept by sellers</w:t>
      </w:r>
      <w:r>
        <w:tab/>
      </w:r>
      <w:r>
        <w:fldChar w:fldCharType="begin"/>
      </w:r>
      <w:r>
        <w:instrText xml:space="preserve"> PAGEREF _Toc524795880 \h </w:instrText>
      </w:r>
      <w:r>
        <w:fldChar w:fldCharType="separate"/>
      </w:r>
      <w:r>
        <w:t>95</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Destroying drugs of addiction</w:t>
      </w:r>
      <w:r>
        <w:tab/>
      </w:r>
      <w:r>
        <w:fldChar w:fldCharType="begin"/>
      </w:r>
      <w:r>
        <w:instrText xml:space="preserve"> PAGEREF _Toc524795881 \h </w:instrText>
      </w:r>
      <w:r>
        <w:fldChar w:fldCharType="separate"/>
      </w:r>
      <w:r>
        <w:t>96</w:t>
      </w:r>
      <w:r>
        <w:fldChar w:fldCharType="end"/>
      </w:r>
    </w:p>
    <w:p>
      <w:pPr>
        <w:pStyle w:val="TOC8"/>
        <w:rPr>
          <w:rFonts w:asciiTheme="minorHAnsi" w:eastAsiaTheme="minorEastAsia" w:hAnsiTheme="minorHAnsi" w:cstheme="minorBidi"/>
          <w:szCs w:val="22"/>
        </w:rPr>
      </w:pPr>
      <w:r>
        <w:t>44B.</w:t>
      </w:r>
      <w:r>
        <w:tab/>
        <w:t>Registers for r. 44(2) or 44A(4), form of etc.</w:t>
      </w:r>
      <w:r>
        <w:tab/>
      </w:r>
      <w:r>
        <w:fldChar w:fldCharType="begin"/>
      </w:r>
      <w:r>
        <w:instrText xml:space="preserve"> PAGEREF _Toc524795882 \h </w:instrText>
      </w:r>
      <w:r>
        <w:fldChar w:fldCharType="separate"/>
      </w:r>
      <w:r>
        <w:t>98</w:t>
      </w:r>
      <w:r>
        <w:fldChar w:fldCharType="end"/>
      </w:r>
    </w:p>
    <w:p>
      <w:pPr>
        <w:pStyle w:val="TOC8"/>
        <w:rPr>
          <w:rFonts w:asciiTheme="minorHAnsi" w:eastAsiaTheme="minorEastAsia" w:hAnsiTheme="minorHAnsi" w:cstheme="minorBidi"/>
          <w:szCs w:val="22"/>
        </w:rPr>
      </w:pPr>
      <w:r>
        <w:t>44C.</w:t>
      </w:r>
      <w:r>
        <w:tab/>
        <w:t>Electronic registers for r. 44(2) or 44A(4), rules as to</w:t>
      </w:r>
      <w:r>
        <w:tab/>
      </w:r>
      <w:r>
        <w:fldChar w:fldCharType="begin"/>
      </w:r>
      <w:r>
        <w:instrText xml:space="preserve"> PAGEREF _Toc524795883 \h </w:instrText>
      </w:r>
      <w:r>
        <w:fldChar w:fldCharType="separate"/>
      </w:r>
      <w:r>
        <w:t>99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 duties as to</w:t>
      </w:r>
      <w:r>
        <w:tab/>
      </w:r>
      <w:r>
        <w:fldChar w:fldCharType="begin"/>
      </w:r>
      <w:r>
        <w:instrText xml:space="preserve"> PAGEREF _Toc524795884 \h </w:instrText>
      </w:r>
      <w:r>
        <w:fldChar w:fldCharType="separate"/>
      </w:r>
      <w:r>
        <w:t>100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kept for 7 years and available on demand</w:t>
      </w:r>
      <w:r>
        <w:tab/>
      </w:r>
      <w:r>
        <w:fldChar w:fldCharType="begin"/>
      </w:r>
      <w:r>
        <w:instrText xml:space="preserve"> PAGEREF _Toc524795885 \h </w:instrText>
      </w:r>
      <w:r>
        <w:fldChar w:fldCharType="separate"/>
      </w:r>
      <w:r>
        <w:t>101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Wholesalers to give CEO periodic returns as to Sch. 8 poisons</w:t>
      </w:r>
      <w:r>
        <w:tab/>
      </w:r>
      <w:r>
        <w:fldChar w:fldCharType="begin"/>
      </w:r>
      <w:r>
        <w:instrText xml:space="preserve"> PAGEREF _Toc524795886 \h </w:instrText>
      </w:r>
      <w:r>
        <w:fldChar w:fldCharType="separate"/>
      </w:r>
      <w:r>
        <w:t>102</w:t>
      </w:r>
      <w:r>
        <w:fldChar w:fldCharType="end"/>
      </w:r>
    </w:p>
    <w:p>
      <w:pPr>
        <w:pStyle w:val="TOC8"/>
        <w:rPr>
          <w:rFonts w:asciiTheme="minorHAnsi" w:eastAsiaTheme="minorEastAsia" w:hAnsiTheme="minorHAnsi" w:cstheme="minorBidi"/>
          <w:szCs w:val="22"/>
        </w:rPr>
      </w:pPr>
      <w:r>
        <w:t>49A.</w:t>
      </w:r>
      <w:r>
        <w:tab/>
        <w:t>Certificated commercial vessels, possession etc. of Sch. 8 poisons on</w:t>
      </w:r>
      <w:r>
        <w:tab/>
      </w:r>
      <w:r>
        <w:fldChar w:fldCharType="begin"/>
      </w:r>
      <w:r>
        <w:instrText xml:space="preserve"> PAGEREF _Toc524795887 \h </w:instrText>
      </w:r>
      <w:r>
        <w:fldChar w:fldCharType="separate"/>
      </w:r>
      <w:r>
        <w:t>103</w:t>
      </w:r>
      <w:r>
        <w:fldChar w:fldCharType="end"/>
      </w:r>
    </w:p>
    <w:p>
      <w:pPr>
        <w:pStyle w:val="TOC8"/>
        <w:rPr>
          <w:rFonts w:asciiTheme="minorHAnsi" w:eastAsiaTheme="minorEastAsia" w:hAnsiTheme="minorHAnsi" w:cstheme="minorBidi"/>
          <w:szCs w:val="22"/>
        </w:rPr>
      </w:pPr>
      <w:r>
        <w:t>49B.</w:t>
      </w:r>
      <w:r>
        <w:tab/>
        <w:t>Racing yachts, possession etc. of Sch. 8 poisons on</w:t>
      </w:r>
      <w:r>
        <w:tab/>
      </w:r>
      <w:r>
        <w:fldChar w:fldCharType="begin"/>
      </w:r>
      <w:r>
        <w:instrText xml:space="preserve"> PAGEREF _Toc524795888 \h </w:instrText>
      </w:r>
      <w:r>
        <w:fldChar w:fldCharType="separate"/>
      </w:r>
      <w:r>
        <w:t>104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Other ships and aircraft, possession etc. of Sch. 8 poisons on</w:t>
      </w:r>
      <w:r>
        <w:tab/>
      </w:r>
      <w:r>
        <w:fldChar w:fldCharType="begin"/>
      </w:r>
      <w:r>
        <w:instrText xml:space="preserve"> PAGEREF _Toc524795889 \h </w:instrText>
      </w:r>
      <w:r>
        <w:fldChar w:fldCharType="separate"/>
      </w:r>
      <w:r>
        <w:t>105</w:t>
      </w:r>
      <w:r>
        <w:fldChar w:fldCharType="end"/>
      </w:r>
    </w:p>
    <w:p>
      <w:pPr>
        <w:pStyle w:val="TOC8"/>
        <w:rPr>
          <w:rFonts w:asciiTheme="minorHAnsi" w:eastAsiaTheme="minorEastAsia" w:hAnsiTheme="minorHAnsi" w:cstheme="minorBidi"/>
          <w:szCs w:val="22"/>
        </w:rPr>
      </w:pPr>
      <w:r>
        <w:t>50.</w:t>
      </w:r>
      <w:r>
        <w:tab/>
        <w:t>Sch. 8 poisons in hospitals, rules as to</w:t>
      </w:r>
      <w:r>
        <w:tab/>
      </w:r>
      <w:r>
        <w:fldChar w:fldCharType="begin"/>
      </w:r>
      <w:r>
        <w:instrText xml:space="preserve"> PAGEREF _Toc524795890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2 — Supply and prescription</w:t>
      </w:r>
    </w:p>
    <w:p>
      <w:pPr>
        <w:pStyle w:val="TOC6"/>
        <w:tabs>
          <w:tab w:val="right" w:leader="dot" w:pos="7077"/>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 for drugs of addiction, rules for</w:t>
      </w:r>
      <w:r>
        <w:tab/>
      </w:r>
      <w:r>
        <w:fldChar w:fldCharType="begin"/>
      </w:r>
      <w:r>
        <w:instrText xml:space="preserve"> PAGEREF _Toc524795893 \h </w:instrText>
      </w:r>
      <w:r>
        <w:fldChar w:fldCharType="separate"/>
      </w:r>
      <w:r>
        <w:t>108</w:t>
      </w:r>
      <w:r>
        <w:fldChar w:fldCharType="end"/>
      </w:r>
    </w:p>
    <w:p>
      <w:pPr>
        <w:pStyle w:val="TOC8"/>
        <w:rPr>
          <w:rFonts w:asciiTheme="minorHAnsi" w:eastAsiaTheme="minorEastAsia" w:hAnsiTheme="minorHAnsi" w:cstheme="minorBidi"/>
          <w:szCs w:val="22"/>
        </w:rPr>
      </w:pPr>
      <w:r>
        <w:t>51AAA.</w:t>
      </w:r>
      <w:r>
        <w:tab/>
        <w:t>NIMCs for patients discharged from public hospitals to be taken to be lawful prescription</w:t>
      </w:r>
      <w:r>
        <w:tab/>
      </w:r>
      <w:r>
        <w:fldChar w:fldCharType="begin"/>
      </w:r>
      <w:r>
        <w:instrText xml:space="preserve"> PAGEREF _Toc524795894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_Toc524795896 \h </w:instrText>
      </w:r>
      <w:r>
        <w:fldChar w:fldCharType="separate"/>
      </w:r>
      <w:r>
        <w:t>111</w:t>
      </w:r>
      <w:r>
        <w:fldChar w:fldCharType="end"/>
      </w:r>
    </w:p>
    <w:p>
      <w:pPr>
        <w:pStyle w:val="TOC8"/>
        <w:rPr>
          <w:rFonts w:asciiTheme="minorHAnsi" w:eastAsiaTheme="minorEastAsia" w:hAnsiTheme="minorHAnsi" w:cstheme="minorBidi"/>
          <w:szCs w:val="22"/>
        </w:rPr>
      </w:pPr>
      <w:r>
        <w:t>51AA.</w:t>
      </w:r>
      <w:r>
        <w:tab/>
        <w:t>Drug addicts to disclose addiction to medical practitioners etc.</w:t>
      </w:r>
      <w:r>
        <w:tab/>
      </w:r>
      <w:r>
        <w:fldChar w:fldCharType="begin"/>
      </w:r>
      <w:r>
        <w:instrText xml:space="preserve"> PAGEREF _Toc524795897 \h </w:instrText>
      </w:r>
      <w:r>
        <w:fldChar w:fldCharType="separate"/>
      </w:r>
      <w:r>
        <w:t>112</w:t>
      </w:r>
      <w:r>
        <w:fldChar w:fldCharType="end"/>
      </w:r>
    </w:p>
    <w:p>
      <w:pPr>
        <w:pStyle w:val="TOC8"/>
        <w:rPr>
          <w:rFonts w:asciiTheme="minorHAnsi" w:eastAsiaTheme="minorEastAsia" w:hAnsiTheme="minorHAnsi" w:cstheme="minorBidi"/>
          <w:szCs w:val="22"/>
        </w:rPr>
      </w:pPr>
      <w:r>
        <w:t>51B.</w:t>
      </w:r>
      <w:r>
        <w:tab/>
        <w:t>Drug addicts, restrictions on prescribing and supplying drugs of addiction to</w:t>
      </w:r>
      <w:r>
        <w:tab/>
      </w:r>
      <w:r>
        <w:fldChar w:fldCharType="begin"/>
      </w:r>
      <w:r>
        <w:instrText xml:space="preserve"> PAGEREF _Toc524795898 \h </w:instrText>
      </w:r>
      <w:r>
        <w:fldChar w:fldCharType="separate"/>
      </w:r>
      <w:r>
        <w:t>112</w:t>
      </w:r>
      <w:r>
        <w:fldChar w:fldCharType="end"/>
      </w:r>
    </w:p>
    <w:p>
      <w:pPr>
        <w:pStyle w:val="TOC8"/>
        <w:rPr>
          <w:rFonts w:asciiTheme="minorHAnsi" w:eastAsiaTheme="minorEastAsia" w:hAnsiTheme="minorHAnsi" w:cstheme="minorBidi"/>
          <w:szCs w:val="22"/>
        </w:rPr>
      </w:pPr>
      <w:r>
        <w:t>51BA.</w:t>
      </w:r>
      <w:r>
        <w:tab/>
        <w:t>D</w:t>
      </w:r>
      <w:r>
        <w:rPr>
          <w:snapToGrid w:val="0"/>
        </w:rPr>
        <w:t>rug addicts, administering, prescribing or supplying drugs of addiction to</w:t>
      </w:r>
      <w:r>
        <w:tab/>
      </w:r>
      <w:r>
        <w:fldChar w:fldCharType="begin"/>
      </w:r>
      <w:r>
        <w:instrText xml:space="preserve"> PAGEREF _Toc524795899 \h </w:instrText>
      </w:r>
      <w:r>
        <w:fldChar w:fldCharType="separate"/>
      </w:r>
      <w:r>
        <w:t>113</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Authorised prescribers and specialist prescribers, designation of</w:t>
      </w:r>
      <w:r>
        <w:tab/>
      </w:r>
      <w:r>
        <w:fldChar w:fldCharType="begin"/>
      </w:r>
      <w:r>
        <w:instrText xml:space="preserve"> PAGEREF _Toc524795900 \h </w:instrText>
      </w:r>
      <w:r>
        <w:fldChar w:fldCharType="separate"/>
      </w:r>
      <w:r>
        <w:t>113</w:t>
      </w:r>
      <w:r>
        <w:fldChar w:fldCharType="end"/>
      </w:r>
    </w:p>
    <w:p>
      <w:pPr>
        <w:pStyle w:val="TOC8"/>
        <w:rPr>
          <w:rFonts w:asciiTheme="minorHAnsi" w:eastAsiaTheme="minorEastAsia" w:hAnsiTheme="minorHAnsi" w:cstheme="minorBidi"/>
          <w:szCs w:val="22"/>
        </w:rPr>
      </w:pPr>
      <w:r>
        <w:t>51CA.</w:t>
      </w:r>
      <w:r>
        <w:tab/>
        <w:t>A</w:t>
      </w:r>
      <w:r>
        <w:rPr>
          <w:snapToGrid w:val="0"/>
        </w:rPr>
        <w:t>uthorised prescribers for drug addicts, appointment of</w:t>
      </w:r>
      <w:r>
        <w:tab/>
      </w:r>
      <w:r>
        <w:fldChar w:fldCharType="begin"/>
      </w:r>
      <w:r>
        <w:instrText xml:space="preserve"> PAGEREF _Toc524795901 \h </w:instrText>
      </w:r>
      <w:r>
        <w:fldChar w:fldCharType="separate"/>
      </w:r>
      <w:r>
        <w:t>114</w:t>
      </w:r>
      <w:r>
        <w:fldChar w:fldCharType="end"/>
      </w:r>
    </w:p>
    <w:p>
      <w:pPr>
        <w:pStyle w:val="TOC8"/>
        <w:rPr>
          <w:rFonts w:asciiTheme="minorHAnsi" w:eastAsiaTheme="minorEastAsia" w:hAnsiTheme="minorHAnsi" w:cstheme="minorBidi"/>
          <w:szCs w:val="22"/>
        </w:rPr>
      </w:pPr>
      <w:r>
        <w:t>51CB.</w:t>
      </w:r>
      <w:r>
        <w:tab/>
        <w:t>Co</w:t>
      </w:r>
      <w:r>
        <w:noBreakHyphen/>
        <w:t xml:space="preserve">prescribers </w:t>
      </w:r>
      <w:r>
        <w:rPr>
          <w:snapToGrid w:val="0"/>
        </w:rPr>
        <w:t>for drug addicts, appointment of</w:t>
      </w:r>
      <w:r>
        <w:tab/>
      </w:r>
      <w:r>
        <w:fldChar w:fldCharType="begin"/>
      </w:r>
      <w:r>
        <w:instrText xml:space="preserve"> PAGEREF _Toc524795902 \h </w:instrText>
      </w:r>
      <w:r>
        <w:fldChar w:fldCharType="separate"/>
      </w:r>
      <w:r>
        <w:t>114</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rules as to</w:t>
      </w:r>
      <w:r>
        <w:tab/>
      </w:r>
      <w:r>
        <w:fldChar w:fldCharType="begin"/>
      </w:r>
      <w:r>
        <w:instrText xml:space="preserve"> PAGEREF _Toc524795903 \h </w:instrText>
      </w:r>
      <w:r>
        <w:fldChar w:fldCharType="separate"/>
      </w:r>
      <w:r>
        <w:t>115</w:t>
      </w:r>
      <w:r>
        <w:fldChar w:fldCharType="end"/>
      </w:r>
    </w:p>
    <w:p>
      <w:pPr>
        <w:pStyle w:val="TOC8"/>
        <w:rPr>
          <w:rFonts w:asciiTheme="minorHAnsi" w:eastAsiaTheme="minorEastAsia" w:hAnsiTheme="minorHAnsi" w:cstheme="minorBidi"/>
          <w:szCs w:val="22"/>
        </w:rPr>
      </w:pPr>
      <w:r>
        <w:t>51D.</w:t>
      </w:r>
      <w:r>
        <w:tab/>
        <w:t>Drug addicts, p</w:t>
      </w:r>
      <w:r>
        <w:rPr>
          <w:snapToGrid w:val="0"/>
        </w:rPr>
        <w:t>rescribing pharmacotherapies for treatment of addiction for</w:t>
      </w:r>
      <w:r>
        <w:tab/>
      </w:r>
      <w:r>
        <w:fldChar w:fldCharType="begin"/>
      </w:r>
      <w:r>
        <w:instrText xml:space="preserve"> PAGEREF _Toc524795904 \h </w:instrText>
      </w:r>
      <w:r>
        <w:fldChar w:fldCharType="separate"/>
      </w:r>
      <w:r>
        <w:t>115</w:t>
      </w:r>
      <w:r>
        <w:fldChar w:fldCharType="end"/>
      </w:r>
    </w:p>
    <w:p>
      <w:pPr>
        <w:pStyle w:val="TOC8"/>
        <w:rPr>
          <w:rFonts w:asciiTheme="minorHAnsi" w:eastAsiaTheme="minorEastAsia" w:hAnsiTheme="minorHAnsi" w:cstheme="minorBidi"/>
          <w:szCs w:val="22"/>
        </w:rPr>
      </w:pPr>
      <w:r>
        <w:t>51DA.</w:t>
      </w:r>
      <w:r>
        <w:tab/>
        <w:t>Drug addicts in hospital, p</w:t>
      </w:r>
      <w:r>
        <w:rPr>
          <w:snapToGrid w:val="0"/>
        </w:rPr>
        <w:t>rescribing pharmacotherapies for treatment of addiction for</w:t>
      </w:r>
      <w:r>
        <w:tab/>
      </w:r>
      <w:r>
        <w:fldChar w:fldCharType="begin"/>
      </w:r>
      <w:r>
        <w:instrText xml:space="preserve"> PAGEREF _Toc524795905 \h </w:instrText>
      </w:r>
      <w:r>
        <w:fldChar w:fldCharType="separate"/>
      </w:r>
      <w:r>
        <w:t>117</w:t>
      </w:r>
      <w:r>
        <w:fldChar w:fldCharType="end"/>
      </w:r>
    </w:p>
    <w:p>
      <w:pPr>
        <w:pStyle w:val="TOC8"/>
        <w:rPr>
          <w:rFonts w:asciiTheme="minorHAnsi" w:eastAsiaTheme="minorEastAsia" w:hAnsiTheme="minorHAnsi" w:cstheme="minorBidi"/>
          <w:szCs w:val="22"/>
        </w:rPr>
      </w:pPr>
      <w:r>
        <w:t>51DB.</w:t>
      </w:r>
      <w:r>
        <w:tab/>
        <w:t>Drug addicts in custody, p</w:t>
      </w:r>
      <w:r>
        <w:rPr>
          <w:snapToGrid w:val="0"/>
        </w:rPr>
        <w:t>rescribing pharmacotherapies for treatment of addiction for</w:t>
      </w:r>
      <w:r>
        <w:tab/>
      </w:r>
      <w:r>
        <w:fldChar w:fldCharType="begin"/>
      </w:r>
      <w:r>
        <w:instrText xml:space="preserve"> PAGEREF _Toc524795906 \h </w:instrText>
      </w:r>
      <w:r>
        <w:fldChar w:fldCharType="separate"/>
      </w:r>
      <w:r>
        <w:t>117</w:t>
      </w:r>
      <w:r>
        <w:fldChar w:fldCharType="end"/>
      </w:r>
    </w:p>
    <w:p>
      <w:pPr>
        <w:pStyle w:val="TOC8"/>
        <w:rPr>
          <w:rFonts w:asciiTheme="minorHAnsi" w:eastAsiaTheme="minorEastAsia" w:hAnsiTheme="minorHAnsi" w:cstheme="minorBidi"/>
          <w:szCs w:val="22"/>
        </w:rPr>
      </w:pPr>
      <w:r>
        <w:t>51DC.</w:t>
      </w:r>
      <w:r>
        <w:tab/>
        <w:t xml:space="preserve">Drug addicts, specialist prescribers may prescribe </w:t>
      </w:r>
      <w:r>
        <w:rPr>
          <w:snapToGrid w:val="0"/>
        </w:rPr>
        <w:t>pharmacotherapies for treatment of addiction for in some cases</w:t>
      </w:r>
      <w:r>
        <w:tab/>
      </w:r>
      <w:r>
        <w:fldChar w:fldCharType="begin"/>
      </w:r>
      <w:r>
        <w:instrText xml:space="preserve"> PAGEREF _Toc524795907 \h </w:instrText>
      </w:r>
      <w:r>
        <w:fldChar w:fldCharType="separate"/>
      </w:r>
      <w:r>
        <w:t>118</w:t>
      </w:r>
      <w:r>
        <w:fldChar w:fldCharType="end"/>
      </w:r>
    </w:p>
    <w:p>
      <w:pPr>
        <w:pStyle w:val="TOC8"/>
        <w:rPr>
          <w:rFonts w:asciiTheme="minorHAnsi" w:eastAsiaTheme="minorEastAsia" w:hAnsiTheme="minorHAnsi" w:cstheme="minorBidi"/>
          <w:szCs w:val="22"/>
        </w:rPr>
      </w:pPr>
      <w:r>
        <w:t>51E.</w:t>
      </w:r>
      <w:r>
        <w:tab/>
        <w:t>Drug addicts, pharmacists may dispense drugs of addiction to</w:t>
      </w:r>
      <w:r>
        <w:tab/>
      </w:r>
      <w:r>
        <w:fldChar w:fldCharType="begin"/>
      </w:r>
      <w:r>
        <w:instrText xml:space="preserve"> PAGEREF _Toc524795908 \h </w:instrText>
      </w:r>
      <w:r>
        <w:fldChar w:fldCharType="separate"/>
      </w:r>
      <w:r>
        <w:t>119</w:t>
      </w:r>
      <w:r>
        <w:fldChar w:fldCharType="end"/>
      </w:r>
    </w:p>
    <w:p>
      <w:pPr>
        <w:pStyle w:val="TOC8"/>
        <w:rPr>
          <w:rFonts w:asciiTheme="minorHAnsi" w:eastAsiaTheme="minorEastAsia" w:hAnsiTheme="minorHAnsi" w:cstheme="minorBidi"/>
          <w:szCs w:val="22"/>
        </w:rPr>
      </w:pPr>
      <w:r>
        <w:t>51EA.</w:t>
      </w:r>
      <w:r>
        <w:tab/>
        <w:t>Drug addicts, dispensing pharmacotherapies to at pharmacies</w:t>
      </w:r>
      <w:r>
        <w:tab/>
      </w:r>
      <w:r>
        <w:fldChar w:fldCharType="begin"/>
      </w:r>
      <w:r>
        <w:instrText xml:space="preserve"> PAGEREF _Toc524795909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Sch. 8 poisons not to be prescribed to be used for over 60 days unless authorised by </w:t>
      </w:r>
      <w:r>
        <w:t>CEO</w:t>
      </w:r>
      <w:r>
        <w:tab/>
      </w:r>
      <w:r>
        <w:fldChar w:fldCharType="begin"/>
      </w:r>
      <w:r>
        <w:instrText xml:space="preserve"> PAGEREF _Toc524795911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_Toc524795913 \h </w:instrText>
      </w:r>
      <w:r>
        <w:fldChar w:fldCharType="separate"/>
      </w:r>
      <w:r>
        <w:t>122</w:t>
      </w:r>
      <w:r>
        <w:fldChar w:fldCharType="end"/>
      </w:r>
    </w:p>
    <w:p>
      <w:pPr>
        <w:pStyle w:val="TOC8"/>
        <w:rPr>
          <w:rFonts w:asciiTheme="minorHAnsi" w:eastAsiaTheme="minorEastAsia" w:hAnsiTheme="minorHAnsi" w:cstheme="minorBidi"/>
          <w:szCs w:val="22"/>
        </w:rPr>
      </w:pPr>
      <w:r>
        <w:t>51FB.</w:t>
      </w:r>
      <w:r>
        <w:tab/>
        <w:t>Stimulants, who may supply or prescribe</w:t>
      </w:r>
      <w:r>
        <w:tab/>
      </w:r>
      <w:r>
        <w:fldChar w:fldCharType="begin"/>
      </w:r>
      <w:r>
        <w:instrText xml:space="preserve"> PAGEREF _Toc524795914 \h </w:instrText>
      </w:r>
      <w:r>
        <w:fldChar w:fldCharType="separate"/>
      </w:r>
      <w:r>
        <w:t>123</w:t>
      </w:r>
      <w:r>
        <w:fldChar w:fldCharType="end"/>
      </w:r>
    </w:p>
    <w:p>
      <w:pPr>
        <w:pStyle w:val="TOC8"/>
        <w:rPr>
          <w:rFonts w:asciiTheme="minorHAnsi" w:eastAsiaTheme="minorEastAsia" w:hAnsiTheme="minorHAnsi" w:cstheme="minorBidi"/>
          <w:szCs w:val="22"/>
        </w:rPr>
      </w:pPr>
      <w:r>
        <w:t>51FC.</w:t>
      </w:r>
      <w:r>
        <w:tab/>
        <w:t>Stimulants, manner of supplying or prescribing</w:t>
      </w:r>
      <w:r>
        <w:tab/>
      </w:r>
      <w:r>
        <w:fldChar w:fldCharType="begin"/>
      </w:r>
      <w:r>
        <w:instrText xml:space="preserve"> PAGEREF _Toc524795915 \h </w:instrText>
      </w:r>
      <w:r>
        <w:fldChar w:fldCharType="separate"/>
      </w:r>
      <w:r>
        <w:t>125</w:t>
      </w:r>
      <w:r>
        <w:fldChar w:fldCharType="end"/>
      </w:r>
    </w:p>
    <w:p>
      <w:pPr>
        <w:pStyle w:val="TOC8"/>
        <w:rPr>
          <w:rFonts w:asciiTheme="minorHAnsi" w:eastAsiaTheme="minorEastAsia" w:hAnsiTheme="minorHAnsi" w:cstheme="minorBidi"/>
          <w:szCs w:val="22"/>
        </w:rPr>
      </w:pPr>
      <w:r>
        <w:t>51FD.</w:t>
      </w:r>
      <w:r>
        <w:tab/>
        <w:t>CEO may order supply etc. of stimulant to patient to be terminated or varied</w:t>
      </w:r>
      <w:r>
        <w:tab/>
      </w:r>
      <w:r>
        <w:fldChar w:fldCharType="begin"/>
      </w:r>
      <w:r>
        <w:instrText xml:space="preserve"> PAGEREF _Toc524795916 \h </w:instrText>
      </w:r>
      <w:r>
        <w:fldChar w:fldCharType="separate"/>
      </w:r>
      <w:r>
        <w:t>126</w:t>
      </w:r>
      <w:r>
        <w:fldChar w:fldCharType="end"/>
      </w:r>
    </w:p>
    <w:p>
      <w:pPr>
        <w:pStyle w:val="TOC8"/>
        <w:rPr>
          <w:rFonts w:asciiTheme="minorHAnsi" w:eastAsiaTheme="minorEastAsia" w:hAnsiTheme="minorHAnsi" w:cstheme="minorBidi"/>
          <w:szCs w:val="22"/>
        </w:rPr>
      </w:pPr>
      <w:r>
        <w:t>51FE.</w:t>
      </w:r>
      <w:r>
        <w:tab/>
        <w:t>CEO to be notified of supply etc. of stimulants to patients</w:t>
      </w:r>
      <w:r>
        <w:tab/>
      </w:r>
      <w:r>
        <w:fldChar w:fldCharType="begin"/>
      </w:r>
      <w:r>
        <w:instrText xml:space="preserve"> PAGEREF _Toc524795917 \h </w:instrText>
      </w:r>
      <w:r>
        <w:fldChar w:fldCharType="separate"/>
      </w:r>
      <w:r>
        <w:t>127</w:t>
      </w:r>
      <w:r>
        <w:fldChar w:fldCharType="end"/>
      </w:r>
    </w:p>
    <w:p>
      <w:pPr>
        <w:pStyle w:val="TOC8"/>
        <w:rPr>
          <w:rFonts w:asciiTheme="minorHAnsi" w:eastAsiaTheme="minorEastAsia" w:hAnsiTheme="minorHAnsi" w:cstheme="minorBidi"/>
          <w:szCs w:val="22"/>
        </w:rPr>
      </w:pPr>
      <w:r>
        <w:t>51FF.</w:t>
      </w:r>
      <w:r>
        <w:tab/>
        <w:t>Current prescribers and current clinics for patients</w:t>
      </w:r>
      <w:r>
        <w:tab/>
      </w:r>
      <w:r>
        <w:fldChar w:fldCharType="begin"/>
      </w:r>
      <w:r>
        <w:instrText xml:space="preserve"> PAGEREF _Toc524795918 \h </w:instrText>
      </w:r>
      <w:r>
        <w:fldChar w:fldCharType="separate"/>
      </w:r>
      <w:r>
        <w:t>128</w:t>
      </w:r>
      <w:r>
        <w:fldChar w:fldCharType="end"/>
      </w:r>
    </w:p>
    <w:p>
      <w:pPr>
        <w:pStyle w:val="TOC8"/>
        <w:rPr>
          <w:rFonts w:asciiTheme="minorHAnsi" w:eastAsiaTheme="minorEastAsia" w:hAnsiTheme="minorHAnsi" w:cstheme="minorBidi"/>
          <w:szCs w:val="22"/>
        </w:rPr>
      </w:pPr>
      <w:r>
        <w:t>51FG.</w:t>
      </w:r>
      <w:r>
        <w:tab/>
        <w:t>Authorising medical practitioners to supply etc. stimulants</w:t>
      </w:r>
      <w:r>
        <w:tab/>
      </w:r>
      <w:r>
        <w:fldChar w:fldCharType="begin"/>
      </w:r>
      <w:r>
        <w:instrText xml:space="preserve"> PAGEREF _Toc524795919 \h </w:instrText>
      </w:r>
      <w:r>
        <w:fldChar w:fldCharType="separate"/>
      </w:r>
      <w:r>
        <w:t>129</w:t>
      </w:r>
      <w:r>
        <w:fldChar w:fldCharType="end"/>
      </w:r>
    </w:p>
    <w:p>
      <w:pPr>
        <w:pStyle w:val="TOC8"/>
        <w:rPr>
          <w:rFonts w:asciiTheme="minorHAnsi" w:eastAsiaTheme="minorEastAsia" w:hAnsiTheme="minorHAnsi" w:cstheme="minorBidi"/>
          <w:szCs w:val="22"/>
        </w:rPr>
      </w:pPr>
      <w:r>
        <w:t>51FH.</w:t>
      </w:r>
      <w:r>
        <w:tab/>
        <w:t>Co</w:t>
      </w:r>
      <w:r>
        <w:noBreakHyphen/>
        <w:t>prescribers for patients</w:t>
      </w:r>
      <w:r>
        <w:tab/>
      </w:r>
      <w:r>
        <w:fldChar w:fldCharType="begin"/>
      </w:r>
      <w:r>
        <w:instrText xml:space="preserve"> PAGEREF _Toc524795920 \h </w:instrText>
      </w:r>
      <w:r>
        <w:fldChar w:fldCharType="separate"/>
      </w:r>
      <w:r>
        <w:t>130</w:t>
      </w:r>
      <w:r>
        <w:fldChar w:fldCharType="end"/>
      </w:r>
    </w:p>
    <w:p>
      <w:pPr>
        <w:pStyle w:val="TOC8"/>
        <w:rPr>
          <w:rFonts w:asciiTheme="minorHAnsi" w:eastAsiaTheme="minorEastAsia" w:hAnsiTheme="minorHAnsi" w:cstheme="minorBidi"/>
          <w:szCs w:val="22"/>
        </w:rPr>
      </w:pPr>
      <w:r>
        <w:t>51FJ.</w:t>
      </w:r>
      <w:r>
        <w:tab/>
        <w:t>Clinics, approval of</w:t>
      </w:r>
      <w:r>
        <w:tab/>
      </w:r>
      <w:r>
        <w:fldChar w:fldCharType="begin"/>
      </w:r>
      <w:r>
        <w:instrText xml:space="preserve"> PAGEREF _Toc524795921 \h </w:instrText>
      </w:r>
      <w:r>
        <w:fldChar w:fldCharType="separate"/>
      </w:r>
      <w:r>
        <w:t>131</w:t>
      </w:r>
      <w:r>
        <w:fldChar w:fldCharType="end"/>
      </w:r>
    </w:p>
    <w:p>
      <w:pPr>
        <w:pStyle w:val="TOC8"/>
        <w:rPr>
          <w:rFonts w:asciiTheme="minorHAnsi" w:eastAsiaTheme="minorEastAsia" w:hAnsiTheme="minorHAnsi" w:cstheme="minorBidi"/>
          <w:szCs w:val="22"/>
        </w:rPr>
      </w:pPr>
      <w:r>
        <w:t>51FK.</w:t>
      </w:r>
      <w:r>
        <w:tab/>
        <w:t>Managers of clinics, change of</w:t>
      </w:r>
      <w:r>
        <w:tab/>
      </w:r>
      <w:r>
        <w:fldChar w:fldCharType="begin"/>
      </w:r>
      <w:r>
        <w:instrText xml:space="preserve"> PAGEREF _Toc524795922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Dronabinol, supply of etc.</w:t>
      </w:r>
      <w:r>
        <w:tab/>
      </w:r>
      <w:r>
        <w:fldChar w:fldCharType="begin"/>
      </w:r>
      <w:r>
        <w:instrText xml:space="preserve"> PAGEREF _Toc524795924 \h </w:instrText>
      </w:r>
      <w:r>
        <w:fldChar w:fldCharType="separate"/>
      </w:r>
      <w:r>
        <w:t>133</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Flunitrazepam, supply of etc.</w:t>
      </w:r>
      <w:r>
        <w:tab/>
      </w:r>
      <w:r>
        <w:fldChar w:fldCharType="begin"/>
      </w:r>
      <w:r>
        <w:instrText xml:space="preserve"> PAGEREF _Toc524795925 \h </w:instrText>
      </w:r>
      <w:r>
        <w:fldChar w:fldCharType="separate"/>
      </w:r>
      <w:r>
        <w:t>133</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Prescription of Sch. 8 poisons by dentists, restrictions on</w:t>
      </w:r>
      <w:r>
        <w:tab/>
      </w:r>
      <w:r>
        <w:fldChar w:fldCharType="begin"/>
      </w:r>
      <w:r>
        <w:instrText xml:space="preserve"> PAGEREF _Toc524795926 \h </w:instrText>
      </w:r>
      <w:r>
        <w:fldChar w:fldCharType="separate"/>
      </w:r>
      <w:r>
        <w:t>135</w:t>
      </w:r>
      <w:r>
        <w:fldChar w:fldCharType="end"/>
      </w:r>
    </w:p>
    <w:p>
      <w:pPr>
        <w:pStyle w:val="TOC4"/>
        <w:tabs>
          <w:tab w:val="right" w:leader="dot" w:pos="7077"/>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and supplying drugs of addiction, rules as to</w:t>
      </w:r>
      <w:r>
        <w:tab/>
      </w:r>
      <w:r>
        <w:fldChar w:fldCharType="begin"/>
      </w:r>
      <w:r>
        <w:instrText xml:space="preserve"> PAGEREF _Toc524795928 \h </w:instrText>
      </w:r>
      <w:r>
        <w:fldChar w:fldCharType="separate"/>
      </w:r>
      <w:r>
        <w:t>136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Certain movements of drugs of addiction to be recorded under r. 52B</w:t>
      </w:r>
      <w:r>
        <w:tab/>
      </w:r>
      <w:r>
        <w:fldChar w:fldCharType="begin"/>
      </w:r>
      <w:r>
        <w:instrText xml:space="preserve"> PAGEREF _Toc524795929 \h </w:instrText>
      </w:r>
      <w:r>
        <w:fldChar w:fldCharType="separate"/>
      </w:r>
      <w:r>
        <w:t>143</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How details to be recorded under r. 52(3)(h) and 52A</w:t>
      </w:r>
      <w:r>
        <w:tab/>
      </w:r>
      <w:r>
        <w:fldChar w:fldCharType="begin"/>
      </w:r>
      <w:r>
        <w:instrText xml:space="preserve"> PAGEREF _Toc524795930 \h </w:instrText>
      </w:r>
      <w:r>
        <w:fldChar w:fldCharType="separate"/>
      </w:r>
      <w:r>
        <w:t>143</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Pharmacies to give department information about drugs of addiction each month</w:t>
      </w:r>
      <w:r>
        <w:tab/>
      </w:r>
      <w:r>
        <w:fldChar w:fldCharType="begin"/>
      </w:r>
      <w:r>
        <w:instrText xml:space="preserve"> PAGEREF _Toc524795931 \h </w:instrText>
      </w:r>
      <w:r>
        <w:fldChar w:fldCharType="separate"/>
      </w:r>
      <w:r>
        <w:t>143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Sch. 8 poisons in emergencies</w:t>
      </w:r>
      <w:r>
        <w:tab/>
      </w:r>
      <w:r>
        <w:fldChar w:fldCharType="begin"/>
      </w:r>
      <w:r>
        <w:instrText xml:space="preserve"> PAGEREF _Toc524795932 \h </w:instrText>
      </w:r>
      <w:r>
        <w:fldChar w:fldCharType="separate"/>
      </w:r>
      <w:r>
        <w:t>144</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prescriptions for Sch. 8 poisons</w:t>
      </w:r>
      <w:r>
        <w:tab/>
      </w:r>
      <w:r>
        <w:fldChar w:fldCharType="begin"/>
      </w:r>
      <w:r>
        <w:instrText xml:space="preserve"> PAGEREF _Toc524795933 \h </w:instrText>
      </w:r>
      <w:r>
        <w:fldChar w:fldCharType="separate"/>
      </w:r>
      <w:r>
        <w:t>145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Sch. 8 poisons other than by dispensing</w:t>
      </w:r>
      <w:r>
        <w:tab/>
      </w:r>
      <w:r>
        <w:fldChar w:fldCharType="begin"/>
      </w:r>
      <w:r>
        <w:instrText xml:space="preserve"> PAGEREF _Toc524795934 \h </w:instrText>
      </w:r>
      <w:r>
        <w:fldChar w:fldCharType="separate"/>
      </w:r>
      <w:r>
        <w:t>145</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_Toc524795935 \h </w:instrText>
      </w:r>
      <w:r>
        <w:fldChar w:fldCharType="separate"/>
      </w:r>
      <w:r>
        <w:t>147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carriers protected</w:t>
      </w:r>
      <w:r>
        <w:tab/>
      </w:r>
      <w:r>
        <w:fldChar w:fldCharType="begin"/>
      </w:r>
      <w:r>
        <w:instrText xml:space="preserve"> PAGEREF _Toc524795936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_Toc524795938 \h </w:instrText>
      </w:r>
      <w:r>
        <w:fldChar w:fldCharType="separate"/>
      </w:r>
      <w:r>
        <w:t>147</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Amounts prescribed for r. 56(1) and (2)</w:t>
      </w:r>
      <w:r>
        <w:tab/>
      </w:r>
      <w:r>
        <w:fldChar w:fldCharType="begin"/>
      </w:r>
      <w:r>
        <w:instrText xml:space="preserve"> PAGEREF _Toc524795939 \h </w:instrText>
      </w:r>
      <w:r>
        <w:fldChar w:fldCharType="separate"/>
      </w:r>
      <w:r>
        <w:t>149</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Safes, location of</w:t>
      </w:r>
      <w:r>
        <w:tab/>
      </w:r>
      <w:r>
        <w:fldChar w:fldCharType="begin"/>
      </w:r>
      <w:r>
        <w:instrText xml:space="preserve"> PAGEREF _Toc524795940 \h </w:instrText>
      </w:r>
      <w:r>
        <w:fldChar w:fldCharType="separate"/>
      </w:r>
      <w:r>
        <w:t>150</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Keys to safes, who may possess</w:t>
      </w:r>
      <w:r>
        <w:tab/>
      </w:r>
      <w:r>
        <w:fldChar w:fldCharType="begin"/>
      </w:r>
      <w:r>
        <w:instrText xml:space="preserve"> PAGEREF _Toc524795941 \h </w:instrText>
      </w:r>
      <w:r>
        <w:fldChar w:fldCharType="separate"/>
      </w:r>
      <w:r>
        <w:t>150</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rules as to locking</w:t>
      </w:r>
      <w:r>
        <w:tab/>
      </w:r>
      <w:r>
        <w:fldChar w:fldCharType="begin"/>
      </w:r>
      <w:r>
        <w:instrText xml:space="preserve"> PAGEREF _Toc524795942 \h </w:instrText>
      </w:r>
      <w:r>
        <w:fldChar w:fldCharType="separate"/>
      </w:r>
      <w:r>
        <w:t>150</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at pharmacy may store Sch. 8 poison in poisons cupboard</w:t>
      </w:r>
      <w:r>
        <w:tab/>
      </w:r>
      <w:r>
        <w:fldChar w:fldCharType="begin"/>
      </w:r>
      <w:r>
        <w:instrText xml:space="preserve"> PAGEREF _Toc524795943 \h </w:instrText>
      </w:r>
      <w:r>
        <w:fldChar w:fldCharType="separate"/>
      </w:r>
      <w:r>
        <w:t>151</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Poisons cupboards etc. of pharmacists, security of</w:t>
      </w:r>
      <w:r>
        <w:tab/>
      </w:r>
      <w:r>
        <w:fldChar w:fldCharType="begin"/>
      </w:r>
      <w:r>
        <w:instrText xml:space="preserve"> PAGEREF _Toc524795944 \h </w:instrText>
      </w:r>
      <w:r>
        <w:fldChar w:fldCharType="separate"/>
      </w:r>
      <w:r>
        <w:t>151</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Sch. 8 poisons in hospital wards, storage of</w:t>
      </w:r>
      <w:r>
        <w:tab/>
      </w:r>
      <w:r>
        <w:fldChar w:fldCharType="begin"/>
      </w:r>
      <w:r>
        <w:instrText xml:space="preserve"> PAGEREF _Toc524795945 \h </w:instrText>
      </w:r>
      <w:r>
        <w:fldChar w:fldCharType="separate"/>
      </w:r>
      <w:r>
        <w:t>152</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Sch. 8 poisons cupboards in hospital wards, security of</w:t>
      </w:r>
      <w:r>
        <w:tab/>
      </w:r>
      <w:r>
        <w:fldChar w:fldCharType="begin"/>
      </w:r>
      <w:r>
        <w:instrText xml:space="preserve"> PAGEREF _Toc524795946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 requirements</w:t>
      </w:r>
      <w:r>
        <w:tab/>
      </w:r>
      <w:r>
        <w:fldChar w:fldCharType="begin"/>
      </w:r>
      <w:r>
        <w:instrText xml:space="preserve"> PAGEREF _Toc524795948 \h </w:instrText>
      </w:r>
      <w:r>
        <w:fldChar w:fldCharType="separate"/>
      </w:r>
      <w:r>
        <w:t>153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Drugs of addiction not to be prescribed etc. merely for purposes of addiction</w:t>
      </w:r>
      <w:r>
        <w:tab/>
      </w:r>
      <w:r>
        <w:fldChar w:fldCharType="begin"/>
      </w:r>
      <w:r>
        <w:instrText xml:space="preserve"> PAGEREF _Toc524795949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 xml:space="preserve">CEO’s decision cancelling etc. licences etc. may be published in </w:t>
      </w:r>
      <w:r>
        <w:rPr>
          <w:i/>
          <w:snapToGrid w:val="0"/>
        </w:rPr>
        <w:t>Gazette</w:t>
      </w:r>
      <w:r>
        <w:tab/>
      </w:r>
      <w:r>
        <w:fldChar w:fldCharType="begin"/>
      </w:r>
      <w:r>
        <w:instrText xml:space="preserve"> PAGEREF _Toc524795951 \h </w:instrText>
      </w:r>
      <w:r>
        <w:fldChar w:fldCharType="separate"/>
      </w:r>
      <w:r>
        <w:t>155</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drug for another</w:t>
      </w:r>
      <w:r>
        <w:tab/>
      </w:r>
      <w:r>
        <w:fldChar w:fldCharType="begin"/>
      </w:r>
      <w:r>
        <w:instrText xml:space="preserve"> PAGEREF _Toc524795952 \h </w:instrText>
      </w:r>
      <w:r>
        <w:fldChar w:fldCharType="separate"/>
      </w:r>
      <w:r>
        <w:t>155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Warrant, form prescribed (Act s. 55A)</w:t>
      </w:r>
      <w:r>
        <w:tab/>
      </w:r>
      <w:r>
        <w:fldChar w:fldCharType="begin"/>
      </w:r>
      <w:r>
        <w:instrText xml:space="preserve"> PAGEREF _Toc524795953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_Toc524795956 \h </w:instrText>
      </w:r>
      <w:r>
        <w:fldChar w:fldCharType="separate"/>
      </w:r>
      <w:r>
        <w:t>157</w:t>
      </w:r>
      <w:r>
        <w:fldChar w:fldCharType="end"/>
      </w:r>
    </w:p>
    <w:p>
      <w:pPr>
        <w:pStyle w:val="TOC8"/>
        <w:rPr>
          <w:rFonts w:asciiTheme="minorHAnsi" w:eastAsiaTheme="minorEastAsia" w:hAnsiTheme="minorHAnsi" w:cstheme="minorBidi"/>
          <w:szCs w:val="22"/>
        </w:rPr>
      </w:pPr>
      <w:r>
        <w:t>67.</w:t>
      </w:r>
      <w:r>
        <w:tab/>
        <w:t>Authorisation to prescribe drugs of addiction to drug addicts</w:t>
      </w:r>
      <w:r>
        <w:tab/>
      </w:r>
      <w:r>
        <w:fldChar w:fldCharType="begin"/>
      </w:r>
      <w:r>
        <w:instrText xml:space="preserve"> PAGEREF _Toc524795957 \h </w:instrText>
      </w:r>
      <w:r>
        <w:fldChar w:fldCharType="separate"/>
      </w:r>
      <w:r>
        <w:t>157</w:t>
      </w:r>
      <w:r>
        <w:fldChar w:fldCharType="end"/>
      </w:r>
    </w:p>
    <w:p>
      <w:pPr>
        <w:pStyle w:val="TOC8"/>
        <w:rPr>
          <w:rFonts w:asciiTheme="minorHAnsi" w:eastAsiaTheme="minorEastAsia" w:hAnsiTheme="minorHAnsi" w:cstheme="minorBidi"/>
          <w:szCs w:val="22"/>
        </w:rPr>
      </w:pPr>
      <w:r>
        <w:t>68.</w:t>
      </w:r>
      <w:r>
        <w:tab/>
        <w:t>Authorisation to prescribe pharmacotherapies to drug addicts</w:t>
      </w:r>
      <w:r>
        <w:tab/>
      </w:r>
      <w:r>
        <w:fldChar w:fldCharType="begin"/>
      </w:r>
      <w:r>
        <w:instrText xml:space="preserve"> PAGEREF _Toc524795958 \h </w:instrText>
      </w:r>
      <w:r>
        <w:fldChar w:fldCharType="separate"/>
      </w:r>
      <w:r>
        <w:t>158</w:t>
      </w:r>
      <w:r>
        <w:fldChar w:fldCharType="end"/>
      </w:r>
    </w:p>
    <w:p>
      <w:pPr>
        <w:pStyle w:val="TOC8"/>
        <w:rPr>
          <w:rFonts w:asciiTheme="minorHAnsi" w:eastAsiaTheme="minorEastAsia" w:hAnsiTheme="minorHAnsi" w:cstheme="minorBidi"/>
          <w:szCs w:val="22"/>
        </w:rPr>
      </w:pPr>
      <w:r>
        <w:t>69.</w:t>
      </w:r>
      <w:r>
        <w:tab/>
        <w:t>Prescriptions issued before 22 Apr 2009</w:t>
      </w:r>
      <w:r>
        <w:tab/>
      </w:r>
      <w:r>
        <w:fldChar w:fldCharType="begin"/>
      </w:r>
      <w:r>
        <w:instrText xml:space="preserve"> PAGEREF _Toc524795959 \h </w:instrText>
      </w:r>
      <w:r>
        <w:fldChar w:fldCharType="separate"/>
      </w:r>
      <w:r>
        <w:t>158</w:t>
      </w:r>
      <w:r>
        <w:fldChar w:fldCharType="end"/>
      </w:r>
    </w:p>
    <w:p>
      <w:pPr>
        <w:pStyle w:val="TOC8"/>
        <w:rPr>
          <w:rFonts w:asciiTheme="minorHAnsi" w:eastAsiaTheme="minorEastAsia" w:hAnsiTheme="minorHAnsi" w:cstheme="minorBidi"/>
          <w:szCs w:val="22"/>
        </w:rPr>
      </w:pPr>
      <w:r>
        <w:t>70.</w:t>
      </w:r>
      <w:r>
        <w:tab/>
        <w:t>Operation of r. 51B for pharmacies</w:t>
      </w:r>
      <w:r>
        <w:tab/>
      </w:r>
      <w:r>
        <w:fldChar w:fldCharType="begin"/>
      </w:r>
      <w:r>
        <w:instrText xml:space="preserve"> PAGEREF _Toc524795960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Appendix A</w:t>
      </w:r>
    </w:p>
    <w:p>
      <w:pPr>
        <w:pStyle w:val="TOC2"/>
        <w:tabs>
          <w:tab w:val="right" w:leader="dot" w:pos="7077"/>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77"/>
        </w:tabs>
        <w:rPr>
          <w:rFonts w:asciiTheme="minorHAnsi" w:eastAsiaTheme="minorEastAsia" w:hAnsiTheme="minorHAnsi" w:cstheme="minorBidi"/>
          <w:b w:val="0"/>
          <w:sz w:val="22"/>
          <w:szCs w:val="22"/>
        </w:rPr>
      </w:pPr>
      <w:r>
        <w:t>Appendix G</w:t>
      </w:r>
    </w:p>
    <w:p>
      <w:pPr>
        <w:pStyle w:val="TOC2"/>
        <w:tabs>
          <w:tab w:val="right" w:leader="dot" w:pos="7077"/>
        </w:tabs>
        <w:rPr>
          <w:rFonts w:asciiTheme="minorHAnsi" w:eastAsiaTheme="minorEastAsia" w:hAnsiTheme="minorHAnsi" w:cstheme="minorBidi"/>
          <w:b w:val="0"/>
          <w:sz w:val="22"/>
          <w:szCs w:val="22"/>
        </w:rPr>
      </w:pPr>
      <w:r>
        <w:t>Appendix H</w:t>
      </w:r>
    </w:p>
    <w:p>
      <w:pPr>
        <w:pStyle w:val="TOC2"/>
        <w:tabs>
          <w:tab w:val="right" w:leader="dot" w:pos="7077"/>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77"/>
        </w:tabs>
        <w:rPr>
          <w:rFonts w:asciiTheme="minorHAnsi" w:eastAsiaTheme="minorEastAsia" w:hAnsiTheme="minorHAnsi" w:cstheme="minorBidi"/>
          <w:b w:val="0"/>
          <w:sz w:val="22"/>
          <w:szCs w:val="22"/>
        </w:rPr>
      </w:pPr>
      <w:r>
        <w:t>Appendix J</w:t>
      </w:r>
    </w:p>
    <w:p>
      <w:pPr>
        <w:pStyle w:val="TOC2"/>
        <w:tabs>
          <w:tab w:val="right" w:leader="dot" w:pos="7077"/>
        </w:tabs>
        <w:rPr>
          <w:rFonts w:asciiTheme="minorHAnsi" w:eastAsiaTheme="minorEastAsia" w:hAnsiTheme="minorHAnsi" w:cstheme="minorBidi"/>
          <w:b w:val="0"/>
          <w:sz w:val="22"/>
          <w:szCs w:val="22"/>
        </w:rPr>
      </w:pPr>
      <w:r>
        <w:t>Schedule 3 poison sales to be recorded</w:t>
      </w:r>
    </w:p>
    <w:p>
      <w:pPr>
        <w:pStyle w:val="TOC2"/>
        <w:tabs>
          <w:tab w:val="right" w:leader="dot" w:pos="7077"/>
        </w:tabs>
        <w:rPr>
          <w:rFonts w:asciiTheme="minorHAnsi" w:eastAsiaTheme="minorEastAsia" w:hAnsiTheme="minorHAnsi" w:cstheme="minorBidi"/>
          <w:b w:val="0"/>
          <w:sz w:val="22"/>
          <w:szCs w:val="22"/>
        </w:rPr>
      </w:pPr>
      <w:r>
        <w:t>Appendix K</w:t>
      </w:r>
    </w:p>
    <w:p>
      <w:pPr>
        <w:pStyle w:val="TOC2"/>
        <w:tabs>
          <w:tab w:val="right" w:leader="dot" w:pos="7077"/>
        </w:tabs>
        <w:rPr>
          <w:rFonts w:asciiTheme="minorHAnsi" w:eastAsiaTheme="minorEastAsia" w:hAnsiTheme="minorHAnsi" w:cstheme="minorBidi"/>
          <w:b w:val="0"/>
          <w:sz w:val="22"/>
          <w:szCs w:val="22"/>
        </w:rPr>
      </w:pPr>
      <w:r>
        <w:t>Criteria for electronic prescribing systems</w:t>
      </w:r>
    </w:p>
    <w:p>
      <w:pPr>
        <w:pStyle w:val="TOC2"/>
        <w:tabs>
          <w:tab w:val="right" w:leader="dot" w:pos="7077"/>
        </w:tabs>
        <w:rPr>
          <w:rFonts w:asciiTheme="minorHAnsi" w:eastAsiaTheme="minorEastAsia" w:hAnsiTheme="minorHAnsi" w:cstheme="minorBidi"/>
          <w:b w:val="0"/>
          <w:sz w:val="22"/>
          <w:szCs w:val="22"/>
        </w:rPr>
      </w:pPr>
      <w:r>
        <w:t>Appendix L</w:t>
      </w:r>
    </w:p>
    <w:p>
      <w:pPr>
        <w:pStyle w:val="TOC2"/>
        <w:tabs>
          <w:tab w:val="right" w:leader="dot" w:pos="7077"/>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77"/>
        </w:tabs>
        <w:rPr>
          <w:rFonts w:asciiTheme="minorHAnsi" w:eastAsiaTheme="minorEastAsia" w:hAnsiTheme="minorHAnsi" w:cstheme="minorBidi"/>
          <w:b w:val="0"/>
          <w:sz w:val="22"/>
          <w:szCs w:val="22"/>
        </w:rPr>
      </w:pPr>
      <w:r>
        <w:t>Appendix M</w:t>
      </w:r>
    </w:p>
    <w:p>
      <w:pPr>
        <w:pStyle w:val="TOC2"/>
        <w:tabs>
          <w:tab w:val="right" w:leader="dot" w:pos="7077"/>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 requirements for</w:t>
      </w:r>
      <w:r>
        <w:tab/>
      </w:r>
      <w:r>
        <w:fldChar w:fldCharType="begin"/>
      </w:r>
      <w:r>
        <w:instrText xml:space="preserve"> PAGEREF _Toc524795974 \h </w:instrText>
      </w:r>
      <w:r>
        <w:fldChar w:fldCharType="separate"/>
      </w:r>
      <w:r>
        <w:t>183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_Toc524795975 \h </w:instrText>
      </w:r>
      <w:r>
        <w:fldChar w:fldCharType="separate"/>
      </w:r>
      <w:r>
        <w:t>184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_Toc524795977 \h </w:instrText>
      </w:r>
      <w:r>
        <w:fldChar w:fldCharType="separate"/>
      </w:r>
      <w:r>
        <w:t>185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3" w:name="_Toc406084158"/>
      <w:bookmarkStart w:id="4" w:name="_Toc406492345"/>
      <w:bookmarkStart w:id="5" w:name="_Toc414629488"/>
      <w:bookmarkStart w:id="6" w:name="_Toc414629715"/>
      <w:bookmarkStart w:id="7" w:name="_Toc414871574"/>
      <w:bookmarkStart w:id="8" w:name="_Toc414873340"/>
      <w:bookmarkStart w:id="9" w:name="_Toc418582382"/>
      <w:bookmarkStart w:id="10" w:name="_Toc423426429"/>
      <w:bookmarkStart w:id="11" w:name="_Toc423426830"/>
      <w:bookmarkStart w:id="12" w:name="_Toc524795746"/>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Footnoteheading"/>
      </w:pPr>
      <w:r>
        <w:tab/>
        <w:t>[Heading inserted in Gazette 12 Aug 2003 p. 3664.]</w:t>
      </w:r>
    </w:p>
    <w:p>
      <w:pPr>
        <w:pStyle w:val="Footnoteheading"/>
      </w:pPr>
      <w:r>
        <w:tab/>
        <w:t>[Heading deleted in Gazette 12 Aug 2003 p. 3663.]</w:t>
      </w:r>
    </w:p>
    <w:p>
      <w:pPr>
        <w:pStyle w:val="Heading5"/>
        <w:rPr>
          <w:snapToGrid w:val="0"/>
        </w:rPr>
      </w:pPr>
      <w:bookmarkStart w:id="13" w:name="_Toc406492346"/>
      <w:bookmarkStart w:id="14" w:name="_Toc524795747"/>
      <w:r>
        <w:rPr>
          <w:rStyle w:val="CharSectno"/>
        </w:rPr>
        <w:t>1</w:t>
      </w:r>
      <w:r>
        <w:rPr>
          <w:snapToGrid w:val="0"/>
        </w:rPr>
        <w:t>.</w:t>
      </w:r>
      <w:r>
        <w:rPr>
          <w:snapToGrid w:val="0"/>
        </w:rPr>
        <w:tab/>
        <w:t>Citation</w:t>
      </w:r>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Footnoteheading"/>
      </w:pPr>
      <w:r>
        <w:tab/>
        <w:t>[Heading deleted in Gazette 12 Aug 2003 p. 3663.]</w:t>
      </w:r>
    </w:p>
    <w:p>
      <w:pPr>
        <w:pStyle w:val="Heading5"/>
        <w:rPr>
          <w:snapToGrid w:val="0"/>
        </w:rPr>
      </w:pPr>
      <w:bookmarkStart w:id="15" w:name="_Toc406492347"/>
      <w:bookmarkStart w:id="16" w:name="_Toc524795748"/>
      <w:r>
        <w:rPr>
          <w:rStyle w:val="CharSectno"/>
        </w:rPr>
        <w:t>2</w:t>
      </w:r>
      <w:r>
        <w:rPr>
          <w:snapToGrid w:val="0"/>
        </w:rPr>
        <w:t>.</w:t>
      </w:r>
      <w:r>
        <w:rPr>
          <w:snapToGrid w:val="0"/>
        </w:rPr>
        <w:tab/>
        <w:t>Terms used</w:t>
      </w:r>
      <w:bookmarkEnd w:id="15"/>
      <w:bookmarkEnd w:id="16"/>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Act</w:t>
      </w:r>
      <w:r>
        <w:t xml:space="preserve"> means the </w:t>
      </w:r>
      <w:r>
        <w:rPr>
          <w:i/>
        </w:rPr>
        <w:t>Poisons Act 1964</w:t>
      </w:r>
      <w:r>
        <w:t>;</w:t>
      </w:r>
    </w:p>
    <w:p>
      <w:pPr>
        <w:pStyle w:val="Defstart"/>
      </w:pPr>
      <w:r>
        <w:rPr>
          <w:i/>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pPr>
      <w:r>
        <w:tab/>
      </w:r>
      <w:r>
        <w:rPr>
          <w:rStyle w:val="CharDefText"/>
        </w:rPr>
        <w:t>authorised health practitioner</w:t>
      </w:r>
      <w:r>
        <w:t>, in relation to a scheduled medicine or class of scheduled medicine, means a person who is authorised under Part 2A to administer, possess, prescribe, sell, supply or use the scheduled medicine or class of scheduled medicine;</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pPr>
      <w:r>
        <w:tab/>
      </w:r>
      <w:r>
        <w:rPr>
          <w:rStyle w:val="CharDefText"/>
        </w:rPr>
        <w:t>dermatologist</w:t>
      </w:r>
      <w:r>
        <w:t xml:space="preserve"> means a person whose name is contained in the register of specialist dermatologists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tab/>
      </w:r>
      <w:r>
        <w:rPr>
          <w:rStyle w:val="CharDefText"/>
        </w:rPr>
        <w:t>endorsed midwife</w:t>
      </w:r>
      <w:r>
        <w:t xml:space="preserve"> means a person registered under the </w:t>
      </w:r>
      <w:r>
        <w:rPr>
          <w:i/>
        </w:rPr>
        <w:t xml:space="preserve">Health Practitioner Regulation National Law (Western Australia) </w:t>
      </w:r>
      <w:r>
        <w:t>whose name is entered on the Register of Midwives kept under that Law and whose registration is endorsed under section 94 of that Law;</w:t>
      </w:r>
    </w:p>
    <w:p>
      <w:pPr>
        <w:pStyle w:val="Defstart"/>
        <w:spacing w:before="70"/>
      </w:pPr>
      <w:r>
        <w:tab/>
      </w:r>
      <w:r>
        <w:rPr>
          <w:rStyle w:val="CharDefText"/>
        </w:rPr>
        <w:t>endorsed 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optometry profession whose registration is endorsed under section 94 of that Law;</w:t>
      </w:r>
    </w:p>
    <w:p>
      <w:pPr>
        <w:pStyle w:val="Defstart"/>
        <w:spacing w:before="70"/>
      </w:pPr>
      <w:r>
        <w:tab/>
      </w:r>
      <w:r>
        <w:rPr>
          <w:rStyle w:val="CharDefText"/>
        </w:rPr>
        <w:t>endorsed 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podiatry profession whose registration is endorsed under section 94 of that Law;</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spacing w:before="70"/>
      </w:pPr>
      <w:r>
        <w:tab/>
      </w:r>
      <w:r>
        <w:rPr>
          <w:rStyle w:val="CharDefText"/>
        </w:rPr>
        <w:t>gynaecologist</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spacing w:before="70"/>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spacing w:before="70"/>
      </w:pPr>
      <w:r>
        <w:rPr>
          <w:b/>
        </w:rPr>
        <w:tab/>
      </w:r>
      <w:r>
        <w:rPr>
          <w:rStyle w:val="CharDefText"/>
        </w:rPr>
        <w:t>manufacture</w:t>
      </w:r>
      <w:r>
        <w:t xml:space="preserve"> includes the processes of packing and repacking, refining manipulating and mixing any poison;</w:t>
      </w:r>
    </w:p>
    <w:p>
      <w:pPr>
        <w:pStyle w:val="Defstart"/>
        <w:spacing w:before="70"/>
      </w:pPr>
      <w:r>
        <w:rPr>
          <w:b/>
        </w:rPr>
        <w:tab/>
      </w:r>
      <w:r>
        <w:rPr>
          <w:rStyle w:val="CharDefText"/>
        </w:rPr>
        <w:t>manufacturer</w:t>
      </w:r>
      <w:r>
        <w:t xml:space="preserve"> means a person who manufactures, produces, or packs a poison;</w:t>
      </w:r>
    </w:p>
    <w:p>
      <w:pPr>
        <w:pStyle w:val="Defstart"/>
        <w:spacing w:before="70"/>
      </w:pPr>
      <w:r>
        <w:tab/>
      </w:r>
      <w:r>
        <w:rPr>
          <w:rStyle w:val="CharDefText"/>
        </w:rPr>
        <w:t>obstetrician</w:t>
      </w:r>
      <w:r>
        <w:t xml:space="preserve"> means a person whose name is contained in the register of specialist obstetricians and gynaecologists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optometrist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 xml:space="preserve">) </w:t>
      </w:r>
      <w:r>
        <w:t>in the optometry profession;</w:t>
      </w:r>
    </w:p>
    <w:p>
      <w:pPr>
        <w:pStyle w:val="Defstart"/>
        <w:spacing w:before="70"/>
      </w:pPr>
      <w:r>
        <w:rPr>
          <w:b/>
        </w:rPr>
        <w:tab/>
      </w:r>
      <w:r>
        <w:rPr>
          <w:rStyle w:val="CharDefText"/>
        </w:rPr>
        <w:t>permit</w:t>
      </w:r>
      <w:r>
        <w:t xml:space="preserve"> means a permit granted pursuant to the Act;</w:t>
      </w:r>
    </w:p>
    <w:p>
      <w:pPr>
        <w:pStyle w:val="Defstart"/>
        <w:spacing w:before="70"/>
      </w:pPr>
      <w:r>
        <w:rPr>
          <w:b/>
        </w:rPr>
        <w:tab/>
      </w:r>
      <w:r>
        <w:rPr>
          <w:rStyle w:val="CharDefText"/>
        </w:rPr>
        <w:t>personal supervision</w:t>
      </w:r>
      <w:r>
        <w:t xml:space="preserve"> means close and continuous control requiring the actual presence of the person exercising the supervision;</w:t>
      </w:r>
    </w:p>
    <w:p>
      <w:pPr>
        <w:pStyle w:val="Defstart"/>
        <w:spacing w:before="70"/>
      </w:pPr>
      <w:r>
        <w:tab/>
      </w:r>
      <w:r>
        <w:rPr>
          <w:rStyle w:val="CharDefText"/>
        </w:rPr>
        <w:t>pharmacist’s licence</w:t>
      </w:r>
      <w:r>
        <w:t xml:space="preserve"> means a licence to sell or supply poison referred to in regulation 5;</w:t>
      </w:r>
    </w:p>
    <w:p>
      <w:pPr>
        <w:pStyle w:val="Defstart"/>
        <w:spacing w:before="70"/>
      </w:pPr>
      <w:r>
        <w:tab/>
      </w:r>
      <w:r>
        <w:rPr>
          <w:rStyle w:val="CharDefText"/>
        </w:rPr>
        <w:t>pharmacy</w:t>
      </w:r>
      <w:r>
        <w:t xml:space="preserve"> means a registered pharmacy as defined in the </w:t>
      </w:r>
      <w:r>
        <w:rPr>
          <w:i/>
          <w:iCs/>
        </w:rPr>
        <w:t xml:space="preserve">Pharmacy Act 2010 </w:t>
      </w:r>
      <w:r>
        <w:t>section 3(1);</w:t>
      </w:r>
    </w:p>
    <w:p>
      <w:pPr>
        <w:pStyle w:val="Defstart"/>
        <w:spacing w:before="70"/>
      </w:pPr>
      <w:r>
        <w:tab/>
      </w:r>
      <w:r>
        <w:rPr>
          <w:rStyle w:val="CharDefText"/>
        </w:rPr>
        <w:t>physician</w:t>
      </w:r>
      <w:r>
        <w:t xml:space="preserve"> means a person whose name is contained in the register of specialist physicians kept by the Medical Board of Australia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section 223;</w:t>
      </w:r>
    </w:p>
    <w:p>
      <w:pPr>
        <w:pStyle w:val="Defstart"/>
        <w:spacing w:before="70"/>
      </w:pPr>
      <w:r>
        <w:tab/>
      </w:r>
      <w:r>
        <w:rPr>
          <w:rStyle w:val="CharDefText"/>
        </w:rPr>
        <w:t>podiatrist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podiatry profession;</w:t>
      </w:r>
    </w:p>
    <w:p>
      <w:pPr>
        <w:pStyle w:val="Defstart"/>
        <w:spacing w:before="70"/>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spacing w:before="70"/>
      </w:pPr>
      <w:r>
        <w:rPr>
          <w:b/>
        </w:rPr>
        <w:tab/>
      </w:r>
      <w:r>
        <w:rPr>
          <w:rStyle w:val="CharDefText"/>
        </w:rPr>
        <w:t>prescribe</w:t>
      </w:r>
      <w:r>
        <w:t>, in relation to a drug of addiction, has a meaning affected by regulation 42A;</w:t>
      </w:r>
    </w:p>
    <w:p>
      <w:pPr>
        <w:pStyle w:val="Defstart"/>
        <w:spacing w:before="70"/>
      </w:pPr>
      <w:r>
        <w:tab/>
      </w:r>
      <w:r>
        <w:rPr>
          <w:rStyle w:val="CharDefText"/>
        </w:rPr>
        <w:t>psychiatrist</w:t>
      </w:r>
      <w:r>
        <w:t xml:space="preserve"> has the meaning given in the </w:t>
      </w:r>
      <w:r>
        <w:rPr>
          <w:i/>
        </w:rPr>
        <w:t>Mental Health Act 1996</w:t>
      </w:r>
      <w:r>
        <w:t xml:space="preserve"> section 3;</w:t>
      </w:r>
    </w:p>
    <w:p>
      <w:pPr>
        <w:pStyle w:val="Defstart"/>
        <w:spacing w:before="70"/>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keepNext/>
        <w:spacing w:before="70"/>
      </w:pPr>
      <w:r>
        <w:rPr>
          <w:b/>
        </w:rPr>
        <w:tab/>
      </w:r>
      <w:r>
        <w:rPr>
          <w:rStyle w:val="CharDefText"/>
        </w:rPr>
        <w:t>qualified person</w:t>
      </w:r>
      <w:r>
        <w:t xml:space="preserve"> means — </w:t>
      </w:r>
    </w:p>
    <w:p>
      <w:pPr>
        <w:pStyle w:val="Defpara"/>
        <w:spacing w:before="70"/>
      </w:pPr>
      <w:r>
        <w:tab/>
        <w:t>(a)</w:t>
      </w:r>
      <w:r>
        <w:tab/>
        <w:t>a medical practitioner, pharmacist, dentist, veterinary surgeon; or</w:t>
      </w:r>
    </w:p>
    <w:p>
      <w:pPr>
        <w:pStyle w:val="Defpara"/>
      </w:pPr>
      <w:r>
        <w:tab/>
        <w:t>(b)</w:t>
      </w:r>
      <w:r>
        <w:tab/>
        <w:t xml:space="preserve">a person who is the holder of a degree approved by the CEO conferred by a University of the </w:t>
      </w:r>
      <w:smartTag w:uri="urn:schemas-microsoft-com:office:smarttags" w:element="place">
        <w:r>
          <w:t>British Commonwealth</w:t>
        </w:r>
      </w:smartTag>
      <w:r>
        <w:t>; or</w:t>
      </w:r>
    </w:p>
    <w:p>
      <w:pPr>
        <w:pStyle w:val="Defpara"/>
        <w:keepNext/>
      </w:pPr>
      <w:r>
        <w:tab/>
        <w:t>(c)</w:t>
      </w:r>
      <w:r>
        <w:tab/>
        <w:t>a person who is eligible to be — </w:t>
      </w:r>
    </w:p>
    <w:p>
      <w:pPr>
        <w:pStyle w:val="Defsubpara"/>
      </w:pPr>
      <w:r>
        <w:tab/>
        <w:t>(i)</w:t>
      </w:r>
      <w:r>
        <w:tab/>
        <w:t>a Fellow or Associate of the Royal Australian Chemical Institute; or</w:t>
      </w:r>
    </w:p>
    <w:p>
      <w:pPr>
        <w:pStyle w:val="Defsubpara"/>
        <w:keepNext/>
      </w:pPr>
      <w:r>
        <w:tab/>
        <w:t>(ii)</w:t>
      </w:r>
      <w: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the Register of Midwives kept under that Law;</w:t>
      </w:r>
    </w:p>
    <w:p>
      <w:pPr>
        <w:pStyle w:val="Defstart"/>
      </w:pPr>
      <w:r>
        <w:tab/>
      </w:r>
      <w:r>
        <w:rPr>
          <w:rStyle w:val="CharDefText"/>
        </w:rPr>
        <w:t>registered nurse</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nurse practitioner, dentist or endorsed podiatrist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keepNext/>
      </w:pPr>
      <w:r>
        <w:rPr>
          <w:b/>
        </w:rPr>
        <w:tab/>
      </w:r>
      <w:r>
        <w:rPr>
          <w:rStyle w:val="CharDefText"/>
        </w:rPr>
        <w:t>SUSMP</w:t>
      </w:r>
      <w:r>
        <w:t xml:space="preserve"> has the meaning given in clause 1(1) of Appendix A to the Act.</w:t>
      </w:r>
    </w:p>
    <w:p>
      <w:pPr>
        <w:pStyle w:val="Subsection"/>
        <w:spacing w:after="40"/>
      </w:pPr>
      <w:r>
        <w:tab/>
      </w:r>
      <w:r>
        <w:rPr>
          <w:snapToGrid w:val="0"/>
        </w:rPr>
        <w:t>(2)</w:t>
      </w:r>
      <w:r>
        <w:rPr>
          <w:snapToGrid w:val="0"/>
        </w:rPr>
        <w:tab/>
      </w:r>
      <w:r>
        <w:t xml:space="preserve">A </w:t>
      </w:r>
      <w:r>
        <w:rPr>
          <w:snapToGrid w:val="0"/>
        </w:rPr>
        <w:t>prescription is issued electronically if it is issued under regulation</w:t>
      </w:r>
      <w:r>
        <w:t> 37(1A) or 51(1A).</w:t>
      </w:r>
    </w:p>
    <w:p>
      <w:pPr>
        <w:pStyle w:val="Footnotesection"/>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17; 11 Apr 1997 p. 1829; 27 Nov 1998 p. 6343; 12 Aug 2003 p. 3658; 15 Nov 2005 p. 5603; 15 Dec 2006 p. 5630; 7 Nov 2008 p. 4805; 12 Jun 2009 p. 2109; 26 Mar 2010 p. 1146; 27 Apr 2010 p. 1583; 1 Oct 2010 p. 5078 and 5079</w:t>
      </w:r>
      <w:r>
        <w:noBreakHyphen/>
        <w:t>80; 22 Oct 2010 p. 5218; 19 Nov 2010 p. 5711; 1 Apr 2011 p. 1182</w:t>
      </w:r>
      <w:r>
        <w:noBreakHyphen/>
        <w:t xml:space="preserve">3; 1 Jun 2012 p. 2305-6; amended by Act No. 9 of 2003 s. 41; No. 52 of 2012 s. 7.] </w:t>
      </w:r>
    </w:p>
    <w:p>
      <w:pPr>
        <w:pStyle w:val="Heading5"/>
      </w:pPr>
      <w:bookmarkStart w:id="17" w:name="_Toc406492348"/>
      <w:bookmarkStart w:id="18" w:name="_Toc524795749"/>
      <w:r>
        <w:rPr>
          <w:rStyle w:val="CharSectno"/>
        </w:rPr>
        <w:t>2AAA</w:t>
      </w:r>
      <w:r>
        <w:t>.</w:t>
      </w:r>
      <w:r>
        <w:tab/>
        <w:t>Notes not part of regulations</w:t>
      </w:r>
      <w:bookmarkEnd w:id="17"/>
      <w:bookmarkEnd w:id="18"/>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19" w:name="_Toc406492349"/>
      <w:bookmarkStart w:id="20" w:name="_Toc524795750"/>
      <w:r>
        <w:rPr>
          <w:rStyle w:val="CharSectno"/>
        </w:rPr>
        <w:t>2AA</w:t>
      </w:r>
      <w:r>
        <w:rPr>
          <w:snapToGrid w:val="0"/>
        </w:rPr>
        <w:t>.</w:t>
      </w:r>
      <w:r>
        <w:rPr>
          <w:snapToGrid w:val="0"/>
        </w:rPr>
        <w:tab/>
        <w:t>Office prescribed (Act s. 64B)</w:t>
      </w:r>
      <w:bookmarkEnd w:id="19"/>
      <w:bookmarkEnd w:id="20"/>
      <w:r>
        <w:rPr>
          <w:snapToGrid w:val="0"/>
        </w:rPr>
        <w:t xml:space="preserve"> </w:t>
      </w:r>
    </w:p>
    <w:p>
      <w:pPr>
        <w:pStyle w:val="Subsection"/>
        <w:rPr>
          <w:snapToGrid w:val="0"/>
        </w:rPr>
      </w:pPr>
      <w:r>
        <w:rPr>
          <w:snapToGrid w:val="0"/>
        </w:rPr>
        <w:tab/>
      </w:r>
      <w:r>
        <w:rPr>
          <w:snapToGrid w:val="0"/>
        </w:rPr>
        <w:tab/>
        <w:t xml:space="preserve">For the purposes of section 64B of the Act, the office of the </w:t>
      </w:r>
      <w:r>
        <w:t xml:space="preserve">Pharmaceutical Services Branch of the department, located at </w:t>
      </w:r>
      <w:smartTag w:uri="urn:schemas-microsoft-com:office:smarttags" w:element="address">
        <w:smartTag w:uri="urn:schemas-microsoft-com:office:smarttags" w:element="Street">
          <w:r>
            <w:t>189 Royal Street, East</w:t>
          </w:r>
        </w:smartTag>
        <w:r>
          <w:t xml:space="preserve"> </w:t>
        </w:r>
        <w:smartTag w:uri="urn:schemas-microsoft-com:office:smarttags" w:element="City">
          <w:r>
            <w:t>Perth</w:t>
          </w:r>
        </w:smartTag>
      </w:smartTag>
      <w:r>
        <w:t xml:space="preserve">, </w:t>
      </w:r>
      <w:r>
        <w:rPr>
          <w:snapToGrid w:val="0"/>
        </w:rPr>
        <w:t>is prescribed as the office of the department at which a copy of every standard referred to in the Act is to be kept and made available to the public for inspection.</w:t>
      </w:r>
    </w:p>
    <w:p>
      <w:pPr>
        <w:pStyle w:val="Footnotesection"/>
      </w:pPr>
      <w:r>
        <w:tab/>
        <w:t>[Regulation 2AA inserted in Gazette 19 Mar 1996 p. 1217; amended in Gazette 22 Oct 2010 p. 5218.]</w:t>
      </w:r>
    </w:p>
    <w:p>
      <w:pPr>
        <w:pStyle w:val="Heading5"/>
        <w:rPr>
          <w:snapToGrid w:val="0"/>
        </w:rPr>
      </w:pPr>
      <w:bookmarkStart w:id="21" w:name="_Toc406492350"/>
      <w:bookmarkStart w:id="22" w:name="_Toc524795751"/>
      <w:r>
        <w:rPr>
          <w:rStyle w:val="CharSectno"/>
        </w:rPr>
        <w:t>2A</w:t>
      </w:r>
      <w:r>
        <w:rPr>
          <w:snapToGrid w:val="0"/>
        </w:rPr>
        <w:t>.</w:t>
      </w:r>
      <w:r>
        <w:rPr>
          <w:snapToGrid w:val="0"/>
        </w:rPr>
        <w:tab/>
        <w:t>Exceptions from Act for certain poisons and paints</w:t>
      </w:r>
      <w:bookmarkEnd w:id="21"/>
      <w:bookmarkEnd w:id="22"/>
      <w:r>
        <w:rPr>
          <w:snapToGrid w:val="0"/>
        </w:rPr>
        <w:t xml:space="preserve"> </w:t>
      </w:r>
    </w:p>
    <w:p>
      <w:pPr>
        <w:pStyle w:val="Subsection"/>
        <w:keepNext/>
        <w:keepLines/>
        <w:rPr>
          <w:snapToGrid w:val="0"/>
        </w:rPr>
      </w:pPr>
      <w:r>
        <w:rPr>
          <w:snapToGrid w:val="0"/>
        </w:rPr>
        <w:tab/>
      </w:r>
      <w:r>
        <w:rPr>
          <w:snapToGrid w:val="0"/>
        </w:rPr>
        <w:tab/>
        <w:t>Excluding substances included in Schedule 8 and Schedule 9 and specified drugs, the provisions of the Act do not apply to —</w:t>
      </w:r>
    </w:p>
    <w:p>
      <w:pPr>
        <w:pStyle w:val="Indenta"/>
        <w:keepNext/>
        <w:keepLines/>
        <w:spacing w:before="60"/>
        <w:rPr>
          <w:snapToGrid w:val="0"/>
        </w:rPr>
      </w:pPr>
      <w:r>
        <w:rPr>
          <w:snapToGrid w:val="0"/>
        </w:rPr>
        <w:tab/>
        <w:t>(a)</w:t>
      </w:r>
      <w:r>
        <w:rPr>
          <w:snapToGrid w:val="0"/>
        </w:rPr>
        <w:tab/>
        <w:t xml:space="preserve">poisons listed in Column 1 of Appendix G to the </w:t>
      </w:r>
      <w:r>
        <w:rPr>
          <w:bCs/>
          <w:iCs/>
        </w:rPr>
        <w:t>SUSMP</w:t>
      </w:r>
      <w:r>
        <w:rPr>
          <w:snapToGrid w:val="0"/>
        </w:rPr>
        <w:t xml:space="preserve"> in a product at a concentration the same or less than that specified in Column 2; and</w:t>
      </w:r>
    </w:p>
    <w:p>
      <w:pPr>
        <w:pStyle w:val="Indenta"/>
        <w:spacing w:before="60"/>
        <w:rPr>
          <w:snapToGrid w:val="0"/>
        </w:rPr>
      </w:pPr>
      <w:r>
        <w:rPr>
          <w:snapToGrid w:val="0"/>
        </w:rPr>
        <w:tab/>
        <w:t>(b)</w:t>
      </w:r>
      <w:r>
        <w:rPr>
          <w:snapToGrid w:val="0"/>
        </w:rPr>
        <w:tab/>
        <w:t>poisons in a product listed in Appendix A to the</w:t>
      </w:r>
      <w:r>
        <w:rPr>
          <w:bCs/>
          <w:iCs/>
        </w:rPr>
        <w:t xml:space="preserve"> SUSMP</w:t>
      </w:r>
      <w:r>
        <w:rPr>
          <w:snapToGrid w:val="0"/>
        </w:rPr>
        <w:t>; and</w:t>
      </w:r>
    </w:p>
    <w:p>
      <w:pPr>
        <w:pStyle w:val="Indenta"/>
        <w:spacing w:before="60"/>
        <w:rPr>
          <w:snapToGrid w:val="0"/>
        </w:rPr>
      </w:pPr>
      <w:r>
        <w:rPr>
          <w:snapToGrid w:val="0"/>
        </w:rPr>
        <w:tab/>
        <w:t>(c)</w:t>
      </w:r>
      <w:r>
        <w:rPr>
          <w:snapToGrid w:val="0"/>
        </w:rPr>
        <w:tab/>
        <w:t>paints, except when prepared for medicinal or cosmetic purposes, which contain substances included in Schedule 5; and</w:t>
      </w:r>
    </w:p>
    <w:p>
      <w:pPr>
        <w:pStyle w:val="Indenta"/>
        <w:spacing w:before="60"/>
        <w:rPr>
          <w:snapToGrid w:val="0"/>
        </w:rPr>
      </w:pPr>
      <w:r>
        <w:rPr>
          <w:snapToGrid w:val="0"/>
        </w:rPr>
        <w:tab/>
        <w:t>(d)</w:t>
      </w:r>
      <w:r>
        <w:rPr>
          <w:snapToGrid w:val="0"/>
        </w:rPr>
        <w:tab/>
        <w:t>paints, except when prepared for medicinal or cosmetic purposes, which contain poisons listed in the First, Second or Third Schedule of Appendix I to the</w:t>
      </w:r>
      <w:r>
        <w:rPr>
          <w:bCs/>
          <w:iCs/>
        </w:rPr>
        <w:t xml:space="preserve"> SUSMP</w:t>
      </w:r>
      <w:r>
        <w:rPr>
          <w:snapToGrid w:val="0"/>
        </w:rPr>
        <w:t>, if — </w:t>
      </w:r>
    </w:p>
    <w:p>
      <w:pPr>
        <w:pStyle w:val="Indenti"/>
        <w:spacing w:before="60"/>
        <w:rPr>
          <w:snapToGrid w:val="0"/>
        </w:rPr>
      </w:pPr>
      <w:r>
        <w:rPr>
          <w:snapToGrid w:val="0"/>
        </w:rPr>
        <w:tab/>
        <w:t>(i)</w:t>
      </w:r>
      <w:r>
        <w:rPr>
          <w:snapToGrid w:val="0"/>
        </w:rPr>
        <w:tab/>
        <w:t>the proportion of the poison is less than the proportion specified in those schedules; or</w:t>
      </w:r>
    </w:p>
    <w:p>
      <w:pPr>
        <w:pStyle w:val="Indenti"/>
        <w:spacing w:before="60"/>
        <w:rPr>
          <w:snapToGrid w:val="0"/>
        </w:rPr>
      </w:pPr>
      <w:r>
        <w:rPr>
          <w:snapToGrid w:val="0"/>
        </w:rPr>
        <w:tab/>
        <w:t>(ii)</w:t>
      </w:r>
      <w:r>
        <w:rPr>
          <w:snapToGrid w:val="0"/>
        </w:rPr>
        <w:tab/>
        <w:t>the proportion of the poison is within the limits specified in those schedules and the container is labelled in accordance with the provisions of Part 2 of the</w:t>
      </w:r>
      <w:r>
        <w:rPr>
          <w:bCs/>
          <w:iCs/>
        </w:rPr>
        <w:t xml:space="preserve"> SUSMP</w:t>
      </w:r>
      <w:r>
        <w:rPr>
          <w:snapToGrid w:val="0"/>
        </w:rPr>
        <w:t>.</w:t>
      </w:r>
    </w:p>
    <w:p>
      <w:pPr>
        <w:pStyle w:val="Footnotesection"/>
      </w:pPr>
      <w:r>
        <w:tab/>
        <w:t>[Regulation 2A inserted in Gazette 12 Nov 1993 p. 6146</w:t>
      </w:r>
      <w:r>
        <w:noBreakHyphen/>
        <w:t>7; amended in Gazette 19 Sep 1995 p. 4383; 19 Mar 1996 p. 1217; 14 Sep 2001 p. 5073; 22 Oct 2010 p. 5218.]</w:t>
      </w:r>
    </w:p>
    <w:p>
      <w:pPr>
        <w:pStyle w:val="Footnoteheading"/>
      </w:pPr>
      <w:r>
        <w:tab/>
        <w:t>[Heading deleted in Gazette 12 Aug 2003 p. 3663.]</w:t>
      </w:r>
    </w:p>
    <w:p>
      <w:pPr>
        <w:pStyle w:val="Heading2"/>
      </w:pPr>
      <w:bookmarkStart w:id="23" w:name="_Toc406084164"/>
      <w:bookmarkStart w:id="24" w:name="_Toc406492351"/>
      <w:bookmarkStart w:id="25" w:name="_Toc414629494"/>
      <w:bookmarkStart w:id="26" w:name="_Toc414629721"/>
      <w:bookmarkStart w:id="27" w:name="_Toc414871580"/>
      <w:bookmarkStart w:id="28" w:name="_Toc414873346"/>
      <w:bookmarkStart w:id="29" w:name="_Toc418582388"/>
      <w:bookmarkStart w:id="30" w:name="_Toc423426435"/>
      <w:bookmarkStart w:id="31" w:name="_Toc423426836"/>
      <w:bookmarkStart w:id="32" w:name="_Toc524795752"/>
      <w:r>
        <w:rPr>
          <w:rStyle w:val="CharPartNo"/>
        </w:rPr>
        <w:t>Part 2A</w:t>
      </w:r>
      <w:r>
        <w:rPr>
          <w:b w:val="0"/>
        </w:rPr>
        <w:t> </w:t>
      </w:r>
      <w:r>
        <w:t>—</w:t>
      </w:r>
      <w:r>
        <w:rPr>
          <w:b w:val="0"/>
        </w:rPr>
        <w:t> </w:t>
      </w:r>
      <w:r>
        <w:rPr>
          <w:rStyle w:val="CharPartText"/>
        </w:rPr>
        <w:t>Endorsed health practitioners</w:t>
      </w:r>
      <w:bookmarkEnd w:id="23"/>
      <w:bookmarkEnd w:id="24"/>
      <w:bookmarkEnd w:id="25"/>
      <w:bookmarkEnd w:id="26"/>
      <w:bookmarkEnd w:id="27"/>
      <w:bookmarkEnd w:id="28"/>
      <w:bookmarkEnd w:id="29"/>
      <w:bookmarkEnd w:id="30"/>
      <w:bookmarkEnd w:id="31"/>
      <w:bookmarkEnd w:id="32"/>
    </w:p>
    <w:p>
      <w:pPr>
        <w:pStyle w:val="Footnoteheading"/>
      </w:pPr>
      <w:r>
        <w:tab/>
        <w:t>[Heading inserted in Gazette 19 Nov 2010 p. 5711.]</w:t>
      </w:r>
    </w:p>
    <w:p>
      <w:pPr>
        <w:pStyle w:val="Heading3"/>
      </w:pPr>
      <w:bookmarkStart w:id="33" w:name="_Toc406084165"/>
      <w:bookmarkStart w:id="34" w:name="_Toc406492352"/>
      <w:bookmarkStart w:id="35" w:name="_Toc414629495"/>
      <w:bookmarkStart w:id="36" w:name="_Toc414629722"/>
      <w:bookmarkStart w:id="37" w:name="_Toc414871581"/>
      <w:bookmarkStart w:id="38" w:name="_Toc414873347"/>
      <w:bookmarkStart w:id="39" w:name="_Toc418582389"/>
      <w:bookmarkStart w:id="40" w:name="_Toc423426436"/>
      <w:bookmarkStart w:id="41" w:name="_Toc423426837"/>
      <w:bookmarkStart w:id="42" w:name="_Toc524795753"/>
      <w:r>
        <w:rPr>
          <w:rStyle w:val="CharDivNo"/>
        </w:rPr>
        <w:t>Division 1</w:t>
      </w:r>
      <w:r>
        <w:t> — </w:t>
      </w:r>
      <w:r>
        <w:rPr>
          <w:rStyle w:val="CharDivText"/>
        </w:rPr>
        <w:t>Endorsed optometrists</w:t>
      </w:r>
      <w:bookmarkEnd w:id="33"/>
      <w:bookmarkEnd w:id="34"/>
      <w:bookmarkEnd w:id="35"/>
      <w:bookmarkEnd w:id="36"/>
      <w:bookmarkEnd w:id="37"/>
      <w:bookmarkEnd w:id="38"/>
      <w:bookmarkEnd w:id="39"/>
      <w:bookmarkEnd w:id="40"/>
      <w:bookmarkEnd w:id="41"/>
      <w:bookmarkEnd w:id="42"/>
    </w:p>
    <w:p>
      <w:pPr>
        <w:pStyle w:val="Footnoteheading"/>
      </w:pPr>
      <w:r>
        <w:tab/>
        <w:t>[Heading inserted in Gazette 1 Jun 2012 p. 2306.]</w:t>
      </w:r>
    </w:p>
    <w:p>
      <w:pPr>
        <w:pStyle w:val="Heading5"/>
      </w:pPr>
      <w:bookmarkStart w:id="43" w:name="_Toc406492353"/>
      <w:bookmarkStart w:id="44" w:name="_Toc524795754"/>
      <w:r>
        <w:rPr>
          <w:rStyle w:val="CharSectno"/>
        </w:rPr>
        <w:t>3A</w:t>
      </w:r>
      <w:r>
        <w:t>.</w:t>
      </w:r>
      <w:r>
        <w:tab/>
        <w:t>Endorsed optometrists (Act s. 23)</w:t>
      </w:r>
      <w:bookmarkEnd w:id="43"/>
      <w:bookmarkEnd w:id="44"/>
    </w:p>
    <w:p>
      <w:pPr>
        <w:pStyle w:val="Subsection"/>
      </w:pPr>
      <w:r>
        <w:tab/>
        <w:t>(1)</w:t>
      </w:r>
      <w:r>
        <w:tab/>
        <w:t>For the purpose of section 23(4B) of the Act, endorsed optometrist is prescribed as a class of endorsed health practitioner.</w:t>
      </w:r>
    </w:p>
    <w:p>
      <w:pPr>
        <w:pStyle w:val="Subsection"/>
      </w:pPr>
      <w:r>
        <w:tab/>
        <w:t>(2)</w:t>
      </w:r>
      <w:r>
        <w:tab/>
        <w:t xml:space="preserve">For the purpose of section 23(4B) of the Act, in relation to the class prescribed under subregulation (1), a medicine listed in the </w:t>
      </w:r>
      <w:r>
        <w:rPr>
          <w:i/>
          <w:iCs/>
        </w:rPr>
        <w:t>Endorsement for Scheduled Medicines Registration Standard</w:t>
      </w:r>
      <w:r>
        <w:t xml:space="preserve"> for Optometrists Table 1 approved by the Australian Health Workforce Ministerial Council on 31 March 2010 is prescribed (a </w:t>
      </w:r>
      <w:r>
        <w:rPr>
          <w:rStyle w:val="CharDefText"/>
        </w:rPr>
        <w:t>prescribed medicine</w:t>
      </w:r>
      <w:r>
        <w:t>).</w:t>
      </w:r>
    </w:p>
    <w:p>
      <w:pPr>
        <w:pStyle w:val="Subsection"/>
      </w:pPr>
      <w:r>
        <w:tab/>
        <w:t>(3)</w:t>
      </w:r>
      <w:r>
        <w:tab/>
        <w:t xml:space="preserve">Under section 23(4C)(a) of the Act, the authorisation given by section 23(4B) of the Act is restricted — </w:t>
      </w:r>
    </w:p>
    <w:p>
      <w:pPr>
        <w:pStyle w:val="Indenta"/>
      </w:pPr>
      <w:r>
        <w:tab/>
        <w:t>(a)</w:t>
      </w:r>
      <w:r>
        <w:tab/>
        <w:t>in relation to a prescribed medicine, to possession, use, supply, sale or prescription in relation to topical use in the eye; and</w:t>
      </w:r>
    </w:p>
    <w:p>
      <w:pPr>
        <w:pStyle w:val="Indenta"/>
      </w:pPr>
      <w:r>
        <w:tab/>
        <w:t>(b)</w:t>
      </w:r>
      <w:r>
        <w:tab/>
        <w:t>in relation to phenylephrine, to phenylephrine with a maximum concentration of 5%.</w:t>
      </w:r>
    </w:p>
    <w:p>
      <w:pPr>
        <w:pStyle w:val="Footnotesection"/>
      </w:pPr>
      <w:r>
        <w:tab/>
        <w:t>[Regulation 3A inserted in Gazette 19 Nov 2010 p. 5711</w:t>
      </w:r>
      <w:r>
        <w:noBreakHyphen/>
        <w:t>12.]</w:t>
      </w:r>
    </w:p>
    <w:p>
      <w:pPr>
        <w:pStyle w:val="Heading5"/>
      </w:pPr>
      <w:bookmarkStart w:id="45" w:name="_Toc406492354"/>
      <w:bookmarkStart w:id="46" w:name="_Toc524795755"/>
      <w:r>
        <w:rPr>
          <w:rStyle w:val="CharSectno"/>
        </w:rPr>
        <w:t>3B</w:t>
      </w:r>
      <w:r>
        <w:t>.</w:t>
      </w:r>
      <w:r>
        <w:tab/>
        <w:t>Use of some medicine by endorsed optometrist is not taken to be supplying it</w:t>
      </w:r>
      <w:bookmarkEnd w:id="45"/>
      <w:bookmarkEnd w:id="46"/>
    </w:p>
    <w:p>
      <w:pPr>
        <w:pStyle w:val="Subsection"/>
      </w:pPr>
      <w:r>
        <w:tab/>
      </w:r>
      <w:r>
        <w:tab/>
        <w:t>An endorsed optometrist is not to be taken to be supplying within the meaning of these regulations if the endorsed optometrist uses a medicine prescribed under regulation 3A(2) in the lawful practice of his or her profession.</w:t>
      </w:r>
    </w:p>
    <w:p>
      <w:pPr>
        <w:pStyle w:val="Footnotesection"/>
      </w:pPr>
      <w:r>
        <w:tab/>
        <w:t>[Regulation 3B inserted in Gazette 19 Nov 2010 p. 5712.]</w:t>
      </w:r>
    </w:p>
    <w:p>
      <w:pPr>
        <w:pStyle w:val="Heading3"/>
      </w:pPr>
      <w:bookmarkStart w:id="47" w:name="_Toc406084168"/>
      <w:bookmarkStart w:id="48" w:name="_Toc406492355"/>
      <w:bookmarkStart w:id="49" w:name="_Toc414629498"/>
      <w:bookmarkStart w:id="50" w:name="_Toc414629725"/>
      <w:bookmarkStart w:id="51" w:name="_Toc414871584"/>
      <w:bookmarkStart w:id="52" w:name="_Toc414873350"/>
      <w:bookmarkStart w:id="53" w:name="_Toc418582392"/>
      <w:bookmarkStart w:id="54" w:name="_Toc423426439"/>
      <w:bookmarkStart w:id="55" w:name="_Toc423426840"/>
      <w:bookmarkStart w:id="56" w:name="_Toc524795756"/>
      <w:r>
        <w:rPr>
          <w:rStyle w:val="CharDivNo"/>
        </w:rPr>
        <w:t>Division 2</w:t>
      </w:r>
      <w:r>
        <w:t> — </w:t>
      </w:r>
      <w:r>
        <w:rPr>
          <w:rStyle w:val="CharDivText"/>
        </w:rPr>
        <w:t>Endorsed midwives</w:t>
      </w:r>
      <w:bookmarkEnd w:id="47"/>
      <w:bookmarkEnd w:id="48"/>
      <w:bookmarkEnd w:id="49"/>
      <w:bookmarkEnd w:id="50"/>
      <w:bookmarkEnd w:id="51"/>
      <w:bookmarkEnd w:id="52"/>
      <w:bookmarkEnd w:id="53"/>
      <w:bookmarkEnd w:id="54"/>
      <w:bookmarkEnd w:id="55"/>
      <w:bookmarkEnd w:id="56"/>
    </w:p>
    <w:p>
      <w:pPr>
        <w:pStyle w:val="Footnoteheading"/>
      </w:pPr>
      <w:r>
        <w:tab/>
        <w:t>[Heading inserted in Gazette 1 Jun 2012 p. 2306.]</w:t>
      </w:r>
    </w:p>
    <w:p>
      <w:pPr>
        <w:pStyle w:val="Heading5"/>
      </w:pPr>
      <w:bookmarkStart w:id="57" w:name="_Toc406492356"/>
      <w:bookmarkStart w:id="58" w:name="_Toc524795757"/>
      <w:r>
        <w:rPr>
          <w:rStyle w:val="CharSectno"/>
        </w:rPr>
        <w:t>3C</w:t>
      </w:r>
      <w:r>
        <w:t>.</w:t>
      </w:r>
      <w:r>
        <w:tab/>
        <w:t>Term used: Prescribing Formulary</w:t>
      </w:r>
      <w:bookmarkEnd w:id="57"/>
      <w:bookmarkEnd w:id="58"/>
    </w:p>
    <w:p>
      <w:pPr>
        <w:pStyle w:val="Subsection"/>
      </w:pPr>
      <w:r>
        <w:tab/>
      </w:r>
      <w:r>
        <w:tab/>
        <w:t xml:space="preserve">In this Division — </w:t>
      </w:r>
    </w:p>
    <w:p>
      <w:pPr>
        <w:pStyle w:val="Defstart"/>
      </w:pPr>
      <w:r>
        <w:tab/>
      </w:r>
      <w:r>
        <w:rPr>
          <w:rStyle w:val="CharDefText"/>
        </w:rPr>
        <w:t>Prescribing Formulary</w:t>
      </w:r>
      <w:r>
        <w:t xml:space="preserve"> means the </w:t>
      </w:r>
      <w:r>
        <w:rPr>
          <w:i/>
        </w:rPr>
        <w:t xml:space="preserve">Prescribing Formulary for Eligible Midwives with a Scheduled Medicines Endorsement </w:t>
      </w:r>
      <w:r>
        <w:t>published by the Nursing and Midwifery Board of Australia on 12 September 2011.</w:t>
      </w:r>
    </w:p>
    <w:p>
      <w:pPr>
        <w:pStyle w:val="Footnotesection"/>
      </w:pPr>
      <w:r>
        <w:tab/>
        <w:t>[Regulation 3C inserted in Gazette 1 Jun 2012 p. 2306-7.]</w:t>
      </w:r>
    </w:p>
    <w:p>
      <w:pPr>
        <w:pStyle w:val="Heading5"/>
      </w:pPr>
      <w:bookmarkStart w:id="59" w:name="_Toc406492357"/>
      <w:bookmarkStart w:id="60" w:name="_Toc524795758"/>
      <w:r>
        <w:rPr>
          <w:rStyle w:val="CharSectno"/>
        </w:rPr>
        <w:t>3D</w:t>
      </w:r>
      <w:r>
        <w:t>.</w:t>
      </w:r>
      <w:r>
        <w:tab/>
        <w:t>Endorsed midwives (Act s. 23)</w:t>
      </w:r>
      <w:bookmarkEnd w:id="59"/>
      <w:bookmarkEnd w:id="60"/>
    </w:p>
    <w:p>
      <w:pPr>
        <w:pStyle w:val="Subsection"/>
      </w:pPr>
      <w:r>
        <w:tab/>
        <w:t>(1)</w:t>
      </w:r>
      <w:r>
        <w:tab/>
        <w:t>For the purpose of section 23(4B) of the Act, endorsed midwife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Prescribing Formulary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for the purposes of administration — </w:t>
      </w:r>
    </w:p>
    <w:p>
      <w:pPr>
        <w:pStyle w:val="Indenti"/>
      </w:pPr>
      <w:r>
        <w:tab/>
        <w:t>(i)</w:t>
      </w:r>
      <w:r>
        <w:tab/>
        <w:t>by a route set out in the Prescribing Formulary for the medicine; and</w:t>
      </w:r>
    </w:p>
    <w:p>
      <w:pPr>
        <w:pStyle w:val="Indenti"/>
      </w:pPr>
      <w:r>
        <w:tab/>
        <w:t>(ii)</w:t>
      </w:r>
      <w:r>
        <w:tab/>
        <w:t>for the duration, and subject to any restriction, for the medicine set out in the Prescribing Formulary; and</w:t>
      </w:r>
    </w:p>
    <w:p>
      <w:pPr>
        <w:pStyle w:val="Indenti"/>
      </w:pPr>
      <w:r>
        <w:tab/>
        <w:t>(iii)</w:t>
      </w:r>
      <w:r>
        <w:tab/>
        <w:t>to treat a medical condition that is an indicator for the medicine set out in the Prescribing Formulary;</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midwife may not prescribe the medicine for the purpose of the administration of the medicine by a person other than the endorsed midwife.</w:t>
      </w:r>
    </w:p>
    <w:p>
      <w:pPr>
        <w:pStyle w:val="Footnotesection"/>
      </w:pPr>
      <w:r>
        <w:tab/>
        <w:t>[Regulation 3D inserted in Gazette 1 Jun 2012 p. 2307-8.]</w:t>
      </w:r>
    </w:p>
    <w:p>
      <w:pPr>
        <w:pStyle w:val="Heading5"/>
      </w:pPr>
      <w:bookmarkStart w:id="61" w:name="_Toc406492358"/>
      <w:bookmarkStart w:id="62" w:name="_Toc524795759"/>
      <w:r>
        <w:rPr>
          <w:rStyle w:val="CharSectno"/>
        </w:rPr>
        <w:t>3E</w:t>
      </w:r>
      <w:r>
        <w:t>.</w:t>
      </w:r>
      <w:r>
        <w:tab/>
        <w:t>Use of some medicine by endorsed midwife is not taken to be supplying it</w:t>
      </w:r>
      <w:bookmarkEnd w:id="61"/>
      <w:bookmarkEnd w:id="62"/>
    </w:p>
    <w:p>
      <w:pPr>
        <w:pStyle w:val="Subsection"/>
      </w:pPr>
      <w:r>
        <w:tab/>
      </w:r>
      <w:r>
        <w:tab/>
        <w:t>An endorsed midwife is not to be taken to be supplying within the meaning of these regulations if the endorsed midwife uses a medicine prescribed under regulation 3D(2) in the lawful practice of his or her profession.</w:t>
      </w:r>
    </w:p>
    <w:p>
      <w:pPr>
        <w:pStyle w:val="Footnotesection"/>
      </w:pPr>
      <w:r>
        <w:tab/>
        <w:t>[Regulation 3E inserted in Gazette 1 Jun 2012 p. 2308.]</w:t>
      </w:r>
    </w:p>
    <w:p>
      <w:pPr>
        <w:pStyle w:val="Heading3"/>
      </w:pPr>
      <w:bookmarkStart w:id="63" w:name="_Toc406084172"/>
      <w:bookmarkStart w:id="64" w:name="_Toc406492359"/>
      <w:bookmarkStart w:id="65" w:name="_Toc414629502"/>
      <w:bookmarkStart w:id="66" w:name="_Toc414629729"/>
      <w:bookmarkStart w:id="67" w:name="_Toc414871588"/>
      <w:bookmarkStart w:id="68" w:name="_Toc414873354"/>
      <w:bookmarkStart w:id="69" w:name="_Toc418582396"/>
      <w:bookmarkStart w:id="70" w:name="_Toc423426443"/>
      <w:bookmarkStart w:id="71" w:name="_Toc423426844"/>
      <w:bookmarkStart w:id="72" w:name="_Toc524795760"/>
      <w:r>
        <w:rPr>
          <w:rStyle w:val="CharDivNo"/>
        </w:rPr>
        <w:t>Division 3</w:t>
      </w:r>
      <w:r>
        <w:t> — </w:t>
      </w:r>
      <w:r>
        <w:rPr>
          <w:rStyle w:val="CharDivText"/>
        </w:rPr>
        <w:t>Endorsed podiatrists</w:t>
      </w:r>
      <w:bookmarkEnd w:id="63"/>
      <w:bookmarkEnd w:id="64"/>
      <w:bookmarkEnd w:id="65"/>
      <w:bookmarkEnd w:id="66"/>
      <w:bookmarkEnd w:id="67"/>
      <w:bookmarkEnd w:id="68"/>
      <w:bookmarkEnd w:id="69"/>
      <w:bookmarkEnd w:id="70"/>
      <w:bookmarkEnd w:id="71"/>
      <w:bookmarkEnd w:id="72"/>
    </w:p>
    <w:p>
      <w:pPr>
        <w:pStyle w:val="Footnoteheading"/>
      </w:pPr>
      <w:r>
        <w:tab/>
        <w:t>[Heading inserted in Gazette 1 Jun 2012 p. 2308.]</w:t>
      </w:r>
    </w:p>
    <w:p>
      <w:pPr>
        <w:pStyle w:val="Heading5"/>
      </w:pPr>
      <w:bookmarkStart w:id="73" w:name="_Toc406492360"/>
      <w:bookmarkStart w:id="74" w:name="_Toc524795761"/>
      <w:r>
        <w:rPr>
          <w:rStyle w:val="CharSectno"/>
        </w:rPr>
        <w:t>3F</w:t>
      </w:r>
      <w:r>
        <w:t>.</w:t>
      </w:r>
      <w:r>
        <w:tab/>
        <w:t>Term used: Medicines List</w:t>
      </w:r>
      <w:bookmarkEnd w:id="73"/>
      <w:bookmarkEnd w:id="74"/>
    </w:p>
    <w:p>
      <w:pPr>
        <w:pStyle w:val="Subsection"/>
      </w:pPr>
      <w:r>
        <w:tab/>
      </w:r>
      <w:r>
        <w:tab/>
        <w:t xml:space="preserve">In this Division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 on 15 March 2011.</w:t>
      </w:r>
    </w:p>
    <w:p>
      <w:pPr>
        <w:pStyle w:val="Footnotesection"/>
      </w:pPr>
      <w:r>
        <w:tab/>
        <w:t>[Regulation 3F inserted in Gazette 1 Jun 2012 p. 2308.]</w:t>
      </w:r>
    </w:p>
    <w:p>
      <w:pPr>
        <w:pStyle w:val="Heading5"/>
      </w:pPr>
      <w:bookmarkStart w:id="75" w:name="_Toc406492361"/>
      <w:bookmarkStart w:id="76" w:name="_Toc524795762"/>
      <w:r>
        <w:rPr>
          <w:rStyle w:val="CharSectno"/>
        </w:rPr>
        <w:t>3G</w:t>
      </w:r>
      <w:r>
        <w:t>.</w:t>
      </w:r>
      <w:r>
        <w:tab/>
        <w:t>Endorsed podiatrists (Act s. 23)</w:t>
      </w:r>
      <w:bookmarkEnd w:id="75"/>
      <w:bookmarkEnd w:id="76"/>
    </w:p>
    <w:p>
      <w:pPr>
        <w:pStyle w:val="Subsection"/>
      </w:pPr>
      <w:r>
        <w:tab/>
        <w:t>(1)</w:t>
      </w:r>
      <w:r>
        <w:tab/>
        <w:t>For the purpose of section 23(4B) of the Act, endorsed podiatrist is a prescribed class of endorsed health practitioner.</w:t>
      </w:r>
    </w:p>
    <w:p>
      <w:pPr>
        <w:pStyle w:val="Subsection"/>
        <w:rPr>
          <w:rStyle w:val="DraftersNotes"/>
          <w:i w:val="0"/>
        </w:rPr>
      </w:pPr>
      <w:r>
        <w:tab/>
        <w:t>(2)</w:t>
      </w:r>
      <w:r>
        <w:tab/>
        <w:t xml:space="preserve">For the purpose of section 23(4B) of the Act, in relation to the class prescribed under subregulation (1), a medicine listed in the Medicines List is prescribed (a </w:t>
      </w:r>
      <w:r>
        <w:rPr>
          <w:rStyle w:val="CharDefText"/>
        </w:rPr>
        <w:t>prescribed medicine</w:t>
      </w:r>
      <w:r>
        <w:t>).</w:t>
      </w:r>
    </w:p>
    <w:p>
      <w:pPr>
        <w:pStyle w:val="Subsection"/>
      </w:pPr>
      <w:r>
        <w:tab/>
        <w:t>(3)</w:t>
      </w:r>
      <w:r>
        <w:tab/>
        <w:t>Under section 23(4C)(a) of the Act, the authorisation given by section 23(4B) of the Act —</w:t>
      </w:r>
    </w:p>
    <w:p>
      <w:pPr>
        <w:pStyle w:val="Indenta"/>
      </w:pPr>
      <w:r>
        <w:tab/>
        <w:t>(a)</w:t>
      </w:r>
      <w:r>
        <w:tab/>
        <w:t xml:space="preserve">in relation to a prescribed medicine, is restricted to the possession, use, supply, sale or prescription — </w:t>
      </w:r>
    </w:p>
    <w:p>
      <w:pPr>
        <w:pStyle w:val="Indenti"/>
      </w:pPr>
      <w:r>
        <w:tab/>
        <w:t>(i)</w:t>
      </w:r>
      <w:r>
        <w:tab/>
        <w:t>for the purposes of administration by a route set out in the Medicines List for the medicine; and</w:t>
      </w:r>
    </w:p>
    <w:p>
      <w:pPr>
        <w:pStyle w:val="Indenti"/>
      </w:pPr>
      <w:r>
        <w:tab/>
        <w:t>(ii)</w:t>
      </w:r>
      <w:r>
        <w:tab/>
        <w:t xml:space="preserve">subject to any restriction for the medicine set out in the Medicines List; </w:t>
      </w:r>
    </w:p>
    <w:p>
      <w:pPr>
        <w:pStyle w:val="Indenta"/>
      </w:pPr>
      <w:r>
        <w:tab/>
      </w:r>
      <w:r>
        <w:tab/>
        <w:t>and</w:t>
      </w:r>
    </w:p>
    <w:p>
      <w:pPr>
        <w:pStyle w:val="Indenta"/>
        <w:rPr>
          <w:rStyle w:val="DraftersNotes"/>
          <w:b w:val="0"/>
          <w:i w:val="0"/>
        </w:rPr>
      </w:pPr>
      <w:r>
        <w:tab/>
        <w:t>(b)</w:t>
      </w:r>
      <w:r>
        <w:tab/>
        <w:t>in relation to a prescribed medicine that is a poison included in Schedule 8, is subject to the condition that an endorsed podiatrist must not use, supply, sell or prescribe the medicine in connection with the treatment of a patient for a period exceeding 7 days.</w:t>
      </w:r>
    </w:p>
    <w:p>
      <w:pPr>
        <w:pStyle w:val="Footnotesection"/>
      </w:pPr>
      <w:r>
        <w:tab/>
        <w:t>[Regulation 3G inserted in Gazette 1 Jun 2012 p. 2308-9.]</w:t>
      </w:r>
    </w:p>
    <w:p>
      <w:pPr>
        <w:pStyle w:val="Heading5"/>
      </w:pPr>
      <w:bookmarkStart w:id="77" w:name="_Toc406492362"/>
      <w:bookmarkStart w:id="78" w:name="_Toc524795763"/>
      <w:r>
        <w:rPr>
          <w:rStyle w:val="CharSectno"/>
        </w:rPr>
        <w:t>3H</w:t>
      </w:r>
      <w:r>
        <w:t>.</w:t>
      </w:r>
      <w:r>
        <w:tab/>
        <w:t>Use of some medicine by endorsed podiatrist is not taken to be supplying it</w:t>
      </w:r>
      <w:bookmarkEnd w:id="77"/>
      <w:bookmarkEnd w:id="78"/>
    </w:p>
    <w:p>
      <w:pPr>
        <w:pStyle w:val="Subsection"/>
      </w:pPr>
      <w:r>
        <w:tab/>
      </w:r>
      <w:r>
        <w:tab/>
        <w:t>An endorsed podiatrist is not to be taken to be supplying within the meaning of these regulations if the endorsed podiatrist uses a medicine prescribed under regulation 3G(2) in the lawful practice of his or her profession.</w:t>
      </w:r>
    </w:p>
    <w:p>
      <w:pPr>
        <w:pStyle w:val="Footnotesection"/>
      </w:pPr>
      <w:r>
        <w:tab/>
        <w:t>[Regulation 3H inserted in Gazette 1 Jun 2012 p. 2309.]</w:t>
      </w:r>
    </w:p>
    <w:p>
      <w:pPr>
        <w:pStyle w:val="Heading2"/>
      </w:pPr>
      <w:bookmarkStart w:id="79" w:name="_Toc406084176"/>
      <w:bookmarkStart w:id="80" w:name="_Toc406492363"/>
      <w:bookmarkStart w:id="81" w:name="_Toc414629506"/>
      <w:bookmarkStart w:id="82" w:name="_Toc414629733"/>
      <w:bookmarkStart w:id="83" w:name="_Toc414871592"/>
      <w:bookmarkStart w:id="84" w:name="_Toc414873358"/>
      <w:bookmarkStart w:id="85" w:name="_Toc418582400"/>
      <w:bookmarkStart w:id="86" w:name="_Toc423426447"/>
      <w:bookmarkStart w:id="87" w:name="_Toc423426848"/>
      <w:bookmarkStart w:id="88" w:name="_Toc524795764"/>
      <w:r>
        <w:rPr>
          <w:rStyle w:val="CharPartNo"/>
        </w:rPr>
        <w:t>Part 2</w:t>
      </w:r>
      <w:r>
        <w:t xml:space="preserve"> — </w:t>
      </w:r>
      <w:r>
        <w:rPr>
          <w:rStyle w:val="CharPartText"/>
        </w:rPr>
        <w:t>Licences and permits</w:t>
      </w:r>
      <w:bookmarkEnd w:id="79"/>
      <w:bookmarkEnd w:id="80"/>
      <w:bookmarkEnd w:id="81"/>
      <w:bookmarkEnd w:id="82"/>
      <w:bookmarkEnd w:id="83"/>
      <w:bookmarkEnd w:id="84"/>
      <w:bookmarkEnd w:id="85"/>
      <w:bookmarkEnd w:id="86"/>
      <w:bookmarkEnd w:id="87"/>
      <w:bookmarkEnd w:id="88"/>
      <w:r>
        <w:t xml:space="preserve"> </w:t>
      </w:r>
    </w:p>
    <w:p>
      <w:pPr>
        <w:pStyle w:val="Footnoteheading"/>
        <w:spacing w:before="80"/>
      </w:pPr>
      <w:r>
        <w:tab/>
        <w:t>[Heading inserted in Gazette 12 Aug 2003 p. 3664.]</w:t>
      </w:r>
    </w:p>
    <w:p>
      <w:pPr>
        <w:pStyle w:val="Heading3"/>
        <w:spacing w:before="220"/>
      </w:pPr>
      <w:bookmarkStart w:id="89" w:name="_Toc406084177"/>
      <w:bookmarkStart w:id="90" w:name="_Toc406492364"/>
      <w:bookmarkStart w:id="91" w:name="_Toc414629507"/>
      <w:bookmarkStart w:id="92" w:name="_Toc414629734"/>
      <w:bookmarkStart w:id="93" w:name="_Toc414871593"/>
      <w:bookmarkStart w:id="94" w:name="_Toc414873359"/>
      <w:bookmarkStart w:id="95" w:name="_Toc418582401"/>
      <w:bookmarkStart w:id="96" w:name="_Toc423426448"/>
      <w:bookmarkStart w:id="97" w:name="_Toc423426849"/>
      <w:bookmarkStart w:id="98" w:name="_Toc524795765"/>
      <w:r>
        <w:rPr>
          <w:rStyle w:val="CharDivNo"/>
        </w:rPr>
        <w:t>Division 1</w:t>
      </w:r>
      <w:r>
        <w:t xml:space="preserve"> — </w:t>
      </w:r>
      <w:r>
        <w:rPr>
          <w:rStyle w:val="CharDivText"/>
        </w:rPr>
        <w:t>General</w:t>
      </w:r>
      <w:bookmarkEnd w:id="89"/>
      <w:bookmarkEnd w:id="90"/>
      <w:bookmarkEnd w:id="91"/>
      <w:bookmarkEnd w:id="92"/>
      <w:bookmarkEnd w:id="93"/>
      <w:bookmarkEnd w:id="94"/>
      <w:bookmarkEnd w:id="95"/>
      <w:bookmarkEnd w:id="96"/>
      <w:bookmarkEnd w:id="97"/>
      <w:bookmarkEnd w:id="98"/>
    </w:p>
    <w:p>
      <w:pPr>
        <w:pStyle w:val="Footnoteheading"/>
        <w:spacing w:before="80"/>
      </w:pPr>
      <w:r>
        <w:tab/>
        <w:t>[Heading inserted in Gazette 12 Aug 2003 p. 3664.]</w:t>
      </w:r>
    </w:p>
    <w:p>
      <w:pPr>
        <w:pStyle w:val="Heading5"/>
        <w:spacing w:before="200"/>
      </w:pPr>
      <w:bookmarkStart w:id="99" w:name="_Toc406492365"/>
      <w:bookmarkStart w:id="100" w:name="_Toc524795766"/>
      <w:r>
        <w:rPr>
          <w:rStyle w:val="CharSectno"/>
        </w:rPr>
        <w:t>3</w:t>
      </w:r>
      <w:r>
        <w:t>.</w:t>
      </w:r>
      <w:r>
        <w:tab/>
        <w:t>Wholesaler’s licences, effect of etc.</w:t>
      </w:r>
      <w:bookmarkEnd w:id="99"/>
      <w:bookmarkEnd w:id="100"/>
    </w:p>
    <w:p>
      <w:pPr>
        <w:pStyle w:val="Subsection"/>
        <w:spacing w:before="130"/>
      </w:pPr>
      <w:r>
        <w:tab/>
        <w:t>(1)</w:t>
      </w:r>
      <w:r>
        <w:tab/>
        <w:t>A wholesaler’s licence authorises the licensee to procure, manufacture and supply by wholesale dealing specified poisons at or from specified premises.</w:t>
      </w:r>
    </w:p>
    <w:p>
      <w:pPr>
        <w:pStyle w:val="Subsection"/>
        <w:spacing w:before="130"/>
      </w:pPr>
      <w:r>
        <w:tab/>
        <w:t>(2)</w:t>
      </w:r>
      <w:r>
        <w:tab/>
        <w:t>A wholesaler’s licence is to be in the form of Form 1 in Appendix A.</w:t>
      </w:r>
    </w:p>
    <w:p>
      <w:pPr>
        <w:pStyle w:val="Subsection"/>
        <w:spacing w:before="13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40"/>
      </w:pPr>
      <w:r>
        <w:tab/>
        <w:t>(4)</w:t>
      </w:r>
      <w:r>
        <w:tab/>
        <w:t>A wholesaler’s licence is subject to the condition that any supply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 specified experienced person or an experienced person authorised under subregulation (4).</w:t>
      </w:r>
    </w:p>
    <w:p>
      <w:pPr>
        <w:pStyle w:val="Subsection"/>
        <w:spacing w:before="140"/>
      </w:pPr>
      <w:r>
        <w:tab/>
        <w:t>(5)</w:t>
      </w:r>
      <w:r>
        <w:tab/>
        <w:t>If a person specified in a wholesaler’s licence for the purposes of subregulation (3)(a) or (4) —</w:t>
      </w:r>
    </w:p>
    <w:p>
      <w:pPr>
        <w:pStyle w:val="Indenta"/>
        <w:spacing w:before="60"/>
      </w:pPr>
      <w:r>
        <w:tab/>
        <w:t>(a)</w:t>
      </w:r>
      <w:r>
        <w:tab/>
        <w:t>ceases to work for the licensee; or</w:t>
      </w:r>
    </w:p>
    <w:p>
      <w:pPr>
        <w:pStyle w:val="Indenta"/>
        <w:spacing w:before="60"/>
      </w:pPr>
      <w:r>
        <w:tab/>
        <w:t>(b)</w:t>
      </w:r>
      <w:r>
        <w:tab/>
        <w:t xml:space="preserve">in the case of a qualified person specified for the purposes of subregulation (3), is unable to exercise the necessary supervision, </w:t>
      </w:r>
    </w:p>
    <w:p>
      <w:pPr>
        <w:pStyle w:val="Subsection"/>
        <w:spacing w:before="12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spacing w:before="100"/>
      </w:pPr>
      <w:r>
        <w:tab/>
        <w:t>[Regulation 3 inserted in Gazette 14 Sep 2001 p. 5073</w:t>
      </w:r>
      <w:r>
        <w:noBreakHyphen/>
        <w:t>4; amended in Gazette 15 Dec 2006 p. 5630.]</w:t>
      </w:r>
    </w:p>
    <w:p>
      <w:pPr>
        <w:pStyle w:val="Ednotesection"/>
        <w:spacing w:before="200"/>
      </w:pPr>
      <w:r>
        <w:t>[</w:t>
      </w:r>
      <w:r>
        <w:rPr>
          <w:b/>
        </w:rPr>
        <w:t>4.</w:t>
      </w:r>
      <w:r>
        <w:tab/>
        <w:t>Deleted in Gazette 14 Sep 2001 p. 5073.]</w:t>
      </w:r>
    </w:p>
    <w:p>
      <w:pPr>
        <w:pStyle w:val="Footnoteheading"/>
      </w:pPr>
      <w:r>
        <w:tab/>
        <w:t>[Heading deleted in Gazette 12 Aug 2003 p. 3663.]</w:t>
      </w:r>
    </w:p>
    <w:p>
      <w:pPr>
        <w:pStyle w:val="Heading5"/>
        <w:spacing w:before="200"/>
        <w:rPr>
          <w:snapToGrid w:val="0"/>
        </w:rPr>
      </w:pPr>
      <w:bookmarkStart w:id="101" w:name="_Toc406492366"/>
      <w:bookmarkStart w:id="102" w:name="_Toc524795767"/>
      <w:r>
        <w:rPr>
          <w:rStyle w:val="CharSectno"/>
        </w:rPr>
        <w:t>5</w:t>
      </w:r>
      <w:r>
        <w:rPr>
          <w:snapToGrid w:val="0"/>
        </w:rPr>
        <w:t>.</w:t>
      </w:r>
      <w:r>
        <w:rPr>
          <w:snapToGrid w:val="0"/>
        </w:rPr>
        <w:tab/>
        <w:t>Pharmacist’s licence limited to pharmacy in licence</w:t>
      </w:r>
      <w:bookmarkEnd w:id="101"/>
      <w:bookmarkEnd w:id="102"/>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spacing w:before="100"/>
      </w:pPr>
      <w:r>
        <w:tab/>
        <w:t>[Regulation 5 amended in Gazette 1 Oct 2010 p. 5078 and 5079</w:t>
      </w:r>
      <w:r>
        <w:noBreakHyphen/>
        <w:t>80.]</w:t>
      </w:r>
    </w:p>
    <w:p>
      <w:pPr>
        <w:pStyle w:val="Footnoteheading"/>
      </w:pPr>
      <w:r>
        <w:tab/>
        <w:t>[Heading deleted in Gazette 12 Aug 2003 p. 3663.]</w:t>
      </w:r>
    </w:p>
    <w:p>
      <w:pPr>
        <w:pStyle w:val="Ednotesection"/>
        <w:spacing w:before="180"/>
        <w:outlineLvl w:val="9"/>
      </w:pPr>
      <w:r>
        <w:t>[</w:t>
      </w:r>
      <w:r>
        <w:rPr>
          <w:b/>
        </w:rPr>
        <w:t>6.</w:t>
      </w:r>
      <w:r>
        <w:rPr>
          <w:b/>
        </w:rPr>
        <w:tab/>
      </w:r>
      <w:r>
        <w:t xml:space="preserve">Deleted in Gazette 19 Mar 1996 p. 1217.] </w:t>
      </w:r>
    </w:p>
    <w:p>
      <w:pPr>
        <w:pStyle w:val="Footnoteheading"/>
      </w:pPr>
      <w:r>
        <w:tab/>
        <w:t>[Heading deleted in Gazette 12 Aug 2003 p. 3663.]</w:t>
      </w:r>
    </w:p>
    <w:p>
      <w:pPr>
        <w:pStyle w:val="Heading5"/>
        <w:spacing w:before="200"/>
        <w:rPr>
          <w:snapToGrid w:val="0"/>
        </w:rPr>
      </w:pPr>
      <w:bookmarkStart w:id="103" w:name="_Toc406492367"/>
      <w:bookmarkStart w:id="104" w:name="_Toc524795768"/>
      <w:r>
        <w:rPr>
          <w:rStyle w:val="CharSectno"/>
        </w:rPr>
        <w:t>7</w:t>
      </w:r>
      <w:r>
        <w:rPr>
          <w:snapToGrid w:val="0"/>
        </w:rPr>
        <w:t>.</w:t>
      </w:r>
      <w:r>
        <w:rPr>
          <w:snapToGrid w:val="0"/>
        </w:rPr>
        <w:tab/>
        <w:t>Retailer’s licence to sell Sch. 2 poisons, effect of etc.</w:t>
      </w:r>
      <w:bookmarkEnd w:id="103"/>
      <w:bookmarkEnd w:id="104"/>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spacing w:before="100"/>
      </w:pPr>
      <w:r>
        <w:tab/>
        <w:t>[Regulation 7 amended in Gazette 23 May 1986 p. 1716; 19 Mar 1996 p. 1217.]</w:t>
      </w:r>
    </w:p>
    <w:p>
      <w:pPr>
        <w:pStyle w:val="Footnoteheading"/>
      </w:pPr>
      <w:r>
        <w:tab/>
        <w:t>[Heading deleted in Gazette 12 Aug 2003 p. 3663.]</w:t>
      </w:r>
    </w:p>
    <w:p>
      <w:pPr>
        <w:pStyle w:val="Heading5"/>
        <w:spacing w:before="200"/>
        <w:rPr>
          <w:snapToGrid w:val="0"/>
        </w:rPr>
      </w:pPr>
      <w:bookmarkStart w:id="105" w:name="_Toc406492368"/>
      <w:bookmarkStart w:id="106" w:name="_Toc524795769"/>
      <w:r>
        <w:rPr>
          <w:rStyle w:val="CharSectno"/>
        </w:rPr>
        <w:t>8</w:t>
      </w:r>
      <w:r>
        <w:rPr>
          <w:snapToGrid w:val="0"/>
        </w:rPr>
        <w:t>.</w:t>
      </w:r>
      <w:r>
        <w:rPr>
          <w:snapToGrid w:val="0"/>
        </w:rPr>
        <w:tab/>
        <w:t>Retailer’s licence to sell Sch. 7 poisons, effect of etc.</w:t>
      </w:r>
      <w:bookmarkEnd w:id="105"/>
      <w:bookmarkEnd w:id="106"/>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Footnoteheading"/>
      </w:pPr>
      <w:r>
        <w:tab/>
        <w:t>[Heading deleted in Gazette 12 Aug 2003 p. 3663.]</w:t>
      </w:r>
    </w:p>
    <w:p>
      <w:pPr>
        <w:pStyle w:val="Heading5"/>
        <w:rPr>
          <w:snapToGrid w:val="0"/>
        </w:rPr>
      </w:pPr>
      <w:bookmarkStart w:id="107" w:name="_Toc406492369"/>
      <w:bookmarkStart w:id="108" w:name="_Toc524795770"/>
      <w:r>
        <w:rPr>
          <w:rStyle w:val="CharSectno"/>
        </w:rPr>
        <w:t>8A</w:t>
      </w:r>
      <w:r>
        <w:rPr>
          <w:snapToGrid w:val="0"/>
        </w:rPr>
        <w:t>.</w:t>
      </w:r>
      <w:r>
        <w:rPr>
          <w:snapToGrid w:val="0"/>
        </w:rPr>
        <w:tab/>
        <w:t>Poisons permit (distribution of samples), effect of etc.</w:t>
      </w:r>
      <w:bookmarkEnd w:id="107"/>
      <w:bookmarkEnd w:id="108"/>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rPr>
          <w:snapToGrid w:val="0"/>
        </w:rPr>
      </w:pPr>
      <w:r>
        <w:rPr>
          <w:snapToGrid w:val="0"/>
        </w:rPr>
        <w:tab/>
        <w:t>(a)</w:t>
      </w:r>
      <w:r>
        <w:rPr>
          <w:snapToGrid w:val="0"/>
        </w:rPr>
        <w:tab/>
        <w:t>a representative of a person — </w:t>
      </w:r>
    </w:p>
    <w:p>
      <w:pPr>
        <w:pStyle w:val="Indenti"/>
        <w:rPr>
          <w:snapToGrid w:val="0"/>
        </w:rPr>
      </w:pPr>
      <w:r>
        <w:rPr>
          <w:snapToGrid w:val="0"/>
        </w:rPr>
        <w:tab/>
        <w:t>(i)</w:t>
      </w:r>
      <w:r>
        <w:rPr>
          <w:snapToGrid w:val="0"/>
        </w:rPr>
        <w:tab/>
        <w:t>licensed to manufacture poisons or to supply poisons by wholesale dealing; or</w:t>
      </w:r>
    </w:p>
    <w:p>
      <w:pPr>
        <w:pStyle w:val="Indenti"/>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 less than 21 years of age; and</w:t>
      </w:r>
    </w:p>
    <w:p>
      <w:pPr>
        <w:pStyle w:val="Indenta"/>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 and</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 or</w:t>
      </w:r>
    </w:p>
    <w:p>
      <w:pPr>
        <w:pStyle w:val="Indenta"/>
      </w:pPr>
      <w:r>
        <w:tab/>
        <w:t>(ba)</w:t>
      </w:r>
      <w:r>
        <w:tab/>
        <w:t>a nurse practitioner; or</w:t>
      </w:r>
    </w:p>
    <w:p>
      <w:pPr>
        <w:pStyle w:val="Indenta"/>
        <w:rPr>
          <w:snapToGrid w:val="0"/>
        </w:rPr>
      </w:pPr>
      <w:r>
        <w:rPr>
          <w:snapToGrid w:val="0"/>
        </w:rPr>
        <w:tab/>
        <w:t>(b)</w:t>
      </w:r>
      <w:r>
        <w:rPr>
          <w:snapToGrid w:val="0"/>
        </w:rPr>
        <w:tab/>
        <w:t>a veterinary surgeon; or</w:t>
      </w:r>
    </w:p>
    <w:p>
      <w:pPr>
        <w:pStyle w:val="Indenta"/>
        <w:rPr>
          <w:snapToGrid w:val="0"/>
        </w:rPr>
      </w:pPr>
      <w:r>
        <w:rPr>
          <w:snapToGrid w:val="0"/>
        </w:rPr>
        <w:tab/>
        <w:t>(c)</w:t>
      </w:r>
      <w:r>
        <w:rPr>
          <w:snapToGrid w:val="0"/>
        </w:rPr>
        <w:tab/>
        <w:t>a dentist; or</w:t>
      </w:r>
    </w:p>
    <w:p>
      <w:pPr>
        <w:pStyle w:val="Indenta"/>
      </w:pPr>
      <w:r>
        <w:rPr>
          <w:snapToGrid w:val="0"/>
        </w:rPr>
        <w:tab/>
        <w:t>(d)</w:t>
      </w:r>
      <w:r>
        <w:rPr>
          <w:snapToGrid w:val="0"/>
        </w:rPr>
        <w:tab/>
      </w:r>
      <w:r>
        <w:t>a pharmacist; or</w:t>
      </w:r>
    </w:p>
    <w:p>
      <w:pPr>
        <w:pStyle w:val="Indenta"/>
      </w:pPr>
      <w:r>
        <w:tab/>
        <w:t>(e)</w:t>
      </w:r>
      <w:r>
        <w:tab/>
        <w:t>an authorised health practitioner.</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rPr>
      </w:pPr>
      <w:r>
        <w:rPr>
          <w:snapToGrid w:val="0"/>
        </w:rPr>
        <w:tab/>
        <w:t>(b)</w:t>
      </w:r>
      <w:r>
        <w:rPr>
          <w:snapToGrid w:val="0"/>
        </w:rPr>
        <w:tab/>
        <w:t>the</w:t>
      </w:r>
      <w:r>
        <w:t xml:space="preserve"> CEO</w:t>
      </w:r>
      <w:r>
        <w:rPr>
          <w:snapToGrid w:val="0"/>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Indenta"/>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19 Nov 2010 p. 5712; 1 Jun 2012 p. 2309.] </w:t>
      </w:r>
    </w:p>
    <w:p>
      <w:pPr>
        <w:pStyle w:val="Footnoteheading"/>
      </w:pPr>
      <w:r>
        <w:tab/>
        <w:t>[Heading deleted in Gazette 12 Aug 2003 p. 3663.]</w:t>
      </w:r>
    </w:p>
    <w:p>
      <w:pPr>
        <w:pStyle w:val="Heading5"/>
        <w:rPr>
          <w:snapToGrid w:val="0"/>
        </w:rPr>
      </w:pPr>
      <w:bookmarkStart w:id="109" w:name="_Toc406492370"/>
      <w:bookmarkStart w:id="110" w:name="_Toc524795771"/>
      <w:r>
        <w:rPr>
          <w:rStyle w:val="CharSectno"/>
        </w:rPr>
        <w:t>9</w:t>
      </w:r>
      <w:r>
        <w:rPr>
          <w:snapToGrid w:val="0"/>
        </w:rPr>
        <w:t>.</w:t>
      </w:r>
      <w:r>
        <w:rPr>
          <w:snapToGrid w:val="0"/>
        </w:rPr>
        <w:tab/>
        <w:t>Poisons permit (industrial), effect of etc.</w:t>
      </w:r>
      <w:bookmarkEnd w:id="109"/>
      <w:bookmarkEnd w:id="110"/>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Footnoteheading"/>
      </w:pPr>
      <w:r>
        <w:tab/>
        <w:t>[Heading deleted in Gazette 12 Aug 2003 p. 3663.]</w:t>
      </w:r>
    </w:p>
    <w:p>
      <w:pPr>
        <w:pStyle w:val="Heading5"/>
        <w:spacing w:before="260"/>
        <w:rPr>
          <w:snapToGrid w:val="0"/>
        </w:rPr>
      </w:pPr>
      <w:bookmarkStart w:id="111" w:name="_Toc406492371"/>
      <w:bookmarkStart w:id="112" w:name="_Toc524795772"/>
      <w:r>
        <w:rPr>
          <w:rStyle w:val="CharSectno"/>
        </w:rPr>
        <w:t>10</w:t>
      </w:r>
      <w:r>
        <w:rPr>
          <w:snapToGrid w:val="0"/>
        </w:rPr>
        <w:t>.</w:t>
      </w:r>
      <w:r>
        <w:rPr>
          <w:snapToGrid w:val="0"/>
        </w:rPr>
        <w:tab/>
        <w:t>Poisons permit (educational, advisory or research), effect of etc.</w:t>
      </w:r>
      <w:bookmarkEnd w:id="111"/>
      <w:bookmarkEnd w:id="112"/>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13" w:name="_Toc406492372"/>
      <w:bookmarkStart w:id="114" w:name="_Toc524795773"/>
      <w:r>
        <w:rPr>
          <w:rStyle w:val="CharSectno"/>
        </w:rPr>
        <w:t>10AA</w:t>
      </w:r>
      <w:r>
        <w:t>.</w:t>
      </w:r>
      <w:r>
        <w:tab/>
        <w:t>Poisons permit (health services),</w:t>
      </w:r>
      <w:r>
        <w:rPr>
          <w:snapToGrid w:val="0"/>
        </w:rPr>
        <w:t xml:space="preserve"> effect of etc.</w:t>
      </w:r>
      <w:bookmarkEnd w:id="113"/>
      <w:bookmarkEnd w:id="114"/>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keepNext/>
      </w:pPr>
      <w:r>
        <w:tab/>
        <w:t>(2)</w:t>
      </w:r>
      <w:r>
        <w:tab/>
        <w:t xml:space="preserve">The permit may not be granted to — </w:t>
      </w:r>
    </w:p>
    <w:p>
      <w:pPr>
        <w:pStyle w:val="Indenta"/>
      </w:pPr>
      <w:r>
        <w:tab/>
        <w:t>(a)</w:t>
      </w:r>
      <w:r>
        <w:tab/>
        <w:t>a department or instrumentality of the State or of the Commonwealth; or</w:t>
      </w:r>
    </w:p>
    <w:p>
      <w:pPr>
        <w:pStyle w:val="Indenta"/>
        <w:keepNext/>
      </w:pPr>
      <w:r>
        <w:tab/>
        <w:t>(b)</w:t>
      </w:r>
      <w:r>
        <w:tab/>
        <w:t>a public hospital.</w:t>
      </w:r>
    </w:p>
    <w:p>
      <w:pPr>
        <w:pStyle w:val="Footnotesection"/>
      </w:pPr>
      <w:r>
        <w:tab/>
        <w:t>[Regulation 10AA inserted in Gazette 4 Apr 2006 p. 1406.]</w:t>
      </w:r>
    </w:p>
    <w:p>
      <w:pPr>
        <w:pStyle w:val="Footnoteheading"/>
      </w:pPr>
      <w:r>
        <w:tab/>
        <w:t>[Heading deleted in Gazette 12 Aug 2003 p. 3663.]</w:t>
      </w:r>
    </w:p>
    <w:p>
      <w:pPr>
        <w:pStyle w:val="Heading5"/>
        <w:spacing w:before="180"/>
        <w:rPr>
          <w:snapToGrid w:val="0"/>
        </w:rPr>
      </w:pPr>
      <w:bookmarkStart w:id="115" w:name="_Toc406492373"/>
      <w:bookmarkStart w:id="116" w:name="_Toc524795774"/>
      <w:r>
        <w:rPr>
          <w:rStyle w:val="CharSectno"/>
        </w:rPr>
        <w:t>10A</w:t>
      </w:r>
      <w:r>
        <w:rPr>
          <w:snapToGrid w:val="0"/>
        </w:rPr>
        <w:t>.</w:t>
      </w:r>
      <w:r>
        <w:rPr>
          <w:snapToGrid w:val="0"/>
        </w:rPr>
        <w:tab/>
        <w:t>Poisons permit (departmental and hospital), effect of etc.</w:t>
      </w:r>
      <w:bookmarkEnd w:id="115"/>
      <w:bookmarkEnd w:id="116"/>
      <w:r>
        <w:rPr>
          <w:snapToGrid w:val="0"/>
        </w:rPr>
        <w:t xml:space="preserve"> </w:t>
      </w:r>
    </w:p>
    <w:p>
      <w:pPr>
        <w:pStyle w:val="Subsection"/>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17" w:name="_Toc406492374"/>
      <w:bookmarkStart w:id="118" w:name="_Toc524795775"/>
      <w:r>
        <w:rPr>
          <w:rStyle w:val="CharSectno"/>
        </w:rPr>
        <w:t>10B</w:t>
      </w:r>
      <w:r>
        <w:rPr>
          <w:snapToGrid w:val="0"/>
        </w:rPr>
        <w:t>.</w:t>
      </w:r>
      <w:r>
        <w:rPr>
          <w:snapToGrid w:val="0"/>
        </w:rPr>
        <w:tab/>
        <w:t>Licence to cultivate prohibited plants (Act s. 41A), form of</w:t>
      </w:r>
      <w:bookmarkEnd w:id="117"/>
      <w:bookmarkEnd w:id="118"/>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Footnoteheading"/>
      </w:pPr>
      <w:r>
        <w:tab/>
        <w:t>[Heading deleted in Gazette 27 May 1988 p. 1789.]</w:t>
      </w:r>
    </w:p>
    <w:p>
      <w:pPr>
        <w:pStyle w:val="Heading5"/>
        <w:rPr>
          <w:snapToGrid w:val="0"/>
        </w:rPr>
      </w:pPr>
      <w:bookmarkStart w:id="119" w:name="_Toc406492375"/>
      <w:bookmarkStart w:id="120" w:name="_Toc524795776"/>
      <w:r>
        <w:rPr>
          <w:rStyle w:val="CharSectno"/>
        </w:rPr>
        <w:t>11</w:t>
      </w:r>
      <w:r>
        <w:rPr>
          <w:snapToGrid w:val="0"/>
        </w:rPr>
        <w:t>.</w:t>
      </w:r>
      <w:r>
        <w:rPr>
          <w:snapToGrid w:val="0"/>
        </w:rPr>
        <w:tab/>
        <w:t>Remote area nursing posts, designation of</w:t>
      </w:r>
      <w:bookmarkEnd w:id="119"/>
      <w:bookmarkEnd w:id="120"/>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spacing w:before="240"/>
      </w:pPr>
      <w:bookmarkStart w:id="121" w:name="_Toc406492376"/>
      <w:bookmarkStart w:id="122" w:name="_Toc524795777"/>
      <w:r>
        <w:rPr>
          <w:rStyle w:val="CharSectno"/>
        </w:rPr>
        <w:t>11A</w:t>
      </w:r>
      <w:r>
        <w:t>.</w:t>
      </w:r>
      <w:r>
        <w:tab/>
        <w:t>Areas for Act s. 23(2)(e), designation of</w:t>
      </w:r>
      <w:bookmarkEnd w:id="121"/>
      <w:bookmarkEnd w:id="122"/>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 and</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pPr>
      <w:r>
        <w:tab/>
        <w:t>[Regulation 11A inserted by Act No. 9 of 2003 s. 42; amended in Gazette 15 Dec 2006 p. 5630 and 5631.]</w:t>
      </w:r>
    </w:p>
    <w:p>
      <w:pPr>
        <w:pStyle w:val="Footnoteheading"/>
      </w:pPr>
      <w:r>
        <w:tab/>
        <w:t>[Heading deleted in Gazette 12 Aug 2003 p. 3663.]</w:t>
      </w:r>
    </w:p>
    <w:p>
      <w:pPr>
        <w:pStyle w:val="Heading5"/>
        <w:rPr>
          <w:snapToGrid w:val="0"/>
        </w:rPr>
      </w:pPr>
      <w:bookmarkStart w:id="123" w:name="_Toc406492377"/>
      <w:bookmarkStart w:id="124" w:name="_Toc524795778"/>
      <w:r>
        <w:rPr>
          <w:rStyle w:val="CharSectno"/>
        </w:rPr>
        <w:t>12</w:t>
      </w:r>
      <w:r>
        <w:rPr>
          <w:snapToGrid w:val="0"/>
        </w:rPr>
        <w:t>.</w:t>
      </w:r>
      <w:r>
        <w:rPr>
          <w:snapToGrid w:val="0"/>
        </w:rPr>
        <w:tab/>
        <w:t>Applications for licences or permits (Act s. 24 and 25)</w:t>
      </w:r>
      <w:bookmarkEnd w:id="123"/>
      <w:bookmarkEnd w:id="124"/>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pPr>
      <w:r>
        <w:tab/>
        <w:t>[Regulation 12 inserted in Gazette 19 Mar 1996 p. 1219; amended in Gazette 15 Dec 2006 p. 5630.]</w:t>
      </w:r>
    </w:p>
    <w:p>
      <w:pPr>
        <w:pStyle w:val="Heading3"/>
        <w:keepLines/>
      </w:pPr>
      <w:bookmarkStart w:id="125" w:name="_Toc406084191"/>
      <w:bookmarkStart w:id="126" w:name="_Toc406492378"/>
      <w:bookmarkStart w:id="127" w:name="_Toc414629521"/>
      <w:bookmarkStart w:id="128" w:name="_Toc414629748"/>
      <w:bookmarkStart w:id="129" w:name="_Toc414871607"/>
      <w:bookmarkStart w:id="130" w:name="_Toc414873373"/>
      <w:bookmarkStart w:id="131" w:name="_Toc418582415"/>
      <w:bookmarkStart w:id="132" w:name="_Toc423426462"/>
      <w:bookmarkStart w:id="133" w:name="_Toc423426863"/>
      <w:bookmarkStart w:id="134" w:name="_Toc524795779"/>
      <w:r>
        <w:rPr>
          <w:rStyle w:val="CharDivNo"/>
        </w:rPr>
        <w:t>Division 2</w:t>
      </w:r>
      <w:r>
        <w:t xml:space="preserve"> — </w:t>
      </w:r>
      <w:r>
        <w:rPr>
          <w:rStyle w:val="CharDivText"/>
        </w:rPr>
        <w:t>Needle and syringe programme</w:t>
      </w:r>
      <w:bookmarkEnd w:id="125"/>
      <w:bookmarkEnd w:id="126"/>
      <w:bookmarkEnd w:id="127"/>
      <w:bookmarkEnd w:id="128"/>
      <w:bookmarkEnd w:id="129"/>
      <w:bookmarkEnd w:id="130"/>
      <w:bookmarkEnd w:id="131"/>
      <w:bookmarkEnd w:id="132"/>
      <w:bookmarkEnd w:id="133"/>
      <w:bookmarkEnd w:id="134"/>
    </w:p>
    <w:p>
      <w:pPr>
        <w:pStyle w:val="Footnoteheading"/>
        <w:keepNext/>
        <w:keepLines/>
      </w:pPr>
      <w:r>
        <w:tab/>
        <w:t>[Heading inserted in Gazette 12 Aug 2003 p. 3664.]</w:t>
      </w:r>
    </w:p>
    <w:p>
      <w:pPr>
        <w:pStyle w:val="Heading5"/>
        <w:rPr>
          <w:snapToGrid w:val="0"/>
        </w:rPr>
      </w:pPr>
      <w:bookmarkStart w:id="135" w:name="_Toc406492379"/>
      <w:bookmarkStart w:id="136" w:name="_Toc524795780"/>
      <w:r>
        <w:rPr>
          <w:rStyle w:val="CharSectno"/>
        </w:rPr>
        <w:t>12A</w:t>
      </w:r>
      <w:r>
        <w:rPr>
          <w:snapToGrid w:val="0"/>
        </w:rPr>
        <w:t>.</w:t>
      </w:r>
      <w:r>
        <w:rPr>
          <w:snapToGrid w:val="0"/>
        </w:rPr>
        <w:tab/>
        <w:t>Approval of programmes</w:t>
      </w:r>
      <w:bookmarkEnd w:id="135"/>
      <w:bookmarkEnd w:id="136"/>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 and</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keepNext/>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137" w:name="_Toc406492380"/>
      <w:bookmarkStart w:id="138" w:name="_Toc524795781"/>
      <w:r>
        <w:rPr>
          <w:rStyle w:val="CharSectno"/>
        </w:rPr>
        <w:t>12B</w:t>
      </w:r>
      <w:r>
        <w:rPr>
          <w:snapToGrid w:val="0"/>
        </w:rPr>
        <w:t>.</w:t>
      </w:r>
      <w:r>
        <w:rPr>
          <w:snapToGrid w:val="0"/>
        </w:rPr>
        <w:tab/>
        <w:t>Copy of approval to be provided to programme coordinator</w:t>
      </w:r>
      <w:bookmarkEnd w:id="137"/>
      <w:bookmarkEnd w:id="138"/>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rPr>
          <w:snapToGrid w:val="0"/>
        </w:rPr>
      </w:pPr>
      <w:bookmarkStart w:id="139" w:name="_Toc406492381"/>
      <w:bookmarkStart w:id="140" w:name="_Toc524795782"/>
      <w:r>
        <w:rPr>
          <w:rStyle w:val="CharSectno"/>
        </w:rPr>
        <w:t>12C</w:t>
      </w:r>
      <w:r>
        <w:rPr>
          <w:snapToGrid w:val="0"/>
        </w:rPr>
        <w:t>.</w:t>
      </w:r>
      <w:r>
        <w:rPr>
          <w:snapToGrid w:val="0"/>
        </w:rPr>
        <w:tab/>
        <w:t>Programme coordinator’s duties</w:t>
      </w:r>
      <w:bookmarkEnd w:id="139"/>
      <w:bookmarkEnd w:id="140"/>
      <w:r>
        <w:rPr>
          <w:snapToGrid w:val="0"/>
        </w:rPr>
        <w:t xml:space="preserve"> </w:t>
      </w:r>
    </w:p>
    <w:p>
      <w:pPr>
        <w:pStyle w:val="Subsection"/>
        <w:keepNext/>
        <w:keepLines/>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 and</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pPr>
      <w:r>
        <w:tab/>
        <w:t xml:space="preserve">[Regulation 12C inserted in Gazette 26 May 1994 p. 2198; amended in Gazette 15 Dec 2006 p. 5630.] </w:t>
      </w:r>
    </w:p>
    <w:p>
      <w:pPr>
        <w:pStyle w:val="Heading5"/>
        <w:rPr>
          <w:snapToGrid w:val="0"/>
        </w:rPr>
      </w:pPr>
      <w:bookmarkStart w:id="141" w:name="_Toc406492382"/>
      <w:bookmarkStart w:id="142" w:name="_Toc524795783"/>
      <w:r>
        <w:rPr>
          <w:rStyle w:val="CharSectno"/>
        </w:rPr>
        <w:t>12D</w:t>
      </w:r>
      <w:r>
        <w:rPr>
          <w:snapToGrid w:val="0"/>
        </w:rPr>
        <w:t>.</w:t>
      </w:r>
      <w:r>
        <w:rPr>
          <w:snapToGrid w:val="0"/>
        </w:rPr>
        <w:tab/>
        <w:t>Requirements relating to programme</w:t>
      </w:r>
      <w:bookmarkEnd w:id="141"/>
      <w:bookmarkEnd w:id="142"/>
      <w:r>
        <w:rPr>
          <w:snapToGrid w:val="0"/>
        </w:rPr>
        <w:t xml:space="preserve"> </w:t>
      </w:r>
    </w:p>
    <w:p>
      <w:pPr>
        <w:pStyle w:val="Subsection"/>
        <w:rPr>
          <w:snapToGrid w:val="0"/>
        </w:rPr>
      </w:pPr>
      <w:r>
        <w:rPr>
          <w:snapToGrid w:val="0"/>
        </w:rPr>
        <w:tab/>
        <w:t>(1)</w:t>
      </w:r>
      <w:r>
        <w:rPr>
          <w:snapToGrid w:val="0"/>
        </w:rPr>
        <w:tab/>
        <w:t xml:space="preserve">Where the </w:t>
      </w:r>
      <w:r>
        <w:t>CEO</w:t>
      </w:r>
      <w:r>
        <w:rPr>
          <w:snapToGrid w:val="0"/>
        </w:rPr>
        <w:t xml:space="preserve"> approves a needle and syringe programme, the </w:t>
      </w:r>
      <w:r>
        <w:t>CEO</w:t>
      </w:r>
      <w:r>
        <w:rPr>
          <w:snapToGrid w:val="0"/>
        </w:rPr>
        <w:t xml:space="preserve"> may specify in the approval a requirement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pPr>
      <w:r>
        <w:tab/>
        <w:t>[Regulation 12D inserted in Gazette 26 May 1994 p. 2199; amended in Gazette 15 Dec 2006 p. 5630.]</w:t>
      </w:r>
    </w:p>
    <w:p>
      <w:pPr>
        <w:pStyle w:val="Heading5"/>
        <w:rPr>
          <w:snapToGrid w:val="0"/>
        </w:rPr>
      </w:pPr>
      <w:bookmarkStart w:id="143" w:name="_Toc406492383"/>
      <w:bookmarkStart w:id="144" w:name="_Toc524795784"/>
      <w:r>
        <w:rPr>
          <w:rStyle w:val="CharSectno"/>
        </w:rPr>
        <w:t>12E</w:t>
      </w:r>
      <w:r>
        <w:rPr>
          <w:snapToGrid w:val="0"/>
        </w:rPr>
        <w:t>.</w:t>
      </w:r>
      <w:r>
        <w:rPr>
          <w:snapToGrid w:val="0"/>
        </w:rPr>
        <w:tab/>
        <w:t>Direction to person not to participate in programme</w:t>
      </w:r>
      <w:bookmarkEnd w:id="143"/>
      <w:bookmarkEnd w:id="144"/>
    </w:p>
    <w:p>
      <w:pPr>
        <w:pStyle w:val="Subsection"/>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rPr>
          <w:snapToGrid w:val="0"/>
        </w:rPr>
      </w:pPr>
      <w:r>
        <w:rPr>
          <w:snapToGrid w:val="0"/>
        </w:rPr>
        <w:tab/>
        <w:t>(2)</w:t>
      </w:r>
      <w:r>
        <w:rPr>
          <w:snapToGrid w:val="0"/>
        </w:rPr>
        <w:tab/>
        <w:t>A person shall not contravene a direction under subregulation (1).</w:t>
      </w:r>
    </w:p>
    <w:p>
      <w:pPr>
        <w:pStyle w:val="Footnotesection"/>
      </w:pPr>
      <w:r>
        <w:tab/>
        <w:t>[Regulation 12E inserted in Gazette 26 May 1994 p. 2199; amended in Gazette 15 Dec 2006 p. 5630.]</w:t>
      </w:r>
    </w:p>
    <w:p>
      <w:pPr>
        <w:pStyle w:val="Heading5"/>
        <w:rPr>
          <w:snapToGrid w:val="0"/>
        </w:rPr>
      </w:pPr>
      <w:bookmarkStart w:id="145" w:name="_Toc406492384"/>
      <w:bookmarkStart w:id="146" w:name="_Toc524795785"/>
      <w:r>
        <w:rPr>
          <w:rStyle w:val="CharSectno"/>
        </w:rPr>
        <w:t>12F</w:t>
      </w:r>
      <w:r>
        <w:rPr>
          <w:snapToGrid w:val="0"/>
        </w:rPr>
        <w:t>.</w:t>
      </w:r>
      <w:r>
        <w:rPr>
          <w:snapToGrid w:val="0"/>
        </w:rPr>
        <w:tab/>
        <w:t>Used hypodermic needles and syringes, rules as to</w:t>
      </w:r>
      <w:bookmarkEnd w:id="145"/>
      <w:bookmarkEnd w:id="146"/>
      <w:r>
        <w:rPr>
          <w:snapToGrid w:val="0"/>
        </w:rPr>
        <w:t xml:space="preserve"> </w:t>
      </w:r>
    </w:p>
    <w:p>
      <w:pPr>
        <w:pStyle w:val="Subsection"/>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Footnoteheading"/>
      </w:pPr>
      <w:r>
        <w:tab/>
        <w:t>[Heading deleted in Gazette 12 Aug 2003 p. 3663.]</w:t>
      </w:r>
    </w:p>
    <w:p>
      <w:pPr>
        <w:pStyle w:val="Ednotesection"/>
        <w:spacing w:before="240"/>
      </w:pPr>
      <w:r>
        <w:t>[</w:t>
      </w:r>
      <w:r>
        <w:rPr>
          <w:b/>
        </w:rPr>
        <w:t>13, 14.</w:t>
      </w:r>
      <w:r>
        <w:rPr>
          <w:b/>
        </w:rPr>
        <w:tab/>
      </w:r>
      <w:r>
        <w:t xml:space="preserve">Deleted in Gazette 19 Mar 1996 p. 1219.] </w:t>
      </w:r>
    </w:p>
    <w:p>
      <w:pPr>
        <w:pStyle w:val="Heading3"/>
        <w:keepLines/>
      </w:pPr>
      <w:bookmarkStart w:id="147" w:name="_Toc406084198"/>
      <w:bookmarkStart w:id="148" w:name="_Toc406492385"/>
      <w:bookmarkStart w:id="149" w:name="_Toc414629528"/>
      <w:bookmarkStart w:id="150" w:name="_Toc414629755"/>
      <w:bookmarkStart w:id="151" w:name="_Toc414871614"/>
      <w:bookmarkStart w:id="152" w:name="_Toc414873380"/>
      <w:bookmarkStart w:id="153" w:name="_Toc418582422"/>
      <w:bookmarkStart w:id="154" w:name="_Toc423426469"/>
      <w:bookmarkStart w:id="155" w:name="_Toc423426870"/>
      <w:bookmarkStart w:id="156" w:name="_Toc524795786"/>
      <w:r>
        <w:rPr>
          <w:rStyle w:val="CharDivNo"/>
        </w:rPr>
        <w:t>Division 3</w:t>
      </w:r>
      <w:r>
        <w:t xml:space="preserve"> — </w:t>
      </w:r>
      <w:r>
        <w:rPr>
          <w:rStyle w:val="CharDivText"/>
        </w:rPr>
        <w:t>Restrictions and obligations</w:t>
      </w:r>
      <w:bookmarkEnd w:id="147"/>
      <w:bookmarkEnd w:id="148"/>
      <w:bookmarkEnd w:id="149"/>
      <w:bookmarkEnd w:id="150"/>
      <w:bookmarkEnd w:id="151"/>
      <w:bookmarkEnd w:id="152"/>
      <w:bookmarkEnd w:id="153"/>
      <w:bookmarkEnd w:id="154"/>
      <w:bookmarkEnd w:id="155"/>
      <w:bookmarkEnd w:id="156"/>
    </w:p>
    <w:p>
      <w:pPr>
        <w:pStyle w:val="Footnoteheading"/>
        <w:keepNext/>
        <w:keepLines/>
      </w:pPr>
      <w:r>
        <w:tab/>
        <w:t>[Heading inserted in Gazette 12 Aug 2003 p. 3664.]</w:t>
      </w:r>
    </w:p>
    <w:p>
      <w:pPr>
        <w:pStyle w:val="Heading5"/>
        <w:rPr>
          <w:snapToGrid w:val="0"/>
        </w:rPr>
      </w:pPr>
      <w:bookmarkStart w:id="157" w:name="_Toc406492386"/>
      <w:bookmarkStart w:id="158" w:name="_Toc524795787"/>
      <w:r>
        <w:rPr>
          <w:rStyle w:val="CharSectno"/>
        </w:rPr>
        <w:t>15</w:t>
      </w:r>
      <w:r>
        <w:rPr>
          <w:snapToGrid w:val="0"/>
        </w:rPr>
        <w:t>.</w:t>
      </w:r>
      <w:r>
        <w:rPr>
          <w:snapToGrid w:val="0"/>
        </w:rPr>
        <w:tab/>
        <w:t>Person under 21 not generally eligible for licence or permit</w:t>
      </w:r>
      <w:bookmarkEnd w:id="157"/>
      <w:bookmarkEnd w:id="158"/>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159" w:name="_Toc406492387"/>
      <w:bookmarkStart w:id="160" w:name="_Toc524795788"/>
      <w:r>
        <w:rPr>
          <w:rStyle w:val="CharSectno"/>
        </w:rPr>
        <w:t>16</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poison to be only by licensee or agent aged 15 or over</w:t>
      </w:r>
      <w:bookmarkEnd w:id="159"/>
      <w:bookmarkEnd w:id="160"/>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spacing w:before="240"/>
        <w:rPr>
          <w:snapToGrid w:val="0"/>
        </w:rPr>
      </w:pPr>
      <w:bookmarkStart w:id="161" w:name="_Toc406492388"/>
      <w:bookmarkStart w:id="162" w:name="_Toc524795789"/>
      <w:r>
        <w:rPr>
          <w:rStyle w:val="CharSectno"/>
        </w:rPr>
        <w:t>17</w:t>
      </w:r>
      <w:r>
        <w:rPr>
          <w:snapToGrid w:val="0"/>
        </w:rPr>
        <w:t>.</w:t>
      </w:r>
      <w:r>
        <w:rPr>
          <w:snapToGrid w:val="0"/>
        </w:rPr>
        <w:tab/>
        <w:t>Licence or permit not transferable</w:t>
      </w:r>
      <w:bookmarkEnd w:id="161"/>
      <w:bookmarkEnd w:id="162"/>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163" w:name="_Toc406492389"/>
      <w:bookmarkStart w:id="164" w:name="_Toc524795790"/>
      <w:r>
        <w:rPr>
          <w:rStyle w:val="CharSectno"/>
        </w:rPr>
        <w:t>18</w:t>
      </w:r>
      <w:r>
        <w:rPr>
          <w:snapToGrid w:val="0"/>
        </w:rPr>
        <w:t>.</w:t>
      </w:r>
      <w:r>
        <w:rPr>
          <w:snapToGrid w:val="0"/>
        </w:rPr>
        <w:tab/>
        <w:t>Licensee to display licence</w:t>
      </w:r>
      <w:bookmarkEnd w:id="163"/>
      <w:bookmarkEnd w:id="164"/>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Footnoteheading"/>
      </w:pPr>
      <w:r>
        <w:tab/>
        <w:t>[Heading deleted in Gazette 12 Aug 2003 p. 3663.]</w:t>
      </w:r>
    </w:p>
    <w:p>
      <w:pPr>
        <w:pStyle w:val="Heading2"/>
      </w:pPr>
      <w:bookmarkStart w:id="165" w:name="_Toc406084203"/>
      <w:bookmarkStart w:id="166" w:name="_Toc406492390"/>
      <w:bookmarkStart w:id="167" w:name="_Toc414629533"/>
      <w:bookmarkStart w:id="168" w:name="_Toc414629760"/>
      <w:bookmarkStart w:id="169" w:name="_Toc414871619"/>
      <w:bookmarkStart w:id="170" w:name="_Toc414873385"/>
      <w:bookmarkStart w:id="171" w:name="_Toc418582427"/>
      <w:bookmarkStart w:id="172" w:name="_Toc423426474"/>
      <w:bookmarkStart w:id="173" w:name="_Toc423426875"/>
      <w:bookmarkStart w:id="174" w:name="_Toc524795791"/>
      <w:r>
        <w:rPr>
          <w:rStyle w:val="CharPartNo"/>
        </w:rPr>
        <w:t>Part 3</w:t>
      </w:r>
      <w:r>
        <w:t xml:space="preserve"> — </w:t>
      </w:r>
      <w:r>
        <w:rPr>
          <w:rStyle w:val="CharPartText"/>
        </w:rPr>
        <w:t>Containers and labels</w:t>
      </w:r>
      <w:bookmarkEnd w:id="165"/>
      <w:bookmarkEnd w:id="166"/>
      <w:bookmarkEnd w:id="167"/>
      <w:bookmarkEnd w:id="168"/>
      <w:bookmarkEnd w:id="169"/>
      <w:bookmarkEnd w:id="170"/>
      <w:bookmarkEnd w:id="171"/>
      <w:bookmarkEnd w:id="172"/>
      <w:bookmarkEnd w:id="173"/>
      <w:bookmarkEnd w:id="174"/>
      <w:r>
        <w:t xml:space="preserve"> </w:t>
      </w:r>
    </w:p>
    <w:p>
      <w:pPr>
        <w:pStyle w:val="Footnoteheading"/>
      </w:pPr>
      <w:r>
        <w:tab/>
        <w:t>[Heading inserted in Gazette 12 Aug 2003 p. 3664.]</w:t>
      </w:r>
    </w:p>
    <w:p>
      <w:pPr>
        <w:pStyle w:val="Heading3"/>
        <w:keepNext w:val="0"/>
      </w:pPr>
      <w:bookmarkStart w:id="175" w:name="_Toc406084204"/>
      <w:bookmarkStart w:id="176" w:name="_Toc406492391"/>
      <w:bookmarkStart w:id="177" w:name="_Toc414629534"/>
      <w:bookmarkStart w:id="178" w:name="_Toc414629761"/>
      <w:bookmarkStart w:id="179" w:name="_Toc414871620"/>
      <w:bookmarkStart w:id="180" w:name="_Toc414873386"/>
      <w:bookmarkStart w:id="181" w:name="_Toc418582428"/>
      <w:bookmarkStart w:id="182" w:name="_Toc423426475"/>
      <w:bookmarkStart w:id="183" w:name="_Toc423426876"/>
      <w:bookmarkStart w:id="184" w:name="_Toc524795792"/>
      <w:r>
        <w:rPr>
          <w:rStyle w:val="CharDivNo"/>
        </w:rPr>
        <w:t>Division 1</w:t>
      </w:r>
      <w:r>
        <w:t xml:space="preserve"> — </w:t>
      </w:r>
      <w:r>
        <w:rPr>
          <w:rStyle w:val="CharDivText"/>
        </w:rPr>
        <w:t>Containers</w:t>
      </w:r>
      <w:bookmarkEnd w:id="175"/>
      <w:bookmarkEnd w:id="176"/>
      <w:bookmarkEnd w:id="177"/>
      <w:bookmarkEnd w:id="178"/>
      <w:bookmarkEnd w:id="179"/>
      <w:bookmarkEnd w:id="180"/>
      <w:bookmarkEnd w:id="181"/>
      <w:bookmarkEnd w:id="182"/>
      <w:bookmarkEnd w:id="183"/>
      <w:bookmarkEnd w:id="184"/>
    </w:p>
    <w:p>
      <w:pPr>
        <w:pStyle w:val="Footnoteheading"/>
      </w:pPr>
      <w:r>
        <w:tab/>
        <w:t>[Heading inserted in Gazette 12 Aug 2003 p. 3664.]</w:t>
      </w:r>
    </w:p>
    <w:p>
      <w:pPr>
        <w:pStyle w:val="Heading5"/>
        <w:rPr>
          <w:snapToGrid w:val="0"/>
        </w:rPr>
      </w:pPr>
      <w:bookmarkStart w:id="185" w:name="_Toc406492392"/>
      <w:bookmarkStart w:id="186" w:name="_Toc524795793"/>
      <w:r>
        <w:rPr>
          <w:rStyle w:val="CharSectno"/>
        </w:rPr>
        <w:t>19</w:t>
      </w:r>
      <w:r>
        <w:rPr>
          <w:snapToGrid w:val="0"/>
        </w:rPr>
        <w:t>.</w:t>
      </w:r>
      <w:r>
        <w:rPr>
          <w:snapToGrid w:val="0"/>
        </w:rPr>
        <w:tab/>
        <w:t>Containers and their labels to comply with SUSMP</w:t>
      </w:r>
      <w:bookmarkEnd w:id="185"/>
      <w:bookmarkEnd w:id="18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w:t>
      </w:r>
      <w:r>
        <w:rPr>
          <w:bCs/>
          <w:iCs/>
        </w:rPr>
        <w:t xml:space="preserve"> SUSMP</w:t>
      </w:r>
      <w:r>
        <w:rPr>
          <w:snapToGrid w:val="0"/>
        </w:rPr>
        <w:t>.</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w:t>
      </w:r>
      <w:r>
        <w:rPr>
          <w:bCs/>
          <w:iCs/>
        </w:rPr>
        <w:t xml:space="preserve"> SUSMP</w:t>
      </w:r>
      <w:r>
        <w:rPr>
          <w:snapToGrid w:val="0"/>
        </w:rPr>
        <w:t>.</w:t>
      </w:r>
    </w:p>
    <w:p>
      <w:pPr>
        <w:pStyle w:val="Subsection"/>
        <w:rPr>
          <w:snapToGrid w:val="0"/>
        </w:rPr>
      </w:pPr>
      <w:r>
        <w:rPr>
          <w:snapToGrid w:val="0"/>
        </w:rPr>
        <w:tab/>
        <w:t>(2a)</w:t>
      </w:r>
      <w:r>
        <w:rPr>
          <w:snapToGrid w:val="0"/>
        </w:rPr>
        <w:tab/>
        <w:t xml:space="preserve">For the purposes of this regulation, the interpretation provisions of Part 1 of the </w:t>
      </w:r>
      <w:r>
        <w:rPr>
          <w:bCs/>
          <w:iCs/>
        </w:rPr>
        <w:t>SUSMP</w:t>
      </w:r>
      <w:r>
        <w:rPr>
          <w:snapToGrid w:val="0"/>
        </w:rPr>
        <w:t xml:space="preserve"> shall be used to interpret Part 2 of the </w:t>
      </w:r>
      <w:r>
        <w:rPr>
          <w:bCs/>
          <w:iCs/>
        </w:rPr>
        <w:t>SUSMP</w:t>
      </w:r>
      <w:r>
        <w:rPr>
          <w:snapToGrid w:val="0"/>
        </w:rPr>
        <w:t xml:space="preserve"> as adopted by this regulation.</w:t>
      </w:r>
    </w:p>
    <w:p>
      <w:pPr>
        <w:pStyle w:val="Footnotesection"/>
      </w:pPr>
      <w:r>
        <w:tab/>
        <w:t>[Regulation 19 inserted in Gazette 23 Nov 1990 p. 5791; amended in Gazette 24 Jun 1994 p. 2865; 19 Mar 1996 p. 1219; 22 Oct 2010 p. 5218.]</w:t>
      </w:r>
    </w:p>
    <w:p>
      <w:pPr>
        <w:pStyle w:val="Heading5"/>
        <w:rPr>
          <w:snapToGrid w:val="0"/>
        </w:rPr>
      </w:pPr>
      <w:bookmarkStart w:id="187" w:name="_Toc406492393"/>
      <w:bookmarkStart w:id="188" w:name="_Toc524795794"/>
      <w:r>
        <w:rPr>
          <w:rStyle w:val="CharSectno"/>
        </w:rPr>
        <w:t>19AA</w:t>
      </w:r>
      <w:r>
        <w:rPr>
          <w:snapToGrid w:val="0"/>
        </w:rPr>
        <w:t>.</w:t>
      </w:r>
      <w:r>
        <w:rPr>
          <w:snapToGrid w:val="0"/>
        </w:rPr>
        <w:tab/>
        <w:t>Use of certain containers prohibited</w:t>
      </w:r>
      <w:bookmarkEnd w:id="187"/>
      <w:bookmarkEnd w:id="188"/>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pPr>
      <w:r>
        <w:tab/>
        <w:t>[Regulation 19AA inserted in Gazette 23 Nov 1990 p. 5791; amended in Gazette 26 May 1994 p. 2201; 19 Mar 1996 p. 1219</w:t>
      </w:r>
      <w:r>
        <w:noBreakHyphen/>
        <w:t>20; 15 Dec 2006 p. 5630.]</w:t>
      </w:r>
    </w:p>
    <w:p>
      <w:pPr>
        <w:pStyle w:val="Heading5"/>
        <w:rPr>
          <w:snapToGrid w:val="0"/>
        </w:rPr>
      </w:pPr>
      <w:bookmarkStart w:id="189" w:name="_Toc406492394"/>
      <w:bookmarkStart w:id="190" w:name="_Toc524795795"/>
      <w:r>
        <w:rPr>
          <w:rStyle w:val="CharSectno"/>
        </w:rPr>
        <w:t>19A</w:t>
      </w:r>
      <w:r>
        <w:rPr>
          <w:snapToGrid w:val="0"/>
        </w:rPr>
        <w:t>.</w:t>
      </w:r>
      <w:r>
        <w:rPr>
          <w:snapToGrid w:val="0"/>
        </w:rPr>
        <w:tab/>
        <w:t>Food etc. containers to be distinguishable from poison containers</w:t>
      </w:r>
      <w:bookmarkEnd w:id="189"/>
      <w:bookmarkEnd w:id="190"/>
      <w:r>
        <w:rPr>
          <w:snapToGrid w:val="0"/>
        </w:rPr>
        <w:t xml:space="preserve"> </w:t>
      </w:r>
    </w:p>
    <w:p>
      <w:pPr>
        <w:pStyle w:val="Subsection"/>
        <w:spacing w:before="140"/>
        <w:rPr>
          <w:snapToGrid w:val="0"/>
        </w:rPr>
      </w:pPr>
      <w:r>
        <w:rPr>
          <w:snapToGrid w:val="0"/>
        </w:rPr>
        <w:tab/>
      </w:r>
      <w:r>
        <w:rPr>
          <w:snapToGrid w:val="0"/>
        </w:rPr>
        <w:tab/>
        <w:t>A person shall not sell any food, drink, or condiment, or any drug or medicine for internal use, in a container — </w:t>
      </w:r>
    </w:p>
    <w:p>
      <w:pPr>
        <w:pStyle w:val="Indenta"/>
        <w:spacing w:before="60"/>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spacing w:before="60"/>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pPr>
      <w:r>
        <w:tab/>
        <w:t xml:space="preserve">[Regulation 19A inserted in Gazette 26 May 1971 p. 1773; amended in Gazette 19 Mar 1996 p. 1220.] </w:t>
      </w:r>
    </w:p>
    <w:p>
      <w:pPr>
        <w:pStyle w:val="Footnoteheading"/>
      </w:pPr>
      <w:r>
        <w:tab/>
        <w:t>[Heading deleted in Gazette 12 Aug 2003 p. 3663.]</w:t>
      </w:r>
    </w:p>
    <w:p>
      <w:pPr>
        <w:pStyle w:val="Ednotesection"/>
        <w:spacing w:before="200"/>
        <w:ind w:left="890" w:hanging="890"/>
      </w:pPr>
      <w:r>
        <w:t>[</w:t>
      </w:r>
      <w:r>
        <w:rPr>
          <w:b/>
        </w:rPr>
        <w:t>20.</w:t>
      </w:r>
      <w:r>
        <w:tab/>
        <w:t xml:space="preserve">Deleted in Gazette 23 Nov 1990 p. 5792.] </w:t>
      </w:r>
    </w:p>
    <w:p>
      <w:pPr>
        <w:pStyle w:val="Heading3"/>
        <w:spacing w:before="220"/>
      </w:pPr>
      <w:bookmarkStart w:id="191" w:name="_Toc406084208"/>
      <w:bookmarkStart w:id="192" w:name="_Toc406492395"/>
      <w:bookmarkStart w:id="193" w:name="_Toc414629538"/>
      <w:bookmarkStart w:id="194" w:name="_Toc414629765"/>
      <w:bookmarkStart w:id="195" w:name="_Toc414871624"/>
      <w:bookmarkStart w:id="196" w:name="_Toc414873390"/>
      <w:bookmarkStart w:id="197" w:name="_Toc418582432"/>
      <w:bookmarkStart w:id="198" w:name="_Toc423426479"/>
      <w:bookmarkStart w:id="199" w:name="_Toc423426880"/>
      <w:bookmarkStart w:id="200" w:name="_Toc524795796"/>
      <w:r>
        <w:rPr>
          <w:rStyle w:val="CharDivNo"/>
        </w:rPr>
        <w:t>Division 2</w:t>
      </w:r>
      <w:r>
        <w:t xml:space="preserve"> — </w:t>
      </w:r>
      <w:r>
        <w:rPr>
          <w:rStyle w:val="CharDivText"/>
        </w:rPr>
        <w:t>Labels</w:t>
      </w:r>
      <w:bookmarkEnd w:id="191"/>
      <w:bookmarkEnd w:id="192"/>
      <w:bookmarkEnd w:id="193"/>
      <w:bookmarkEnd w:id="194"/>
      <w:bookmarkEnd w:id="195"/>
      <w:bookmarkEnd w:id="196"/>
      <w:bookmarkEnd w:id="197"/>
      <w:bookmarkEnd w:id="198"/>
      <w:bookmarkEnd w:id="199"/>
      <w:bookmarkEnd w:id="200"/>
    </w:p>
    <w:p>
      <w:pPr>
        <w:pStyle w:val="Footnoteheading"/>
        <w:spacing w:before="100"/>
      </w:pPr>
      <w:r>
        <w:tab/>
        <w:t>[Heading inserted in Gazette 12 Aug 2003 p. 3664.]</w:t>
      </w:r>
    </w:p>
    <w:p>
      <w:pPr>
        <w:pStyle w:val="Heading5"/>
        <w:spacing w:before="200"/>
        <w:rPr>
          <w:snapToGrid w:val="0"/>
        </w:rPr>
      </w:pPr>
      <w:bookmarkStart w:id="201" w:name="_Toc406492396"/>
      <w:bookmarkStart w:id="202" w:name="_Toc524795797"/>
      <w:r>
        <w:rPr>
          <w:rStyle w:val="CharSectno"/>
        </w:rPr>
        <w:t>21</w:t>
      </w:r>
      <w:r>
        <w:rPr>
          <w:snapToGrid w:val="0"/>
        </w:rPr>
        <w:t>.</w:t>
      </w:r>
      <w:r>
        <w:rPr>
          <w:snapToGrid w:val="0"/>
        </w:rPr>
        <w:tab/>
        <w:t>Labels on medicines or preparations, requirements for despite r. 19</w:t>
      </w:r>
      <w:bookmarkEnd w:id="201"/>
      <w:bookmarkEnd w:id="202"/>
      <w:r>
        <w:rPr>
          <w:snapToGrid w:val="0"/>
        </w:rPr>
        <w:t xml:space="preserve"> </w:t>
      </w:r>
    </w:p>
    <w:p>
      <w:pPr>
        <w:pStyle w:val="Subsection"/>
        <w:spacing w:before="140"/>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6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w:t>
      </w:r>
      <w:r>
        <w:t xml:space="preserve">dentist or authorised heath practitioner, </w:t>
      </w:r>
      <w:r>
        <w:rPr>
          <w:snapToGrid w:val="0"/>
        </w:rPr>
        <w:t>for human internal use shall comply with that regulation if it is labelled in the English language with — </w:t>
      </w:r>
    </w:p>
    <w:p>
      <w:pPr>
        <w:pStyle w:val="Indenti"/>
        <w:spacing w:before="6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name of the patient; and</w:t>
      </w:r>
    </w:p>
    <w:p>
      <w:pPr>
        <w:pStyle w:val="Indenti"/>
        <w:spacing w:before="100"/>
        <w:rPr>
          <w:snapToGrid w:val="0"/>
        </w:rPr>
      </w:pPr>
      <w:r>
        <w:rPr>
          <w:snapToGrid w:val="0"/>
        </w:rPr>
        <w:tab/>
        <w:t>(iv)</w:t>
      </w:r>
      <w:r>
        <w:rPr>
          <w:snapToGrid w:val="0"/>
        </w:rPr>
        <w:tab/>
        <w:t>a date of dispensing or supply, and a number identifying the prescription or supply which corresponds to —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pPr>
      <w:r>
        <w:tab/>
        <w:t>(II)</w:t>
      </w:r>
      <w:r>
        <w:tab/>
        <w:t>the patient’s records, in any other case;</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xml:space="preserve">, or remote area nursing post, </w:t>
      </w:r>
      <w:r>
        <w:t xml:space="preserve">or place of business of an authorised health practitioner, </w:t>
      </w:r>
      <w:r>
        <w:rPr>
          <w:snapToGrid w:val="0"/>
        </w:rPr>
        <w:t>from which it is supplied; and</w:t>
      </w:r>
    </w:p>
    <w:p>
      <w:pPr>
        <w:pStyle w:val="Indenti"/>
        <w:spacing w:before="100"/>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spacing w:before="100"/>
        <w:rPr>
          <w:snapToGrid w:val="0"/>
        </w:rPr>
      </w:pPr>
      <w:r>
        <w:rPr>
          <w:snapToGrid w:val="0"/>
        </w:rPr>
        <w:tab/>
        <w:t>(vii)</w:t>
      </w:r>
      <w:r>
        <w:rPr>
          <w:snapToGrid w:val="0"/>
        </w:rPr>
        <w:tab/>
        <w:t>the total quantity contained;</w:t>
      </w:r>
    </w:p>
    <w:p>
      <w:pPr>
        <w:pStyle w:val="Indenta"/>
        <w:spacing w:before="100"/>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w:t>
      </w:r>
      <w:r>
        <w:t xml:space="preserve">post, dentist or authorised health practitioner, </w:t>
      </w:r>
      <w:r>
        <w:rPr>
          <w:snapToGrid w:val="0"/>
        </w:rPr>
        <w:t>for human external use shall comply with that regulation if it is labelled in accordance with paragraph (a), together with the words “Not to be taken”;</w:t>
      </w:r>
    </w:p>
    <w:p>
      <w:pPr>
        <w:pStyle w:val="Indenta"/>
        <w:spacing w:before="10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100"/>
        <w:rPr>
          <w:snapToGrid w:val="0"/>
        </w:rPr>
      </w:pPr>
      <w:r>
        <w:rPr>
          <w:snapToGrid w:val="0"/>
        </w:rPr>
        <w:tab/>
        <w:t>(i)</w:t>
      </w:r>
      <w:r>
        <w:rPr>
          <w:snapToGrid w:val="0"/>
        </w:rPr>
        <w:tab/>
        <w:t>the words “Keep out of reach of children”; and</w:t>
      </w:r>
    </w:p>
    <w:p>
      <w:pPr>
        <w:pStyle w:val="Indenti"/>
        <w:spacing w:before="10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 and</w:t>
      </w:r>
    </w:p>
    <w:p>
      <w:pPr>
        <w:pStyle w:val="Indenti"/>
        <w:spacing w:before="100"/>
        <w:rPr>
          <w:snapToGrid w:val="0"/>
        </w:rPr>
      </w:pPr>
      <w:r>
        <w:rPr>
          <w:snapToGrid w:val="0"/>
        </w:rPr>
        <w:tab/>
        <w:t>(iii)</w:t>
      </w:r>
      <w:r>
        <w:rPr>
          <w:snapToGrid w:val="0"/>
        </w:rPr>
        <w:tab/>
        <w:t>the owner’s surname and the species of animal; and</w:t>
      </w:r>
    </w:p>
    <w:p>
      <w:pPr>
        <w:pStyle w:val="Indenti"/>
        <w:spacing w:before="100"/>
        <w:rPr>
          <w:snapToGrid w:val="0"/>
        </w:rPr>
      </w:pPr>
      <w:r>
        <w:rPr>
          <w:snapToGrid w:val="0"/>
        </w:rPr>
        <w:tab/>
        <w:t>(iv)</w:t>
      </w:r>
      <w:r>
        <w:rPr>
          <w:snapToGrid w:val="0"/>
        </w:rPr>
        <w:tab/>
        <w:t>instructions for the use of that medicine or preparation; and</w:t>
      </w:r>
    </w:p>
    <w:p>
      <w:pPr>
        <w:pStyle w:val="Indenti"/>
        <w:spacing w:before="10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10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100"/>
        <w:rPr>
          <w:snapToGrid w:val="0"/>
        </w:rPr>
      </w:pPr>
      <w:r>
        <w:rPr>
          <w:snapToGrid w:val="0"/>
        </w:rPr>
        <w:tab/>
        <w:t>(II)</w:t>
      </w:r>
      <w:r>
        <w:rPr>
          <w:snapToGrid w:val="0"/>
        </w:rPr>
        <w:tab/>
        <w:t>the patient’s records, in the case of a veterinary surgeon;</w:t>
      </w:r>
    </w:p>
    <w:p>
      <w:pPr>
        <w:pStyle w:val="Indenti"/>
        <w:spacing w:before="100"/>
        <w:rPr>
          <w:snapToGrid w:val="0"/>
        </w:rPr>
      </w:pPr>
      <w:r>
        <w:rPr>
          <w:snapToGrid w:val="0"/>
        </w:rPr>
        <w:tab/>
      </w:r>
      <w:r>
        <w:rPr>
          <w:snapToGrid w:val="0"/>
        </w:rPr>
        <w:tab/>
        <w:t>and</w:t>
      </w:r>
    </w:p>
    <w:p>
      <w:pPr>
        <w:pStyle w:val="Indenti"/>
        <w:spacing w:before="100"/>
        <w:rPr>
          <w:snapToGrid w:val="0"/>
        </w:rPr>
      </w:pPr>
      <w:r>
        <w:rPr>
          <w:snapToGrid w:val="0"/>
        </w:rPr>
        <w:tab/>
        <w:t>(vi)</w:t>
      </w:r>
      <w:r>
        <w:rPr>
          <w:snapToGrid w:val="0"/>
        </w:rPr>
        <w:tab/>
        <w:t>the name and address of the pharmacy, or veterinary practice, from which it is supplied; and</w:t>
      </w:r>
    </w:p>
    <w:p>
      <w:pPr>
        <w:pStyle w:val="Indenti"/>
        <w:spacing w:before="10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100"/>
        <w:rPr>
          <w:snapToGrid w:val="0"/>
        </w:rPr>
      </w:pPr>
      <w:r>
        <w:rPr>
          <w:snapToGrid w:val="0"/>
        </w:rPr>
        <w:tab/>
        <w:t>(viii)</w:t>
      </w:r>
      <w:r>
        <w:rPr>
          <w:snapToGrid w:val="0"/>
        </w:rPr>
        <w:tab/>
        <w:t>the total quantity contained.</w:t>
      </w:r>
    </w:p>
    <w:p>
      <w:pPr>
        <w:pStyle w:val="Subsection"/>
        <w:rPr>
          <w:snapToGrid w:val="0"/>
        </w:rPr>
      </w:pPr>
      <w:r>
        <w:rPr>
          <w:snapToGrid w:val="0"/>
        </w:rPr>
        <w:tab/>
        <w:t>(2)</w:t>
      </w:r>
      <w:r>
        <w:rPr>
          <w:snapToGrid w:val="0"/>
        </w:rPr>
        <w:tab/>
      </w:r>
      <w:r>
        <w:t>Subregulation</w:t>
      </w:r>
      <w:r>
        <w:rPr>
          <w:snapToGrid w:val="0"/>
        </w:rPr>
        <w:t xml:space="preserve"> (1)(a) and (b) do not apply to a medicine or preparation (containing a poison) labelled in accordance with regulation 19, if it is supplied by a medical practitioner </w:t>
      </w:r>
      <w:r>
        <w:t>or nurse practitioner</w:t>
      </w:r>
      <w:r>
        <w:rPr>
          <w:snapToGrid w:val="0"/>
        </w:rPr>
        <w:t xml:space="preserve"> for the purposes of therapeutic treatment of a patient over a period of not more than 3 days.</w:t>
      </w:r>
    </w:p>
    <w:p>
      <w:pPr>
        <w:pStyle w:val="Footnotesection"/>
      </w:pPr>
      <w:r>
        <w:tab/>
        <w:t>[Regulation 21 inserted in Gazette 7 Aug 1992 p. 3865</w:t>
      </w:r>
      <w:r>
        <w:noBreakHyphen/>
        <w:t>6; amended in Gazette 24 Jun 1994 p. 2865</w:t>
      </w:r>
      <w:r>
        <w:noBreakHyphen/>
        <w:t>6; 19 Mar 1996 p. 1220; 1 Oct 2010 p. 5079</w:t>
      </w:r>
      <w:r>
        <w:noBreakHyphen/>
        <w:t>80; 19 Nov 2010 p. 5712; 1 Jun 2012 p. 2310; amended by Act No. 9 of 2003 s. 43.]</w:t>
      </w:r>
    </w:p>
    <w:p>
      <w:pPr>
        <w:pStyle w:val="Heading5"/>
        <w:rPr>
          <w:snapToGrid w:val="0"/>
        </w:rPr>
      </w:pPr>
      <w:bookmarkStart w:id="203" w:name="_Toc406492397"/>
      <w:bookmarkStart w:id="204" w:name="_Toc524795798"/>
      <w:r>
        <w:rPr>
          <w:rStyle w:val="CharSectno"/>
        </w:rPr>
        <w:t>21A</w:t>
      </w:r>
      <w:r>
        <w:rPr>
          <w:snapToGrid w:val="0"/>
        </w:rPr>
        <w:t>.</w:t>
      </w:r>
      <w:r>
        <w:rPr>
          <w:snapToGrid w:val="0"/>
        </w:rPr>
        <w:tab/>
        <w:t>Appendix K poison container, labelling requirements for</w:t>
      </w:r>
      <w:bookmarkEnd w:id="203"/>
      <w:bookmarkEnd w:id="204"/>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w:t>
      </w:r>
      <w:r>
        <w:rPr>
          <w:bCs/>
          <w:iCs/>
        </w:rPr>
        <w:t>SUSMP</w:t>
      </w:r>
      <w:r>
        <w:rPr>
          <w:snapToGrid w:val="0"/>
          <w:spacing w:val="-4"/>
        </w:rPr>
        <w:t xml:space="preserve">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 xml:space="preserve">the supply by a </w:t>
      </w:r>
      <w:r>
        <w:t>medical practitioner, dentist, pharmacist, nurse practitioner or authorised health practitioner</w:t>
      </w:r>
      <w:r>
        <w:rPr>
          <w:snapToGrid w:val="0"/>
        </w:rPr>
        <w:t xml:space="preserve">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keepNext/>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pPr>
      <w:r>
        <w:tab/>
        <w:t>[Regulation 21A inserted in Gazette 11 Jul 1986 p. 2339; amended in Gazette 19 Mar 1988 p. 838; 24 Jun 1994 p. 2866; 19 Mar 1996 p. 1220; 1 Oct 2010 p. 5079</w:t>
      </w:r>
      <w:r>
        <w:noBreakHyphen/>
        <w:t xml:space="preserve">80; 22 Oct 2010 p. 5218; 1 Jun 2012 p. 2310-11.] </w:t>
      </w:r>
    </w:p>
    <w:p>
      <w:pPr>
        <w:pStyle w:val="Ednotesection"/>
      </w:pPr>
      <w:r>
        <w:t>[</w:t>
      </w:r>
      <w:r>
        <w:rPr>
          <w:b/>
        </w:rPr>
        <w:t>22</w:t>
      </w:r>
      <w:r>
        <w:rPr>
          <w:b/>
        </w:rPr>
        <w:noBreakHyphen/>
        <w:t>24</w:t>
      </w:r>
      <w:r>
        <w:t>.</w:t>
      </w:r>
      <w:r>
        <w:tab/>
        <w:t xml:space="preserve">Deleted in Gazette 23 Nov 1990 p. 5792.] </w:t>
      </w:r>
    </w:p>
    <w:p>
      <w:pPr>
        <w:pStyle w:val="Heading5"/>
        <w:rPr>
          <w:snapToGrid w:val="0"/>
        </w:rPr>
      </w:pPr>
      <w:bookmarkStart w:id="205" w:name="_Toc406492398"/>
      <w:bookmarkStart w:id="206" w:name="_Toc524795799"/>
      <w:r>
        <w:rPr>
          <w:rStyle w:val="CharSectno"/>
        </w:rPr>
        <w:t>24A</w:t>
      </w:r>
      <w:r>
        <w:rPr>
          <w:snapToGrid w:val="0"/>
        </w:rPr>
        <w:t>.</w:t>
      </w:r>
      <w:r>
        <w:rPr>
          <w:snapToGrid w:val="0"/>
        </w:rPr>
        <w:tab/>
        <w:t>Carcinogenicity and teratogenicity warnings to be approved</w:t>
      </w:r>
      <w:bookmarkEnd w:id="205"/>
      <w:bookmarkEnd w:id="206"/>
      <w:r>
        <w:rPr>
          <w:snapToGrid w:val="0"/>
        </w:rPr>
        <w:t xml:space="preserve"> </w:t>
      </w:r>
    </w:p>
    <w:p>
      <w:pPr>
        <w:pStyle w:val="Subsection"/>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pPr>
      <w:r>
        <w:tab/>
        <w:t>[Regulation 24A inserted in Gazette 17 Aug 1990 p. 4081; amended in Gazette 26 May 1994 p. 2201; 19 Mar 1996 p. 1220; 15 Dec 2006 p. 5630.]</w:t>
      </w:r>
    </w:p>
    <w:p>
      <w:pPr>
        <w:pStyle w:val="Footnoteheading"/>
      </w:pPr>
      <w:r>
        <w:tab/>
        <w:t>[Heading deleted in Gazette 12 Aug 2003 p. 3663.]</w:t>
      </w:r>
    </w:p>
    <w:p>
      <w:pPr>
        <w:pStyle w:val="Heading3"/>
      </w:pPr>
      <w:bookmarkStart w:id="207" w:name="_Toc406084212"/>
      <w:bookmarkStart w:id="208" w:name="_Toc406492399"/>
      <w:bookmarkStart w:id="209" w:name="_Toc414629542"/>
      <w:bookmarkStart w:id="210" w:name="_Toc414629769"/>
      <w:bookmarkStart w:id="211" w:name="_Toc414871628"/>
      <w:bookmarkStart w:id="212" w:name="_Toc414873394"/>
      <w:bookmarkStart w:id="213" w:name="_Toc418582436"/>
      <w:bookmarkStart w:id="214" w:name="_Toc423426483"/>
      <w:bookmarkStart w:id="215" w:name="_Toc423426884"/>
      <w:bookmarkStart w:id="216" w:name="_Toc524795800"/>
      <w:r>
        <w:rPr>
          <w:rStyle w:val="CharDivNo"/>
        </w:rPr>
        <w:t>Division 3</w:t>
      </w:r>
      <w:r>
        <w:t xml:space="preserve"> — </w:t>
      </w:r>
      <w:r>
        <w:rPr>
          <w:rStyle w:val="CharDivText"/>
        </w:rPr>
        <w:t>General</w:t>
      </w:r>
      <w:bookmarkEnd w:id="207"/>
      <w:bookmarkEnd w:id="208"/>
      <w:bookmarkEnd w:id="209"/>
      <w:bookmarkEnd w:id="210"/>
      <w:bookmarkEnd w:id="211"/>
      <w:bookmarkEnd w:id="212"/>
      <w:bookmarkEnd w:id="213"/>
      <w:bookmarkEnd w:id="214"/>
      <w:bookmarkEnd w:id="215"/>
      <w:bookmarkEnd w:id="216"/>
    </w:p>
    <w:p>
      <w:pPr>
        <w:pStyle w:val="Footnoteheading"/>
      </w:pPr>
      <w:r>
        <w:tab/>
        <w:t>[Heading inserted in Gazette 12 Aug 2003 p. 3664.]</w:t>
      </w:r>
    </w:p>
    <w:p>
      <w:pPr>
        <w:pStyle w:val="Heading5"/>
        <w:keepLines w:val="0"/>
        <w:rPr>
          <w:snapToGrid w:val="0"/>
        </w:rPr>
      </w:pPr>
      <w:bookmarkStart w:id="217" w:name="_Toc406492400"/>
      <w:bookmarkStart w:id="218" w:name="_Toc524795801"/>
      <w:r>
        <w:rPr>
          <w:rStyle w:val="CharSectno"/>
        </w:rPr>
        <w:t>25</w:t>
      </w:r>
      <w:r>
        <w:rPr>
          <w:snapToGrid w:val="0"/>
        </w:rPr>
        <w:t>.</w:t>
      </w:r>
      <w:r>
        <w:rPr>
          <w:snapToGrid w:val="0"/>
        </w:rPr>
        <w:tab/>
        <w:t xml:space="preserve">Non-complying container or label, </w:t>
      </w:r>
      <w:r>
        <w:t>CEO</w:t>
      </w:r>
      <w:r>
        <w:rPr>
          <w:snapToGrid w:val="0"/>
        </w:rPr>
        <w:t xml:space="preserve"> may approve</w:t>
      </w:r>
      <w:bookmarkEnd w:id="217"/>
      <w:bookmarkEnd w:id="218"/>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219" w:name="_Toc406492401"/>
      <w:bookmarkStart w:id="220" w:name="_Toc524795802"/>
      <w:r>
        <w:rPr>
          <w:rStyle w:val="CharSectno"/>
        </w:rPr>
        <w:t>26</w:t>
      </w:r>
      <w:r>
        <w:rPr>
          <w:snapToGrid w:val="0"/>
        </w:rPr>
        <w:t>.</w:t>
      </w:r>
      <w:r>
        <w:rPr>
          <w:snapToGrid w:val="0"/>
        </w:rPr>
        <w:tab/>
        <w:t>S</w:t>
      </w:r>
      <w:r>
        <w:rPr>
          <w:snapToGrid w:val="0"/>
          <w:spacing w:val="-4"/>
        </w:rPr>
        <w:t>uspending or prohibiting use of container or label</w:t>
      </w:r>
      <w:bookmarkEnd w:id="219"/>
      <w:bookmarkEnd w:id="22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Footnoteheading"/>
      </w:pPr>
      <w:r>
        <w:tab/>
        <w:t>[Heading deleted in Gazette 12 Aug 2003 p. 3663.]</w:t>
      </w:r>
    </w:p>
    <w:p>
      <w:pPr>
        <w:pStyle w:val="Ednotesection"/>
        <w:ind w:left="890" w:hanging="890"/>
      </w:pPr>
      <w:r>
        <w:t>[</w:t>
      </w:r>
      <w:r>
        <w:rPr>
          <w:b/>
        </w:rPr>
        <w:t>28.</w:t>
      </w:r>
      <w:r>
        <w:rPr>
          <w:b/>
        </w:rPr>
        <w:tab/>
      </w:r>
      <w:r>
        <w:t xml:space="preserve">Deleted in Gazette 23 Nov 1990 p. 5792.] </w:t>
      </w:r>
    </w:p>
    <w:p>
      <w:pPr>
        <w:pStyle w:val="Footnoteheading"/>
      </w:pPr>
      <w:r>
        <w:tab/>
        <w:t>[Heading deleted in Gazette 12 Aug 2003 p. 3663.]</w:t>
      </w:r>
    </w:p>
    <w:p>
      <w:pPr>
        <w:pStyle w:val="Ednotesection"/>
        <w:ind w:left="890" w:hanging="890"/>
      </w:pPr>
      <w:r>
        <w:t>[</w:t>
      </w:r>
      <w:r>
        <w:rPr>
          <w:b/>
        </w:rPr>
        <w:t>29, 29A, 29B.</w:t>
      </w:r>
      <w:r>
        <w:tab/>
        <w:t xml:space="preserve"> Deleted in Gazette 28 May 1993 p. 2595.] </w:t>
      </w:r>
    </w:p>
    <w:p>
      <w:pPr>
        <w:pStyle w:val="Heading2"/>
      </w:pPr>
      <w:bookmarkStart w:id="221" w:name="_Toc406084215"/>
      <w:bookmarkStart w:id="222" w:name="_Toc406492402"/>
      <w:bookmarkStart w:id="223" w:name="_Toc414629545"/>
      <w:bookmarkStart w:id="224" w:name="_Toc414629772"/>
      <w:bookmarkStart w:id="225" w:name="_Toc414871631"/>
      <w:bookmarkStart w:id="226" w:name="_Toc414873397"/>
      <w:bookmarkStart w:id="227" w:name="_Toc418582439"/>
      <w:bookmarkStart w:id="228" w:name="_Toc423426486"/>
      <w:bookmarkStart w:id="229" w:name="_Toc423426887"/>
      <w:bookmarkStart w:id="230" w:name="_Toc524795803"/>
      <w:r>
        <w:rPr>
          <w:rStyle w:val="CharPartNo"/>
        </w:rPr>
        <w:t>Part 4</w:t>
      </w:r>
      <w:r>
        <w:rPr>
          <w:rStyle w:val="CharDivNo"/>
        </w:rPr>
        <w:t> </w:t>
      </w:r>
      <w:r>
        <w:t>—</w:t>
      </w:r>
      <w:r>
        <w:rPr>
          <w:rStyle w:val="CharDivText"/>
        </w:rPr>
        <w:t> </w:t>
      </w:r>
      <w:r>
        <w:rPr>
          <w:rStyle w:val="CharPartText"/>
        </w:rPr>
        <w:t>Storage, disposal and loss or theft of poisons</w:t>
      </w:r>
      <w:bookmarkEnd w:id="221"/>
      <w:bookmarkEnd w:id="222"/>
      <w:bookmarkEnd w:id="223"/>
      <w:bookmarkEnd w:id="224"/>
      <w:bookmarkEnd w:id="225"/>
      <w:bookmarkEnd w:id="226"/>
      <w:bookmarkEnd w:id="227"/>
      <w:bookmarkEnd w:id="228"/>
      <w:bookmarkEnd w:id="229"/>
      <w:bookmarkEnd w:id="230"/>
    </w:p>
    <w:p>
      <w:pPr>
        <w:pStyle w:val="Footnoteheading"/>
      </w:pPr>
      <w:r>
        <w:tab/>
        <w:t>[Heading inserted in Gazette 12 Aug 2003 p. 3664.]</w:t>
      </w:r>
    </w:p>
    <w:p>
      <w:pPr>
        <w:pStyle w:val="Heading5"/>
        <w:rPr>
          <w:snapToGrid w:val="0"/>
        </w:rPr>
      </w:pPr>
      <w:bookmarkStart w:id="231" w:name="_Toc406492403"/>
      <w:bookmarkStart w:id="232" w:name="_Toc524795804"/>
      <w:r>
        <w:rPr>
          <w:rStyle w:val="CharSectno"/>
        </w:rPr>
        <w:t>30</w:t>
      </w:r>
      <w:r>
        <w:rPr>
          <w:snapToGrid w:val="0"/>
        </w:rPr>
        <w:t>.</w:t>
      </w:r>
      <w:r>
        <w:rPr>
          <w:snapToGrid w:val="0"/>
        </w:rPr>
        <w:tab/>
        <w:t>Storage of poisons other than those in r. 56</w:t>
      </w:r>
      <w:bookmarkEnd w:id="231"/>
      <w:bookmarkEnd w:id="232"/>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pPr>
      <w:r>
        <w:tab/>
        <w:t>[Regulation 30 amended in Gazette 1 Aug 1986 p. 2739; 28 May 1993 p. 2595; 19 Mar 1996 p. 1220.]</w:t>
      </w:r>
    </w:p>
    <w:p>
      <w:pPr>
        <w:pStyle w:val="Footnoteheading"/>
      </w:pPr>
      <w:r>
        <w:tab/>
        <w:t>[Heading deleted in Gazette 12 Aug 2003 p. 3663.]</w:t>
      </w:r>
    </w:p>
    <w:p>
      <w:pPr>
        <w:pStyle w:val="Heading5"/>
        <w:rPr>
          <w:snapToGrid w:val="0"/>
        </w:rPr>
      </w:pPr>
      <w:bookmarkStart w:id="233" w:name="_Toc406492404"/>
      <w:bookmarkStart w:id="234" w:name="_Toc524795805"/>
      <w:r>
        <w:rPr>
          <w:rStyle w:val="CharSectno"/>
        </w:rPr>
        <w:t>31</w:t>
      </w:r>
      <w:r>
        <w:rPr>
          <w:snapToGrid w:val="0"/>
        </w:rPr>
        <w:t>.</w:t>
      </w:r>
      <w:r>
        <w:rPr>
          <w:snapToGrid w:val="0"/>
        </w:rPr>
        <w:tab/>
        <w:t>Disposal of poisons</w:t>
      </w:r>
      <w:bookmarkEnd w:id="233"/>
      <w:bookmarkEnd w:id="234"/>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Footnoteheading"/>
      </w:pPr>
      <w:r>
        <w:tab/>
        <w:t>[Heading deleted in Gazette 12 Aug 2003 p. 3663.]</w:t>
      </w:r>
    </w:p>
    <w:p>
      <w:pPr>
        <w:pStyle w:val="Heading5"/>
        <w:rPr>
          <w:snapToGrid w:val="0"/>
        </w:rPr>
      </w:pPr>
      <w:bookmarkStart w:id="235" w:name="_Toc406492405"/>
      <w:bookmarkStart w:id="236" w:name="_Toc524795806"/>
      <w:r>
        <w:rPr>
          <w:rStyle w:val="CharSectno"/>
        </w:rPr>
        <w:t>32</w:t>
      </w:r>
      <w:r>
        <w:rPr>
          <w:snapToGrid w:val="0"/>
        </w:rPr>
        <w:t>.</w:t>
      </w:r>
      <w:r>
        <w:rPr>
          <w:snapToGrid w:val="0"/>
        </w:rPr>
        <w:tab/>
        <w:t>Loss or theft of poison, police to be notified</w:t>
      </w:r>
      <w:bookmarkEnd w:id="235"/>
      <w:bookmarkEnd w:id="236"/>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Footnoteheading"/>
      </w:pPr>
      <w:r>
        <w:tab/>
        <w:t>[Heading deleted in Gazette 12 Aug 2003 p. 3663.]</w:t>
      </w:r>
    </w:p>
    <w:p>
      <w:pPr>
        <w:pStyle w:val="Heading2"/>
      </w:pPr>
      <w:bookmarkStart w:id="237" w:name="_Toc406084219"/>
      <w:bookmarkStart w:id="238" w:name="_Toc406492406"/>
      <w:bookmarkStart w:id="239" w:name="_Toc414629549"/>
      <w:bookmarkStart w:id="240" w:name="_Toc414629776"/>
      <w:bookmarkStart w:id="241" w:name="_Toc414871635"/>
      <w:bookmarkStart w:id="242" w:name="_Toc414873401"/>
      <w:bookmarkStart w:id="243" w:name="_Toc418582443"/>
      <w:bookmarkStart w:id="244" w:name="_Toc423426490"/>
      <w:bookmarkStart w:id="245" w:name="_Toc423426891"/>
      <w:bookmarkStart w:id="246" w:name="_Toc524795807"/>
      <w:r>
        <w:rPr>
          <w:rStyle w:val="CharPartNo"/>
        </w:rPr>
        <w:t>Part 4A</w:t>
      </w:r>
      <w:r>
        <w:rPr>
          <w:b w:val="0"/>
        </w:rPr>
        <w:t> </w:t>
      </w:r>
      <w:r>
        <w:t>—</w:t>
      </w:r>
      <w:r>
        <w:rPr>
          <w:b w:val="0"/>
        </w:rPr>
        <w:t> </w:t>
      </w:r>
      <w:r>
        <w:rPr>
          <w:rStyle w:val="CharPartText"/>
        </w:rPr>
        <w:t>Electronic prescribing systems</w:t>
      </w:r>
      <w:bookmarkEnd w:id="237"/>
      <w:bookmarkEnd w:id="238"/>
      <w:bookmarkEnd w:id="239"/>
      <w:bookmarkEnd w:id="240"/>
      <w:bookmarkEnd w:id="241"/>
      <w:bookmarkEnd w:id="242"/>
      <w:bookmarkEnd w:id="243"/>
      <w:bookmarkEnd w:id="244"/>
      <w:bookmarkEnd w:id="245"/>
      <w:bookmarkEnd w:id="246"/>
    </w:p>
    <w:p>
      <w:pPr>
        <w:pStyle w:val="Footnoteheading"/>
        <w:spacing w:before="100"/>
      </w:pPr>
      <w:r>
        <w:tab/>
        <w:t>[Heading inserted in Gazette 7 Nov 2008 p. 4806.]</w:t>
      </w:r>
    </w:p>
    <w:p>
      <w:pPr>
        <w:pStyle w:val="Heading5"/>
      </w:pPr>
      <w:bookmarkStart w:id="247" w:name="_Toc406492407"/>
      <w:bookmarkStart w:id="248" w:name="_Toc524795808"/>
      <w:r>
        <w:rPr>
          <w:rStyle w:val="CharSectno"/>
        </w:rPr>
        <w:t>32A</w:t>
      </w:r>
      <w:r>
        <w:t>.</w:t>
      </w:r>
      <w:r>
        <w:tab/>
        <w:t>Terms used</w:t>
      </w:r>
      <w:bookmarkEnd w:id="247"/>
      <w:bookmarkEnd w:id="248"/>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249" w:name="_Toc406492408"/>
      <w:bookmarkStart w:id="250" w:name="_Toc524795809"/>
      <w:r>
        <w:rPr>
          <w:rStyle w:val="CharSectno"/>
        </w:rPr>
        <w:t>32B</w:t>
      </w:r>
      <w:r>
        <w:t>.</w:t>
      </w:r>
      <w:r>
        <w:tab/>
        <w:t>Approval of systems</w:t>
      </w:r>
      <w:bookmarkEnd w:id="249"/>
      <w:bookmarkEnd w:id="250"/>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w:t>
      </w:r>
      <w:r>
        <w:noBreakHyphen/>
        <w:t>80.]</w:t>
      </w:r>
    </w:p>
    <w:p>
      <w:pPr>
        <w:pStyle w:val="Heading5"/>
      </w:pPr>
      <w:bookmarkStart w:id="251" w:name="_Toc406492409"/>
      <w:bookmarkStart w:id="252" w:name="_Toc524795810"/>
      <w:r>
        <w:rPr>
          <w:rStyle w:val="CharSectno"/>
        </w:rPr>
        <w:t>32C</w:t>
      </w:r>
      <w:r>
        <w:t>.</w:t>
      </w:r>
      <w:r>
        <w:tab/>
        <w:t>Systems to have human administrators</w:t>
      </w:r>
      <w:bookmarkEnd w:id="251"/>
      <w:bookmarkEnd w:id="252"/>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253" w:name="_Toc406492410"/>
      <w:bookmarkStart w:id="254" w:name="_Toc524795811"/>
      <w:r>
        <w:rPr>
          <w:rStyle w:val="CharSectno"/>
        </w:rPr>
        <w:t>32D</w:t>
      </w:r>
      <w:r>
        <w:t>.</w:t>
      </w:r>
      <w:r>
        <w:tab/>
        <w:t>Offences</w:t>
      </w:r>
      <w:bookmarkEnd w:id="253"/>
      <w:bookmarkEnd w:id="25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pPr>
      <w:r>
        <w:tab/>
        <w:t>(b)</w:t>
      </w:r>
      <w:r>
        <w:tab/>
        <w:t>otherwise allow another person to have access to the system unless to do so is in accordance with the procedures that control access to the system.</w:t>
      </w:r>
    </w:p>
    <w:p>
      <w:pPr>
        <w:pStyle w:val="Penstart"/>
      </w:pPr>
      <w:r>
        <w:tab/>
        <w:t>Penalty: a fine of $5 000.</w:t>
      </w:r>
    </w:p>
    <w:p>
      <w:pPr>
        <w:pStyle w:val="Subsection"/>
      </w:pPr>
      <w:r>
        <w:tab/>
        <w:t>(3)</w:t>
      </w:r>
      <w:r>
        <w:tab/>
        <w:t>A person must not make inappropriate use of an approved electronic prescribing system.</w:t>
      </w:r>
    </w:p>
    <w:p>
      <w:pPr>
        <w:pStyle w:val="Penstart"/>
      </w:pPr>
      <w:r>
        <w:tab/>
        <w:t>Penalty: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a person who is permitted to have access to the system in accordance with the procedures that control access to the system is not given more than one access code; and</w:t>
      </w:r>
    </w:p>
    <w:p>
      <w:pPr>
        <w:pStyle w:val="Indenta"/>
      </w:pPr>
      <w:r>
        <w:tab/>
        <w:t>(b)</w:t>
      </w:r>
      <w:r>
        <w:tab/>
        <w:t>each person who is responsible to the administrator for the operation and control of the system does not make inappropriate use of the system.</w:t>
      </w:r>
    </w:p>
    <w:p>
      <w:pPr>
        <w:pStyle w:val="Penstart"/>
      </w:pPr>
      <w:r>
        <w:tab/>
        <w:t>Penalty: a fine of $5 000.</w:t>
      </w:r>
    </w:p>
    <w:p>
      <w:pPr>
        <w:pStyle w:val="Footnotesection"/>
      </w:pPr>
      <w:r>
        <w:tab/>
        <w:t>[Regulation 32D inserted in Gazette 7 Nov 2008 p. 4808; amended in Gazette 28 Jul 2009 p. 2979.]</w:t>
      </w:r>
    </w:p>
    <w:p>
      <w:pPr>
        <w:pStyle w:val="Heading5"/>
      </w:pPr>
      <w:bookmarkStart w:id="255" w:name="_Toc406492411"/>
      <w:bookmarkStart w:id="256" w:name="_Toc524795812"/>
      <w:r>
        <w:rPr>
          <w:rStyle w:val="CharSectno"/>
        </w:rPr>
        <w:t>32E</w:t>
      </w:r>
      <w:r>
        <w:t>.</w:t>
      </w:r>
      <w:r>
        <w:tab/>
        <w:t>Miscellaneous provisions</w:t>
      </w:r>
      <w:bookmarkEnd w:id="255"/>
      <w:bookmarkEnd w:id="256"/>
    </w:p>
    <w:p>
      <w:pPr>
        <w:pStyle w:val="Subsection"/>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pPr>
      <w:r>
        <w:tab/>
        <w:t>[Regulation 32E inserted in Gazette 7 Nov 2008 p. 4808</w:t>
      </w:r>
      <w:r>
        <w:noBreakHyphen/>
        <w:t>9; amended in Gazette 28 Jul 2009 p. 2979.]</w:t>
      </w:r>
    </w:p>
    <w:p>
      <w:pPr>
        <w:pStyle w:val="Heading2"/>
      </w:pPr>
      <w:bookmarkStart w:id="257" w:name="_Toc414871641"/>
      <w:bookmarkStart w:id="258" w:name="_Toc414873407"/>
      <w:bookmarkStart w:id="259" w:name="_Toc418582449"/>
      <w:bookmarkStart w:id="260" w:name="_Toc423426496"/>
      <w:bookmarkStart w:id="261" w:name="_Toc423426897"/>
      <w:bookmarkStart w:id="262" w:name="_Toc406084225"/>
      <w:bookmarkStart w:id="263" w:name="_Toc406492412"/>
      <w:bookmarkStart w:id="264" w:name="_Toc414629555"/>
      <w:bookmarkStart w:id="265" w:name="_Toc414629782"/>
      <w:bookmarkStart w:id="266" w:name="_Toc524795813"/>
      <w:r>
        <w:rPr>
          <w:rStyle w:val="CharPartNo"/>
        </w:rPr>
        <w:t>Part 4B</w:t>
      </w:r>
      <w:r>
        <w:rPr>
          <w:rStyle w:val="CharDivNo"/>
        </w:rPr>
        <w:t> </w:t>
      </w:r>
      <w:r>
        <w:t>—</w:t>
      </w:r>
      <w:r>
        <w:rPr>
          <w:rStyle w:val="CharDivText"/>
        </w:rPr>
        <w:t> </w:t>
      </w:r>
      <w:r>
        <w:rPr>
          <w:rStyle w:val="CharPartText"/>
        </w:rPr>
        <w:t>Electronic storage and supply</w:t>
      </w:r>
      <w:bookmarkEnd w:id="257"/>
      <w:bookmarkEnd w:id="258"/>
      <w:bookmarkEnd w:id="259"/>
      <w:bookmarkEnd w:id="260"/>
      <w:bookmarkEnd w:id="261"/>
      <w:bookmarkEnd w:id="266"/>
    </w:p>
    <w:p>
      <w:pPr>
        <w:pStyle w:val="Footnoteheading"/>
      </w:pPr>
      <w:r>
        <w:tab/>
        <w:t>[Heading inserted in Gazette 20 Mar 2015 p. 907.]</w:t>
      </w:r>
    </w:p>
    <w:p>
      <w:pPr>
        <w:pStyle w:val="Heading5"/>
      </w:pPr>
      <w:bookmarkStart w:id="267" w:name="_Toc524795814"/>
      <w:r>
        <w:rPr>
          <w:rStyle w:val="CharSectno"/>
        </w:rPr>
        <w:t>32F</w:t>
      </w:r>
      <w:r>
        <w:t>.</w:t>
      </w:r>
      <w:r>
        <w:tab/>
        <w:t>Terms used</w:t>
      </w:r>
      <w:bookmarkEnd w:id="267"/>
    </w:p>
    <w:p>
      <w:pPr>
        <w:pStyle w:val="Subsection"/>
      </w:pPr>
      <w:r>
        <w:tab/>
      </w:r>
      <w:r>
        <w:tab/>
        <w:t xml:space="preserve">In this Part — </w:t>
      </w:r>
    </w:p>
    <w:p>
      <w:pPr>
        <w:pStyle w:val="Defstart"/>
      </w:pPr>
      <w:r>
        <w:tab/>
      </w:r>
      <w:r>
        <w:rPr>
          <w:rStyle w:val="CharDefText"/>
        </w:rPr>
        <w:t>access code</w:t>
      </w:r>
      <w:r>
        <w:t>, of an individual, means a password or other means by which the individual gains access to an electronic storage and supply unit;</w:t>
      </w:r>
    </w:p>
    <w:p>
      <w:pPr>
        <w:pStyle w:val="Defstart"/>
      </w:pPr>
      <w:r>
        <w:tab/>
      </w:r>
      <w:r>
        <w:rPr>
          <w:rStyle w:val="CharDefText"/>
        </w:rPr>
        <w:t>electronic storage and supply unit</w:t>
      </w:r>
      <w:r>
        <w:t xml:space="preserve"> means an electronic device used for the storage of a poison which requires the personal manipulation or attention of a person at the time the poison is removed from the device for the purpose of supply or administration;</w:t>
      </w:r>
    </w:p>
    <w:p>
      <w:pPr>
        <w:pStyle w:val="Defstart"/>
      </w:pPr>
      <w:r>
        <w:tab/>
      </w:r>
      <w:r>
        <w:rPr>
          <w:rStyle w:val="CharDefText"/>
        </w:rPr>
        <w:t>system identifier</w:t>
      </w:r>
      <w:r>
        <w:t>, of an individual, means the code or information by which the identity of an individual is recorded by an electronic storage and supply unit.</w:t>
      </w:r>
    </w:p>
    <w:p>
      <w:pPr>
        <w:pStyle w:val="Footnotesection"/>
      </w:pPr>
      <w:r>
        <w:tab/>
        <w:t>[Regulation 32F inserted in Gazette 20 Mar 2015 p. 907.]</w:t>
      </w:r>
    </w:p>
    <w:p>
      <w:pPr>
        <w:pStyle w:val="Heading5"/>
      </w:pPr>
      <w:bookmarkStart w:id="268" w:name="_Toc524795815"/>
      <w:r>
        <w:rPr>
          <w:rStyle w:val="CharSectno"/>
        </w:rPr>
        <w:t>32G</w:t>
      </w:r>
      <w:r>
        <w:t>.</w:t>
      </w:r>
      <w:r>
        <w:tab/>
        <w:t>Approval of electronic storage and supply units</w:t>
      </w:r>
      <w:bookmarkEnd w:id="268"/>
    </w:p>
    <w:p>
      <w:pPr>
        <w:pStyle w:val="Subsection"/>
      </w:pPr>
      <w:r>
        <w:tab/>
        <w:t>(1)</w:t>
      </w:r>
      <w:r>
        <w:tab/>
        <w:t xml:space="preserve">The CEO may approve the installation of an electronic storage and supply unit on or about premises if satisfied that — </w:t>
      </w:r>
    </w:p>
    <w:p>
      <w:pPr>
        <w:pStyle w:val="Indenta"/>
      </w:pPr>
      <w:r>
        <w:tab/>
        <w:t>(a)</w:t>
      </w:r>
      <w:r>
        <w:tab/>
        <w:t>the unit is sufficiently secure; and</w:t>
      </w:r>
    </w:p>
    <w:p>
      <w:pPr>
        <w:pStyle w:val="Indenta"/>
      </w:pPr>
      <w:r>
        <w:tab/>
        <w:t>(b)</w:t>
      </w:r>
      <w:r>
        <w:tab/>
        <w:t>the unit is designed so that, to the extent practicable, for any particular poison, only a person who is authorised under the Act to supply or administer the poison can access the unit to remove the poison; and</w:t>
      </w:r>
    </w:p>
    <w:p>
      <w:pPr>
        <w:pStyle w:val="Indenta"/>
      </w:pPr>
      <w:r>
        <w:tab/>
        <w:t>(c)</w:t>
      </w:r>
      <w:r>
        <w:tab/>
        <w:t>the installation complies with any other criteria the CEO thinks relevant.</w:t>
      </w:r>
    </w:p>
    <w:p>
      <w:pPr>
        <w:pStyle w:val="Subsection"/>
      </w:pPr>
      <w:r>
        <w:tab/>
        <w:t>(2)</w:t>
      </w:r>
      <w:r>
        <w:tab/>
        <w:t xml:space="preserve">Before being satisfied that an electronic storage and supply unit is sufficiently secure, the CEO must be satisfied that, to the extent practicable — </w:t>
      </w:r>
    </w:p>
    <w:p>
      <w:pPr>
        <w:pStyle w:val="Indenta"/>
      </w:pPr>
      <w:r>
        <w:tab/>
        <w:t>(a)</w:t>
      </w:r>
      <w:r>
        <w:tab/>
        <w:t>access to the unit to remove any particular poison from the unit is controlled by appropriate procedures; and</w:t>
      </w:r>
    </w:p>
    <w:p>
      <w:pPr>
        <w:pStyle w:val="Indenta"/>
      </w:pPr>
      <w:r>
        <w:tab/>
        <w:t>(b)</w:t>
      </w:r>
      <w:r>
        <w:tab/>
        <w:t>only persons permitted to have access to the unit according to those procedures can have access to the unit for the purpose of removing a particular poison from the unit; and</w:t>
      </w:r>
    </w:p>
    <w:p>
      <w:pPr>
        <w:pStyle w:val="Indenta"/>
      </w:pPr>
      <w:r>
        <w:tab/>
        <w:t>(c)</w:t>
      </w:r>
      <w:r>
        <w:tab/>
        <w:t>every occurrence of the removal, or attempted removal, of a poison from the unit is recorded electronically by the unit in a way that cannot be amended or erased.</w:t>
      </w:r>
    </w:p>
    <w:p>
      <w:pPr>
        <w:pStyle w:val="Subsection"/>
      </w:pPr>
      <w:r>
        <w:tab/>
        <w:t>(3)</w:t>
      </w:r>
      <w:r>
        <w:tab/>
        <w:t>Subregulation (2) does not limit the matters the CEO may take into account for the purposes of subregulation (1)(a).</w:t>
      </w:r>
    </w:p>
    <w:p>
      <w:pPr>
        <w:pStyle w:val="Footnotesection"/>
      </w:pPr>
      <w:r>
        <w:tab/>
        <w:t>[Regulation 32G inserted in Gazette 20 Mar 2015 p. 907</w:t>
      </w:r>
      <w:r>
        <w:noBreakHyphen/>
        <w:t>8.]</w:t>
      </w:r>
    </w:p>
    <w:p>
      <w:pPr>
        <w:pStyle w:val="Heading5"/>
      </w:pPr>
      <w:bookmarkStart w:id="269" w:name="_Toc524795816"/>
      <w:r>
        <w:rPr>
          <w:rStyle w:val="CharSectno"/>
        </w:rPr>
        <w:t>32H</w:t>
      </w:r>
      <w:r>
        <w:t>.</w:t>
      </w:r>
      <w:r>
        <w:tab/>
        <w:t>Offences</w:t>
      </w:r>
      <w:bookmarkEnd w:id="269"/>
    </w:p>
    <w:p>
      <w:pPr>
        <w:pStyle w:val="Subsection"/>
      </w:pPr>
      <w:r>
        <w:tab/>
        <w:t>(1)</w:t>
      </w:r>
      <w:r>
        <w:tab/>
        <w:t>A person must not, without the approval of the CEO, install or permit to be installed on or about the person’s premises any electronic storage and supply unit.</w:t>
      </w:r>
    </w:p>
    <w:p>
      <w:pPr>
        <w:pStyle w:val="Penstart"/>
      </w:pPr>
      <w:r>
        <w:tab/>
        <w:t>Penalty: a fine of $5 000.</w:t>
      </w:r>
    </w:p>
    <w:p>
      <w:pPr>
        <w:pStyle w:val="Subsection"/>
      </w:pPr>
      <w:r>
        <w:tab/>
        <w:t>(2)</w:t>
      </w:r>
      <w:r>
        <w:tab/>
        <w:t xml:space="preserve">A person must not remove a poison from an electronic storage and supply unit unless — </w:t>
      </w:r>
    </w:p>
    <w:p>
      <w:pPr>
        <w:pStyle w:val="Indenta"/>
      </w:pPr>
      <w:r>
        <w:tab/>
        <w:t>(a)</w:t>
      </w:r>
      <w:r>
        <w:tab/>
        <w:t>the person is authorised under the Act to supply or administer the poison to another person; and</w:t>
      </w:r>
    </w:p>
    <w:p>
      <w:pPr>
        <w:pStyle w:val="Indenta"/>
      </w:pPr>
      <w:r>
        <w:tab/>
        <w:t>(b)</w:t>
      </w:r>
      <w:r>
        <w:tab/>
        <w:t>the person is permitted to have access to the unit according to the procedures that control access to the unit; and</w:t>
      </w:r>
    </w:p>
    <w:p>
      <w:pPr>
        <w:pStyle w:val="Indenta"/>
      </w:pPr>
      <w:r>
        <w:tab/>
        <w:t>(c)</w:t>
      </w:r>
      <w:r>
        <w:tab/>
        <w:t>the person has gained access to the unit according to those procedures.</w:t>
      </w:r>
    </w:p>
    <w:p>
      <w:pPr>
        <w:pStyle w:val="Penstart"/>
      </w:pPr>
      <w:r>
        <w:tab/>
        <w:t>Penalty: a fine of $5 000.</w:t>
      </w:r>
    </w:p>
    <w:p>
      <w:pPr>
        <w:pStyle w:val="Subsection"/>
      </w:pPr>
      <w:r>
        <w:tab/>
        <w:t>(3)</w:t>
      </w:r>
      <w:r>
        <w:tab/>
        <w:t xml:space="preserve">A person who has an access code for an approved electronic storage and supply unit must not — </w:t>
      </w:r>
    </w:p>
    <w:p>
      <w:pPr>
        <w:pStyle w:val="Indenta"/>
      </w:pPr>
      <w:r>
        <w:tab/>
        <w:t>(a)</w:t>
      </w:r>
      <w:r>
        <w:tab/>
        <w:t xml:space="preserve">reveal the person’s access code to another person; or </w:t>
      </w:r>
    </w:p>
    <w:p>
      <w:pPr>
        <w:pStyle w:val="Indenta"/>
        <w:keepNext/>
      </w:pPr>
      <w:r>
        <w:tab/>
        <w:t>(b)</w:t>
      </w:r>
      <w:r>
        <w:tab/>
        <w:t>otherwise allow another person to have access to the unit unless to do so is in accordance with the procedures that control access to the unit.</w:t>
      </w:r>
    </w:p>
    <w:p>
      <w:pPr>
        <w:pStyle w:val="Penstart"/>
      </w:pPr>
      <w:r>
        <w:tab/>
        <w:t>Penalty: a fine of $5 000.</w:t>
      </w:r>
    </w:p>
    <w:p>
      <w:pPr>
        <w:pStyle w:val="Footnotesection"/>
      </w:pPr>
      <w:r>
        <w:tab/>
        <w:t>[Regulation 32H inserted in Gazette 20 Mar 2015 p. 908.]</w:t>
      </w:r>
    </w:p>
    <w:p>
      <w:pPr>
        <w:pStyle w:val="Heading5"/>
      </w:pPr>
      <w:bookmarkStart w:id="270" w:name="_Toc524795817"/>
      <w:r>
        <w:rPr>
          <w:rStyle w:val="CharSectno"/>
        </w:rPr>
        <w:t>32I</w:t>
      </w:r>
      <w:r>
        <w:t>.</w:t>
      </w:r>
      <w:r>
        <w:tab/>
        <w:t>Miscellaneous provisions</w:t>
      </w:r>
      <w:bookmarkEnd w:id="270"/>
    </w:p>
    <w:p>
      <w:pPr>
        <w:pStyle w:val="Subsection"/>
      </w:pPr>
      <w:r>
        <w:tab/>
      </w:r>
      <w:r>
        <w:tab/>
        <w:t xml:space="preserve">In any proceedings under this Act or the </w:t>
      </w:r>
      <w:r>
        <w:rPr>
          <w:i/>
        </w:rPr>
        <w:t>Misuse of Drugs Act 1981</w:t>
      </w:r>
      <w:r>
        <w:t>, if it is proved that the system identifier of a person has been recorded by an electronic storage and supply unit in connection with the removal or attempted removal of a poison from the unit, then, in the absence of evidence to the contrary, that person is to be taken to have removed or attempted to remove the poison.</w:t>
      </w:r>
    </w:p>
    <w:p>
      <w:pPr>
        <w:pStyle w:val="Footnotesection"/>
      </w:pPr>
      <w:r>
        <w:tab/>
        <w:t>[Regulation 32I inserted in Gazette 20 Mar 2015 p. 908.]</w:t>
      </w:r>
    </w:p>
    <w:p>
      <w:pPr>
        <w:pStyle w:val="Heading2"/>
      </w:pPr>
      <w:bookmarkStart w:id="271" w:name="_Toc414871646"/>
      <w:bookmarkStart w:id="272" w:name="_Toc414873412"/>
      <w:bookmarkStart w:id="273" w:name="_Toc418582454"/>
      <w:bookmarkStart w:id="274" w:name="_Toc423426501"/>
      <w:bookmarkStart w:id="275" w:name="_Toc423426902"/>
      <w:bookmarkStart w:id="276" w:name="_Toc524795818"/>
      <w:r>
        <w:rPr>
          <w:rStyle w:val="CharPartNo"/>
        </w:rPr>
        <w:t>Part 5</w:t>
      </w:r>
      <w:r>
        <w:t xml:space="preserve"> — </w:t>
      </w:r>
      <w:smartTag w:uri="urn:schemas-microsoft-com:office:smarttags" w:element="place">
        <w:smartTag w:uri="urn:schemas-microsoft-com:office:smarttags" w:element="City">
          <w:r>
            <w:rPr>
              <w:rStyle w:val="CharPartText"/>
            </w:rPr>
            <w:t>Sale</w:t>
          </w:r>
        </w:smartTag>
      </w:smartTag>
      <w:r>
        <w:rPr>
          <w:rStyle w:val="CharPartText"/>
        </w:rPr>
        <w:t>, supply and use of poisons</w:t>
      </w:r>
      <w:bookmarkEnd w:id="262"/>
      <w:bookmarkEnd w:id="263"/>
      <w:bookmarkEnd w:id="264"/>
      <w:bookmarkEnd w:id="265"/>
      <w:bookmarkEnd w:id="271"/>
      <w:bookmarkEnd w:id="272"/>
      <w:bookmarkEnd w:id="273"/>
      <w:bookmarkEnd w:id="274"/>
      <w:bookmarkEnd w:id="275"/>
      <w:bookmarkEnd w:id="276"/>
    </w:p>
    <w:p>
      <w:pPr>
        <w:pStyle w:val="Footnoteheading"/>
      </w:pPr>
      <w:r>
        <w:tab/>
        <w:t>[Heading inserted in Gazette 12 Aug 2003 p. 3664.]</w:t>
      </w:r>
    </w:p>
    <w:p>
      <w:pPr>
        <w:pStyle w:val="Heading3"/>
      </w:pPr>
      <w:bookmarkStart w:id="277" w:name="_Toc406084226"/>
      <w:bookmarkStart w:id="278" w:name="_Toc406492413"/>
      <w:bookmarkStart w:id="279" w:name="_Toc414629556"/>
      <w:bookmarkStart w:id="280" w:name="_Toc414629783"/>
      <w:bookmarkStart w:id="281" w:name="_Toc414871647"/>
      <w:bookmarkStart w:id="282" w:name="_Toc414873413"/>
      <w:bookmarkStart w:id="283" w:name="_Toc418582455"/>
      <w:bookmarkStart w:id="284" w:name="_Toc423426502"/>
      <w:bookmarkStart w:id="285" w:name="_Toc423426903"/>
      <w:bookmarkStart w:id="286" w:name="_Toc524795819"/>
      <w:r>
        <w:rPr>
          <w:rStyle w:val="CharDivNo"/>
        </w:rPr>
        <w:t>Division 1 </w:t>
      </w:r>
      <w:r>
        <w:t xml:space="preserve">— </w:t>
      </w:r>
      <w:r>
        <w:rPr>
          <w:rStyle w:val="CharDivText"/>
        </w:rPr>
        <w:t>Restrictions</w:t>
      </w:r>
      <w:bookmarkEnd w:id="277"/>
      <w:bookmarkEnd w:id="278"/>
      <w:bookmarkEnd w:id="279"/>
      <w:bookmarkEnd w:id="280"/>
      <w:bookmarkEnd w:id="281"/>
      <w:bookmarkEnd w:id="282"/>
      <w:bookmarkEnd w:id="283"/>
      <w:bookmarkEnd w:id="284"/>
      <w:bookmarkEnd w:id="285"/>
      <w:bookmarkEnd w:id="286"/>
    </w:p>
    <w:p>
      <w:pPr>
        <w:pStyle w:val="Footnoteheading"/>
      </w:pPr>
      <w:r>
        <w:tab/>
        <w:t>[Heading inserted in Gazette 12 Aug 2003 p. 3664.]</w:t>
      </w:r>
    </w:p>
    <w:p>
      <w:pPr>
        <w:pStyle w:val="Heading5"/>
        <w:spacing w:before="180"/>
        <w:rPr>
          <w:snapToGrid w:val="0"/>
        </w:rPr>
      </w:pPr>
      <w:bookmarkStart w:id="287" w:name="_Toc406492414"/>
      <w:bookmarkStart w:id="288" w:name="_Toc524795820"/>
      <w:r>
        <w:rPr>
          <w:rStyle w:val="CharSectno"/>
        </w:rPr>
        <w:t>33</w:t>
      </w:r>
      <w:r>
        <w:rPr>
          <w:snapToGrid w:val="0"/>
        </w:rPr>
        <w:t>.</w:t>
      </w:r>
      <w:r>
        <w:rPr>
          <w:snapToGrid w:val="0"/>
        </w:rPr>
        <w:tab/>
        <w:t>Poison not to be sold to persons under 16 years of age</w:t>
      </w:r>
      <w:bookmarkEnd w:id="287"/>
      <w:bookmarkEnd w:id="288"/>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spacing w:before="180"/>
        <w:rPr>
          <w:snapToGrid w:val="0"/>
        </w:rPr>
      </w:pPr>
      <w:bookmarkStart w:id="289" w:name="_Toc406492415"/>
      <w:bookmarkStart w:id="290" w:name="_Toc524795821"/>
      <w:r>
        <w:rPr>
          <w:rStyle w:val="CharSectno"/>
        </w:rPr>
        <w:t>33A</w:t>
      </w:r>
      <w:r>
        <w:rPr>
          <w:snapToGrid w:val="0"/>
        </w:rPr>
        <w:t>.</w:t>
      </w:r>
      <w:r>
        <w:rPr>
          <w:snapToGrid w:val="0"/>
        </w:rPr>
        <w:tab/>
        <w:t>Veterinary medicines etc. not to be used etc. on humans</w:t>
      </w:r>
      <w:bookmarkEnd w:id="289"/>
      <w:bookmarkEnd w:id="290"/>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spacing w:before="180"/>
        <w:rPr>
          <w:snapToGrid w:val="0"/>
        </w:rPr>
      </w:pPr>
      <w:bookmarkStart w:id="291" w:name="_Toc406492416"/>
      <w:bookmarkStart w:id="292" w:name="_Toc524795822"/>
      <w:r>
        <w:rPr>
          <w:rStyle w:val="CharSectno"/>
        </w:rPr>
        <w:t>33B</w:t>
      </w:r>
      <w:r>
        <w:rPr>
          <w:snapToGrid w:val="0"/>
        </w:rPr>
        <w:t>.</w:t>
      </w:r>
      <w:r>
        <w:rPr>
          <w:snapToGrid w:val="0"/>
        </w:rPr>
        <w:tab/>
        <w:t>Certain paints, restrictions on manufacture, sale and use of</w:t>
      </w:r>
      <w:bookmarkEnd w:id="291"/>
      <w:bookmarkEnd w:id="292"/>
    </w:p>
    <w:p>
      <w:pPr>
        <w:pStyle w:val="Subsection"/>
        <w:rPr>
          <w:snapToGrid w:val="0"/>
        </w:rPr>
      </w:pPr>
      <w:r>
        <w:rPr>
          <w:snapToGrid w:val="0"/>
        </w:rPr>
        <w:tab/>
        <w:t>(1)</w:t>
      </w:r>
      <w:r>
        <w:rPr>
          <w:snapToGrid w:val="0"/>
        </w:rPr>
        <w:tab/>
        <w:t>If a paint contains a substance listed in the First, Second or Third Schedule to Appendix I of</w:t>
      </w:r>
      <w:r>
        <w:rPr>
          <w:bCs/>
          <w:iCs/>
        </w:rPr>
        <w:t xml:space="preserve"> SUSMP</w:t>
      </w:r>
      <w:r>
        <w:rPr>
          <w:snapToGrid w:val="0"/>
        </w:rPr>
        <w:t>, a person shall not manufacture, sell or use that paint except in accordance with that Appendix.</w:t>
      </w:r>
    </w:p>
    <w:p>
      <w:pPr>
        <w:pStyle w:val="Subsection"/>
        <w:rPr>
          <w:snapToGrid w:val="0"/>
        </w:rPr>
      </w:pPr>
      <w:r>
        <w:rPr>
          <w:snapToGrid w:val="0"/>
        </w:rPr>
        <w:tab/>
        <w:t>(2)</w:t>
      </w:r>
      <w:r>
        <w:rPr>
          <w:snapToGrid w:val="0"/>
        </w:rPr>
        <w:tab/>
        <w:t xml:space="preserve">For the purposes of this regulation the interpretation provisions of Part 1 of the </w:t>
      </w:r>
      <w:r>
        <w:rPr>
          <w:bCs/>
          <w:iCs/>
        </w:rPr>
        <w:t>SUSMP</w:t>
      </w:r>
      <w:r>
        <w:rPr>
          <w:snapToGrid w:val="0"/>
        </w:rPr>
        <w:t xml:space="preserve"> shall be used to interpret Appendix I of the</w:t>
      </w:r>
      <w:r>
        <w:rPr>
          <w:bCs/>
          <w:iCs/>
        </w:rPr>
        <w:t xml:space="preserve"> SUSMP</w:t>
      </w:r>
      <w:r>
        <w:rPr>
          <w:snapToGrid w:val="0"/>
        </w:rPr>
        <w:t>.</w:t>
      </w:r>
    </w:p>
    <w:p>
      <w:pPr>
        <w:pStyle w:val="Footnotesection"/>
        <w:keepLines w:val="0"/>
      </w:pPr>
      <w:r>
        <w:tab/>
        <w:t>[Regulation 33B inserted in Gazette 12 Apr 1991 p. 1608; amended in Gazette 24 Jun 1994 p. 2866</w:t>
      </w:r>
      <w:r>
        <w:noBreakHyphen/>
        <w:t>7; 16 Sep 1994 p. 4748; 19 Sep 1995 p. 4383; 14 Sep 2001 p. 5074; 22 Oct 2010 p. 5218</w:t>
      </w:r>
      <w:r>
        <w:noBreakHyphen/>
        <w:t>19.]</w:t>
      </w:r>
    </w:p>
    <w:p>
      <w:pPr>
        <w:pStyle w:val="Footnoteheading"/>
      </w:pPr>
      <w:r>
        <w:tab/>
        <w:t>[Heading deleted in Gazette 23 May 1986 p. 1716.]</w:t>
      </w:r>
    </w:p>
    <w:p>
      <w:pPr>
        <w:pStyle w:val="Ednotesection"/>
      </w:pPr>
      <w:r>
        <w:t>[</w:t>
      </w:r>
      <w:r>
        <w:rPr>
          <w:b/>
        </w:rPr>
        <w:t>34.</w:t>
      </w:r>
      <w:r>
        <w:tab/>
        <w:t xml:space="preserve">Deleted in Gazette 23 May 1986 p. 1716.] </w:t>
      </w:r>
    </w:p>
    <w:p>
      <w:pPr>
        <w:pStyle w:val="Footnoteheading"/>
      </w:pPr>
      <w:r>
        <w:tab/>
        <w:t>[Heading deleted in Gazette 23 May 1986 p. 1716.]</w:t>
      </w:r>
    </w:p>
    <w:p>
      <w:pPr>
        <w:pStyle w:val="Ednotesection"/>
      </w:pPr>
      <w:r>
        <w:t>[</w:t>
      </w:r>
      <w:r>
        <w:rPr>
          <w:b/>
        </w:rPr>
        <w:t>34A</w:t>
      </w:r>
      <w:r>
        <w:rPr>
          <w:b/>
        </w:rPr>
        <w:noBreakHyphen/>
        <w:t>34C.</w:t>
      </w:r>
      <w:r>
        <w:tab/>
        <w:t xml:space="preserve">Deleted in Gazette 23 May 1986 p. 1716.] </w:t>
      </w:r>
    </w:p>
    <w:p>
      <w:pPr>
        <w:pStyle w:val="Ednotesection"/>
      </w:pPr>
      <w:r>
        <w:t>[</w:t>
      </w:r>
      <w:r>
        <w:rPr>
          <w:b/>
        </w:rPr>
        <w:t>34D.</w:t>
      </w:r>
      <w:r>
        <w:rPr>
          <w:b/>
        </w:rPr>
        <w:tab/>
      </w:r>
      <w:r>
        <w:t xml:space="preserve">Deleted in Gazette 19 Mar 1996 p. 1220.] </w:t>
      </w:r>
    </w:p>
    <w:p>
      <w:pPr>
        <w:pStyle w:val="Footnoteheading"/>
      </w:pPr>
      <w:r>
        <w:tab/>
        <w:t>[Heading deleted in Gazette 12 Aug 2003 p. 3663.]</w:t>
      </w:r>
    </w:p>
    <w:p>
      <w:pPr>
        <w:pStyle w:val="Heading5"/>
        <w:rPr>
          <w:snapToGrid w:val="0"/>
        </w:rPr>
      </w:pPr>
      <w:bookmarkStart w:id="293" w:name="_Toc406492417"/>
      <w:bookmarkStart w:id="294" w:name="_Toc524795823"/>
      <w:r>
        <w:rPr>
          <w:rStyle w:val="CharSectno"/>
        </w:rPr>
        <w:t>35</w:t>
      </w:r>
      <w:r>
        <w:rPr>
          <w:snapToGrid w:val="0"/>
        </w:rPr>
        <w:t>.</w:t>
      </w:r>
      <w:r>
        <w:rPr>
          <w:snapToGrid w:val="0"/>
        </w:rPr>
        <w:tab/>
        <w:t>Sch. 2 substances, restrictions on retail sale of</w:t>
      </w:r>
      <w:bookmarkEnd w:id="293"/>
      <w:bookmarkEnd w:id="294"/>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Footnoteheading"/>
      </w:pPr>
      <w:r>
        <w:tab/>
        <w:t>[Heading deleted in Gazette 8 Feb 1985 p. 521.]</w:t>
      </w:r>
    </w:p>
    <w:p>
      <w:pPr>
        <w:pStyle w:val="Heading5"/>
        <w:rPr>
          <w:snapToGrid w:val="0"/>
        </w:rPr>
      </w:pPr>
      <w:bookmarkStart w:id="295" w:name="_Toc406492418"/>
      <w:bookmarkStart w:id="296" w:name="_Toc524795824"/>
      <w:r>
        <w:rPr>
          <w:rStyle w:val="CharSectno"/>
        </w:rPr>
        <w:t>35A</w:t>
      </w:r>
      <w:r>
        <w:rPr>
          <w:snapToGrid w:val="0"/>
        </w:rPr>
        <w:t>.</w:t>
      </w:r>
      <w:r>
        <w:rPr>
          <w:snapToGrid w:val="0"/>
        </w:rPr>
        <w:tab/>
        <w:t>Sch. 3 substances, restrictions on retail sale of</w:t>
      </w:r>
      <w:bookmarkEnd w:id="295"/>
      <w:bookmarkEnd w:id="296"/>
      <w:r>
        <w:rPr>
          <w:snapToGrid w:val="0"/>
        </w:rPr>
        <w:t xml:space="preserve"> </w:t>
      </w:r>
    </w:p>
    <w:p>
      <w:pPr>
        <w:pStyle w:val="Subsection"/>
      </w:pPr>
      <w:r>
        <w:tab/>
        <w:t>(1A)</w:t>
      </w:r>
      <w:r>
        <w:tab/>
        <w:t xml:space="preserve">In this regulation — </w:t>
      </w:r>
    </w:p>
    <w:p>
      <w:pPr>
        <w:pStyle w:val="Defstart"/>
      </w:pPr>
      <w:r>
        <w:tab/>
      </w:r>
      <w:r>
        <w:rPr>
          <w:rStyle w:val="CharDefText"/>
        </w:rPr>
        <w:t>book</w:t>
      </w:r>
      <w:r>
        <w:t xml:space="preserve"> means — </w:t>
      </w:r>
    </w:p>
    <w:p>
      <w:pPr>
        <w:pStyle w:val="Defpara"/>
      </w:pPr>
      <w:r>
        <w:tab/>
        <w:t>(a)</w:t>
      </w:r>
      <w:r>
        <w:tab/>
        <w:t>in the case of pseudoephedrine, a recording system approved in writing by the CEO for the purposes of this regulation; and</w:t>
      </w:r>
    </w:p>
    <w:p>
      <w:pPr>
        <w:pStyle w:val="Defpara"/>
      </w:pPr>
      <w:r>
        <w:tab/>
        <w:t>(b)</w:t>
      </w:r>
      <w:r>
        <w:tab/>
        <w:t>for substances other than pseudoephedrine, the Prescription Book referred to in regulation 36(3)(c).</w:t>
      </w:r>
    </w:p>
    <w:p>
      <w:pPr>
        <w:pStyle w:val="Subsection"/>
      </w:pPr>
      <w:r>
        <w:tab/>
        <w:t>(1)</w:t>
      </w:r>
      <w:r>
        <w:tab/>
        <w:t>The retail sale of a substance included in Schedule 3 shall only be by way of direct, personal sale by a pharmacist or an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an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a book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pPr>
      <w:r>
        <w:tab/>
        <w:t>(3)</w:t>
      </w:r>
      <w:r>
        <w:tab/>
        <w:t>A book must be available for inspection by an authorised officer at all reasonable times.</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 19 Nov 2010 p. 5710.]</w:t>
      </w:r>
    </w:p>
    <w:p>
      <w:pPr>
        <w:pStyle w:val="Ednotesection"/>
      </w:pPr>
      <w:r>
        <w:t>[</w:t>
      </w:r>
      <w:r>
        <w:rPr>
          <w:b/>
        </w:rPr>
        <w:t>35AA.</w:t>
      </w:r>
      <w:r>
        <w:rPr>
          <w:b/>
        </w:rPr>
        <w:tab/>
      </w:r>
      <w:r>
        <w:t xml:space="preserve">Deleted in Gazette 11 Apr 1997 p. 1829.] </w:t>
      </w:r>
    </w:p>
    <w:p>
      <w:pPr>
        <w:pStyle w:val="Heading5"/>
        <w:rPr>
          <w:snapToGrid w:val="0"/>
        </w:rPr>
      </w:pPr>
      <w:bookmarkStart w:id="297" w:name="_Toc406492419"/>
      <w:bookmarkStart w:id="298" w:name="_Toc524795825"/>
      <w:r>
        <w:rPr>
          <w:rStyle w:val="CharSectno"/>
        </w:rPr>
        <w:t>35B</w:t>
      </w:r>
      <w:r>
        <w:rPr>
          <w:snapToGrid w:val="0"/>
        </w:rPr>
        <w:t>.</w:t>
      </w:r>
      <w:r>
        <w:rPr>
          <w:snapToGrid w:val="0"/>
        </w:rPr>
        <w:tab/>
        <w:t>Sch. 3 substances, storage of</w:t>
      </w:r>
      <w:bookmarkEnd w:id="297"/>
      <w:bookmarkEnd w:id="298"/>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299" w:name="_Toc406492420"/>
      <w:bookmarkStart w:id="300" w:name="_Toc524795826"/>
      <w:r>
        <w:rPr>
          <w:rStyle w:val="CharSectno"/>
        </w:rPr>
        <w:t>35C</w:t>
      </w:r>
      <w:r>
        <w:rPr>
          <w:snapToGrid w:val="0"/>
        </w:rPr>
        <w:t>.</w:t>
      </w:r>
      <w:r>
        <w:rPr>
          <w:snapToGrid w:val="0"/>
        </w:rPr>
        <w:tab/>
        <w:t>Sch. 3 substances, advertising of</w:t>
      </w:r>
      <w:bookmarkEnd w:id="299"/>
      <w:bookmarkEnd w:id="300"/>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 xml:space="preserve">A substance both included in Schedule 3 and listed in Appendix H of </w:t>
      </w:r>
      <w:r>
        <w:rPr>
          <w:bCs/>
          <w:iCs/>
        </w:rPr>
        <w:t>SUSMP</w:t>
      </w:r>
      <w:r>
        <w:rPr>
          <w:snapToGrid w:val="0"/>
        </w:rPr>
        <w:t xml:space="preserve">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spacing w:before="100"/>
      </w:pPr>
      <w:r>
        <w:tab/>
        <w:t>[Regulation 35C inserted in Gazette 23 Sep 1983 p. 3803; amended in Gazette 2 Oct 1987 p. 3776; 19 Mar 1996 p. 1221; 27 Nov 1998 p. 6343</w:t>
      </w:r>
      <w:r>
        <w:noBreakHyphen/>
        <w:t xml:space="preserve">4; 22 Oct 2010 p. 5218.] </w:t>
      </w:r>
    </w:p>
    <w:p>
      <w:pPr>
        <w:pStyle w:val="Heading5"/>
      </w:pPr>
      <w:bookmarkStart w:id="301" w:name="_Toc406492421"/>
      <w:bookmarkStart w:id="302" w:name="_Toc524795827"/>
      <w:r>
        <w:rPr>
          <w:rStyle w:val="CharSectno"/>
        </w:rPr>
        <w:t>35D</w:t>
      </w:r>
      <w:r>
        <w:t>.</w:t>
      </w:r>
      <w:r>
        <w:tab/>
        <w:t>Sch. 4 substances, advertising of</w:t>
      </w:r>
      <w:bookmarkEnd w:id="301"/>
      <w:bookmarkEnd w:id="302"/>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spacing w:before="100"/>
      </w:pPr>
      <w:r>
        <w:tab/>
        <w:t>[Regulation 35D inserted in Gazette 19 Feb 1999 p. 555.]</w:t>
      </w:r>
    </w:p>
    <w:p>
      <w:pPr>
        <w:pStyle w:val="Footnoteheading"/>
        <w:spacing w:before="100"/>
      </w:pPr>
      <w:r>
        <w:tab/>
        <w:t>[Heading deleted in Gazette 12 Aug 2003 p. 3663.]</w:t>
      </w:r>
    </w:p>
    <w:p>
      <w:pPr>
        <w:pStyle w:val="Heading3"/>
        <w:keepLines/>
      </w:pPr>
      <w:bookmarkStart w:id="303" w:name="_Toc406084235"/>
      <w:bookmarkStart w:id="304" w:name="_Toc406492422"/>
      <w:bookmarkStart w:id="305" w:name="_Toc414629565"/>
      <w:bookmarkStart w:id="306" w:name="_Toc414629792"/>
      <w:bookmarkStart w:id="307" w:name="_Toc414871656"/>
      <w:bookmarkStart w:id="308" w:name="_Toc414873422"/>
      <w:bookmarkStart w:id="309" w:name="_Toc418582464"/>
      <w:bookmarkStart w:id="310" w:name="_Toc423426511"/>
      <w:bookmarkStart w:id="311" w:name="_Toc423426912"/>
      <w:bookmarkStart w:id="312" w:name="_Toc524795828"/>
      <w:r>
        <w:rPr>
          <w:rStyle w:val="CharDivNo"/>
        </w:rPr>
        <w:t>Division 2</w:t>
      </w:r>
      <w:r>
        <w:t xml:space="preserve"> — </w:t>
      </w:r>
      <w:r>
        <w:rPr>
          <w:rStyle w:val="CharDivText"/>
        </w:rPr>
        <w:t>Schedule 4 poisons</w:t>
      </w:r>
      <w:bookmarkEnd w:id="303"/>
      <w:bookmarkEnd w:id="304"/>
      <w:bookmarkEnd w:id="305"/>
      <w:bookmarkEnd w:id="306"/>
      <w:bookmarkEnd w:id="307"/>
      <w:bookmarkEnd w:id="308"/>
      <w:bookmarkEnd w:id="309"/>
      <w:bookmarkEnd w:id="310"/>
      <w:bookmarkEnd w:id="311"/>
      <w:bookmarkEnd w:id="312"/>
    </w:p>
    <w:p>
      <w:pPr>
        <w:pStyle w:val="Footnoteheading"/>
        <w:keepNext/>
        <w:keepLines/>
        <w:spacing w:before="90"/>
      </w:pPr>
      <w:r>
        <w:tab/>
        <w:t>[Heading inserted in Gazette 12 Aug 2003 p. 3664; amended in Gazette 4 Jan 2005 p. 3.]</w:t>
      </w:r>
    </w:p>
    <w:p>
      <w:pPr>
        <w:pStyle w:val="Heading5"/>
        <w:rPr>
          <w:snapToGrid w:val="0"/>
        </w:rPr>
      </w:pPr>
      <w:bookmarkStart w:id="313" w:name="_Toc406492423"/>
      <w:bookmarkStart w:id="314" w:name="_Toc524795829"/>
      <w:r>
        <w:rPr>
          <w:rStyle w:val="CharSectno"/>
        </w:rPr>
        <w:t>36</w:t>
      </w:r>
      <w:r>
        <w:rPr>
          <w:snapToGrid w:val="0"/>
        </w:rPr>
        <w:t>.</w:t>
      </w:r>
      <w:r>
        <w:rPr>
          <w:snapToGrid w:val="0"/>
        </w:rPr>
        <w:tab/>
        <w:t>Sale and supply of Sch. 4 poisons, rules as to</w:t>
      </w:r>
      <w:bookmarkEnd w:id="313"/>
      <w:bookmarkEnd w:id="314"/>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 xml:space="preserve">is satisfied that the person to whom the poison is sold or supplied is authorised under regulation 40(1) </w:t>
      </w:r>
      <w:r>
        <w:t xml:space="preserve">or (1AB) </w:t>
      </w:r>
      <w:r>
        <w:rPr>
          <w:snapToGrid w:val="0"/>
        </w:rPr>
        <w:t>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w:t>
      </w:r>
      <w:r>
        <w:t xml:space="preserve">dentist, authorised health practitioner </w:t>
      </w:r>
      <w:r>
        <w:rPr>
          <w:snapToGrid w:val="0"/>
        </w:rPr>
        <w:t>or veterinary surgeon prescribing the poison according to the requirements of these regulations; or</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pPr>
      <w:r>
        <w:tab/>
        <w:t>(da)</w:t>
      </w:r>
      <w:r>
        <w:tab/>
        <w:t xml:space="preserve">in the case of a poison that is referred to in the </w:t>
      </w:r>
      <w:r>
        <w:rPr>
          <w:i/>
        </w:rPr>
        <w:t>National Health (Continued Dispensing) Determination 2012</w:t>
      </w:r>
      <w:r>
        <w:t xml:space="preserve"> (Commonwealth) Schedule 1 as in force on 1 July 2012 — </w:t>
      </w:r>
    </w:p>
    <w:p>
      <w:pPr>
        <w:pStyle w:val="Indenti"/>
      </w:pPr>
      <w:r>
        <w:tab/>
        <w:t>(i)</w:t>
      </w:r>
      <w:r>
        <w:tab/>
        <w:t>the poison is sold or supplied by a pharmacist; and</w:t>
      </w:r>
    </w:p>
    <w:p>
      <w:pPr>
        <w:pStyle w:val="Indenti"/>
      </w:pPr>
      <w:r>
        <w:tab/>
        <w:t>(ii)</w:t>
      </w:r>
      <w:r>
        <w:tab/>
        <w:t xml:space="preserve">the pharmacist selling or supplying the poison is satisfied on reasonable grounds that — </w:t>
      </w:r>
    </w:p>
    <w:p>
      <w:pPr>
        <w:pStyle w:val="IndentI0"/>
      </w:pPr>
      <w:r>
        <w:tab/>
        <w:t>(I)</w:t>
      </w:r>
      <w:r>
        <w:tab/>
        <w:t xml:space="preserve">the person to whom the poison is sold or supplied (the </w:t>
      </w:r>
      <w:r>
        <w:rPr>
          <w:rStyle w:val="CharDefText"/>
        </w:rPr>
        <w:t>patient</w:t>
      </w:r>
      <w:r>
        <w:t>) is under regular medical treatment with the poison; and</w:t>
      </w:r>
    </w:p>
    <w:p>
      <w:pPr>
        <w:pStyle w:val="IndentI0"/>
      </w:pPr>
      <w:r>
        <w:tab/>
        <w:t>(II)</w:t>
      </w:r>
      <w:r>
        <w:tab/>
        <w:t>it is not practical for the patient to obtain a prescription for the poison in sufficient time to allow for the treatment to continue uninterrupted; and</w:t>
      </w:r>
    </w:p>
    <w:p>
      <w:pPr>
        <w:pStyle w:val="IndentI0"/>
      </w:pPr>
      <w:r>
        <w:tab/>
        <w:t>(III)</w:t>
      </w:r>
      <w:r>
        <w:tab/>
        <w:t xml:space="preserve">the patient has not been supplied with the poison without a prescription in the period of 12 months preceding the day on which the poison is sold or supplied; </w:t>
      </w:r>
    </w:p>
    <w:p>
      <w:pPr>
        <w:pStyle w:val="Indenti"/>
      </w:pPr>
      <w:r>
        <w:tab/>
      </w:r>
      <w:r>
        <w:tab/>
        <w:t>and</w:t>
      </w:r>
    </w:p>
    <w:p>
      <w:pPr>
        <w:pStyle w:val="Indenti"/>
      </w:pPr>
      <w:r>
        <w:tab/>
        <w:t>(iii)</w:t>
      </w:r>
      <w:r>
        <w:tab/>
        <w:t>the quantity of the poison sold or supplied to the patient is not more than that required to provide 30 days treatment; and</w:t>
      </w:r>
    </w:p>
    <w:p>
      <w:pPr>
        <w:pStyle w:val="Indenti"/>
      </w:pPr>
      <w:r>
        <w:tab/>
        <w:t>(iv)</w:t>
      </w:r>
      <w:r>
        <w:tab/>
        <w:t>the pharmacist notifies the person who is medically treating the patient with the poison within 24 hours of the sale or supply;</w:t>
      </w:r>
    </w:p>
    <w:p>
      <w:pPr>
        <w:pStyle w:val="Indenta"/>
      </w:pPr>
      <w:r>
        <w:tab/>
      </w:r>
      <w:r>
        <w:tab/>
        <w:t>or</w:t>
      </w:r>
    </w:p>
    <w:p>
      <w:pPr>
        <w:pStyle w:val="Indenta"/>
        <w:keepNext/>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 or</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 xml:space="preserve">for the treatment of an acute medical condition in compliance with oral instructions of a medical practitioner </w:t>
      </w:r>
      <w:r>
        <w:t>or nurse practitioner</w:t>
      </w:r>
      <w:r>
        <w:rPr>
          <w:snapToGrid w:val="0"/>
        </w:rPr>
        <w:t xml:space="preserve">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or an assistant under the direct personal supervision of a medical practitioner,</w:t>
      </w:r>
      <w:r>
        <w:t xml:space="preserve"> nurse practitioner,</w:t>
      </w:r>
      <w:r>
        <w:rPr>
          <w:snapToGrid w:val="0"/>
        </w:rPr>
        <w:t xml:space="preserve"> </w:t>
      </w:r>
      <w:r>
        <w:t>pharmacist</w:t>
      </w:r>
      <w:r>
        <w:rPr>
          <w:snapToGrid w:val="0"/>
        </w:rPr>
        <w:t xml:space="preserve">, </w:t>
      </w:r>
      <w:r>
        <w:t>authorised health practitioner</w:t>
      </w:r>
      <w:r>
        <w:rPr>
          <w:snapToGrid w:val="0"/>
        </w:rPr>
        <w:t xml:space="preserve">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spacing w:before="68"/>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spacing w:before="68"/>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spacing w:before="68"/>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spacing w:before="68"/>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spacing w:before="68"/>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spacing w:before="68"/>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spacing w:before="68"/>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spacing w:before="68"/>
        <w:rPr>
          <w:snapToGrid w:val="0"/>
        </w:rPr>
      </w:pPr>
      <w:r>
        <w:rPr>
          <w:snapToGrid w:val="0"/>
        </w:rPr>
        <w:tab/>
        <w:t>(I)</w:t>
      </w:r>
      <w:r>
        <w:rPr>
          <w:snapToGrid w:val="0"/>
        </w:rPr>
        <w:tab/>
      </w:r>
      <w:r>
        <w:t>handwritten records in a bound book with sequentially</w:t>
      </w:r>
      <w:r>
        <w:rPr>
          <w:snapToGrid w:val="0"/>
        </w:rPr>
        <w:t xml:space="preserve"> numbered pages; or</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 or</w:t>
      </w:r>
    </w:p>
    <w:p>
      <w:pPr>
        <w:pStyle w:val="IndentI0"/>
        <w:rPr>
          <w:snapToGrid w:val="0"/>
        </w:rPr>
      </w:pPr>
      <w:r>
        <w:rPr>
          <w:snapToGrid w:val="0"/>
        </w:rPr>
        <w:tab/>
        <w:t>(III)</w:t>
      </w:r>
      <w:r>
        <w:rPr>
          <w:snapToGrid w:val="0"/>
        </w:rPr>
        <w:tab/>
        <w:t>microfilm, microfiche, or any other photographic systems in logical sequence and retrievable form; or</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 and</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 and</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 </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pPr>
      <w:r>
        <w:tab/>
        <w:t>(4A)</w:t>
      </w:r>
      <w:r>
        <w:tab/>
        <w:t xml:space="preserve">A pharmacist who sells or supplies a poison in Schedule 4 under subregulation (1)(da) must enter the following information into the Prescription Book referred to in subregulation (3)(c) — </w:t>
      </w:r>
    </w:p>
    <w:p>
      <w:pPr>
        <w:pStyle w:val="Indenta"/>
      </w:pPr>
      <w:r>
        <w:tab/>
        <w:t>(a)</w:t>
      </w:r>
      <w:r>
        <w:tab/>
        <w:t>the name and quantity of the poison;</w:t>
      </w:r>
    </w:p>
    <w:p>
      <w:pPr>
        <w:pStyle w:val="Indenta"/>
      </w:pPr>
      <w:r>
        <w:tab/>
        <w:t>(b)</w:t>
      </w:r>
      <w:r>
        <w:tab/>
        <w:t>the direction for use (if applicable);</w:t>
      </w:r>
    </w:p>
    <w:p>
      <w:pPr>
        <w:pStyle w:val="Indenta"/>
      </w:pPr>
      <w:r>
        <w:tab/>
        <w:t>(c)</w:t>
      </w:r>
      <w:r>
        <w:tab/>
        <w:t>the date of sale or supply of the poison;</w:t>
      </w:r>
    </w:p>
    <w:p>
      <w:pPr>
        <w:pStyle w:val="Indenta"/>
      </w:pPr>
      <w:r>
        <w:tab/>
        <w:t>(d)</w:t>
      </w:r>
      <w:r>
        <w:tab/>
        <w:t>the name and address of the patient;</w:t>
      </w:r>
    </w:p>
    <w:p>
      <w:pPr>
        <w:pStyle w:val="Indenta"/>
      </w:pPr>
      <w:r>
        <w:tab/>
        <w:t>(e)</w:t>
      </w:r>
      <w:r>
        <w:tab/>
        <w:t>the name and identifying initials of the person who is medically treating the patient with the poison;</w:t>
      </w:r>
    </w:p>
    <w:p>
      <w:pPr>
        <w:pStyle w:val="Indenta"/>
      </w:pPr>
      <w:r>
        <w:tab/>
        <w:t>(f)</w:t>
      </w:r>
      <w:r>
        <w:tab/>
        <w:t>an identifying letter or combination of letter and number for the entry.</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10; 1 Oct 2010 p. 5079</w:t>
      </w:r>
      <w:r>
        <w:noBreakHyphen/>
        <w:t xml:space="preserve">80; 19 Nov 2010 p. 5713; 1 Jun 2012 p. 2311; 10 Aug 2012 p. 3804-5; amended by Act No. 9 of 2003 s. 44.] </w:t>
      </w:r>
    </w:p>
    <w:p>
      <w:pPr>
        <w:pStyle w:val="Heading5"/>
      </w:pPr>
      <w:bookmarkStart w:id="315" w:name="_Toc406492424"/>
      <w:bookmarkStart w:id="316" w:name="_Toc524795830"/>
      <w:r>
        <w:rPr>
          <w:rStyle w:val="CharSectno"/>
        </w:rPr>
        <w:t>36AA</w:t>
      </w:r>
      <w:r>
        <w:t>.</w:t>
      </w:r>
      <w:r>
        <w:tab/>
        <w:t>Starter packs, supply of by registered nurses</w:t>
      </w:r>
      <w:bookmarkEnd w:id="315"/>
      <w:bookmarkEnd w:id="316"/>
    </w:p>
    <w:p>
      <w:pPr>
        <w:pStyle w:val="Subsection"/>
      </w:pPr>
      <w:r>
        <w:tab/>
        <w:t>(1)</w:t>
      </w:r>
      <w:r>
        <w:tab/>
        <w:t>In this regulation —</w:t>
      </w:r>
    </w:p>
    <w:p>
      <w:pPr>
        <w:pStyle w:val="Defstart"/>
      </w:pPr>
      <w:r>
        <w:tab/>
      </w:r>
      <w:r>
        <w:rPr>
          <w:rStyle w:val="CharDefText"/>
        </w:rPr>
        <w:t>approved health service</w:t>
      </w:r>
      <w:r>
        <w:t xml:space="preserve"> means a health service (as defined in section 3(1) of the </w:t>
      </w:r>
      <w:r>
        <w:rPr>
          <w:i/>
        </w:rPr>
        <w:t>Health and Disability Services (Complaints) Act 1995</w:t>
      </w:r>
      <w:r>
        <w:rPr>
          <w:vertAlign w:val="superscript"/>
        </w:rPr>
        <w:t> 2</w:t>
      </w:r>
      <w:r>
        <w:t>, other than a health service provided by way of medical or epidemiological research) that —</w:t>
      </w:r>
    </w:p>
    <w:p>
      <w:pPr>
        <w:pStyle w:val="Defpara"/>
      </w:pPr>
      <w:r>
        <w:tab/>
        <w:t>(a)</w:t>
      </w:r>
      <w:r>
        <w:tab/>
        <w:t xml:space="preserve">operates outside the metropolitan region (as defined in section 6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w:t>
      </w:r>
      <w:r>
        <w:rPr>
          <w:vertAlign w:val="superscript"/>
        </w:rPr>
        <w:t>3</w:t>
      </w:r>
      <w:r>
        <w:t xml:space="preserve">); and </w:t>
      </w:r>
    </w:p>
    <w:p>
      <w:pPr>
        <w:pStyle w:val="Defpara"/>
      </w:pPr>
      <w:r>
        <w:tab/>
        <w:t>(b)</w:t>
      </w:r>
      <w:r>
        <w:tab/>
        <w:t xml:space="preserve">has been approved by the CEO for the purposes of this regulation; </w:t>
      </w:r>
    </w:p>
    <w:p>
      <w:pPr>
        <w:pStyle w:val="Defstart"/>
      </w:pPr>
      <w:r>
        <w:tab/>
      </w:r>
      <w:r>
        <w:rPr>
          <w:rStyle w:val="CharDefText"/>
        </w:rPr>
        <w:t>approved name</w:t>
      </w:r>
      <w:r>
        <w:t xml:space="preserve"> has the same meaning as in regulation 35C; </w:t>
      </w:r>
    </w:p>
    <w:p>
      <w:pPr>
        <w:pStyle w:val="Defstart"/>
      </w:pPr>
      <w:r>
        <w:tab/>
      </w:r>
      <w:r>
        <w:rPr>
          <w:rStyle w:val="CharDefText"/>
        </w:rPr>
        <w:t>approved starter pack</w:t>
      </w:r>
      <w:r>
        <w:t xml:space="preserve"> means a starter pack approved by the CEO for the purposes of this regulation; </w:t>
      </w:r>
    </w:p>
    <w:p>
      <w:pPr>
        <w:pStyle w:val="Defstart"/>
      </w:pPr>
      <w:r>
        <w:tab/>
      </w:r>
      <w:r>
        <w:rPr>
          <w:rStyle w:val="CharDefText"/>
        </w:rPr>
        <w:t>brand name</w:t>
      </w:r>
      <w:r>
        <w:t xml:space="preserve"> has the same meaning as in regulation 35C; </w:t>
      </w:r>
    </w:p>
    <w:p>
      <w:pPr>
        <w:pStyle w:val="Defstart"/>
      </w:pPr>
      <w:r>
        <w:tab/>
      </w:r>
      <w:r>
        <w:rPr>
          <w:rStyle w:val="CharDefText"/>
        </w:rPr>
        <w:t>starter pack</w:t>
      </w:r>
      <w:r>
        <w:t xml:space="preserve"> means a quantity of a poison included in Schedule 4, prepared by a pharmacist and consisting of —</w:t>
      </w:r>
    </w:p>
    <w:p>
      <w:pPr>
        <w:pStyle w:val="Defpara"/>
      </w:pPr>
      <w:r>
        <w:tab/>
        <w:t>(a)</w:t>
      </w:r>
      <w:r>
        <w:tab/>
        <w:t>if the poison is supplied in prepacked individual packs, one individual standard pack; or</w:t>
      </w:r>
    </w:p>
    <w:p>
      <w:pPr>
        <w:pStyle w:val="Defpara"/>
      </w:pPr>
      <w:r>
        <w:tab/>
        <w:t>(b)</w:t>
      </w:r>
      <w:r>
        <w:tab/>
        <w:t>if the poison is a liquid, the smallest pack of the poison available from the manufacturer; or</w:t>
      </w:r>
    </w:p>
    <w:p>
      <w:pPr>
        <w:pStyle w:val="Defpara"/>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or nurse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or nurse practitioner must not give a starter pack instruction unless satisfied that —</w:t>
      </w:r>
    </w:p>
    <w:p>
      <w:pPr>
        <w:pStyle w:val="Indenta"/>
      </w:pPr>
      <w:r>
        <w:tab/>
        <w:t>(a)</w:t>
      </w:r>
      <w:r>
        <w:tab/>
        <w:t>the patient has an acute medical condition; and</w:t>
      </w:r>
    </w:p>
    <w:p>
      <w:pPr>
        <w:pStyle w:val="Indenta"/>
      </w:pPr>
      <w:r>
        <w:tab/>
        <w:t>(b)</w:t>
      </w:r>
      <w:r>
        <w:tab/>
        <w:t xml:space="preserve">there is no other medical practitioner or nurse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pPr>
      <w:r>
        <w:tab/>
        <w:t>(5)</w:t>
      </w:r>
      <w:r>
        <w:tab/>
        <w:t>For the purposes of subregulation (4), a medical practitioner or nurse practitioner may rely on information provided by the registered nurse as to the patient’s condition, the availability of other medical practitioners or nurse practitioners and the location of the nearest open pharmacy.</w:t>
      </w:r>
    </w:p>
    <w:p>
      <w:pPr>
        <w:pStyle w:val="Subsection"/>
      </w:pPr>
      <w:r>
        <w:tab/>
        <w:t>(6)</w:t>
      </w:r>
      <w:r>
        <w:tab/>
        <w:t>Within 72 hours of giving a starter pack instruction a medical practitioner or nurse practitioner must give to the registered nurse, or another registered nurse at the health service, signed, written confirmation of the instruction including —</w:t>
      </w:r>
    </w:p>
    <w:p>
      <w:pPr>
        <w:pStyle w:val="Indenta"/>
      </w:pPr>
      <w:r>
        <w:tab/>
        <w:t>(a)</w:t>
      </w:r>
      <w:r>
        <w:tab/>
        <w:t>the name of the medical practitioner or nurse practitioner; and</w:t>
      </w:r>
    </w:p>
    <w:p>
      <w:pPr>
        <w:pStyle w:val="Indenta"/>
      </w:pPr>
      <w:r>
        <w:tab/>
        <w:t>(b)</w:t>
      </w:r>
      <w:r>
        <w:tab/>
        <w:t>the name of the registered nurse to whom the starter pack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approved starter pack; and</w:t>
      </w:r>
    </w:p>
    <w:p>
      <w:pPr>
        <w:pStyle w:val="Indenta"/>
      </w:pPr>
      <w:r>
        <w:tab/>
        <w:t>(f)</w:t>
      </w:r>
      <w:r>
        <w:tab/>
        <w:t>any relevant directions for use that were to be given to the patient; and</w:t>
      </w:r>
    </w:p>
    <w:p>
      <w:pPr>
        <w:pStyle w:val="Indenta"/>
      </w:pPr>
      <w:r>
        <w:tab/>
        <w:t>(g)</w:t>
      </w:r>
      <w:r>
        <w:tab/>
        <w:t>any other information that the medical practitioner or nurse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 and</w:t>
      </w:r>
    </w:p>
    <w:p>
      <w:pPr>
        <w:pStyle w:val="Indenta"/>
      </w:pPr>
      <w:r>
        <w:tab/>
        <w:t>(b)</w:t>
      </w:r>
      <w:r>
        <w:tab/>
        <w:t>the name of the patient; and</w:t>
      </w:r>
    </w:p>
    <w:p>
      <w:pPr>
        <w:pStyle w:val="Indenta"/>
      </w:pPr>
      <w:r>
        <w:tab/>
        <w:t>(c)</w:t>
      </w:r>
      <w:r>
        <w:tab/>
        <w:t>the name and address of the health service; and</w:t>
      </w:r>
    </w:p>
    <w:p>
      <w:pPr>
        <w:pStyle w:val="Indenta"/>
      </w:pPr>
      <w:r>
        <w:tab/>
        <w:t>(d)</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(e)</w:t>
      </w:r>
      <w:r>
        <w:tab/>
        <w:t>the total quantity of medication contained in the approved starter pack; and</w:t>
      </w:r>
    </w:p>
    <w:p>
      <w:pPr>
        <w:pStyle w:val="Indenta"/>
      </w:pPr>
      <w:r>
        <w:tab/>
        <w:t>(f)</w:t>
      </w:r>
      <w:r>
        <w:tab/>
        <w:t>the date on which the approved starter pack was given to the patient; and</w:t>
      </w:r>
    </w:p>
    <w:p>
      <w:pPr>
        <w:pStyle w:val="Indenta"/>
      </w:pPr>
      <w:r>
        <w:tab/>
        <w:t>(g)</w:t>
      </w:r>
      <w:r>
        <w:tab/>
        <w:t>any directions for use given by the medical practitioner or nurse practitioner; and</w:t>
      </w:r>
    </w:p>
    <w:p>
      <w:pPr>
        <w:pStyle w:val="Indenta"/>
      </w:pPr>
      <w:r>
        <w:tab/>
        <w:t>(h)</w:t>
      </w:r>
      <w:r>
        <w:tab/>
        <w:t>the number referred to in subregulation (10)(f) identifying the relevant entry in the health service’s Starter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r>
      <w:r>
        <w:tab/>
        <w:t>and</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 and</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r>
      <w:r>
        <w:tab/>
        <w:t>and</w:t>
      </w:r>
    </w:p>
    <w:p>
      <w:pPr>
        <w:pStyle w:val="Indenta"/>
      </w:pPr>
      <w:r>
        <w:tab/>
        <w:t>(c)</w:t>
      </w:r>
      <w:r>
        <w:tab/>
        <w:t>the date and time at which the approved starter pack is to be given to the patient; and</w:t>
      </w:r>
    </w:p>
    <w:p>
      <w:pPr>
        <w:pStyle w:val="Indenta"/>
      </w:pPr>
      <w:r>
        <w:tab/>
        <w:t>(d)</w:t>
      </w:r>
      <w:r>
        <w:tab/>
        <w:t>the name of the medical practitioner or nurse practitioner; and</w:t>
      </w:r>
    </w:p>
    <w:p>
      <w:pPr>
        <w:pStyle w:val="Indenta"/>
      </w:pPr>
      <w:r>
        <w:tab/>
        <w:t>(e)</w:t>
      </w:r>
      <w:r>
        <w:tab/>
        <w:t>any directions for use given by the medical practitioner or nurse practitioner; and</w:t>
      </w:r>
    </w:p>
    <w:p>
      <w:pPr>
        <w:pStyle w:val="Indenta"/>
      </w:pPr>
      <w:r>
        <w:tab/>
        <w:t>(f)</w:t>
      </w:r>
      <w:r>
        <w:tab/>
        <w:t>a unique number identifying the entry in the Book; and</w:t>
      </w:r>
    </w:p>
    <w:p>
      <w:pPr>
        <w:pStyle w:val="Indenta"/>
      </w:pPr>
      <w:r>
        <w:tab/>
        <w:t>(g)</w:t>
      </w:r>
      <w:r>
        <w:tab/>
        <w:t>the registered nurse’s name and signature.</w:t>
      </w:r>
    </w:p>
    <w:p>
      <w:pPr>
        <w:pStyle w:val="Footnotesection"/>
      </w:pPr>
      <w:r>
        <w:tab/>
        <w:t>[Regulation 36AA inserted in Gazette 29 Jun 2001 p. 3115</w:t>
      </w:r>
      <w:r>
        <w:noBreakHyphen/>
        <w:t>18; amended in Gazette 15 Dec 2006 p. 5630; 2 Oct 2007 p. 4965; 1 Oct 2010 p. 5079</w:t>
      </w:r>
      <w:r>
        <w:noBreakHyphen/>
        <w:t>80; 22 Oct 2010 p. 5218; 1 Jun 2012 p. 2311-13.]</w:t>
      </w:r>
    </w:p>
    <w:p>
      <w:pPr>
        <w:pStyle w:val="Heading5"/>
      </w:pPr>
      <w:bookmarkStart w:id="317" w:name="_Toc406492425"/>
      <w:bookmarkStart w:id="318" w:name="_Toc524795831"/>
      <w:r>
        <w:rPr>
          <w:rStyle w:val="CharSectno"/>
        </w:rPr>
        <w:t>36AAB</w:t>
      </w:r>
      <w:r>
        <w:t>.</w:t>
      </w:r>
      <w:r>
        <w:tab/>
        <w:t>Psychiatric emergency packs, supply of by certain registered nurses</w:t>
      </w:r>
      <w:bookmarkEnd w:id="317"/>
      <w:bookmarkEnd w:id="318"/>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pPr>
      <w:r>
        <w:tab/>
        <w:t>(a)</w:t>
      </w:r>
      <w:r>
        <w:tab/>
        <w:t>is provided in the metropolitan region; and</w:t>
      </w:r>
    </w:p>
    <w:p>
      <w:pPr>
        <w:pStyle w:val="Defpara"/>
      </w:pPr>
      <w:r>
        <w:tab/>
        <w:t>(b)</w:t>
      </w:r>
      <w:r>
        <w:tab/>
        <w:t>responds to psychiatric emergencies in the community; and</w:t>
      </w:r>
    </w:p>
    <w:p>
      <w:pPr>
        <w:pStyle w:val="Defpara"/>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60"/>
      </w:pPr>
      <w:r>
        <w:tab/>
        <w:t>(a)</w:t>
      </w:r>
      <w:r>
        <w:tab/>
        <w:t>if the poison is supplied in prepacked individual packs — is one individual standard pack; or</w:t>
      </w:r>
    </w:p>
    <w:p>
      <w:pPr>
        <w:pStyle w:val="Defpara"/>
        <w:spacing w:before="60"/>
      </w:pPr>
      <w:r>
        <w:tab/>
        <w:t>(b)</w:t>
      </w:r>
      <w:r>
        <w:tab/>
        <w:t>if the poison is a liquid — is the smallest pack of the poison available from the manufacturer; or</w:t>
      </w:r>
    </w:p>
    <w:p>
      <w:pPr>
        <w:pStyle w:val="Defpara"/>
        <w:spacing w:before="60"/>
      </w:pPr>
      <w:r>
        <w:tab/>
        <w:t>(c)</w:t>
      </w:r>
      <w:r>
        <w:tab/>
        <w:t>otherwise — does not exceed 3 days worth of medication of the poison;</w:t>
      </w:r>
    </w:p>
    <w:p>
      <w:pPr>
        <w:pStyle w:val="Defstart"/>
        <w:keepNex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60"/>
      </w:pPr>
      <w:r>
        <w:rPr>
          <w:bCs/>
        </w:rPr>
        <w:tab/>
        <w:t>(a)</w:t>
      </w:r>
      <w:r>
        <w:rPr>
          <w:bCs/>
        </w:rPr>
        <w:tab/>
        <w:t>is provided outside the metropolitan region; and</w:t>
      </w:r>
    </w:p>
    <w:p>
      <w:pPr>
        <w:pStyle w:val="Defpara"/>
        <w:spacing w:before="60"/>
      </w:pPr>
      <w:r>
        <w:tab/>
        <w:t>(b)</w:t>
      </w:r>
      <w:r>
        <w:tab/>
        <w:t>responds to psychiatric emergencies in the community; and</w:t>
      </w:r>
    </w:p>
    <w:p>
      <w:pPr>
        <w:pStyle w:val="Defpara"/>
        <w:spacing w:before="6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keepLines/>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keepNext/>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w:t>
      </w:r>
      <w:r>
        <w:rPr>
          <w:bCs/>
          <w:iCs/>
        </w:rPr>
        <w:t xml:space="preserve"> SUSMP</w:t>
      </w:r>
      <w:r>
        <w:t>.</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keepNext/>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w:t>
      </w:r>
      <w:r>
        <w:noBreakHyphen/>
        <w:t>8; amended in Gazette 1 Oct 2010 p. 5079</w:t>
      </w:r>
      <w:r>
        <w:noBreakHyphen/>
        <w:t>80; 22 Oct 2010 p. 5218.]</w:t>
      </w:r>
    </w:p>
    <w:p>
      <w:pPr>
        <w:pStyle w:val="Heading5"/>
        <w:spacing w:before="180"/>
      </w:pPr>
      <w:bookmarkStart w:id="319" w:name="_Toc406492426"/>
      <w:bookmarkStart w:id="320" w:name="_Toc524795832"/>
      <w:r>
        <w:rPr>
          <w:rStyle w:val="CharSectno"/>
        </w:rPr>
        <w:t>36A</w:t>
      </w:r>
      <w:r>
        <w:t>.</w:t>
      </w:r>
      <w:r>
        <w:tab/>
        <w:t>Storing and displaying Sch. 4 substances for sale</w:t>
      </w:r>
      <w:bookmarkEnd w:id="319"/>
      <w:bookmarkEnd w:id="320"/>
    </w:p>
    <w:p>
      <w:pPr>
        <w:pStyle w:val="Subsection"/>
        <w:spacing w:before="120"/>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spacing w:before="120"/>
      </w:pPr>
      <w:r>
        <w:tab/>
        <w:t>(2)</w:t>
      </w:r>
      <w:r>
        <w:tab/>
        <w:t>Subject to subregulation (3), a medical practitioner, dentist, nurse practitioner, authorised health practitioner, podiatrist or veterinary surgeon to whom a substance included in Schedule 4 is supplied shall store it in a container, cupboard or room —</w:t>
      </w:r>
    </w:p>
    <w:p>
      <w:pPr>
        <w:pStyle w:val="Indenta"/>
      </w:pPr>
      <w:r>
        <w:tab/>
        <w:t>(a)</w:t>
      </w:r>
      <w:r>
        <w:tab/>
        <w:t>at the medical practitioner’s, dentist’s, nurse practitioner’s, authorised health practitioner’s, podiatrist’s or veterinary surgeon’s usual place of practice; and</w:t>
      </w:r>
    </w:p>
    <w:p>
      <w:pPr>
        <w:pStyle w:val="Indenta"/>
      </w:pPr>
      <w:r>
        <w:tab/>
        <w:t>(b)</w:t>
      </w:r>
      <w:r>
        <w:tab/>
        <w:t>that is kept locked; and</w:t>
      </w:r>
    </w:p>
    <w:p>
      <w:pPr>
        <w:pStyle w:val="Indenta"/>
      </w:pPr>
      <w:r>
        <w:tab/>
        <w:t>(c)</w:t>
      </w:r>
      <w:r>
        <w:tab/>
        <w:t>access to which is available only to the medical practitioner, dentist, nurse practitioner, authorised health practitioner, podiatrist or veterinary surgeon and persons under his or her personal supervision.</w:t>
      </w:r>
    </w:p>
    <w:p>
      <w:pPr>
        <w:pStyle w:val="Subsection"/>
      </w:pPr>
      <w:r>
        <w:tab/>
        <w:t>(3)</w:t>
      </w:r>
      <w:r>
        <w:tab/>
        <w:t>A medical practitioner, dentist, nurse practitioner, authorised health practitioner, podiatrist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nurse practitioner, authorised health practitioner, podiatrist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nurse practitioner — the substances identified in a clinical protocol for the designated area where the nurse practitioner practices as substances that may be used by the nurse practitioner at places other than at his or her usual place of practice; or</w:t>
      </w:r>
    </w:p>
    <w:p>
      <w:pPr>
        <w:pStyle w:val="Defpara"/>
      </w:pPr>
      <w:r>
        <w:tab/>
        <w:t>(c)</w:t>
      </w:r>
      <w:r>
        <w:tab/>
        <w:t>in the case of any other category of person referred to in subregulation (3) — the substances that are ordinarily carried by persons of that category who are attending patients at places other than their usual place of practice.</w:t>
      </w:r>
    </w:p>
    <w:p>
      <w:pPr>
        <w:pStyle w:val="Footnotesection"/>
      </w:pPr>
      <w:r>
        <w:tab/>
        <w:t>[Regulation 36A inserted in Gazette 19 Feb 1999 p. 555</w:t>
      </w:r>
      <w:r>
        <w:noBreakHyphen/>
        <w:t>6; amended in Gazette 1 Oct 2010 p. 5079</w:t>
      </w:r>
      <w:r>
        <w:noBreakHyphen/>
        <w:t>80; 19 Nov 2010 p. 5713; 1 Jun 2012 p. 2313-14.]</w:t>
      </w:r>
    </w:p>
    <w:p>
      <w:pPr>
        <w:pStyle w:val="Heading5"/>
        <w:keepLines w:val="0"/>
      </w:pPr>
      <w:bookmarkStart w:id="321" w:name="_Toc406492427"/>
      <w:bookmarkStart w:id="322" w:name="_Toc524795833"/>
      <w:r>
        <w:rPr>
          <w:rStyle w:val="CharSectno"/>
        </w:rPr>
        <w:t>36B</w:t>
      </w:r>
      <w:r>
        <w:t>.</w:t>
      </w:r>
      <w:r>
        <w:tab/>
        <w:t>Supply or administration of Sch. 4 substances, records of</w:t>
      </w:r>
      <w:bookmarkEnd w:id="321"/>
      <w:bookmarkEnd w:id="322"/>
    </w:p>
    <w:p>
      <w:pPr>
        <w:pStyle w:val="Subsection"/>
      </w:pPr>
      <w:r>
        <w:tab/>
        <w:t>(1)</w:t>
      </w:r>
      <w:r>
        <w:tab/>
        <w:t>A medical practitioner, nurse practitioner, dentist, midwife, optometrist, podiatrist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 and</w:t>
      </w:r>
    </w:p>
    <w:p>
      <w:pPr>
        <w:pStyle w:val="Indenta"/>
      </w:pPr>
      <w:r>
        <w:tab/>
        <w:t>(b)</w:t>
      </w:r>
      <w:r>
        <w:tab/>
        <w:t>the name and address of the person to whom the substance was supplied or administered, or of the owner of the animal to which the substance was administered; and</w:t>
      </w:r>
    </w:p>
    <w:p>
      <w:pPr>
        <w:pStyle w:val="Indenta"/>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t>made available for inspection on request by an authorised officer (other than an environmental health officer).</w:t>
      </w:r>
    </w:p>
    <w:p>
      <w:pPr>
        <w:pStyle w:val="Footnotesection"/>
      </w:pPr>
      <w:r>
        <w:tab/>
        <w:t>[Regulation 36B inserted in Gazette 19 Feb 1999 p. 556; amended in Gazette 19 Nov 2010 p. 5713; 1 Jun 2012 p. 2314.]</w:t>
      </w:r>
    </w:p>
    <w:p>
      <w:pPr>
        <w:pStyle w:val="Heading5"/>
      </w:pPr>
      <w:bookmarkStart w:id="323" w:name="_Toc406492428"/>
      <w:bookmarkStart w:id="324" w:name="_Toc524795834"/>
      <w:r>
        <w:rPr>
          <w:rStyle w:val="CharSectno"/>
        </w:rPr>
        <w:t>37A</w:t>
      </w:r>
      <w:r>
        <w:t>.</w:t>
      </w:r>
      <w:r>
        <w:tab/>
        <w:t>H1N1 Pandemic Influenza Vaccine, exemptions for and rules as to</w:t>
      </w:r>
      <w:bookmarkEnd w:id="323"/>
      <w:bookmarkEnd w:id="324"/>
    </w:p>
    <w:p>
      <w:pPr>
        <w:pStyle w:val="Subsection"/>
        <w:keepNext/>
        <w:keepLines/>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keepNext/>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325" w:name="_Toc406492429"/>
      <w:bookmarkStart w:id="326" w:name="_Toc524795835"/>
      <w:r>
        <w:rPr>
          <w:rStyle w:val="CharSectno"/>
        </w:rPr>
        <w:t>37B</w:t>
      </w:r>
      <w:r>
        <w:t>.</w:t>
      </w:r>
      <w:r>
        <w:tab/>
        <w:t>Appendix B vaccines, exemptions for</w:t>
      </w:r>
      <w:bookmarkEnd w:id="325"/>
      <w:bookmarkEnd w:id="326"/>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 or</w:t>
      </w:r>
    </w:p>
    <w:p>
      <w:pPr>
        <w:pStyle w:val="Indenti"/>
      </w:pPr>
      <w:r>
        <w:tab/>
        <w:t>(iii)</w:t>
      </w:r>
      <w:r>
        <w:tab/>
        <w:t>by a local government; or</w:t>
      </w:r>
    </w:p>
    <w:p>
      <w:pPr>
        <w:pStyle w:val="Indenti"/>
      </w:pPr>
      <w:r>
        <w:tab/>
        <w:t>(iv)</w:t>
      </w:r>
      <w:r>
        <w:tab/>
        <w:t xml:space="preserve">by the Aboriginal Health Council of </w:t>
      </w:r>
      <w:smartTag w:uri="urn:schemas-microsoft-com:office:smarttags" w:element="place">
        <w:smartTag w:uri="urn:schemas-microsoft-com:office:smarttags" w:element="State">
          <w:r>
            <w:t>Western Australia</w:t>
          </w:r>
        </w:smartTag>
      </w:smartTag>
      <w:r>
        <w:t xml:space="preserve"> (ACN 114 220 478); or</w:t>
      </w:r>
    </w:p>
    <w:p>
      <w:pPr>
        <w:pStyle w:val="Indenti"/>
      </w:pPr>
      <w:r>
        <w:tab/>
        <w:t>(v)</w:t>
      </w:r>
      <w:r>
        <w:tab/>
        <w:t>in a health service that is a member of the Aboriginal Health Council of Western Australia (ACN 114 220 478); or</w:t>
      </w:r>
    </w:p>
    <w:p>
      <w:pPr>
        <w:pStyle w:val="Indenti"/>
      </w:pPr>
      <w:r>
        <w:tab/>
        <w:t>(vi)</w:t>
      </w:r>
      <w:r>
        <w:tab/>
        <w:t xml:space="preserve">in the Department (as defined in the </w:t>
      </w:r>
      <w:r>
        <w:rPr>
          <w:i/>
        </w:rPr>
        <w:t>Prisons Act 1981</w:t>
      </w:r>
      <w:r>
        <w:t xml:space="preserve"> section 3(1));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w:t>
      </w:r>
      <w:r>
        <w:noBreakHyphen/>
        <w:t>7; amended in Gazette 29 Jun 2012 p. 2950; 24 Apr 2014 p. 1146.]</w:t>
      </w:r>
    </w:p>
    <w:p>
      <w:pPr>
        <w:pStyle w:val="Heading5"/>
      </w:pPr>
      <w:bookmarkStart w:id="327" w:name="_Toc406492430"/>
      <w:bookmarkStart w:id="328" w:name="_Toc524795836"/>
      <w:r>
        <w:rPr>
          <w:rStyle w:val="CharSectno"/>
        </w:rPr>
        <w:t>37C</w:t>
      </w:r>
      <w:r>
        <w:t>.</w:t>
      </w:r>
      <w:r>
        <w:tab/>
        <w:t>Sch. 4 poisons, exemptions in connection with public health programmes</w:t>
      </w:r>
      <w:bookmarkEnd w:id="327"/>
      <w:bookmarkEnd w:id="328"/>
    </w:p>
    <w:p>
      <w:pPr>
        <w:pStyle w:val="Subsection"/>
      </w:pPr>
      <w:r>
        <w:tab/>
        <w:t>(1)</w:t>
      </w:r>
      <w:r>
        <w:tab/>
        <w:t xml:space="preserve">Under section 21A of the Act, a Schedule 4 poison described in an item in the Table is exempt from the operation of sections 23(1) and 32(c) of the Act and regulations 33 and 36 if — </w:t>
      </w:r>
    </w:p>
    <w:p>
      <w:pPr>
        <w:pStyle w:val="Indenta"/>
      </w:pPr>
      <w:r>
        <w:tab/>
        <w:t>(a)</w:t>
      </w:r>
      <w:r>
        <w:tab/>
        <w:t>the poison is administered for treatment of a condition referred to in the same item of the Table through a public health programme approved by the CEO; and</w:t>
      </w:r>
    </w:p>
    <w:p>
      <w:pPr>
        <w:pStyle w:val="Indenta"/>
      </w:pPr>
      <w:r>
        <w:tab/>
        <w:t>(b)</w:t>
      </w:r>
      <w:r>
        <w:tab/>
        <w:t>the poison is administered to a person by a registered nurse who has qualifications approved by the CEO for the purposes of the public health programme; and</w:t>
      </w:r>
    </w:p>
    <w:p>
      <w:pPr>
        <w:pStyle w:val="Indenta"/>
      </w:pPr>
      <w:r>
        <w:tab/>
        <w:t>(c)</w:t>
      </w:r>
      <w:r>
        <w:tab/>
        <w:t>the poison is administered in accordance with a code for the administration of the poison approved by the CEO in connection with the public health programme and published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THeadingNAm"/>
      </w:pPr>
      <w:r>
        <w:t>Table</w:t>
      </w:r>
    </w:p>
    <w:tbl>
      <w:tblPr>
        <w:tblW w:w="5812"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693"/>
        <w:gridCol w:w="2410"/>
      </w:tblGrid>
      <w:tr>
        <w:trPr>
          <w:tblHeader/>
        </w:trPr>
        <w:tc>
          <w:tcPr>
            <w:tcW w:w="709" w:type="dxa"/>
          </w:tcPr>
          <w:p>
            <w:pPr>
              <w:pStyle w:val="TableNAm"/>
            </w:pPr>
            <w:r>
              <w:rPr>
                <w:b/>
                <w:bCs/>
              </w:rPr>
              <w:t>Item</w:t>
            </w:r>
          </w:p>
        </w:tc>
        <w:tc>
          <w:tcPr>
            <w:tcW w:w="2693" w:type="dxa"/>
          </w:tcPr>
          <w:p>
            <w:pPr>
              <w:pStyle w:val="TableNAm"/>
            </w:pPr>
            <w:r>
              <w:rPr>
                <w:b/>
                <w:bCs/>
              </w:rPr>
              <w:t>Description of poisons</w:t>
            </w:r>
          </w:p>
        </w:tc>
        <w:tc>
          <w:tcPr>
            <w:tcW w:w="2410" w:type="dxa"/>
          </w:tcPr>
          <w:p>
            <w:pPr>
              <w:pStyle w:val="TableNAm"/>
            </w:pPr>
            <w:r>
              <w:rPr>
                <w:b/>
                <w:bCs/>
              </w:rPr>
              <w:t>Condition</w:t>
            </w:r>
          </w:p>
        </w:tc>
      </w:tr>
      <w:tr>
        <w:tc>
          <w:tcPr>
            <w:tcW w:w="709" w:type="dxa"/>
          </w:tcPr>
          <w:p>
            <w:pPr>
              <w:pStyle w:val="TableNAm"/>
            </w:pPr>
            <w:r>
              <w:t>1.</w:t>
            </w:r>
          </w:p>
        </w:tc>
        <w:tc>
          <w:tcPr>
            <w:tcW w:w="2693" w:type="dxa"/>
          </w:tcPr>
          <w:p>
            <w:pPr>
              <w:pStyle w:val="TableNAm"/>
            </w:pPr>
            <w:r>
              <w:t>azithromycin, amoxicillin and probenecid contained in a single oral dose pack</w:t>
            </w:r>
          </w:p>
        </w:tc>
        <w:tc>
          <w:tcPr>
            <w:tcW w:w="2410" w:type="dxa"/>
          </w:tcPr>
          <w:p>
            <w:pPr>
              <w:pStyle w:val="TableNAm"/>
            </w:pPr>
            <w:r>
              <w:t>sexually transmitted disease</w:t>
            </w:r>
          </w:p>
        </w:tc>
      </w:tr>
      <w:tr>
        <w:tc>
          <w:tcPr>
            <w:tcW w:w="709" w:type="dxa"/>
          </w:tcPr>
          <w:p>
            <w:pPr>
              <w:pStyle w:val="TableNAm"/>
            </w:pPr>
            <w:r>
              <w:t>2.</w:t>
            </w:r>
          </w:p>
        </w:tc>
        <w:tc>
          <w:tcPr>
            <w:tcW w:w="2693" w:type="dxa"/>
          </w:tcPr>
          <w:p>
            <w:pPr>
              <w:pStyle w:val="TableNAm"/>
            </w:pPr>
            <w:r>
              <w:t>azithromycin</w:t>
            </w:r>
          </w:p>
        </w:tc>
        <w:tc>
          <w:tcPr>
            <w:tcW w:w="2410" w:type="dxa"/>
          </w:tcPr>
          <w:p>
            <w:pPr>
              <w:pStyle w:val="TableNAm"/>
            </w:pPr>
            <w:r>
              <w:t>trachoma</w:t>
            </w:r>
          </w:p>
        </w:tc>
      </w:tr>
    </w:tbl>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37C inserted in Gazette 10 Aug 2012 p. 3805-6.]</w:t>
      </w:r>
    </w:p>
    <w:p>
      <w:pPr>
        <w:pStyle w:val="Footnoteheading"/>
      </w:pPr>
      <w:r>
        <w:tab/>
        <w:t>[Heading deleted in Gazette 12 Aug 2003 p. 3663.]</w:t>
      </w:r>
    </w:p>
    <w:p>
      <w:pPr>
        <w:pStyle w:val="Heading5"/>
        <w:rPr>
          <w:snapToGrid w:val="0"/>
        </w:rPr>
      </w:pPr>
      <w:bookmarkStart w:id="329" w:name="_Toc406492431"/>
      <w:bookmarkStart w:id="330" w:name="_Toc524795837"/>
      <w:r>
        <w:rPr>
          <w:rStyle w:val="CharSectno"/>
        </w:rPr>
        <w:t>37</w:t>
      </w:r>
      <w:r>
        <w:rPr>
          <w:snapToGrid w:val="0"/>
        </w:rPr>
        <w:t>.</w:t>
      </w:r>
      <w:r>
        <w:rPr>
          <w:snapToGrid w:val="0"/>
        </w:rPr>
        <w:tab/>
        <w:t>Prescriptions for Sch. 4 poisons, rules for</w:t>
      </w:r>
      <w:bookmarkEnd w:id="329"/>
      <w:bookmarkEnd w:id="330"/>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rPr>
          <w:snapToGrid w:val="0"/>
        </w:rPr>
      </w:pPr>
      <w:r>
        <w:rPr>
          <w:snapToGrid w:val="0"/>
        </w:rPr>
        <w:tab/>
        <w:t>(b)</w:t>
      </w:r>
      <w:r>
        <w:rPr>
          <w:snapToGrid w:val="0"/>
        </w:rPr>
        <w:tab/>
        <w:t xml:space="preserve">it shall be issued in a manner provided for in subregulation (1A) or (1B); </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tab/>
        <w:t>(da)</w:t>
      </w:r>
      <w:r>
        <w:tab/>
        <w:t>a prescription issued by an endorsed optometrist must include the words “For optometrical treatment only”;</w:t>
      </w:r>
    </w:p>
    <w:p>
      <w:pPr>
        <w:pStyle w:val="Indenta"/>
      </w:pPr>
      <w:r>
        <w:tab/>
        <w:t>(db)</w:t>
      </w:r>
      <w:r>
        <w:tab/>
        <w:t xml:space="preserve">a prescription issued by an endorsed podiatrist must include the words “For podiatric treatment only”; </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w:t>
      </w:r>
    </w:p>
    <w:p>
      <w:pPr>
        <w:pStyle w:val="Indenta"/>
        <w:spacing w:before="60"/>
        <w:rPr>
          <w:snapToGrid w:val="0"/>
        </w:rPr>
      </w:pPr>
      <w:r>
        <w:rPr>
          <w:snapToGrid w:val="0"/>
        </w:rPr>
        <w:tab/>
        <w:t>(f)</w:t>
      </w:r>
      <w:r>
        <w:rPr>
          <w:snapToGrid w:val="0"/>
        </w:rPr>
        <w:tab/>
        <w:t>a prescription shall not be written in cipher.</w:t>
      </w:r>
    </w:p>
    <w:p>
      <w:pPr>
        <w:pStyle w:val="Subsection"/>
      </w:pPr>
      <w:r>
        <w:tab/>
        <w:t>(1A)</w:t>
      </w:r>
      <w:r>
        <w:tab/>
        <w:t>A prescription that is issued electronically shall be issued via an approved electronic prescribing system</w:t>
      </w:r>
      <w:r>
        <w:rPr>
          <w:snapToGrid w:val="0"/>
        </w:rPr>
        <w:t>.</w:t>
      </w:r>
    </w:p>
    <w:p>
      <w:pPr>
        <w:pStyle w:val="Subsection"/>
      </w:pPr>
      <w:r>
        <w:tab/>
        <w:t>(1B)</w:t>
      </w:r>
      <w:r>
        <w:tab/>
        <w:t xml:space="preserve">A prescription that is not issued electronically shall be either — </w:t>
      </w:r>
    </w:p>
    <w:p>
      <w:pPr>
        <w:pStyle w:val="Indenta"/>
        <w:rPr>
          <w:snapToGrid w:val="0"/>
        </w:rPr>
      </w:pPr>
      <w:r>
        <w:rPr>
          <w:snapToGrid w:val="0"/>
        </w:rPr>
        <w:tab/>
        <w:t>(a)</w:t>
      </w:r>
      <w:r>
        <w:rPr>
          <w:snapToGrid w:val="0"/>
        </w:rPr>
        <w:tab/>
        <w:t>written in ink in the prescriber’s own handwriting; or</w:t>
      </w:r>
    </w:p>
    <w:p>
      <w:pPr>
        <w:pStyle w:val="Indenta"/>
        <w:keepNext/>
      </w:pPr>
      <w:r>
        <w:tab/>
        <w:t>(b)</w:t>
      </w:r>
      <w:r>
        <w:tab/>
        <w:t xml:space="preserve">processed on a computer program that — </w:t>
      </w:r>
    </w:p>
    <w:p>
      <w:pPr>
        <w:pStyle w:val="Indenti"/>
        <w:rPr>
          <w:snapToGrid w:val="0"/>
        </w:rPr>
      </w:pPr>
      <w:r>
        <w:rPr>
          <w:snapToGrid w:val="0"/>
        </w:rPr>
        <w:tab/>
        <w:t>(i)</w:t>
      </w:r>
      <w:r>
        <w:rPr>
          <w:snapToGrid w:val="0"/>
        </w:rPr>
        <w:tab/>
        <w:t>complies with the criteria specified in Appendix L; or</w:t>
      </w:r>
    </w:p>
    <w:p>
      <w:pPr>
        <w:pStyle w:val="Indenti"/>
        <w:rPr>
          <w:snapToGrid w:val="0"/>
        </w:rPr>
      </w:pPr>
      <w:r>
        <w:rPr>
          <w:snapToGrid w:val="0"/>
        </w:rPr>
        <w:tab/>
        <w:t>(ii)</w:t>
      </w:r>
      <w:r>
        <w:rPr>
          <w:snapToGrid w:val="0"/>
        </w:rPr>
        <w:tab/>
        <w:t>is recommended by the Poisons Advisory Committee and approved in writing by the CEO.</w:t>
      </w:r>
    </w:p>
    <w:p>
      <w:pPr>
        <w:pStyle w:val="Subsection"/>
      </w:pPr>
      <w:r>
        <w:tab/>
      </w:r>
      <w:r>
        <w:tab/>
        <w:t>The prescription shall be signed by the prescriber in his or her own handwriting.</w:t>
      </w:r>
    </w:p>
    <w:p>
      <w:pPr>
        <w:pStyle w:val="Subsection"/>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w:t>
      </w:r>
      <w:r>
        <w:t xml:space="preserve">dentist, authorised health practitioner </w:t>
      </w:r>
      <w:r>
        <w:rPr>
          <w:snapToGrid w:val="0"/>
        </w:rPr>
        <w:t xml:space="preserve">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19 Nov 2010 p. 5714; 1 Jun 2012 p. 2314; amended by Act No. 9 of 2003 s. 45.]</w:t>
      </w:r>
    </w:p>
    <w:p>
      <w:pPr>
        <w:pStyle w:val="Heading5"/>
        <w:spacing w:before="700"/>
      </w:pPr>
      <w:bookmarkStart w:id="331" w:name="_Toc406492432"/>
      <w:bookmarkStart w:id="332" w:name="_Toc524795838"/>
      <w:r>
        <w:rPr>
          <w:rStyle w:val="CharSectno"/>
        </w:rPr>
        <w:t>38A</w:t>
      </w:r>
      <w:r>
        <w:t>.</w:t>
      </w:r>
      <w:r>
        <w:tab/>
        <w:t>NIMCs for patients discharged from public hospitals to be taken to be lawful prescriptions</w:t>
      </w:r>
      <w:bookmarkEnd w:id="331"/>
      <w:bookmarkEnd w:id="332"/>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NIMC; and</w:t>
      </w:r>
    </w:p>
    <w:p>
      <w:pPr>
        <w:pStyle w:val="Indenta"/>
      </w:pPr>
      <w:r>
        <w:tab/>
        <w:t>(c)</w:t>
      </w:r>
      <w:r>
        <w:tab/>
        <w:t>a medical practitioner, nurse practitioner or authorised health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 amended in Gazette 1 Jun 2012 p. 2315.]</w:t>
      </w:r>
    </w:p>
    <w:p>
      <w:pPr>
        <w:pStyle w:val="Heading5"/>
      </w:pPr>
      <w:bookmarkStart w:id="333" w:name="_Toc406492433"/>
      <w:bookmarkStart w:id="334" w:name="_Toc524795839"/>
      <w:r>
        <w:rPr>
          <w:rStyle w:val="CharSectno"/>
        </w:rPr>
        <w:t>38B</w:t>
      </w:r>
      <w:r>
        <w:t>.</w:t>
      </w:r>
      <w:r>
        <w:tab/>
        <w:t>NRMCs to be taken to be lawful prescriptions</w:t>
      </w:r>
      <w:bookmarkEnd w:id="333"/>
      <w:bookmarkEnd w:id="334"/>
    </w:p>
    <w:p>
      <w:pPr>
        <w:pStyle w:val="Subsection"/>
      </w:pPr>
      <w:r>
        <w:tab/>
        <w:t>(1)</w:t>
      </w:r>
      <w:r>
        <w:tab/>
        <w:t xml:space="preserve">In this regulation — </w:t>
      </w:r>
    </w:p>
    <w:p>
      <w:pPr>
        <w:pStyle w:val="Defstart"/>
      </w:pPr>
      <w:r>
        <w:tab/>
      </w:r>
      <w:r>
        <w:rPr>
          <w:rStyle w:val="CharDefText"/>
        </w:rPr>
        <w:t>NRMC</w:t>
      </w:r>
      <w:r>
        <w:t xml:space="preserve"> means the National Residential Medication Chart developed by the Australian Council for Safety and Quality in Health Care;</w:t>
      </w:r>
    </w:p>
    <w:p>
      <w:pPr>
        <w:pStyle w:val="Defstart"/>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Subsection"/>
      </w:pPr>
      <w:r>
        <w:tab/>
        <w:t>(2)</w:t>
      </w:r>
      <w:r>
        <w:tab/>
        <w:t xml:space="preserve">An NRMC for a person who is a care recipient in a residential care facility is to be taken to be a prescription for a Schedule 4 poison that complies with regulation 37 for the purposes of dispensing the poison for the use of the person if — </w:t>
      </w:r>
    </w:p>
    <w:p>
      <w:pPr>
        <w:pStyle w:val="Indenta"/>
      </w:pPr>
      <w:r>
        <w:tab/>
        <w:t>(a)</w:t>
      </w:r>
      <w:r>
        <w:tab/>
        <w:t>all the details in respect of the person required by the NRMC have been completed; and</w:t>
      </w:r>
    </w:p>
    <w:p>
      <w:pPr>
        <w:pStyle w:val="Indenta"/>
      </w:pPr>
      <w:r>
        <w:tab/>
        <w:t>(b)</w:t>
      </w:r>
      <w:r>
        <w:tab/>
        <w:t>a medical practitioner, nurse practitioner or authorised health practitioner has completed, in ink in his or her own hand writing all the details in respect of the Schedule 4 poison required by the NRMC.</w:t>
      </w:r>
    </w:p>
    <w:p>
      <w:pPr>
        <w:pStyle w:val="Footnotesection"/>
      </w:pPr>
      <w:r>
        <w:tab/>
        <w:t>[Regulation 38B inserted in Gazette 10 Aug 2012 p. 3806.]</w:t>
      </w:r>
    </w:p>
    <w:p>
      <w:pPr>
        <w:pStyle w:val="Footnoteheading"/>
      </w:pPr>
      <w:r>
        <w:tab/>
        <w:t>[Heading deleted in Gazette 12 Aug 2003 p. 3663.]</w:t>
      </w:r>
    </w:p>
    <w:p>
      <w:pPr>
        <w:pStyle w:val="Heading5"/>
        <w:rPr>
          <w:snapToGrid w:val="0"/>
        </w:rPr>
      </w:pPr>
      <w:bookmarkStart w:id="335" w:name="_Toc406492434"/>
      <w:bookmarkStart w:id="336" w:name="_Toc524795840"/>
      <w:r>
        <w:rPr>
          <w:rStyle w:val="CharSectno"/>
        </w:rPr>
        <w:t>38</w:t>
      </w:r>
      <w:r>
        <w:rPr>
          <w:snapToGrid w:val="0"/>
        </w:rPr>
        <w:t>.</w:t>
      </w:r>
      <w:r>
        <w:rPr>
          <w:snapToGrid w:val="0"/>
        </w:rPr>
        <w:tab/>
      </w:r>
      <w:r>
        <w:rPr>
          <w:snapToGrid w:val="0"/>
          <w:spacing w:val="-4"/>
        </w:rPr>
        <w:t>Dispensing Sch. 4 poisons in emergencies</w:t>
      </w:r>
      <w:bookmarkEnd w:id="335"/>
      <w:bookmarkEnd w:id="336"/>
      <w:r>
        <w:rPr>
          <w:snapToGrid w:val="0"/>
        </w:rPr>
        <w:t xml:space="preserve"> </w:t>
      </w:r>
    </w:p>
    <w:p>
      <w:pPr>
        <w:pStyle w:val="Subsection"/>
        <w:rPr>
          <w:snapToGrid w:val="0"/>
        </w:rPr>
      </w:pPr>
      <w:r>
        <w:rPr>
          <w:snapToGrid w:val="0"/>
        </w:rPr>
        <w:tab/>
      </w:r>
      <w:r>
        <w:rPr>
          <w:snapToGrid w:val="0"/>
        </w:rPr>
        <w:tab/>
        <w:t>Where a medical practitioner,</w:t>
      </w:r>
      <w:r>
        <w:t xml:space="preserve"> nurse practitioner,</w:t>
      </w:r>
      <w:r>
        <w:rPr>
          <w:snapToGrid w:val="0"/>
        </w:rPr>
        <w:t xml:space="preserve"> </w:t>
      </w:r>
      <w:r>
        <w:t xml:space="preserve">dentist, authorised health practitioner </w:t>
      </w:r>
      <w:r>
        <w:rPr>
          <w:snapToGrid w:val="0"/>
        </w:rPr>
        <w:t xml:space="preserve">or veterinary surgeon in a case of emergency orally or by telephone </w:t>
      </w:r>
      <w:r>
        <w:t>or other electronic means</w:t>
      </w:r>
      <w:r>
        <w:rPr>
          <w:snapToGrid w:val="0"/>
        </w:rPr>
        <w:t xml:space="preserve"> directs the dispensing of a poison included in Schedule 4, he shall forthwith write a prescription complying with the conditions prescribed in regulation 37, mark such prescription to show that it has been given as a confirmation of instructions given by him orally or by </w:t>
      </w:r>
      <w:r>
        <w:t xml:space="preserve">telephone or other electronic means, </w:t>
      </w:r>
      <w:r>
        <w:rPr>
          <w:snapToGrid w:val="0"/>
        </w:rPr>
        <w:t>and despatch such prescription within 24 hours to the person to whom the instructions were given.</w:t>
      </w:r>
    </w:p>
    <w:p>
      <w:pPr>
        <w:pStyle w:val="Footnotesection"/>
      </w:pPr>
      <w:r>
        <w:tab/>
        <w:t>[Regulation 38 amended in Gazette 19 Mar 1996 p. 1222; 19 Nov 2010 p. 5714; 1 Jun 2012 p. 2315; amended by Act No. 9 of 2003 s. 46.]</w:t>
      </w:r>
    </w:p>
    <w:p>
      <w:pPr>
        <w:pStyle w:val="Footnoteheading"/>
      </w:pPr>
      <w:r>
        <w:tab/>
        <w:t>[Heading deleted in Gazette 12 Aug 2003 p. 3663.]</w:t>
      </w:r>
    </w:p>
    <w:p>
      <w:pPr>
        <w:pStyle w:val="Heading5"/>
        <w:rPr>
          <w:snapToGrid w:val="0"/>
        </w:rPr>
      </w:pPr>
      <w:bookmarkStart w:id="337" w:name="_Toc406492435"/>
      <w:bookmarkStart w:id="338" w:name="_Toc524795841"/>
      <w:r>
        <w:rPr>
          <w:rStyle w:val="CharSectno"/>
        </w:rPr>
        <w:t>38AA</w:t>
      </w:r>
      <w:r>
        <w:rPr>
          <w:snapToGrid w:val="0"/>
        </w:rPr>
        <w:t>.</w:t>
      </w:r>
      <w:r>
        <w:rPr>
          <w:snapToGrid w:val="0"/>
        </w:rPr>
        <w:tab/>
        <w:t>Administering Sch. 4 poisons to hospital patients</w:t>
      </w:r>
      <w:bookmarkEnd w:id="337"/>
      <w:bookmarkEnd w:id="338"/>
      <w:r>
        <w:rPr>
          <w:snapToGrid w:val="0"/>
        </w:rPr>
        <w:t xml:space="preserve"> </w:t>
      </w:r>
    </w:p>
    <w:p>
      <w:pPr>
        <w:pStyle w:val="Subsection"/>
        <w:rPr>
          <w:snapToGrid w:val="0"/>
        </w:rPr>
      </w:pPr>
      <w:r>
        <w:rPr>
          <w:snapToGrid w:val="0"/>
        </w:rPr>
        <w:tab/>
        <w:t>(1)</w:t>
      </w:r>
      <w:r>
        <w:rPr>
          <w:snapToGrid w:val="0"/>
        </w:rPr>
        <w:tab/>
        <w:t>Subject to subregulation (2) a person, other than a medical practitioner</w:t>
      </w:r>
      <w:r>
        <w:t xml:space="preserve">, nurse practitioner, dentist or authorised health practitioner, </w:t>
      </w:r>
      <w:r>
        <w:rPr>
          <w:snapToGrid w:val="0"/>
        </w:rPr>
        <w:t>shall not administer a poison included in Schedule 4 to a patient in a hospital unless the administration of the poison is authorised in writing on the medication chart of the patient by a medical practitioner</w:t>
      </w:r>
      <w:r>
        <w:t>, nurse practitioner, dentist or an authorised health practitioner.</w:t>
      </w:r>
    </w:p>
    <w:p>
      <w:pPr>
        <w:pStyle w:val="Subsection"/>
        <w:rPr>
          <w:snapToGrid w:val="0"/>
        </w:rPr>
      </w:pPr>
      <w:r>
        <w:rPr>
          <w:snapToGrid w:val="0"/>
        </w:rPr>
        <w:tab/>
        <w:t>(2)</w:t>
      </w:r>
      <w:r>
        <w:rPr>
          <w:snapToGrid w:val="0"/>
        </w:rPr>
        <w:tab/>
        <w:t>A medical practitioner</w:t>
      </w:r>
      <w:r>
        <w:t xml:space="preserve">, nurse practitioner, dentist or authorised health practitioner </w:t>
      </w:r>
      <w:r>
        <w:rPr>
          <w:snapToGrid w:val="0"/>
        </w:rPr>
        <w:t>may verbally authorise the administration of a poison included in Schedule 4 and shall within 24 hours of so doing note such authorisation in writing on the medication chart of the patient.</w:t>
      </w:r>
    </w:p>
    <w:p>
      <w:pPr>
        <w:pStyle w:val="Footnotesection"/>
      </w:pPr>
      <w:r>
        <w:tab/>
        <w:t>[Regulation 38AA inserted in Gazette 28 May 1993 p. 2596; amended in Gazette 19 Mar 1996 p. 1222; 19 Nov 2010 p. 5714; 1 Jun 2012 p. 2315; amended by Act No. 9 of 2003 s. 47.]</w:t>
      </w:r>
    </w:p>
    <w:p>
      <w:pPr>
        <w:pStyle w:val="Footnoteheading"/>
      </w:pPr>
      <w:r>
        <w:tab/>
        <w:t>[Heading deleted in Gazette 12 Aug 2003 p. 3663.]</w:t>
      </w:r>
    </w:p>
    <w:p>
      <w:pPr>
        <w:pStyle w:val="Ednotesection"/>
        <w:ind w:left="890" w:hanging="890"/>
      </w:pPr>
      <w:r>
        <w:t>[</w:t>
      </w:r>
      <w:r>
        <w:rPr>
          <w:b/>
        </w:rPr>
        <w:t>38B.</w:t>
      </w:r>
      <w:r>
        <w:rPr>
          <w:b/>
        </w:rPr>
        <w:tab/>
      </w:r>
      <w:r>
        <w:t xml:space="preserve">Deleted in Gazette 24 Jun 1994 p. 2867.] </w:t>
      </w:r>
    </w:p>
    <w:p>
      <w:pPr>
        <w:pStyle w:val="Footnoteheading"/>
      </w:pPr>
      <w:r>
        <w:tab/>
        <w:t>[Heading deleted in Gazette 12 Aug 2003 p. 3663.]</w:t>
      </w:r>
    </w:p>
    <w:p>
      <w:pPr>
        <w:pStyle w:val="Heading5"/>
        <w:rPr>
          <w:snapToGrid w:val="0"/>
        </w:rPr>
      </w:pPr>
      <w:bookmarkStart w:id="339" w:name="_Toc406492436"/>
      <w:bookmarkStart w:id="340" w:name="_Toc524795842"/>
      <w:r>
        <w:rPr>
          <w:rStyle w:val="CharSectno"/>
        </w:rPr>
        <w:t>38C</w:t>
      </w:r>
      <w:r>
        <w:rPr>
          <w:snapToGrid w:val="0"/>
        </w:rPr>
        <w:t>.</w:t>
      </w:r>
      <w:r>
        <w:rPr>
          <w:snapToGrid w:val="0"/>
        </w:rPr>
        <w:tab/>
        <w:t>Clomiphene and cyclofenil, prescription of</w:t>
      </w:r>
      <w:bookmarkEnd w:id="339"/>
      <w:bookmarkEnd w:id="340"/>
      <w:r>
        <w:rPr>
          <w:snapToGrid w:val="0"/>
        </w:rPr>
        <w:t xml:space="preserve"> </w:t>
      </w:r>
    </w:p>
    <w:p>
      <w:pPr>
        <w:pStyle w:val="Subsection"/>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rPr>
          <w:snapToGrid w:val="0"/>
        </w:rPr>
      </w:pPr>
      <w:r>
        <w:rPr>
          <w:snapToGrid w:val="0"/>
        </w:rPr>
        <w:tab/>
        <w:t>(a)</w:t>
      </w:r>
      <w:r>
        <w:rPr>
          <w:snapToGrid w:val="0"/>
        </w:rPr>
        <w:tab/>
        <w:t>by a gynaecologist or obstetrician; or</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 xml:space="preserve">[Regulation 38C inserted in Gazette 24 Jun 1994 p. 2868; amended in Gazette 11 Apr 1997 p. 1829; 15 Dec 2006 p. 5630.] </w:t>
      </w:r>
    </w:p>
    <w:p>
      <w:pPr>
        <w:pStyle w:val="Footnoteheading"/>
      </w:pPr>
      <w:r>
        <w:tab/>
        <w:t>[Heading deleted in Gazette 12 Aug 2003 p. 3663.]</w:t>
      </w:r>
    </w:p>
    <w:p>
      <w:pPr>
        <w:pStyle w:val="Heading5"/>
        <w:rPr>
          <w:snapToGrid w:val="0"/>
        </w:rPr>
      </w:pPr>
      <w:bookmarkStart w:id="341" w:name="_Toc406492437"/>
      <w:bookmarkStart w:id="342" w:name="_Toc524795843"/>
      <w:r>
        <w:rPr>
          <w:rStyle w:val="CharSectno"/>
        </w:rPr>
        <w:t>38D</w:t>
      </w:r>
      <w:r>
        <w:rPr>
          <w:snapToGrid w:val="0"/>
        </w:rPr>
        <w:t>.</w:t>
      </w:r>
      <w:r>
        <w:rPr>
          <w:snapToGrid w:val="0"/>
        </w:rPr>
        <w:tab/>
        <w:t>Etretinate or acitretin, prescription of</w:t>
      </w:r>
      <w:bookmarkEnd w:id="341"/>
      <w:bookmarkEnd w:id="342"/>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Footnoteheading"/>
      </w:pPr>
      <w:r>
        <w:tab/>
        <w:t>[Heading deleted in Gazette 12 Aug 2003 p. 3663.]</w:t>
      </w:r>
    </w:p>
    <w:p>
      <w:pPr>
        <w:pStyle w:val="Heading5"/>
        <w:spacing w:before="260"/>
        <w:rPr>
          <w:snapToGrid w:val="0"/>
        </w:rPr>
      </w:pPr>
      <w:bookmarkStart w:id="343" w:name="_Toc406492438"/>
      <w:bookmarkStart w:id="344" w:name="_Toc524795844"/>
      <w:r>
        <w:rPr>
          <w:rStyle w:val="CharSectno"/>
        </w:rPr>
        <w:t>38E</w:t>
      </w:r>
      <w:r>
        <w:rPr>
          <w:snapToGrid w:val="0"/>
        </w:rPr>
        <w:t>.</w:t>
      </w:r>
      <w:r>
        <w:rPr>
          <w:snapToGrid w:val="0"/>
        </w:rPr>
        <w:tab/>
        <w:t>Prostaglandins, prescription of</w:t>
      </w:r>
      <w:bookmarkEnd w:id="343"/>
      <w:bookmarkEnd w:id="344"/>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rPr>
          <w:snapToGrid w:val="0"/>
        </w:rPr>
      </w:pPr>
      <w:r>
        <w:rPr>
          <w:snapToGrid w:val="0"/>
        </w:rPr>
        <w:tab/>
        <w:t>(a)</w:t>
      </w:r>
      <w:r>
        <w:rPr>
          <w:snapToGrid w:val="0"/>
        </w:rPr>
        <w:tab/>
        <w:t>by a veterinary surgeon for use in the treatment of animals; or</w:t>
      </w:r>
    </w:p>
    <w:p>
      <w:pPr>
        <w:pStyle w:val="Indenta"/>
        <w:keepNext/>
        <w:rPr>
          <w:snapToGrid w:val="0"/>
        </w:rPr>
      </w:pPr>
      <w:r>
        <w:rPr>
          <w:snapToGrid w:val="0"/>
        </w:rPr>
        <w:tab/>
        <w:t>(b)</w:t>
      </w:r>
      <w:r>
        <w:rPr>
          <w:snapToGrid w:val="0"/>
        </w:rPr>
        <w:tab/>
        <w:t>in the case of dinoprost or dinoprostone or a substance containing dinoprost or dinoprostone — </w:t>
      </w:r>
    </w:p>
    <w:p>
      <w:pPr>
        <w:pStyle w:val="Indenti"/>
        <w:rPr>
          <w:snapToGrid w:val="0"/>
        </w:rPr>
      </w:pPr>
      <w:r>
        <w:rPr>
          <w:snapToGrid w:val="0"/>
        </w:rPr>
        <w:tab/>
        <w:t>(i)</w:t>
      </w:r>
      <w:r>
        <w:rPr>
          <w:snapToGrid w:val="0"/>
        </w:rPr>
        <w:tab/>
        <w:t>by a physician, gynaecologist or obstetrician; or</w:t>
      </w:r>
    </w:p>
    <w:p>
      <w:pPr>
        <w:pStyle w:val="Indenti"/>
        <w:keepNext/>
        <w:keepLines/>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spacing w:before="110"/>
      </w:pPr>
      <w:r>
        <w:tab/>
        <w:t>[Regulation 38E inserted in Gazette 2 Jun 1989 p. 1604; amended in Gazette 16 Apr 1992 p. 1635; 25 Jun 1993 p. 3085; 26 May 1994 p. 2201; 11 Apr 1997 p. 1830; 15 Dec 2006 p. 5630</w:t>
      </w:r>
      <w:r>
        <w:noBreakHyphen/>
        <w:t xml:space="preserve">1.] </w:t>
      </w:r>
    </w:p>
    <w:p>
      <w:pPr>
        <w:pStyle w:val="Footnoteheading"/>
        <w:spacing w:before="110"/>
      </w:pPr>
      <w:r>
        <w:tab/>
        <w:t>[Heading deleted in Gazette 12 Aug 2003 p. 3663.]</w:t>
      </w:r>
    </w:p>
    <w:p>
      <w:pPr>
        <w:pStyle w:val="Heading5"/>
        <w:spacing w:before="260"/>
      </w:pPr>
      <w:bookmarkStart w:id="345" w:name="_Toc406492439"/>
      <w:bookmarkStart w:id="346" w:name="_Toc524795845"/>
      <w:r>
        <w:rPr>
          <w:rStyle w:val="CharSectno"/>
        </w:rPr>
        <w:t>38F</w:t>
      </w:r>
      <w:r>
        <w:t>.</w:t>
      </w:r>
      <w:r>
        <w:tab/>
        <w:t>Isotr</w:t>
      </w:r>
      <w:r>
        <w:rPr>
          <w:bCs/>
          <w:snapToGrid w:val="0"/>
        </w:rPr>
        <w:t>e</w:t>
      </w:r>
      <w:r>
        <w:t>tinoin, prescription and labelling of</w:t>
      </w:r>
      <w:bookmarkEnd w:id="345"/>
      <w:bookmarkEnd w:id="346"/>
      <w:r>
        <w:rPr>
          <w:b w:val="0"/>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spacing w:before="110"/>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Footnoteheading"/>
        <w:spacing w:before="110"/>
      </w:pPr>
      <w:r>
        <w:tab/>
        <w:t>[Heading deleted in Gazette 12 Aug 2003 p. 3663.]</w:t>
      </w:r>
    </w:p>
    <w:p>
      <w:pPr>
        <w:pStyle w:val="Heading5"/>
        <w:rPr>
          <w:snapToGrid w:val="0"/>
        </w:rPr>
      </w:pPr>
      <w:bookmarkStart w:id="347" w:name="_Toc406492440"/>
      <w:bookmarkStart w:id="348" w:name="_Toc524795846"/>
      <w:r>
        <w:rPr>
          <w:rStyle w:val="CharSectno"/>
        </w:rPr>
        <w:t>38G</w:t>
      </w:r>
      <w:r>
        <w:rPr>
          <w:snapToGrid w:val="0"/>
        </w:rPr>
        <w:t>.</w:t>
      </w:r>
      <w:r>
        <w:rPr>
          <w:snapToGrid w:val="0"/>
        </w:rPr>
        <w:tab/>
        <w:t xml:space="preserve">Thalidomide, </w:t>
      </w:r>
      <w:r>
        <w:t>prescription and labelling of</w:t>
      </w:r>
      <w:bookmarkEnd w:id="347"/>
      <w:bookmarkEnd w:id="348"/>
    </w:p>
    <w:p>
      <w:pPr>
        <w:pStyle w:val="Subsection"/>
        <w:spacing w:before="12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12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spacing w:before="120"/>
        <w:outlineLvl w:val="0"/>
      </w:pPr>
      <w:r>
        <w:tab/>
      </w:r>
      <w:r>
        <w:tab/>
        <w:t>“WARNING — CAUSES BIRTH DEFECTS”.</w:t>
      </w:r>
    </w:p>
    <w:p>
      <w:pPr>
        <w:pStyle w:val="Subsection"/>
        <w:keepLines/>
        <w:spacing w:before="120"/>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spacing w:before="80"/>
      </w:pPr>
      <w:r>
        <w:tab/>
        <w:t>[Regulation 38G inserted in Gazette 26 Jul 1991 p. 3854; amended in Gazette 26 May 1994 p. 2201; 19 Mar 1996 p. 1223; 11 Apr 1997 p. 1830; 14 Sep 2001 p. 5075; 5 Oct 2004 p. 4310.]</w:t>
      </w:r>
    </w:p>
    <w:p>
      <w:pPr>
        <w:pStyle w:val="Footnoteheading"/>
        <w:spacing w:before="80"/>
      </w:pPr>
      <w:r>
        <w:tab/>
        <w:t>[Heading deleted in Gazette 12 Aug 2003 p. 3663.]</w:t>
      </w:r>
    </w:p>
    <w:p>
      <w:pPr>
        <w:pStyle w:val="Heading5"/>
        <w:spacing w:before="200"/>
        <w:rPr>
          <w:snapToGrid w:val="0"/>
        </w:rPr>
      </w:pPr>
      <w:bookmarkStart w:id="349" w:name="_Toc406492441"/>
      <w:bookmarkStart w:id="350" w:name="_Toc524795847"/>
      <w:r>
        <w:rPr>
          <w:rStyle w:val="CharSectno"/>
        </w:rPr>
        <w:t>38H</w:t>
      </w:r>
      <w:r>
        <w:rPr>
          <w:snapToGrid w:val="0"/>
        </w:rPr>
        <w:t>.</w:t>
      </w:r>
      <w:r>
        <w:rPr>
          <w:snapToGrid w:val="0"/>
        </w:rPr>
        <w:tab/>
        <w:t>Chloramphenicol, prescription of</w:t>
      </w:r>
      <w:bookmarkEnd w:id="349"/>
      <w:bookmarkEnd w:id="350"/>
      <w:r>
        <w:rPr>
          <w:snapToGrid w:val="0"/>
        </w:rPr>
        <w:t xml:space="preserve"> </w:t>
      </w:r>
    </w:p>
    <w:p>
      <w:pPr>
        <w:pStyle w:val="Subsection"/>
        <w:spacing w:before="120"/>
        <w:rPr>
          <w:snapToGrid w:val="0"/>
        </w:rPr>
      </w:pPr>
      <w:r>
        <w:rPr>
          <w:snapToGrid w:val="0"/>
        </w:rPr>
        <w:tab/>
      </w:r>
      <w:r>
        <w:rPr>
          <w:snapToGrid w:val="0"/>
        </w:rPr>
        <w:tab/>
        <w:t>Chloramphenicol or substances containing chloramphenicol shall not be prescribed except — </w:t>
      </w:r>
    </w:p>
    <w:p>
      <w:pPr>
        <w:pStyle w:val="Indenta"/>
        <w:spacing w:before="60"/>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spacing w:before="60"/>
      </w:pPr>
      <w:r>
        <w:tab/>
        <w:t>(ba)</w:t>
      </w:r>
      <w:r>
        <w:tab/>
        <w:t>by an endorsed optometrist as a topical ocular preparation for human use; or</w:t>
      </w:r>
    </w:p>
    <w:p>
      <w:pPr>
        <w:pStyle w:val="Indenta"/>
        <w:keepLines/>
        <w:spacing w:before="60"/>
        <w:rPr>
          <w:snapToGrid w:val="0"/>
        </w:rPr>
      </w:pPr>
      <w:r>
        <w:rPr>
          <w:snapToGrid w:val="0"/>
        </w:rPr>
        <w:tab/>
        <w:t>(b)</w:t>
      </w:r>
      <w:r>
        <w:rPr>
          <w:snapToGrid w:val="0"/>
        </w:rPr>
        <w:tab/>
        <w:t>by a veterinary surgeon for use in or on an animal not used for meat, edible offal, egg or milk production.</w:t>
      </w:r>
    </w:p>
    <w:p>
      <w:pPr>
        <w:pStyle w:val="Footnotesection"/>
        <w:spacing w:before="80"/>
      </w:pPr>
      <w:r>
        <w:tab/>
        <w:t>[Regulation 38H inserted in Gazette 2 Jun 1989 p. 1604; amended in Gazette 24 Jun 1994 p. 2868; 11 Apr 1997 p. 1830</w:t>
      </w:r>
      <w:r>
        <w:noBreakHyphen/>
        <w:t xml:space="preserve">1; 1 Jun 2012 p. 2315-16.] </w:t>
      </w:r>
    </w:p>
    <w:p>
      <w:pPr>
        <w:pStyle w:val="Heading5"/>
        <w:rPr>
          <w:snapToGrid w:val="0"/>
        </w:rPr>
      </w:pPr>
      <w:bookmarkStart w:id="351" w:name="_Toc406492442"/>
      <w:bookmarkStart w:id="352" w:name="_Toc524795848"/>
      <w:r>
        <w:rPr>
          <w:rStyle w:val="CharSectno"/>
        </w:rPr>
        <w:t>38I</w:t>
      </w:r>
      <w:r>
        <w:rPr>
          <w:snapToGrid w:val="0"/>
        </w:rPr>
        <w:t>.</w:t>
      </w:r>
      <w:r>
        <w:rPr>
          <w:snapToGrid w:val="0"/>
        </w:rPr>
        <w:tab/>
        <w:t>Follicular stimulating hormone and luteinising hormone, prescription of</w:t>
      </w:r>
      <w:bookmarkEnd w:id="351"/>
      <w:bookmarkEnd w:id="352"/>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spacing w:before="60"/>
        <w:rPr>
          <w:snapToGrid w:val="0"/>
        </w:rPr>
      </w:pPr>
      <w:r>
        <w:rPr>
          <w:snapToGrid w:val="0"/>
        </w:rPr>
        <w:tab/>
        <w:t>(a)</w:t>
      </w:r>
      <w:r>
        <w:rPr>
          <w:snapToGrid w:val="0"/>
        </w:rPr>
        <w:tab/>
        <w:t>by a physician, gynaecologist or obstetrician; or</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spacing w:before="110"/>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rPr>
          <w:snapToGrid w:val="0"/>
        </w:rPr>
      </w:pPr>
      <w:bookmarkStart w:id="353" w:name="_Toc406492443"/>
      <w:bookmarkStart w:id="354" w:name="_Toc524795849"/>
      <w:r>
        <w:rPr>
          <w:rStyle w:val="CharSectno"/>
        </w:rPr>
        <w:t>38K</w:t>
      </w:r>
      <w:r>
        <w:rPr>
          <w:snapToGrid w:val="0"/>
        </w:rPr>
        <w:t>.</w:t>
      </w:r>
      <w:r>
        <w:rPr>
          <w:snapToGrid w:val="0"/>
        </w:rPr>
        <w:tab/>
        <w:t>Carnidazole, prescription of</w:t>
      </w:r>
      <w:bookmarkEnd w:id="353"/>
      <w:bookmarkEnd w:id="354"/>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355" w:name="_Toc406492444"/>
      <w:bookmarkStart w:id="356" w:name="_Toc524795850"/>
      <w:r>
        <w:rPr>
          <w:rStyle w:val="CharSectno"/>
        </w:rPr>
        <w:t>38L</w:t>
      </w:r>
      <w:r>
        <w:rPr>
          <w:snapToGrid w:val="0"/>
        </w:rPr>
        <w:t>.</w:t>
      </w:r>
      <w:r>
        <w:rPr>
          <w:snapToGrid w:val="0"/>
        </w:rPr>
        <w:tab/>
        <w:t>Oxolinic acid, prescription of</w:t>
      </w:r>
      <w:bookmarkEnd w:id="355"/>
      <w:bookmarkEnd w:id="356"/>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pPr>
      <w:r>
        <w:tab/>
        <w:t>[Regulation 38L inserted in Gazette 13 Dec 1991 p. 6191; amended in Gazette 11 Apr 1997 p. 1831.]</w:t>
      </w:r>
    </w:p>
    <w:p>
      <w:pPr>
        <w:pStyle w:val="Heading5"/>
        <w:rPr>
          <w:snapToGrid w:val="0"/>
        </w:rPr>
      </w:pPr>
      <w:bookmarkStart w:id="357" w:name="_Toc406492445"/>
      <w:bookmarkStart w:id="358" w:name="_Toc524795851"/>
      <w:r>
        <w:rPr>
          <w:rStyle w:val="CharSectno"/>
        </w:rPr>
        <w:t>38M</w:t>
      </w:r>
      <w:r>
        <w:rPr>
          <w:snapToGrid w:val="0"/>
        </w:rPr>
        <w:t>.</w:t>
      </w:r>
      <w:r>
        <w:rPr>
          <w:snapToGrid w:val="0"/>
        </w:rPr>
        <w:tab/>
        <w:t>Clozapine, prescription of</w:t>
      </w:r>
      <w:bookmarkEnd w:id="357"/>
      <w:bookmarkEnd w:id="358"/>
      <w:r>
        <w:rPr>
          <w:snapToGrid w:val="0"/>
        </w:rPr>
        <w:t xml:space="preserve"> </w:t>
      </w:r>
    </w:p>
    <w:p>
      <w:pPr>
        <w:pStyle w:val="Subsection"/>
        <w:rPr>
          <w:snapToGrid w:val="0"/>
        </w:rPr>
      </w:pPr>
      <w:r>
        <w:rPr>
          <w:snapToGrid w:val="0"/>
        </w:rPr>
        <w:tab/>
      </w:r>
      <w:r>
        <w:rPr>
          <w:snapToGrid w:val="0"/>
        </w:rPr>
        <w:tab/>
        <w:t>Clozapine or a substance containing clozapine shall not be prescribed except — </w:t>
      </w:r>
    </w:p>
    <w:p>
      <w:pPr>
        <w:pStyle w:val="Indenta"/>
        <w:rPr>
          <w:snapToGrid w:val="0"/>
        </w:rPr>
      </w:pPr>
      <w:r>
        <w:rPr>
          <w:snapToGrid w:val="0"/>
        </w:rPr>
        <w:tab/>
        <w:t>(a)</w:t>
      </w:r>
      <w:r>
        <w:rPr>
          <w:snapToGrid w:val="0"/>
        </w:rPr>
        <w:tab/>
        <w:t>by a psychiatrist; or</w:t>
      </w:r>
    </w:p>
    <w:p>
      <w:pPr>
        <w:pStyle w:val="Indenta"/>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pPr>
      <w:r>
        <w:tab/>
        <w:t>[Regulation 38M inserted in Gazette 24 Jun 1994 p. 2868; amended in Gazette 19 Mar 1996 p. 1223; 11 Apr 1997 p. 1831; 27 Nov 1998 p. 6344; 15 Dec 2006 p. 5630</w:t>
      </w:r>
      <w:r>
        <w:noBreakHyphen/>
        <w:t xml:space="preserve">1.] </w:t>
      </w:r>
    </w:p>
    <w:p>
      <w:pPr>
        <w:pStyle w:val="Heading5"/>
        <w:rPr>
          <w:snapToGrid w:val="0"/>
        </w:rPr>
      </w:pPr>
      <w:bookmarkStart w:id="359" w:name="_Toc406492446"/>
      <w:bookmarkStart w:id="360" w:name="_Toc524795852"/>
      <w:r>
        <w:rPr>
          <w:rStyle w:val="CharSectno"/>
        </w:rPr>
        <w:t>38N</w:t>
      </w:r>
      <w:r>
        <w:rPr>
          <w:snapToGrid w:val="0"/>
        </w:rPr>
        <w:t>.</w:t>
      </w:r>
      <w:r>
        <w:rPr>
          <w:snapToGrid w:val="0"/>
        </w:rPr>
        <w:tab/>
        <w:t>Certain nitrofuran derivatives, prescription of</w:t>
      </w:r>
      <w:bookmarkEnd w:id="359"/>
      <w:bookmarkEnd w:id="360"/>
      <w:r>
        <w:rPr>
          <w:snapToGrid w:val="0"/>
        </w:rPr>
        <w:t xml:space="preserve"> </w:t>
      </w:r>
    </w:p>
    <w:p>
      <w:pPr>
        <w:pStyle w:val="Subsection"/>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rPr>
          <w:snapToGrid w:val="0"/>
        </w:rPr>
      </w:pPr>
      <w:r>
        <w:rPr>
          <w:snapToGrid w:val="0"/>
        </w:rPr>
        <w:tab/>
        <w:t>(a)</w:t>
      </w:r>
      <w:r>
        <w:rPr>
          <w:snapToGrid w:val="0"/>
        </w:rPr>
        <w:tab/>
        <w:t xml:space="preserve">by a medical practitioner </w:t>
      </w:r>
      <w:r>
        <w:t>or nurse practitioner</w:t>
      </w:r>
      <w:r>
        <w:rPr>
          <w:snapToGrid w:val="0"/>
        </w:rPr>
        <w:t xml:space="preserve"> for human use; or</w:t>
      </w:r>
    </w:p>
    <w:p>
      <w:pPr>
        <w:pStyle w:val="Indenta"/>
      </w:pPr>
      <w:r>
        <w:tab/>
        <w:t>(ba)</w:t>
      </w:r>
      <w:r>
        <w:tab/>
        <w:t>in the case of nitrofurantoin, by an endorsed midwife for human use; or</w:t>
      </w:r>
    </w:p>
    <w:p>
      <w:pPr>
        <w:pStyle w:val="Indenta"/>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pPr>
      <w:r>
        <w:tab/>
        <w:t>[Regulation 38N inserted in Gazette 24 Jun 1994 p. 2868; amended in Gazette 19 Mar 1996 p. 1223; 11 Apr 1997 p. 1831</w:t>
      </w:r>
      <w:r>
        <w:noBreakHyphen/>
        <w:t>2; 1 Jun 2012 p. 2316.]</w:t>
      </w:r>
    </w:p>
    <w:p>
      <w:pPr>
        <w:pStyle w:val="Heading5"/>
      </w:pPr>
      <w:bookmarkStart w:id="361" w:name="_Toc406492447"/>
      <w:bookmarkStart w:id="362" w:name="_Toc524795853"/>
      <w:r>
        <w:rPr>
          <w:rStyle w:val="CharSectno"/>
        </w:rPr>
        <w:t>38O</w:t>
      </w:r>
      <w:r>
        <w:t>.</w:t>
      </w:r>
      <w:r>
        <w:tab/>
        <w:t>Bosentan, prescription and labelling of</w:t>
      </w:r>
      <w:bookmarkEnd w:id="361"/>
      <w:bookmarkEnd w:id="362"/>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w:t>
      </w:r>
      <w:r>
        <w:noBreakHyphen/>
        <w:t>1.]</w:t>
      </w:r>
    </w:p>
    <w:p>
      <w:pPr>
        <w:pStyle w:val="Heading5"/>
      </w:pPr>
      <w:bookmarkStart w:id="363" w:name="_Toc406492448"/>
      <w:bookmarkStart w:id="364" w:name="_Toc524795854"/>
      <w:r>
        <w:rPr>
          <w:rStyle w:val="CharSectno"/>
        </w:rPr>
        <w:t>38P</w:t>
      </w:r>
      <w:r>
        <w:t>.</w:t>
      </w:r>
      <w:r>
        <w:tab/>
        <w:t>Teriparatide, prescription of</w:t>
      </w:r>
      <w:bookmarkEnd w:id="363"/>
      <w:bookmarkEnd w:id="364"/>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w:t>
      </w:r>
      <w:r>
        <w:noBreakHyphen/>
        <w:t>1.]</w:t>
      </w:r>
    </w:p>
    <w:p>
      <w:pPr>
        <w:pStyle w:val="Footnoteheading"/>
      </w:pPr>
      <w:r>
        <w:tab/>
        <w:t>[Heading deleted in Gazette 12 Aug 2003 p. 3663.]</w:t>
      </w:r>
    </w:p>
    <w:p>
      <w:pPr>
        <w:pStyle w:val="Heading5"/>
      </w:pPr>
      <w:bookmarkStart w:id="365" w:name="_Toc406492449"/>
      <w:bookmarkStart w:id="366" w:name="_Toc524795855"/>
      <w:r>
        <w:rPr>
          <w:rStyle w:val="CharSectno"/>
        </w:rPr>
        <w:t>39AA</w:t>
      </w:r>
      <w:r>
        <w:t>.</w:t>
      </w:r>
      <w:r>
        <w:tab/>
        <w:t>Sale, supply of Sch. 4 poison without prescription authorised for influenza virus vaccine administered by pharmacist</w:t>
      </w:r>
      <w:bookmarkEnd w:id="365"/>
      <w:bookmarkEnd w:id="366"/>
    </w:p>
    <w:p>
      <w:pPr>
        <w:pStyle w:val="Subsection"/>
      </w:pPr>
      <w:r>
        <w:tab/>
      </w:r>
      <w:r>
        <w:tab/>
        <w:t xml:space="preserve">Despite regulation 36(1), a pharmacist is authorised to sell or supply a poison included in Schedule 4 to a person without a prescription if — </w:t>
      </w:r>
    </w:p>
    <w:p>
      <w:pPr>
        <w:pStyle w:val="Indenta"/>
      </w:pPr>
      <w:r>
        <w:tab/>
        <w:t>(a)</w:t>
      </w:r>
      <w:r>
        <w:tab/>
        <w:t>the poison is contained in an influenza virus vaccine; and</w:t>
      </w:r>
    </w:p>
    <w:p>
      <w:pPr>
        <w:pStyle w:val="Indenta"/>
      </w:pPr>
      <w:r>
        <w:tab/>
        <w:t>(b)</w:t>
      </w:r>
      <w:r>
        <w:tab/>
        <w:t xml:space="preserve">the vaccine is administered to the person by the pharmacist; and </w:t>
      </w:r>
    </w:p>
    <w:p>
      <w:pPr>
        <w:pStyle w:val="Indenta"/>
      </w:pPr>
      <w:r>
        <w:tab/>
        <w:t>(c)</w:t>
      </w:r>
      <w:r>
        <w:tab/>
        <w:t>there is compliance with each provision of the Pharmacist Vaccination Code published under the authority of the CEO on the department’s website.</w:t>
      </w:r>
    </w:p>
    <w:p>
      <w:pPr>
        <w:pStyle w:val="PermNoteHeading"/>
      </w:pPr>
      <w:r>
        <w:tab/>
        <w:t>Note:</w:t>
      </w:r>
    </w:p>
    <w:p>
      <w:pPr>
        <w:pStyle w:val="PermNoteText"/>
      </w:pPr>
      <w:r>
        <w:tab/>
      </w:r>
      <w:r>
        <w:tab/>
        <w:t>The department’s website address is &lt;</w:t>
      </w:r>
      <w:r>
        <w:rPr>
          <w:color w:val="000000"/>
        </w:rPr>
        <w:t>http://www.health.wa.gov.au&gt;.</w:t>
      </w:r>
    </w:p>
    <w:p>
      <w:pPr>
        <w:pStyle w:val="Footnotesection"/>
      </w:pPr>
      <w:r>
        <w:tab/>
        <w:t>[Regulation 39AA inserted in Gazette 12 Dec 2014 p. 4714</w:t>
      </w:r>
      <w:r>
        <w:noBreakHyphen/>
        <w:t>15.]</w:t>
      </w:r>
    </w:p>
    <w:p>
      <w:pPr>
        <w:pStyle w:val="Heading5"/>
        <w:rPr>
          <w:snapToGrid w:val="0"/>
        </w:rPr>
      </w:pPr>
      <w:bookmarkStart w:id="367" w:name="_Toc406492450"/>
      <w:bookmarkStart w:id="368" w:name="_Toc524795856"/>
      <w:r>
        <w:rPr>
          <w:rStyle w:val="CharSectno"/>
        </w:rPr>
        <w:t>39</w:t>
      </w:r>
      <w:r>
        <w:rPr>
          <w:snapToGrid w:val="0"/>
        </w:rPr>
        <w:t>.</w:t>
      </w:r>
      <w:r>
        <w:rPr>
          <w:snapToGrid w:val="0"/>
        </w:rPr>
        <w:tab/>
        <w:t>Sch. 4 poisons in Appendix H, supply of for veterinary use without prescription</w:t>
      </w:r>
      <w:bookmarkEnd w:id="367"/>
      <w:bookmarkEnd w:id="368"/>
      <w:r>
        <w:rPr>
          <w:snapToGrid w:val="0"/>
        </w:rPr>
        <w:t xml:space="preserve"> </w:t>
      </w:r>
    </w:p>
    <w:p>
      <w:pPr>
        <w:pStyle w:val="Subsection"/>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 and</w:t>
      </w:r>
    </w:p>
    <w:p>
      <w:pPr>
        <w:pStyle w:val="Indenta"/>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 and</w:t>
      </w:r>
    </w:p>
    <w:p>
      <w:pPr>
        <w:pStyle w:val="Indenta"/>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pPr>
      <w:r>
        <w:tab/>
        <w:t>[(2)</w:t>
      </w:r>
      <w:r>
        <w:tab/>
        <w:t>deleted]</w:t>
      </w:r>
    </w:p>
    <w:p>
      <w:pPr>
        <w:pStyle w:val="Footnotesection"/>
        <w:keepLines w:val="0"/>
      </w:pPr>
      <w:r>
        <w:tab/>
        <w:t>[Regulation 39 inserted in Gazette 26 Aug 1977 p. 2966; amended in Gazette 2 Oct 1987 p. 3776; 19 Mar 1996 p. 1223</w:t>
      </w:r>
      <w:r>
        <w:noBreakHyphen/>
        <w:t>4; 1 Oct 2010 p. 5079</w:t>
      </w:r>
      <w:r>
        <w:noBreakHyphen/>
        <w:t>80.]</w:t>
      </w:r>
    </w:p>
    <w:p>
      <w:pPr>
        <w:pStyle w:val="Heading5"/>
        <w:rPr>
          <w:snapToGrid w:val="0"/>
        </w:rPr>
      </w:pPr>
      <w:bookmarkStart w:id="369" w:name="_Toc406492451"/>
      <w:bookmarkStart w:id="370" w:name="_Toc524795857"/>
      <w:r>
        <w:rPr>
          <w:rStyle w:val="CharSectno"/>
        </w:rPr>
        <w:t>39A</w:t>
      </w:r>
      <w:r>
        <w:rPr>
          <w:snapToGrid w:val="0"/>
        </w:rPr>
        <w:t>.</w:t>
      </w:r>
      <w:r>
        <w:rPr>
          <w:snapToGrid w:val="0"/>
        </w:rPr>
        <w:tab/>
        <w:t>Certain stockfeed manufacturers may sell Sch. 4 poisons</w:t>
      </w:r>
      <w:bookmarkEnd w:id="369"/>
      <w:bookmarkEnd w:id="370"/>
      <w:r>
        <w:rPr>
          <w:snapToGrid w:val="0"/>
        </w:rPr>
        <w:t xml:space="preserve"> </w:t>
      </w:r>
    </w:p>
    <w:p>
      <w:pPr>
        <w:pStyle w:val="Subsection"/>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pPr>
      <w:r>
        <w:tab/>
        <w:t>[Regulation 39A inserted in Gazette 5 Oct 1979 p. 3085; amended in Gazette 29 Jun 1984 p. 1784; 25 Jun 1993 p. 3085; 26 May 1994 p. 2201; 19 Mar 1996 p. 1224; 15 Dec 2006 p. 5630</w:t>
      </w:r>
      <w:r>
        <w:noBreakHyphen/>
        <w:t>1.]</w:t>
      </w:r>
    </w:p>
    <w:p>
      <w:pPr>
        <w:pStyle w:val="Heading5"/>
      </w:pPr>
      <w:bookmarkStart w:id="371" w:name="_Toc406492452"/>
      <w:bookmarkStart w:id="372" w:name="_Toc524795858"/>
      <w:r>
        <w:rPr>
          <w:rStyle w:val="CharSectno"/>
        </w:rPr>
        <w:t>39BA</w:t>
      </w:r>
      <w:r>
        <w:t>.</w:t>
      </w:r>
      <w:r>
        <w:tab/>
        <w:t>Certificated commercial vessels, possession etc. of Sch. 4 poisons on</w:t>
      </w:r>
      <w:bookmarkEnd w:id="371"/>
      <w:bookmarkEnd w:id="372"/>
    </w:p>
    <w:p>
      <w:pPr>
        <w:pStyle w:val="Subsection"/>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keepNext/>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373" w:name="_Toc406492453"/>
      <w:bookmarkStart w:id="374" w:name="_Toc524795859"/>
      <w:r>
        <w:rPr>
          <w:rStyle w:val="CharSectno"/>
        </w:rPr>
        <w:t>39BB</w:t>
      </w:r>
      <w:r>
        <w:t>.</w:t>
      </w:r>
      <w:r>
        <w:tab/>
        <w:t>Racing yachts, possession etc. of Sch. 4 poisons on</w:t>
      </w:r>
      <w:bookmarkEnd w:id="373"/>
      <w:bookmarkEnd w:id="374"/>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375" w:name="_Toc406492454"/>
      <w:bookmarkStart w:id="376" w:name="_Toc524795860"/>
      <w:r>
        <w:rPr>
          <w:rStyle w:val="CharSectno"/>
        </w:rPr>
        <w:t>39B</w:t>
      </w:r>
      <w:r>
        <w:rPr>
          <w:snapToGrid w:val="0"/>
        </w:rPr>
        <w:t>.</w:t>
      </w:r>
      <w:r>
        <w:rPr>
          <w:snapToGrid w:val="0"/>
        </w:rPr>
        <w:tab/>
        <w:t>Other ships and aircraft, possession etc. of Sch. 4 poisons on</w:t>
      </w:r>
      <w:bookmarkEnd w:id="375"/>
      <w:bookmarkEnd w:id="376"/>
      <w:r>
        <w:rPr>
          <w:snapToGrid w:val="0"/>
        </w:rPr>
        <w:t xml:space="preserve"> </w:t>
      </w:r>
    </w:p>
    <w:p>
      <w:pPr>
        <w:pStyle w:val="Subsection"/>
        <w:keepNext/>
        <w:keepLines/>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spacing w:before="200"/>
      </w:pPr>
      <w:bookmarkStart w:id="377" w:name="_Toc406492455"/>
      <w:bookmarkStart w:id="378" w:name="_Toc524795861"/>
      <w:r>
        <w:rPr>
          <w:rStyle w:val="CharSectno"/>
        </w:rPr>
        <w:t>39C</w:t>
      </w:r>
      <w:r>
        <w:t>.</w:t>
      </w:r>
      <w:r>
        <w:tab/>
        <w:t>Ships carrying livestock, possession etc. of Sch. 4 poisons on</w:t>
      </w:r>
      <w:bookmarkEnd w:id="377"/>
      <w:bookmarkEnd w:id="378"/>
      <w:r>
        <w:t xml:space="preserve"> </w:t>
      </w:r>
    </w:p>
    <w:p>
      <w:pPr>
        <w:pStyle w:val="Subsection"/>
        <w:spacing w:before="140"/>
      </w:pPr>
      <w:r>
        <w:tab/>
        <w:t>(1)</w:t>
      </w:r>
      <w:r>
        <w:tab/>
        <w:t xml:space="preserve">The master of a ship that is to carry livestock is authorised to procure and be in possession of any poison included in Schedule 4 that is necessary for compliance — </w:t>
      </w:r>
    </w:p>
    <w:p>
      <w:pPr>
        <w:pStyle w:val="Indenta"/>
        <w:spacing w:before="60"/>
      </w:pPr>
      <w:r>
        <w:tab/>
        <w:t>(a)</w:t>
      </w:r>
      <w:r>
        <w:tab/>
        <w:t xml:space="preserve">by the exporter with the </w:t>
      </w:r>
      <w:r>
        <w:rPr>
          <w:i/>
        </w:rPr>
        <w:t xml:space="preserve">Australian Livestock Export Standards — March 2001 </w:t>
      </w:r>
      <w:r>
        <w:t xml:space="preserve">(as amended from time to time); or </w:t>
      </w:r>
    </w:p>
    <w:p>
      <w:pPr>
        <w:pStyle w:val="Indenta"/>
        <w:spacing w:before="60"/>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rPr>
          <w:vertAlign w:val="superscript"/>
        </w:rPr>
        <w:t> 4</w:t>
      </w:r>
      <w:r>
        <w:t xml:space="preserve"> of the Commonwealth.</w:t>
      </w:r>
    </w:p>
    <w:p>
      <w:pPr>
        <w:pStyle w:val="Subsection"/>
        <w:spacing w:before="140"/>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spacing w:before="140"/>
      </w:pPr>
      <w:r>
        <w:tab/>
        <w:t>(3)</w:t>
      </w:r>
      <w:r>
        <w:tab/>
        <w:t>The written order must be signed by the master of the ship himself or herself and by the exporter of the livestock.</w:t>
      </w:r>
    </w:p>
    <w:p>
      <w:pPr>
        <w:pStyle w:val="Subsection"/>
        <w:spacing w:before="140"/>
      </w:pPr>
      <w:r>
        <w:tab/>
        <w:t>(4)</w:t>
      </w:r>
      <w:r>
        <w:tab/>
        <w:t>The master of a ship must store a poison supplied under subregulation (2) in a secure place on board the ship.</w:t>
      </w:r>
    </w:p>
    <w:p>
      <w:pPr>
        <w:pStyle w:val="Subsection"/>
        <w:keepNext/>
        <w:spacing w:before="140"/>
      </w:pPr>
      <w:r>
        <w:tab/>
        <w:t>(5)</w:t>
      </w:r>
      <w:r>
        <w:tab/>
        <w:t xml:space="preserve">In this regulation — </w:t>
      </w:r>
    </w:p>
    <w:p>
      <w:pPr>
        <w:pStyle w:val="Defstart"/>
        <w:spacing w:before="60"/>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spacing w:before="60"/>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Footnoteheading"/>
      </w:pPr>
      <w:r>
        <w:tab/>
        <w:t>[Heading deleted in Gazette 12 Aug 2003 p. 3663.]</w:t>
      </w:r>
    </w:p>
    <w:p>
      <w:pPr>
        <w:pStyle w:val="Heading5"/>
        <w:rPr>
          <w:snapToGrid w:val="0"/>
        </w:rPr>
      </w:pPr>
      <w:bookmarkStart w:id="379" w:name="_Toc406492456"/>
      <w:bookmarkStart w:id="380" w:name="_Toc524795862"/>
      <w:r>
        <w:rPr>
          <w:rStyle w:val="CharSectno"/>
        </w:rPr>
        <w:t>40</w:t>
      </w:r>
      <w:r>
        <w:rPr>
          <w:snapToGrid w:val="0"/>
        </w:rPr>
        <w:t>.</w:t>
      </w:r>
      <w:r>
        <w:rPr>
          <w:snapToGrid w:val="0"/>
        </w:rPr>
        <w:tab/>
        <w:t>Persons authorised to possess Sch. 4 poisons</w:t>
      </w:r>
      <w:bookmarkEnd w:id="379"/>
      <w:bookmarkEnd w:id="380"/>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pPr>
      <w:r>
        <w:tab/>
        <w:t>(da)</w:t>
      </w:r>
      <w:r>
        <w:tab/>
        <w:t>an authorised health practitioner;</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40"/>
              <w:rPr>
                <w:snapToGrid w:val="0"/>
              </w:rPr>
            </w:pPr>
            <w:r>
              <w:rPr>
                <w:snapToGrid w:val="0"/>
              </w:rPr>
              <w:t>regulation 38C</w:t>
            </w:r>
          </w:p>
        </w:tc>
        <w:tc>
          <w:tcPr>
            <w:tcW w:w="1985" w:type="dxa"/>
          </w:tcPr>
          <w:p>
            <w:pPr>
              <w:pStyle w:val="TableNAm"/>
              <w:spacing w:before="40"/>
              <w:rPr>
                <w:snapToGrid w:val="0"/>
              </w:rPr>
            </w:pPr>
            <w:r>
              <w:rPr>
                <w:snapToGrid w:val="0"/>
              </w:rPr>
              <w:t>regulation 38G</w:t>
            </w:r>
          </w:p>
        </w:tc>
      </w:tr>
      <w:tr>
        <w:trPr>
          <w:jc w:val="center"/>
        </w:trPr>
        <w:tc>
          <w:tcPr>
            <w:tcW w:w="2234" w:type="dxa"/>
          </w:tcPr>
          <w:p>
            <w:pPr>
              <w:pStyle w:val="TableNAm"/>
              <w:spacing w:before="20"/>
              <w:rPr>
                <w:snapToGrid w:val="0"/>
              </w:rPr>
            </w:pPr>
            <w:r>
              <w:rPr>
                <w:snapToGrid w:val="0"/>
              </w:rPr>
              <w:t>regulation 38D</w:t>
            </w:r>
          </w:p>
        </w:tc>
        <w:tc>
          <w:tcPr>
            <w:tcW w:w="1985" w:type="dxa"/>
          </w:tcPr>
          <w:p>
            <w:pPr>
              <w:pStyle w:val="TableNAm"/>
              <w:spacing w:before="20"/>
              <w:rPr>
                <w:snapToGrid w:val="0"/>
              </w:rPr>
            </w:pPr>
            <w:r>
              <w:rPr>
                <w:snapToGrid w:val="0"/>
              </w:rPr>
              <w:t>regulation 38I</w:t>
            </w:r>
          </w:p>
        </w:tc>
      </w:tr>
      <w:tr>
        <w:trPr>
          <w:jc w:val="center"/>
        </w:trPr>
        <w:tc>
          <w:tcPr>
            <w:tcW w:w="2234" w:type="dxa"/>
          </w:tcPr>
          <w:p>
            <w:pPr>
              <w:pStyle w:val="TableNAm"/>
              <w:spacing w:before="20"/>
              <w:rPr>
                <w:snapToGrid w:val="0"/>
              </w:rPr>
            </w:pPr>
            <w:r>
              <w:rPr>
                <w:snapToGrid w:val="0"/>
              </w:rPr>
              <w:t>regulation 38E</w:t>
            </w:r>
          </w:p>
        </w:tc>
        <w:tc>
          <w:tcPr>
            <w:tcW w:w="1985" w:type="dxa"/>
          </w:tcPr>
          <w:p>
            <w:pPr>
              <w:pStyle w:val="TableNAm"/>
              <w:spacing w:before="20"/>
              <w:rPr>
                <w:snapToGrid w:val="0"/>
              </w:rPr>
            </w:pPr>
            <w:r>
              <w:rPr>
                <w:snapToGrid w:val="0"/>
              </w:rPr>
              <w:t>regulation 38M</w:t>
            </w:r>
          </w:p>
        </w:tc>
      </w:tr>
      <w:tr>
        <w:trPr>
          <w:jc w:val="center"/>
        </w:trPr>
        <w:tc>
          <w:tcPr>
            <w:tcW w:w="2234" w:type="dxa"/>
          </w:tcPr>
          <w:p>
            <w:pPr>
              <w:pStyle w:val="TableNAm"/>
              <w:spacing w:before="20"/>
              <w:rPr>
                <w:snapToGrid w:val="0"/>
              </w:rPr>
            </w:pPr>
            <w:r>
              <w:rPr>
                <w:snapToGrid w:val="0"/>
              </w:rPr>
              <w:t>regulation 38F</w:t>
            </w:r>
          </w:p>
        </w:tc>
        <w:tc>
          <w:tcPr>
            <w:tcW w:w="1985" w:type="dxa"/>
          </w:tcPr>
          <w:p>
            <w:pPr>
              <w:pStyle w:val="TableNAm"/>
              <w:spacing w:before="20"/>
              <w:rPr>
                <w:snapToGrid w:val="0"/>
              </w:rPr>
            </w:pPr>
            <w:r>
              <w:rPr>
                <w:snapToGrid w:val="0"/>
              </w:rPr>
              <w:t>regulation 38O</w:t>
            </w:r>
          </w:p>
        </w:tc>
      </w:tr>
      <w:tr>
        <w:trPr>
          <w:jc w:val="center"/>
        </w:trPr>
        <w:tc>
          <w:tcPr>
            <w:tcW w:w="2234" w:type="dxa"/>
          </w:tcPr>
          <w:p>
            <w:pPr>
              <w:pStyle w:val="TableNAm"/>
              <w:spacing w:before="20"/>
              <w:rPr>
                <w:snapToGrid w:val="0"/>
              </w:rPr>
            </w:pPr>
          </w:p>
        </w:tc>
        <w:tc>
          <w:tcPr>
            <w:tcW w:w="1985" w:type="dxa"/>
          </w:tcPr>
          <w:p>
            <w:pPr>
              <w:pStyle w:val="TableNAm"/>
              <w:spacing w:before="20"/>
              <w:rPr>
                <w:snapToGrid w:val="0"/>
              </w:rPr>
            </w:pPr>
            <w:r>
              <w:rPr>
                <w:snapToGrid w:val="0"/>
              </w:rPr>
              <w:t>regulation 38P</w:t>
            </w:r>
          </w:p>
        </w:tc>
      </w:tr>
    </w:tbl>
    <w:p>
      <w:pPr>
        <w:pStyle w:val="Subsection"/>
        <w:spacing w:before="140"/>
      </w:pPr>
      <w:r>
        <w:tab/>
        <w:t>(1AB)</w:t>
      </w:r>
      <w:r>
        <w:tab/>
        <w:t xml:space="preserve">Until in any case such authority is withdrawn a podiatrist is authorised to procure and use a poison that is a local anaesthetic included in Schedule 4 — </w:t>
      </w:r>
    </w:p>
    <w:p>
      <w:pPr>
        <w:pStyle w:val="Indenta"/>
        <w:spacing w:before="60"/>
      </w:pPr>
      <w:r>
        <w:tab/>
        <w:t>(a)</w:t>
      </w:r>
      <w:r>
        <w:tab/>
        <w:t>to the extent required for the purposes of the lawful practice of his or her profession; and</w:t>
      </w:r>
    </w:p>
    <w:p>
      <w:pPr>
        <w:pStyle w:val="Indenta"/>
        <w:spacing w:before="60"/>
      </w:pPr>
      <w:r>
        <w:tab/>
        <w:t>(b)</w:t>
      </w:r>
      <w:r>
        <w:tab/>
        <w:t>in accordance with these regulations.</w:t>
      </w:r>
    </w:p>
    <w:p>
      <w:pPr>
        <w:pStyle w:val="Subsection"/>
        <w:spacing w:before="140"/>
        <w:rPr>
          <w:snapToGrid w:val="0"/>
        </w:rPr>
      </w:pPr>
      <w:r>
        <w:rPr>
          <w:snapToGrid w:val="0"/>
        </w:rPr>
        <w:tab/>
        <w:t>(1a)</w:t>
      </w:r>
      <w:r>
        <w:rPr>
          <w:snapToGrid w:val="0"/>
        </w:rPr>
        <w:tab/>
        <w:t xml:space="preserve">A person authorised under subregulation (1) </w:t>
      </w:r>
      <w:r>
        <w:t xml:space="preserve">or (1AB) </w:t>
      </w:r>
      <w:r>
        <w:rPr>
          <w:snapToGrid w:val="0"/>
        </w:rPr>
        <w:t>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spacing w:before="60"/>
        <w:rPr>
          <w:snapToGrid w:val="0"/>
        </w:rPr>
      </w:pPr>
      <w:r>
        <w:rPr>
          <w:snapToGrid w:val="0"/>
        </w:rPr>
        <w:tab/>
        <w:t>(a)</w:t>
      </w:r>
      <w:r>
        <w:rPr>
          <w:snapToGrid w:val="0"/>
        </w:rPr>
        <w:tab/>
        <w:t>the name, address and signature of the authorised person; and</w:t>
      </w:r>
    </w:p>
    <w:p>
      <w:pPr>
        <w:pStyle w:val="Indenta"/>
        <w:spacing w:before="60"/>
        <w:rPr>
          <w:snapToGrid w:val="0"/>
        </w:rPr>
      </w:pPr>
      <w:r>
        <w:rPr>
          <w:snapToGrid w:val="0"/>
        </w:rPr>
        <w:tab/>
        <w:t>(b)</w:t>
      </w:r>
      <w:r>
        <w:rPr>
          <w:snapToGrid w:val="0"/>
        </w:rPr>
        <w:tab/>
        <w:t>the date of the order; and</w:t>
      </w:r>
    </w:p>
    <w:p>
      <w:pPr>
        <w:pStyle w:val="Indenta"/>
        <w:spacing w:before="60"/>
        <w:rPr>
          <w:snapToGrid w:val="0"/>
        </w:rPr>
      </w:pPr>
      <w:r>
        <w:rPr>
          <w:snapToGrid w:val="0"/>
        </w:rPr>
        <w:tab/>
        <w:t>(c)</w:t>
      </w:r>
      <w:r>
        <w:rPr>
          <w:snapToGrid w:val="0"/>
        </w:rPr>
        <w:tab/>
        <w:t>the name and quantity of the poison.</w:t>
      </w:r>
    </w:p>
    <w:p>
      <w:pPr>
        <w:pStyle w:val="Subsection"/>
        <w:spacing w:before="140"/>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keepLines w:val="0"/>
        <w:spacing w:before="100"/>
        <w:ind w:left="890" w:hanging="890"/>
      </w:pPr>
      <w:r>
        <w:tab/>
        <w:t>[Regulation 40 amended in Gazette 5 Oct 1979 p. 3085; 29 Jun 1984 p. 1784; 8 Feb 1985 p. 519; 8 Jun 1990 p. 2627; 28 May 1993 p. 2596; 25 Jun 1993 p. 3085; 26 May 1994 p. 2201; 19 Mar 1996 p. 1225; 11 Apr 1997 p. 1832; 5 Oct 2004 p. 4311; 15 Dec 2006 p. 5630</w:t>
      </w:r>
      <w:r>
        <w:noBreakHyphen/>
        <w:t>1; 1 Oct 2010 p. 5079</w:t>
      </w:r>
      <w:r>
        <w:noBreakHyphen/>
        <w:t>80; 19 Nov 2010 p. 5715; 1 Jun 2012 p. 2316-17; amended by Act No. 9 of 2003 s. 48.]</w:t>
      </w:r>
    </w:p>
    <w:p>
      <w:pPr>
        <w:pStyle w:val="Footnoteheading"/>
      </w:pPr>
      <w:r>
        <w:tab/>
        <w:t>[Heading deleted in Gazette 12 Aug 2003 p. 3663.]</w:t>
      </w:r>
    </w:p>
    <w:p>
      <w:pPr>
        <w:pStyle w:val="Heading5"/>
        <w:rPr>
          <w:snapToGrid w:val="0"/>
        </w:rPr>
      </w:pPr>
      <w:bookmarkStart w:id="381" w:name="_Toc406492457"/>
      <w:bookmarkStart w:id="382" w:name="_Toc524795863"/>
      <w:r>
        <w:rPr>
          <w:rStyle w:val="CharSectno"/>
        </w:rPr>
        <w:t>40A</w:t>
      </w:r>
      <w:r>
        <w:rPr>
          <w:snapToGrid w:val="0"/>
        </w:rPr>
        <w:t>.</w:t>
      </w:r>
      <w:r>
        <w:rPr>
          <w:snapToGrid w:val="0"/>
        </w:rPr>
        <w:tab/>
        <w:t>Sold Sch. 4 poisons to be delivered only to buyer</w:t>
      </w:r>
      <w:bookmarkEnd w:id="381"/>
      <w:bookmarkEnd w:id="382"/>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Footnoteheading"/>
      </w:pPr>
      <w:r>
        <w:tab/>
        <w:t>[Heading deleted in Gazette 12 Aug 2003 p. 3663.]</w:t>
      </w:r>
    </w:p>
    <w:p>
      <w:pPr>
        <w:pStyle w:val="Heading3"/>
      </w:pPr>
      <w:bookmarkStart w:id="383" w:name="_Toc406084271"/>
      <w:bookmarkStart w:id="384" w:name="_Toc406492458"/>
      <w:bookmarkStart w:id="385" w:name="_Toc414629601"/>
      <w:bookmarkStart w:id="386" w:name="_Toc414629828"/>
      <w:bookmarkStart w:id="387" w:name="_Toc414871692"/>
      <w:bookmarkStart w:id="388" w:name="_Toc414873458"/>
      <w:bookmarkStart w:id="389" w:name="_Toc418582500"/>
      <w:bookmarkStart w:id="390" w:name="_Toc423426547"/>
      <w:bookmarkStart w:id="391" w:name="_Toc423426948"/>
      <w:bookmarkStart w:id="392" w:name="_Toc524795864"/>
      <w:r>
        <w:rPr>
          <w:rStyle w:val="CharDivNo"/>
        </w:rPr>
        <w:t>Division 3 </w:t>
      </w:r>
      <w:r>
        <w:t xml:space="preserve">— </w:t>
      </w:r>
      <w:r>
        <w:rPr>
          <w:rStyle w:val="CharDivText"/>
        </w:rPr>
        <w:t>General</w:t>
      </w:r>
      <w:bookmarkEnd w:id="383"/>
      <w:bookmarkEnd w:id="384"/>
      <w:bookmarkEnd w:id="385"/>
      <w:bookmarkEnd w:id="386"/>
      <w:bookmarkEnd w:id="387"/>
      <w:bookmarkEnd w:id="388"/>
      <w:bookmarkEnd w:id="389"/>
      <w:bookmarkEnd w:id="390"/>
      <w:bookmarkEnd w:id="391"/>
      <w:bookmarkEnd w:id="392"/>
    </w:p>
    <w:p>
      <w:pPr>
        <w:pStyle w:val="Footnoteheading"/>
        <w:rPr>
          <w:rStyle w:val="CharSectno"/>
        </w:rPr>
      </w:pPr>
      <w:r>
        <w:tab/>
        <w:t>[Heading inserted in Gazette 12 Aug 2003 p. 3664.]</w:t>
      </w:r>
    </w:p>
    <w:p>
      <w:pPr>
        <w:pStyle w:val="Heading5"/>
        <w:rPr>
          <w:snapToGrid w:val="0"/>
        </w:rPr>
      </w:pPr>
      <w:bookmarkStart w:id="393" w:name="_Toc406492459"/>
      <w:bookmarkStart w:id="394" w:name="_Toc524795865"/>
      <w:r>
        <w:rPr>
          <w:rStyle w:val="CharSectno"/>
        </w:rPr>
        <w:t>41</w:t>
      </w:r>
      <w:r>
        <w:rPr>
          <w:snapToGrid w:val="0"/>
        </w:rPr>
        <w:t>.</w:t>
      </w:r>
      <w:r>
        <w:rPr>
          <w:snapToGrid w:val="0"/>
        </w:rPr>
        <w:tab/>
        <w:t>Sch. 6 poisons, revoking authority under Act s. 23(4) to sell</w:t>
      </w:r>
      <w:bookmarkEnd w:id="393"/>
      <w:bookmarkEnd w:id="39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 and</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6; amended in Gazette 15 Dec 2006 p. 5630</w:t>
      </w:r>
      <w:r>
        <w:noBreakHyphen/>
        <w:t xml:space="preserve">1.] </w:t>
      </w:r>
    </w:p>
    <w:p>
      <w:pPr>
        <w:pStyle w:val="Footnoteheading"/>
      </w:pPr>
      <w:r>
        <w:tab/>
        <w:t>[Heading deleted in Gazette 12 Aug 2003 p. 3663.]</w:t>
      </w:r>
    </w:p>
    <w:p>
      <w:pPr>
        <w:pStyle w:val="Heading5"/>
        <w:rPr>
          <w:snapToGrid w:val="0"/>
        </w:rPr>
      </w:pPr>
      <w:bookmarkStart w:id="395" w:name="_Toc406492460"/>
      <w:bookmarkStart w:id="396" w:name="_Toc524795866"/>
      <w:r>
        <w:rPr>
          <w:rStyle w:val="CharSectno"/>
        </w:rPr>
        <w:t>41A</w:t>
      </w:r>
      <w:r>
        <w:rPr>
          <w:snapToGrid w:val="0"/>
        </w:rPr>
        <w:t>.</w:t>
      </w:r>
      <w:r>
        <w:rPr>
          <w:snapToGrid w:val="0"/>
        </w:rPr>
        <w:tab/>
        <w:t>Sch. 7 poisons, rules as to sale of</w:t>
      </w:r>
      <w:bookmarkEnd w:id="395"/>
      <w:bookmarkEnd w:id="396"/>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 and</w:t>
      </w:r>
    </w:p>
    <w:p>
      <w:pPr>
        <w:pStyle w:val="Indenta"/>
        <w:rPr>
          <w:snapToGrid w:val="0"/>
        </w:rPr>
      </w:pPr>
      <w:r>
        <w:rPr>
          <w:snapToGrid w:val="0"/>
        </w:rPr>
        <w:tab/>
        <w:t>(b)</w:t>
      </w:r>
      <w:r>
        <w:rPr>
          <w:snapToGrid w:val="0"/>
        </w:rPr>
        <w:tab/>
        <w:t>the name and address of the purchaser; and</w:t>
      </w:r>
    </w:p>
    <w:p>
      <w:pPr>
        <w:pStyle w:val="Indenta"/>
        <w:rPr>
          <w:snapToGrid w:val="0"/>
        </w:rPr>
      </w:pPr>
      <w:r>
        <w:rPr>
          <w:snapToGrid w:val="0"/>
        </w:rPr>
        <w:tab/>
        <w:t>(c)</w:t>
      </w:r>
      <w:r>
        <w:rPr>
          <w:snapToGrid w:val="0"/>
        </w:rPr>
        <w:tab/>
        <w:t>the nature and quantity of the poison sold; and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 or</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397" w:name="_Toc406492461"/>
      <w:bookmarkStart w:id="398" w:name="_Toc524795867"/>
      <w:r>
        <w:rPr>
          <w:rStyle w:val="CharSectno"/>
        </w:rPr>
        <w:t>41AA</w:t>
      </w:r>
      <w:r>
        <w:rPr>
          <w:snapToGrid w:val="0"/>
        </w:rPr>
        <w:t>.</w:t>
      </w:r>
      <w:r>
        <w:rPr>
          <w:snapToGrid w:val="0"/>
        </w:rPr>
        <w:tab/>
        <w:t>Antibiotics for intramammary infusion in animals, sale and supply of</w:t>
      </w:r>
      <w:bookmarkEnd w:id="397"/>
      <w:bookmarkEnd w:id="398"/>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399" w:name="_Toc406492462"/>
      <w:bookmarkStart w:id="400" w:name="_Toc524795868"/>
      <w:r>
        <w:rPr>
          <w:rStyle w:val="CharSectno"/>
        </w:rPr>
        <w:t>41AB</w:t>
      </w:r>
      <w:r>
        <w:rPr>
          <w:snapToGrid w:val="0"/>
        </w:rPr>
        <w:t>.</w:t>
      </w:r>
      <w:r>
        <w:rPr>
          <w:snapToGrid w:val="0"/>
        </w:rPr>
        <w:tab/>
        <w:t>Camphor and naphthalene, sale and supply of</w:t>
      </w:r>
      <w:bookmarkEnd w:id="399"/>
      <w:bookmarkEnd w:id="400"/>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401" w:name="_Toc406492463"/>
      <w:bookmarkStart w:id="402" w:name="_Toc524795869"/>
      <w:r>
        <w:rPr>
          <w:rStyle w:val="CharSectno"/>
        </w:rPr>
        <w:t>41B</w:t>
      </w:r>
      <w:r>
        <w:rPr>
          <w:snapToGrid w:val="0"/>
        </w:rPr>
        <w:t>.</w:t>
      </w:r>
      <w:r>
        <w:rPr>
          <w:snapToGrid w:val="0"/>
        </w:rPr>
        <w:tab/>
        <w:t>Sch. 3, 4 or 7 poisons supplied wholesale, records of to be kept etc.</w:t>
      </w:r>
      <w:bookmarkEnd w:id="401"/>
      <w:bookmarkEnd w:id="402"/>
      <w:r>
        <w:rPr>
          <w:snapToGrid w:val="0"/>
        </w:rPr>
        <w:t xml:space="preserve"> </w:t>
      </w:r>
    </w:p>
    <w:p>
      <w:pPr>
        <w:pStyle w:val="Subsection"/>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 and</w:t>
      </w:r>
    </w:p>
    <w:p>
      <w:pPr>
        <w:pStyle w:val="Indenta"/>
        <w:rPr>
          <w:snapToGrid w:val="0"/>
        </w:rPr>
      </w:pPr>
      <w:r>
        <w:rPr>
          <w:snapToGrid w:val="0"/>
        </w:rPr>
        <w:tab/>
        <w:t>(b)</w:t>
      </w:r>
      <w:r>
        <w:rPr>
          <w:snapToGrid w:val="0"/>
        </w:rPr>
        <w:tab/>
        <w:t>the quantity, form and strength of the poison supplied; and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rPr>
          <w:snapToGrid w:val="0"/>
        </w:rPr>
      </w:pPr>
      <w:bookmarkStart w:id="403" w:name="_Toc406492464"/>
      <w:bookmarkStart w:id="404" w:name="_Toc524795870"/>
      <w:r>
        <w:rPr>
          <w:rStyle w:val="CharSectno"/>
        </w:rPr>
        <w:t>41C</w:t>
      </w:r>
      <w:r>
        <w:rPr>
          <w:snapToGrid w:val="0"/>
        </w:rPr>
        <w:t>.</w:t>
      </w:r>
      <w:r>
        <w:rPr>
          <w:snapToGrid w:val="0"/>
        </w:rPr>
        <w:tab/>
        <w:t>Sch. 7 poisons for retail, storage of</w:t>
      </w:r>
      <w:bookmarkEnd w:id="403"/>
      <w:bookmarkEnd w:id="404"/>
      <w:r>
        <w:rPr>
          <w:snapToGrid w:val="0"/>
        </w:rPr>
        <w:t xml:space="preserve"> </w:t>
      </w:r>
    </w:p>
    <w:p>
      <w:pPr>
        <w:pStyle w:val="Subsection"/>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on the premises where it is stored; or</w:t>
      </w:r>
    </w:p>
    <w:p>
      <w:pPr>
        <w:pStyle w:val="Indenta"/>
        <w:rPr>
          <w:snapToGrid w:val="0"/>
        </w:rPr>
      </w:pPr>
      <w:r>
        <w:rPr>
          <w:snapToGrid w:val="0"/>
        </w:rPr>
        <w:tab/>
        <w:t>(b)</w:t>
      </w:r>
      <w:r>
        <w:rPr>
          <w:snapToGrid w:val="0"/>
        </w:rPr>
        <w:tab/>
        <w:t>a person employed on the premises where it is stored; or</w:t>
      </w:r>
    </w:p>
    <w:p>
      <w:pPr>
        <w:pStyle w:val="Indenta"/>
        <w:rPr>
          <w:snapToGrid w:val="0"/>
        </w:rPr>
      </w:pPr>
      <w:r>
        <w:rPr>
          <w:snapToGrid w:val="0"/>
        </w:rPr>
        <w:tab/>
        <w:t>(c)</w:t>
      </w:r>
      <w:r>
        <w:rPr>
          <w:snapToGrid w:val="0"/>
        </w:rPr>
        <w:tab/>
        <w:t>a person authorised to purchase substances included in Schedule 7 by notice given under section 24 of the Act.</w:t>
      </w:r>
    </w:p>
    <w:p>
      <w:pPr>
        <w:pStyle w:val="Footnotesection"/>
      </w:pPr>
      <w:r>
        <w:tab/>
        <w:t>[Regulation 41C inserted in Gazette 24 Jun 1994 p. 2868</w:t>
      </w:r>
      <w:r>
        <w:noBreakHyphen/>
        <w:t xml:space="preserve">9; amended in Gazette 19 Mar 1996 p. 1227.] </w:t>
      </w:r>
    </w:p>
    <w:p>
      <w:pPr>
        <w:pStyle w:val="Heading5"/>
      </w:pPr>
      <w:bookmarkStart w:id="405" w:name="_Toc406492465"/>
      <w:bookmarkStart w:id="406" w:name="_Toc524795871"/>
      <w:r>
        <w:rPr>
          <w:rStyle w:val="CharSectno"/>
        </w:rPr>
        <w:t>41D</w:t>
      </w:r>
      <w:r>
        <w:t>.</w:t>
      </w:r>
      <w:r>
        <w:tab/>
        <w:t>Certain medicines for schools and child care services, application of Act to</w:t>
      </w:r>
      <w:bookmarkEnd w:id="405"/>
      <w:bookmarkEnd w:id="406"/>
    </w:p>
    <w:p>
      <w:pPr>
        <w:pStyle w:val="Subsection"/>
      </w:pPr>
      <w:r>
        <w:tab/>
        <w:t>(1)</w:t>
      </w:r>
      <w:r>
        <w:tab/>
        <w:t xml:space="preserve">In this regulation — </w:t>
      </w:r>
    </w:p>
    <w:p>
      <w:pPr>
        <w:pStyle w:val="Defstart"/>
      </w:pPr>
      <w:r>
        <w:tab/>
      </w:r>
      <w:r>
        <w:rPr>
          <w:rStyle w:val="CharDefText"/>
        </w:rPr>
        <w:t>auto-injector</w:t>
      </w:r>
      <w:r>
        <w:t xml:space="preserve"> means a device containing a single pre</w:t>
      </w:r>
      <w:r>
        <w:noBreakHyphen/>
        <w:t>measured dose of a poison, with a mechanism for administering the dose by injection;</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inhaler</w:t>
      </w:r>
      <w:r>
        <w:t xml:space="preserve"> means a device containing a poison, with a mechanism for administering a metered dose of the poison by inhalation;</w:t>
      </w:r>
    </w:p>
    <w:p>
      <w:pPr>
        <w:pStyle w:val="Defstart"/>
      </w:pPr>
      <w:r>
        <w:rPr>
          <w:b/>
        </w:rPr>
        <w:tab/>
      </w:r>
      <w:r>
        <w:rPr>
          <w:rStyle w:val="CharDefText"/>
        </w:rPr>
        <w:t>school</w:t>
      </w:r>
      <w:r>
        <w:t xml:space="preserve"> means — </w:t>
      </w:r>
    </w:p>
    <w:p>
      <w:pPr>
        <w:pStyle w:val="Defpara"/>
      </w:pPr>
      <w:r>
        <w:tab/>
        <w:t>(a)</w:t>
      </w:r>
      <w:r>
        <w:tab/>
        <w:t xml:space="preserve">a school within the meaning of the </w:t>
      </w:r>
      <w:r>
        <w:rPr>
          <w:i/>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 medicine listed in an item in the Table which is supplied or sold — </w:t>
      </w:r>
    </w:p>
    <w:p>
      <w:pPr>
        <w:pStyle w:val="Indenta"/>
      </w:pPr>
      <w:r>
        <w:tab/>
        <w:t>(a)</w:t>
      </w:r>
      <w:r>
        <w:tab/>
        <w:t>in the course of activity conducted by a school or child care service; and</w:t>
      </w:r>
    </w:p>
    <w:p>
      <w:pPr>
        <w:pStyle w:val="Indenta"/>
      </w:pPr>
      <w:r>
        <w:tab/>
        <w:t>(b)</w:t>
      </w:r>
      <w:r>
        <w:tab/>
        <w:t>as emergency treatment for a condition listed in that item; and</w:t>
      </w:r>
    </w:p>
    <w:p>
      <w:pPr>
        <w:pStyle w:val="Indenta"/>
      </w:pPr>
      <w:r>
        <w:tab/>
        <w:t>(c)</w:t>
      </w:r>
      <w:r>
        <w:tab/>
        <w:t>by the method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rPr>
                <w:b/>
              </w:rPr>
            </w:pPr>
            <w:r>
              <w:rPr>
                <w:b/>
              </w:rPr>
              <w:t>Item</w:t>
            </w:r>
          </w:p>
        </w:tc>
        <w:tc>
          <w:tcPr>
            <w:tcW w:w="1417" w:type="dxa"/>
          </w:tcPr>
          <w:p>
            <w:pPr>
              <w:pStyle w:val="TableNAm"/>
              <w:rPr>
                <w:b/>
              </w:rPr>
            </w:pPr>
            <w:r>
              <w:rPr>
                <w:b/>
              </w:rPr>
              <w:t>Medicine</w:t>
            </w:r>
          </w:p>
        </w:tc>
        <w:tc>
          <w:tcPr>
            <w:tcW w:w="1559" w:type="dxa"/>
          </w:tcPr>
          <w:p>
            <w:pPr>
              <w:pStyle w:val="TableNAm"/>
              <w:rPr>
                <w:b/>
              </w:rPr>
            </w:pPr>
            <w:r>
              <w:rPr>
                <w:b/>
              </w:rPr>
              <w:t>Condition</w:t>
            </w:r>
          </w:p>
        </w:tc>
        <w:tc>
          <w:tcPr>
            <w:tcW w:w="1702" w:type="dxa"/>
          </w:tcPr>
          <w:p>
            <w:pPr>
              <w:pStyle w:val="TableNAm"/>
              <w:rPr>
                <w:b/>
              </w:rPr>
            </w:pPr>
            <w:r>
              <w:rPr>
                <w:b/>
              </w:rPr>
              <w:t>Method</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Administering by 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Administering by inhaler</w:t>
            </w:r>
          </w:p>
        </w:tc>
      </w:tr>
    </w:tbl>
    <w:p>
      <w:pPr>
        <w:pStyle w:val="Subsection"/>
      </w:pPr>
      <w:r>
        <w:tab/>
        <w:t>(3)</w:t>
      </w:r>
      <w:r>
        <w:tab/>
        <w:t xml:space="preserve">Section 50 of the Act, and regulations 16, 19, 19AA and 19A do not apply in relation to a medicine listed in an item in the Table if the medicine — </w:t>
      </w:r>
    </w:p>
    <w:p>
      <w:pPr>
        <w:pStyle w:val="Indenta"/>
      </w:pPr>
      <w:r>
        <w:tab/>
        <w:t>(a)</w:t>
      </w:r>
      <w:r>
        <w:tab/>
        <w:t>is kept for the purpose of being supplied or sold in the course of activity conducted by a school or child care service as emergency treatment for a condition listed in that item; and</w:t>
      </w:r>
    </w:p>
    <w:p>
      <w:pPr>
        <w:pStyle w:val="Indenta"/>
        <w:keepNext/>
      </w:pPr>
      <w:r>
        <w:tab/>
        <w:t>(b)</w:t>
      </w:r>
      <w:r>
        <w:tab/>
        <w:t>is in a container listed in that item.</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417"/>
        <w:gridCol w:w="1559"/>
        <w:gridCol w:w="1702"/>
      </w:tblGrid>
      <w:tr>
        <w:trPr>
          <w:tblHeader/>
        </w:trPr>
        <w:tc>
          <w:tcPr>
            <w:tcW w:w="709" w:type="dxa"/>
          </w:tcPr>
          <w:p>
            <w:pPr>
              <w:pStyle w:val="TableNAm"/>
              <w:keepNext/>
              <w:rPr>
                <w:b/>
              </w:rPr>
            </w:pPr>
            <w:r>
              <w:rPr>
                <w:b/>
              </w:rPr>
              <w:t>Item</w:t>
            </w:r>
          </w:p>
        </w:tc>
        <w:tc>
          <w:tcPr>
            <w:tcW w:w="1417" w:type="dxa"/>
          </w:tcPr>
          <w:p>
            <w:pPr>
              <w:pStyle w:val="TableNAm"/>
              <w:keepNext/>
              <w:rPr>
                <w:b/>
              </w:rPr>
            </w:pPr>
            <w:r>
              <w:rPr>
                <w:b/>
              </w:rPr>
              <w:t>Medicine</w:t>
            </w:r>
          </w:p>
        </w:tc>
        <w:tc>
          <w:tcPr>
            <w:tcW w:w="1559" w:type="dxa"/>
          </w:tcPr>
          <w:p>
            <w:pPr>
              <w:pStyle w:val="TableNAm"/>
              <w:keepNext/>
              <w:rPr>
                <w:b/>
              </w:rPr>
            </w:pPr>
            <w:r>
              <w:rPr>
                <w:b/>
              </w:rPr>
              <w:t>Condition</w:t>
            </w:r>
          </w:p>
        </w:tc>
        <w:tc>
          <w:tcPr>
            <w:tcW w:w="1702" w:type="dxa"/>
          </w:tcPr>
          <w:p>
            <w:pPr>
              <w:pStyle w:val="TableNAm"/>
              <w:keepNext/>
              <w:rPr>
                <w:b/>
              </w:rPr>
            </w:pPr>
            <w:r>
              <w:rPr>
                <w:b/>
              </w:rPr>
              <w:t>Container</w:t>
            </w:r>
          </w:p>
        </w:tc>
      </w:tr>
      <w:tr>
        <w:tc>
          <w:tcPr>
            <w:tcW w:w="709" w:type="dxa"/>
          </w:tcPr>
          <w:p>
            <w:pPr>
              <w:pStyle w:val="TableNAm"/>
            </w:pPr>
            <w:r>
              <w:t>1.</w:t>
            </w:r>
          </w:p>
        </w:tc>
        <w:tc>
          <w:tcPr>
            <w:tcW w:w="1417" w:type="dxa"/>
          </w:tcPr>
          <w:p>
            <w:pPr>
              <w:pStyle w:val="TableNAm"/>
            </w:pPr>
            <w:r>
              <w:t>Adrenaline</w:t>
            </w:r>
          </w:p>
        </w:tc>
        <w:tc>
          <w:tcPr>
            <w:tcW w:w="1559" w:type="dxa"/>
          </w:tcPr>
          <w:p>
            <w:pPr>
              <w:pStyle w:val="TableNAm"/>
            </w:pPr>
            <w:r>
              <w:t>Anaphylaxis</w:t>
            </w:r>
          </w:p>
        </w:tc>
        <w:tc>
          <w:tcPr>
            <w:tcW w:w="1702" w:type="dxa"/>
          </w:tcPr>
          <w:p>
            <w:pPr>
              <w:pStyle w:val="TableNAm"/>
            </w:pPr>
            <w:r>
              <w:t>Auto-injector</w:t>
            </w:r>
          </w:p>
        </w:tc>
      </w:tr>
      <w:tr>
        <w:tc>
          <w:tcPr>
            <w:tcW w:w="709" w:type="dxa"/>
          </w:tcPr>
          <w:p>
            <w:pPr>
              <w:pStyle w:val="TableNAm"/>
            </w:pPr>
            <w:r>
              <w:t>2.</w:t>
            </w:r>
          </w:p>
        </w:tc>
        <w:tc>
          <w:tcPr>
            <w:tcW w:w="1417" w:type="dxa"/>
          </w:tcPr>
          <w:p>
            <w:pPr>
              <w:pStyle w:val="TableNAm"/>
            </w:pPr>
            <w:r>
              <w:t>Salbutamol</w:t>
            </w:r>
          </w:p>
        </w:tc>
        <w:tc>
          <w:tcPr>
            <w:tcW w:w="1559" w:type="dxa"/>
          </w:tcPr>
          <w:p>
            <w:pPr>
              <w:pStyle w:val="TableNAm"/>
            </w:pPr>
            <w:r>
              <w:t>Acute asthma</w:t>
            </w:r>
          </w:p>
        </w:tc>
        <w:tc>
          <w:tcPr>
            <w:tcW w:w="1702" w:type="dxa"/>
          </w:tcPr>
          <w:p>
            <w:pPr>
              <w:pStyle w:val="TableNAm"/>
            </w:pPr>
            <w:r>
              <w:t>Inhaler</w:t>
            </w:r>
          </w:p>
        </w:tc>
      </w:tr>
    </w:tbl>
    <w:p>
      <w:pPr>
        <w:pStyle w:val="Footnotesection"/>
      </w:pPr>
      <w:r>
        <w:tab/>
        <w:t>[Regulation 41D inserted in Gazette 25 May 2012 p. 2207-8; amended in Gazette 16 Dec 2014 p. 4760.]</w:t>
      </w:r>
    </w:p>
    <w:p>
      <w:pPr>
        <w:pStyle w:val="Footnoteheading"/>
      </w:pPr>
      <w:r>
        <w:tab/>
        <w:t>[Heading deleted in Gazette 12 Aug 2003 p. 3663.]</w:t>
      </w:r>
    </w:p>
    <w:p>
      <w:pPr>
        <w:pStyle w:val="Heading2"/>
      </w:pPr>
      <w:bookmarkStart w:id="407" w:name="_Toc406084279"/>
      <w:bookmarkStart w:id="408" w:name="_Toc406492466"/>
      <w:bookmarkStart w:id="409" w:name="_Toc414629609"/>
      <w:bookmarkStart w:id="410" w:name="_Toc414629836"/>
      <w:bookmarkStart w:id="411" w:name="_Toc414871700"/>
      <w:bookmarkStart w:id="412" w:name="_Toc414873466"/>
      <w:bookmarkStart w:id="413" w:name="_Toc418582508"/>
      <w:bookmarkStart w:id="414" w:name="_Toc423426555"/>
      <w:bookmarkStart w:id="415" w:name="_Toc423426956"/>
      <w:bookmarkStart w:id="416" w:name="_Toc524795872"/>
      <w:r>
        <w:rPr>
          <w:rStyle w:val="CharPartNo"/>
        </w:rPr>
        <w:t>Part 6</w:t>
      </w:r>
      <w:r>
        <w:t xml:space="preserve"> — </w:t>
      </w:r>
      <w:r>
        <w:rPr>
          <w:rStyle w:val="CharPartText"/>
        </w:rPr>
        <w:t>Drugs of addiction</w:t>
      </w:r>
      <w:bookmarkEnd w:id="407"/>
      <w:bookmarkEnd w:id="408"/>
      <w:bookmarkEnd w:id="409"/>
      <w:bookmarkEnd w:id="410"/>
      <w:bookmarkEnd w:id="411"/>
      <w:bookmarkEnd w:id="412"/>
      <w:bookmarkEnd w:id="413"/>
      <w:bookmarkEnd w:id="414"/>
      <w:bookmarkEnd w:id="415"/>
      <w:bookmarkEnd w:id="416"/>
    </w:p>
    <w:p>
      <w:pPr>
        <w:pStyle w:val="Footnoteheading"/>
      </w:pPr>
      <w:r>
        <w:tab/>
        <w:t>[Heading inserted in Gazette 12 Aug 2003 p. 3664.]</w:t>
      </w:r>
    </w:p>
    <w:p>
      <w:pPr>
        <w:pStyle w:val="Heading3"/>
      </w:pPr>
      <w:bookmarkStart w:id="417" w:name="_Toc406084280"/>
      <w:bookmarkStart w:id="418" w:name="_Toc406492467"/>
      <w:bookmarkStart w:id="419" w:name="_Toc414629610"/>
      <w:bookmarkStart w:id="420" w:name="_Toc414629837"/>
      <w:bookmarkStart w:id="421" w:name="_Toc414871701"/>
      <w:bookmarkStart w:id="422" w:name="_Toc414873467"/>
      <w:bookmarkStart w:id="423" w:name="_Toc418582509"/>
      <w:bookmarkStart w:id="424" w:name="_Toc423426556"/>
      <w:bookmarkStart w:id="425" w:name="_Toc423426957"/>
      <w:bookmarkStart w:id="426" w:name="_Toc524795873"/>
      <w:r>
        <w:rPr>
          <w:rStyle w:val="CharDivNo"/>
        </w:rPr>
        <w:t>Division 1</w:t>
      </w:r>
      <w:r>
        <w:t xml:space="preserve"> — </w:t>
      </w:r>
      <w:r>
        <w:rPr>
          <w:rStyle w:val="CharDivText"/>
        </w:rPr>
        <w:t>General</w:t>
      </w:r>
      <w:bookmarkEnd w:id="417"/>
      <w:bookmarkEnd w:id="418"/>
      <w:bookmarkEnd w:id="419"/>
      <w:bookmarkEnd w:id="420"/>
      <w:bookmarkEnd w:id="421"/>
      <w:bookmarkEnd w:id="422"/>
      <w:bookmarkEnd w:id="423"/>
      <w:bookmarkEnd w:id="424"/>
      <w:bookmarkEnd w:id="425"/>
      <w:bookmarkEnd w:id="426"/>
    </w:p>
    <w:p>
      <w:pPr>
        <w:pStyle w:val="Footnoteheading"/>
      </w:pPr>
      <w:r>
        <w:tab/>
        <w:t>[Heading inserted in Gazette 12 Aug 2003 p. 3664.]</w:t>
      </w:r>
    </w:p>
    <w:p>
      <w:pPr>
        <w:pStyle w:val="Heading5"/>
      </w:pPr>
      <w:bookmarkStart w:id="427" w:name="_Toc406492468"/>
      <w:bookmarkStart w:id="428" w:name="_Toc524795874"/>
      <w:r>
        <w:rPr>
          <w:rStyle w:val="CharSectno"/>
        </w:rPr>
        <w:t>42A</w:t>
      </w:r>
      <w:r>
        <w:t>.</w:t>
      </w:r>
      <w:r>
        <w:tab/>
        <w:t>Interpretation</w:t>
      </w:r>
      <w:bookmarkEnd w:id="427"/>
      <w:bookmarkEnd w:id="428"/>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rPr>
          <w:snapToGrid w:val="0"/>
        </w:rPr>
      </w:pPr>
      <w:bookmarkStart w:id="429" w:name="_Toc406492469"/>
      <w:bookmarkStart w:id="430" w:name="_Toc524795875"/>
      <w:r>
        <w:rPr>
          <w:rStyle w:val="CharSectno"/>
        </w:rPr>
        <w:t>42</w:t>
      </w:r>
      <w:r>
        <w:rPr>
          <w:snapToGrid w:val="0"/>
        </w:rPr>
        <w:t>.</w:t>
      </w:r>
      <w:r>
        <w:rPr>
          <w:snapToGrid w:val="0"/>
        </w:rPr>
        <w:tab/>
        <w:t>Persons authorised to possess Sch. 8 poisons</w:t>
      </w:r>
      <w:bookmarkEnd w:id="429"/>
      <w:bookmarkEnd w:id="430"/>
      <w:r>
        <w:rPr>
          <w:snapToGrid w:val="0"/>
        </w:rPr>
        <w:t xml:space="preserve"> </w:t>
      </w:r>
    </w:p>
    <w:p>
      <w:pPr>
        <w:pStyle w:val="Subsection"/>
        <w:rPr>
          <w:snapToGrid w:val="0"/>
        </w:rPr>
      </w:pPr>
      <w:r>
        <w:rPr>
          <w:snapToGrid w:val="0"/>
        </w:rPr>
        <w:tab/>
        <w:t>(1)</w:t>
      </w:r>
      <w:r>
        <w:rPr>
          <w:snapToGrid w:val="0"/>
        </w:rPr>
        <w:tab/>
        <w:t>Until in any particular case such authority is withdrawn — </w:t>
      </w:r>
    </w:p>
    <w:p>
      <w:pPr>
        <w:pStyle w:val="Indenta"/>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w:t>
      </w:r>
      <w:r>
        <w:t xml:space="preserve"> practitioner, nurse practitioner or authorised health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nurse practitioner or authorised health practitioner); and</w:t>
      </w:r>
    </w:p>
    <w:p>
      <w:pPr>
        <w:pStyle w:val="Indenta"/>
        <w:keepNext/>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rPr>
          <w:snapToGrid w:val="0"/>
        </w:rPr>
      </w:pPr>
      <w:r>
        <w:rPr>
          <w:snapToGrid w:val="0"/>
        </w:rPr>
        <w:tab/>
      </w:r>
      <w:r>
        <w:rPr>
          <w:snapToGrid w:val="0"/>
        </w:rPr>
        <w:tab/>
        <w:t xml:space="preserve">is, subject to these regulations, hereby authorised to procure and be in possession of any poison included in Schedule 8 for the purpose of his </w:t>
      </w:r>
      <w:r>
        <w:t>or her</w:t>
      </w:r>
      <w:r>
        <w:rPr>
          <w:snapToGrid w:val="0"/>
        </w:rPr>
        <w:t xml:space="preserve"> profession or employment.</w:t>
      </w:r>
    </w:p>
    <w:p>
      <w:pPr>
        <w:pStyle w:val="Subsection"/>
      </w:pPr>
      <w:r>
        <w:tab/>
        <w:t>(2A)</w:t>
      </w:r>
      <w:r>
        <w:tab/>
        <w:t xml:space="preserve">An authorised health practitioner is authorised to procure a poison included in Schedule 8 for the purpose of his or her profession or employment. </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spacing w:after="40"/>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mg</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mg</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mg</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mg</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mg</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mg</w:t>
            </w:r>
          </w:p>
        </w:tc>
      </w:tr>
      <w:tr>
        <w:trPr>
          <w:cantSplit/>
        </w:trPr>
        <w:tc>
          <w:tcPr>
            <w:tcW w:w="5894" w:type="dxa"/>
          </w:tcPr>
          <w:p>
            <w:pPr>
              <w:pStyle w:val="TableNAm"/>
              <w:keepNext/>
              <w:spacing w:before="80"/>
              <w:ind w:left="567" w:hanging="567"/>
              <w:rPr>
                <w:snapToGrid w:val="0"/>
              </w:rPr>
            </w:pPr>
            <w:r>
              <w:rPr>
                <w:snapToGrid w:val="0"/>
              </w:rPr>
              <w:t>PENTAZOCINE, in a form prepared for injection, with a total pentazocine content of 360 mg.</w:t>
            </w:r>
          </w:p>
        </w:tc>
      </w:tr>
    </w:tbl>
    <w:p>
      <w:pPr>
        <w:pStyle w:val="Footnotesection"/>
      </w:pPr>
      <w:r>
        <w:tab/>
        <w:t>[Regulation 42 amended in Gazette 9 Feb 1970 p. 370; 29 Jun 1984 p. 1784; 8 Feb 1985 p. 520; 25 Jun 1993 p. 3085; 26 May 1994 p. 2201; 19 Mar 1996 p. 1227; 27 Nov 1998 p. 6344; 15 Dec 2006 p. 5630; 7 Nov 2008 p. 4811</w:t>
      </w:r>
      <w:r>
        <w:noBreakHyphen/>
        <w:t>12; 27 Apr 2010 p. 1583</w:t>
      </w:r>
      <w:r>
        <w:noBreakHyphen/>
        <w:t>4; 1 Oct 2010 p. 5079</w:t>
      </w:r>
      <w:r>
        <w:noBreakHyphen/>
        <w:t>80; 1 Jun 2012 p. 2317.]</w:t>
      </w:r>
    </w:p>
    <w:p>
      <w:pPr>
        <w:pStyle w:val="Footnoteheading"/>
      </w:pPr>
      <w:r>
        <w:tab/>
        <w:t>[Heading deleted in Gazette 12 Aug 2003 p. 3663.]</w:t>
      </w:r>
    </w:p>
    <w:p>
      <w:pPr>
        <w:pStyle w:val="Heading5"/>
        <w:rPr>
          <w:snapToGrid w:val="0"/>
        </w:rPr>
      </w:pPr>
      <w:bookmarkStart w:id="431" w:name="_Toc406492470"/>
      <w:bookmarkStart w:id="432" w:name="_Toc524795876"/>
      <w:r>
        <w:rPr>
          <w:rStyle w:val="CharSectno"/>
        </w:rPr>
        <w:t>43</w:t>
      </w:r>
      <w:r>
        <w:rPr>
          <w:snapToGrid w:val="0"/>
        </w:rPr>
        <w:t>.</w:t>
      </w:r>
      <w:r>
        <w:rPr>
          <w:snapToGrid w:val="0"/>
        </w:rPr>
        <w:tab/>
        <w:t>Pharmacists’ authority to manufacture etc. Sch. 8 poisons</w:t>
      </w:r>
      <w:bookmarkEnd w:id="431"/>
      <w:bookmarkEnd w:id="432"/>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pPr>
      <w:r>
        <w:tab/>
        <w:t>[Regulation 43 amended in Gazette 29 Jun 1984 p. 1784; 25 Jun 1993 p. 3085; 26 May 1994 p. 2201; 19 Mar 1996 p. 1227; 15 Dec 2006 p. 5630; 1 Oct 2010 p. 5079</w:t>
      </w:r>
      <w:r>
        <w:noBreakHyphen/>
        <w:t>80.]</w:t>
      </w:r>
    </w:p>
    <w:p>
      <w:pPr>
        <w:pStyle w:val="Footnoteheading"/>
      </w:pPr>
      <w:r>
        <w:tab/>
        <w:t>[Heading deleted in Gazette 12 Aug 2003 p. 3663.]</w:t>
      </w:r>
    </w:p>
    <w:p>
      <w:pPr>
        <w:pStyle w:val="Heading5"/>
        <w:keepLines w:val="0"/>
        <w:rPr>
          <w:snapToGrid w:val="0"/>
        </w:rPr>
      </w:pPr>
      <w:bookmarkStart w:id="433" w:name="_Toc406492471"/>
      <w:bookmarkStart w:id="434" w:name="_Toc524795877"/>
      <w:r>
        <w:rPr>
          <w:rStyle w:val="CharSectno"/>
        </w:rPr>
        <w:t>43A</w:t>
      </w:r>
      <w:r>
        <w:rPr>
          <w:snapToGrid w:val="0"/>
        </w:rPr>
        <w:t>.</w:t>
      </w:r>
      <w:r>
        <w:rPr>
          <w:snapToGrid w:val="0"/>
        </w:rPr>
        <w:tab/>
        <w:t>Authority under Act s. 23(2), revoking as to Sch. 8 poisons</w:t>
      </w:r>
      <w:bookmarkEnd w:id="433"/>
      <w:bookmarkEnd w:id="43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spacing w:before="60"/>
        <w:rPr>
          <w:snapToGrid w:val="0"/>
        </w:rPr>
      </w:pPr>
      <w:r>
        <w:rPr>
          <w:snapToGrid w:val="0"/>
        </w:rPr>
        <w:tab/>
        <w:t>(a)</w:t>
      </w:r>
      <w:r>
        <w:rPr>
          <w:snapToGrid w:val="0"/>
        </w:rPr>
        <w:tab/>
        <w:t>total or subject to strict conditions; and</w:t>
      </w:r>
    </w:p>
    <w:p>
      <w:pPr>
        <w:pStyle w:val="Indenta"/>
        <w:spacing w:before="60"/>
        <w:rPr>
          <w:snapToGrid w:val="0"/>
        </w:rPr>
      </w:pPr>
      <w:r>
        <w:rPr>
          <w:snapToGrid w:val="0"/>
        </w:rPr>
        <w:tab/>
        <w:t>(b)</w:t>
      </w:r>
      <w:r>
        <w:rPr>
          <w:snapToGrid w:val="0"/>
        </w:rPr>
        <w:tab/>
        <w:t>made in respect of all or any specified drugs or poisons to which the authority relates; and</w:t>
      </w:r>
    </w:p>
    <w:p>
      <w:pPr>
        <w:pStyle w:val="Indenta"/>
        <w:spacing w:before="60"/>
        <w:rPr>
          <w:snapToGrid w:val="0"/>
        </w:rPr>
      </w:pPr>
      <w:r>
        <w:rPr>
          <w:snapToGrid w:val="0"/>
        </w:rPr>
        <w:tab/>
        <w:t>(c)</w:t>
      </w:r>
      <w:r>
        <w:rPr>
          <w:snapToGrid w:val="0"/>
        </w:rPr>
        <w:tab/>
        <w:t>may be amended or revoked by a further notice.</w:t>
      </w:r>
    </w:p>
    <w:p>
      <w:pPr>
        <w:pStyle w:val="Footnotesection"/>
        <w:spacing w:before="100"/>
      </w:pPr>
      <w:r>
        <w:tab/>
        <w:t>[Regulation 43A inserted in Gazette 19 Mar 1996 p. 1227</w:t>
      </w:r>
      <w:r>
        <w:noBreakHyphen/>
        <w:t xml:space="preserve">8; amended in Gazette 15 Dec 2006 p. 5630.] </w:t>
      </w:r>
    </w:p>
    <w:p>
      <w:pPr>
        <w:pStyle w:val="Heading5"/>
        <w:rPr>
          <w:snapToGrid w:val="0"/>
        </w:rPr>
      </w:pPr>
      <w:bookmarkStart w:id="435" w:name="_Toc406492472"/>
      <w:bookmarkStart w:id="436" w:name="_Toc524795878"/>
      <w:r>
        <w:rPr>
          <w:rStyle w:val="CharSectno"/>
        </w:rPr>
        <w:t>43B</w:t>
      </w:r>
      <w:r>
        <w:rPr>
          <w:snapToGrid w:val="0"/>
        </w:rPr>
        <w:t>.</w:t>
      </w:r>
      <w:r>
        <w:rPr>
          <w:snapToGrid w:val="0"/>
        </w:rPr>
        <w:tab/>
        <w:t>Purposes prescribed (Act s. 41(1))</w:t>
      </w:r>
      <w:bookmarkEnd w:id="435"/>
      <w:bookmarkEnd w:id="436"/>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spacing w:before="60"/>
        <w:rPr>
          <w:snapToGrid w:val="0"/>
        </w:rPr>
      </w:pPr>
      <w:r>
        <w:rPr>
          <w:snapToGrid w:val="0"/>
        </w:rPr>
        <w:tab/>
        <w:t>(a)</w:t>
      </w:r>
      <w:r>
        <w:rPr>
          <w:snapToGrid w:val="0"/>
        </w:rPr>
        <w:tab/>
        <w:t>analytical chemical analysis; and</w:t>
      </w:r>
    </w:p>
    <w:p>
      <w:pPr>
        <w:pStyle w:val="Indenta"/>
        <w:spacing w:before="60"/>
        <w:rPr>
          <w:snapToGrid w:val="0"/>
        </w:rPr>
      </w:pPr>
      <w:r>
        <w:rPr>
          <w:snapToGrid w:val="0"/>
        </w:rPr>
        <w:tab/>
        <w:t>(b)</w:t>
      </w:r>
      <w:r>
        <w:rPr>
          <w:snapToGrid w:val="0"/>
        </w:rPr>
        <w:tab/>
        <w:t>anaesthesia of exotic animals; and</w:t>
      </w:r>
    </w:p>
    <w:p>
      <w:pPr>
        <w:pStyle w:val="Indenta"/>
        <w:spacing w:before="60"/>
        <w:rPr>
          <w:snapToGrid w:val="0"/>
        </w:rPr>
      </w:pPr>
      <w:r>
        <w:rPr>
          <w:snapToGrid w:val="0"/>
        </w:rPr>
        <w:tab/>
        <w:t>(c)</w:t>
      </w:r>
      <w:r>
        <w:rPr>
          <w:snapToGrid w:val="0"/>
        </w:rPr>
        <w:tab/>
        <w:t>training animals for the detection of substances included in Schedule 9 to the Act,</w:t>
      </w:r>
    </w:p>
    <w:p>
      <w:pPr>
        <w:pStyle w:val="Subsection"/>
        <w:spacing w:before="120"/>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spacing w:before="100"/>
      </w:pPr>
      <w:r>
        <w:tab/>
        <w:t xml:space="preserve">[Regulation 43B inserted in Gazette 1 Oct 1996 p. 5088.] </w:t>
      </w:r>
    </w:p>
    <w:p>
      <w:pPr>
        <w:pStyle w:val="Heading5"/>
        <w:rPr>
          <w:snapToGrid w:val="0"/>
        </w:rPr>
      </w:pPr>
      <w:bookmarkStart w:id="437" w:name="_Toc406492473"/>
      <w:bookmarkStart w:id="438" w:name="_Toc524795879"/>
      <w:r>
        <w:rPr>
          <w:rStyle w:val="CharSectno"/>
        </w:rPr>
        <w:t>43C</w:t>
      </w:r>
      <w:r>
        <w:rPr>
          <w:snapToGrid w:val="0"/>
        </w:rPr>
        <w:t>.</w:t>
      </w:r>
      <w:r>
        <w:rPr>
          <w:snapToGrid w:val="0"/>
        </w:rPr>
        <w:tab/>
        <w:t>Advertising Sch. 8 poisons</w:t>
      </w:r>
      <w:bookmarkEnd w:id="437"/>
      <w:bookmarkEnd w:id="438"/>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spacing w:before="60"/>
        <w:rPr>
          <w:snapToGrid w:val="0"/>
        </w:rPr>
      </w:pPr>
      <w:r>
        <w:rPr>
          <w:snapToGrid w:val="0"/>
        </w:rPr>
        <w:tab/>
        <w:t>(a)</w:t>
      </w:r>
      <w:r>
        <w:rPr>
          <w:snapToGrid w:val="0"/>
        </w:rPr>
        <w:tab/>
        <w:t>persons of the kind referred to in section 23(2) of the Act; or</w:t>
      </w:r>
    </w:p>
    <w:p>
      <w:pPr>
        <w:pStyle w:val="Indenta"/>
        <w:keepNext/>
        <w:spacing w:before="60"/>
        <w:rPr>
          <w:snapToGrid w:val="0"/>
        </w:rPr>
      </w:pPr>
      <w:r>
        <w:rPr>
          <w:snapToGrid w:val="0"/>
        </w:rPr>
        <w:tab/>
        <w:t>(b)</w:t>
      </w:r>
      <w:r>
        <w:rPr>
          <w:snapToGrid w:val="0"/>
        </w:rPr>
        <w:tab/>
        <w:t>persons who are holders of a licence granted under section 24(1)(a), (b) or (c) of the Act.</w:t>
      </w:r>
    </w:p>
    <w:p>
      <w:pPr>
        <w:pStyle w:val="Footnotesection"/>
        <w:spacing w:before="100"/>
      </w:pPr>
      <w:r>
        <w:tab/>
        <w:t xml:space="preserve">[Regulation 43C inserted in Gazette 27 Nov 1998 p. 6344.] </w:t>
      </w:r>
    </w:p>
    <w:p>
      <w:pPr>
        <w:pStyle w:val="Footnoteheading"/>
      </w:pPr>
      <w:r>
        <w:tab/>
        <w:t>[Heading deleted in Gazette 12 Aug 2003 p. 3663.]</w:t>
      </w:r>
    </w:p>
    <w:p>
      <w:pPr>
        <w:pStyle w:val="Heading5"/>
      </w:pPr>
      <w:bookmarkStart w:id="439" w:name="_Toc406492474"/>
      <w:bookmarkStart w:id="440" w:name="_Toc524795880"/>
      <w:r>
        <w:rPr>
          <w:rStyle w:val="CharSectno"/>
        </w:rPr>
        <w:t>44</w:t>
      </w:r>
      <w:r>
        <w:t>.</w:t>
      </w:r>
      <w:r>
        <w:tab/>
        <w:t>Register of drugs of addiction to be kept by sellers</w:t>
      </w:r>
      <w:bookmarkEnd w:id="439"/>
      <w:bookmarkEnd w:id="440"/>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nurse practitioner, endorsed podiatrist,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 and</w:t>
      </w:r>
    </w:p>
    <w:p>
      <w:pPr>
        <w:pStyle w:val="Indenta"/>
      </w:pPr>
      <w:r>
        <w:tab/>
        <w:t>(b)</w:t>
      </w:r>
      <w:r>
        <w:tab/>
        <w:t>the date of the transaction; and</w:t>
      </w:r>
    </w:p>
    <w:p>
      <w:pPr>
        <w:pStyle w:val="Indenta"/>
      </w:pPr>
      <w:r>
        <w:tab/>
        <w:t>(c)</w:t>
      </w:r>
      <w:r>
        <w:tab/>
        <w:t>the name and address of each other person or firm involved in the transaction; and</w:t>
      </w:r>
    </w:p>
    <w:p>
      <w:pPr>
        <w:pStyle w:val="Indenta"/>
      </w:pPr>
      <w:r>
        <w:tab/>
        <w:t>(d)</w:t>
      </w:r>
      <w:r>
        <w:tab/>
        <w:t>the name of the person who issued the prescription or order; and</w:t>
      </w:r>
    </w:p>
    <w:p>
      <w:pPr>
        <w:pStyle w:val="Indenta"/>
      </w:pPr>
      <w:r>
        <w:tab/>
        <w:t>(e)</w:t>
      </w:r>
      <w:r>
        <w:tab/>
        <w:t>the amount of the drug remaining on hand after the transaction; and</w:t>
      </w:r>
    </w:p>
    <w:p>
      <w:pPr>
        <w:pStyle w:val="Indenta"/>
      </w:pPr>
      <w:r>
        <w:tab/>
        <w:t>(f)</w:t>
      </w:r>
      <w:r>
        <w:tab/>
        <w:t>if the authorised person is a pharmacist, the identifying number of the prescription; and</w:t>
      </w:r>
    </w:p>
    <w:p>
      <w:pPr>
        <w:pStyle w:val="Indenta"/>
        <w:keepNext/>
      </w:pPr>
      <w:r>
        <w:tab/>
        <w:t>(g)</w:t>
      </w:r>
      <w:r>
        <w:tab/>
        <w:t>if the authorised person is a manufacturer or distributor, an identifying number of the order or other authority on which the drug is supplied,</w:t>
      </w:r>
    </w:p>
    <w:p>
      <w:pPr>
        <w:pStyle w:val="Subsection"/>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pPr>
      <w:r>
        <w:tab/>
        <w:t>[Regulation 44 inserted in Gazette 29 Feb 2000 p. 992</w:t>
      </w:r>
      <w:r>
        <w:noBreakHyphen/>
        <w:t>3; amended in Gazette 14 Sep 2001 p. 5076; 7 Nov 2008 p. 4812; 1 Oct 2010 p. 5079</w:t>
      </w:r>
      <w:r>
        <w:noBreakHyphen/>
        <w:t>80; 1 Jun 2012 p. 2317-18.]</w:t>
      </w:r>
    </w:p>
    <w:p>
      <w:pPr>
        <w:pStyle w:val="Heading5"/>
        <w:spacing w:before="180"/>
        <w:rPr>
          <w:snapToGrid w:val="0"/>
        </w:rPr>
      </w:pPr>
      <w:bookmarkStart w:id="441" w:name="_Toc406492475"/>
      <w:bookmarkStart w:id="442" w:name="_Toc524795881"/>
      <w:r>
        <w:rPr>
          <w:rStyle w:val="CharSectno"/>
        </w:rPr>
        <w:t>44A</w:t>
      </w:r>
      <w:r>
        <w:rPr>
          <w:snapToGrid w:val="0"/>
        </w:rPr>
        <w:t>.</w:t>
      </w:r>
      <w:r>
        <w:rPr>
          <w:snapToGrid w:val="0"/>
        </w:rPr>
        <w:tab/>
        <w:t>Destroying drugs of addiction</w:t>
      </w:r>
      <w:bookmarkEnd w:id="441"/>
      <w:bookmarkEnd w:id="442"/>
      <w:r>
        <w:rPr>
          <w:snapToGrid w:val="0"/>
        </w:rPr>
        <w:t xml:space="preserve"> </w:t>
      </w:r>
    </w:p>
    <w:p>
      <w:pPr>
        <w:pStyle w:val="Subsection"/>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 xml:space="preserve">a medical practitioner, </w:t>
      </w:r>
      <w:r>
        <w:t xml:space="preserve">nurse practitioner, </w:t>
      </w:r>
      <w:r>
        <w:rPr>
          <w:snapToGrid w:val="0"/>
        </w:rPr>
        <w:t>dentist or veterinary surgeon) shall not wilfully destroy that drug of addiction.</w:t>
      </w:r>
    </w:p>
    <w:p>
      <w:pPr>
        <w:pStyle w:val="Subsection"/>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spacing w:before="60"/>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spacing w:before="100"/>
        <w:rPr>
          <w:snapToGrid w:val="0"/>
        </w:rPr>
      </w:pPr>
      <w:r>
        <w:rPr>
          <w:snapToGrid w:val="0"/>
        </w:rPr>
        <w:tab/>
        <w:t>(a)</w:t>
      </w:r>
      <w:r>
        <w:rPr>
          <w:snapToGrid w:val="0"/>
        </w:rPr>
        <w:tab/>
      </w:r>
      <w:r>
        <w:t>pharmacists</w:t>
      </w:r>
      <w:r>
        <w:rPr>
          <w:snapToGrid w:val="0"/>
        </w:rPr>
        <w:t xml:space="preserve"> authorised to possess and supply poisons included in Schedule 8; and</w:t>
      </w:r>
    </w:p>
    <w:p>
      <w:pPr>
        <w:pStyle w:val="Indenta"/>
        <w:spacing w:before="100"/>
        <w:rPr>
          <w:snapToGrid w:val="0"/>
        </w:rPr>
      </w:pPr>
      <w:r>
        <w:rPr>
          <w:snapToGrid w:val="0"/>
        </w:rPr>
        <w:tab/>
        <w:t>(b)</w:t>
      </w:r>
      <w:r>
        <w:rPr>
          <w:snapToGrid w:val="0"/>
        </w:rPr>
        <w:tab/>
        <w:t xml:space="preserve">medical practitioners </w:t>
      </w:r>
      <w:r>
        <w:t>or nurse practitioners</w:t>
      </w:r>
      <w:r>
        <w:rPr>
          <w:snapToGrid w:val="0"/>
        </w:rPr>
        <w:t xml:space="preserve"> authorised to supply poisons included in Schedule 8; and</w:t>
      </w:r>
    </w:p>
    <w:p>
      <w:pPr>
        <w:pStyle w:val="Indenta"/>
        <w:spacing w:before="100"/>
        <w:rPr>
          <w:snapToGrid w:val="0"/>
        </w:rPr>
      </w:pPr>
      <w:r>
        <w:rPr>
          <w:snapToGrid w:val="0"/>
        </w:rPr>
        <w:tab/>
        <w:t>(c)</w:t>
      </w:r>
      <w:r>
        <w:rPr>
          <w:snapToGrid w:val="0"/>
        </w:rPr>
        <w:tab/>
        <w:t>directors of nursing.</w:t>
      </w:r>
    </w:p>
    <w:p>
      <w:pPr>
        <w:pStyle w:val="Subsection"/>
        <w:spacing w:before="200"/>
      </w:pPr>
      <w:r>
        <w:tab/>
        <w:t>(4)</w:t>
      </w:r>
      <w:r>
        <w:tab/>
        <w:t>A person who destroys poisons included in Schedule 8 must maintain a register of the poisons destroyed and record in it, at the time of each destruction — </w:t>
      </w:r>
    </w:p>
    <w:p>
      <w:pPr>
        <w:pStyle w:val="Indenta"/>
        <w:spacing w:before="100"/>
      </w:pPr>
      <w:r>
        <w:tab/>
        <w:t>(a)</w:t>
      </w:r>
      <w:r>
        <w:tab/>
        <w:t>the date of destruction; and</w:t>
      </w:r>
    </w:p>
    <w:p>
      <w:pPr>
        <w:pStyle w:val="Indenta"/>
        <w:spacing w:before="100"/>
      </w:pPr>
      <w:r>
        <w:tab/>
        <w:t>(b)</w:t>
      </w:r>
      <w:r>
        <w:tab/>
        <w:t>the name, strength and quantity of the poison destroyed; and</w:t>
      </w:r>
    </w:p>
    <w:p>
      <w:pPr>
        <w:pStyle w:val="Indenta"/>
        <w:spacing w:before="100"/>
      </w:pPr>
      <w:r>
        <w:tab/>
        <w:t>(c)</w:t>
      </w:r>
      <w:r>
        <w:tab/>
        <w:t>the reason for the destruction; and</w:t>
      </w:r>
    </w:p>
    <w:p>
      <w:pPr>
        <w:pStyle w:val="Indenta"/>
        <w:spacing w:before="100"/>
      </w:pPr>
      <w:r>
        <w:tab/>
        <w:t>(d)</w:t>
      </w:r>
      <w:r>
        <w:tab/>
        <w:t xml:space="preserve">the name of the witness to the destruction, </w:t>
      </w:r>
    </w:p>
    <w:p>
      <w:pPr>
        <w:pStyle w:val="Subsection"/>
        <w:spacing w:before="200"/>
      </w:pPr>
      <w:r>
        <w:tab/>
      </w:r>
      <w:r>
        <w:tab/>
        <w:t>and, if the register is maintained on paper, is to sign, and cause the witness to sign, that entry in the register.</w:t>
      </w:r>
    </w:p>
    <w:p>
      <w:pPr>
        <w:pStyle w:val="Subsection"/>
        <w:spacing w:before="200"/>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keepNext/>
        <w:spacing w:before="200"/>
        <w:rPr>
          <w:snapToGrid w:val="0"/>
        </w:rPr>
      </w:pPr>
      <w:r>
        <w:rPr>
          <w:snapToGrid w:val="0"/>
        </w:rPr>
        <w:tab/>
        <w:t>(6)</w:t>
      </w:r>
      <w:r>
        <w:rPr>
          <w:snapToGrid w:val="0"/>
        </w:rPr>
        <w:tab/>
        <w:t>Where the monthly return referred to in subregulation (5) is made — </w:t>
      </w:r>
    </w:p>
    <w:p>
      <w:pPr>
        <w:pStyle w:val="Indenta"/>
        <w:spacing w:before="100"/>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 1 Jun 2012 p. 2318.]</w:t>
      </w:r>
    </w:p>
    <w:p>
      <w:pPr>
        <w:pStyle w:val="Heading5"/>
      </w:pPr>
      <w:bookmarkStart w:id="443" w:name="_Toc406492476"/>
      <w:bookmarkStart w:id="444" w:name="_Toc524795882"/>
      <w:r>
        <w:rPr>
          <w:rStyle w:val="CharSectno"/>
        </w:rPr>
        <w:t>44B</w:t>
      </w:r>
      <w:r>
        <w:t>.</w:t>
      </w:r>
      <w:r>
        <w:tab/>
        <w:t>Registers for r. 44(2) or 44A(4), form of etc.</w:t>
      </w:r>
      <w:bookmarkEnd w:id="443"/>
      <w:bookmarkEnd w:id="444"/>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keepNext/>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keepNext/>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pPr>
      <w:r>
        <w:tab/>
        <w:t>[Regulation 44B inserted in Gazette 29 Feb 2000 p. 994; amended in Gazette 14 Sep 2001 p. 5076; 15 Dec 2006 p. 5630.]</w:t>
      </w:r>
    </w:p>
    <w:p>
      <w:pPr>
        <w:pStyle w:val="Heading5"/>
      </w:pPr>
      <w:bookmarkStart w:id="445" w:name="_Toc406492477"/>
      <w:bookmarkStart w:id="446" w:name="_Toc524795883"/>
      <w:r>
        <w:rPr>
          <w:rStyle w:val="CharSectno"/>
        </w:rPr>
        <w:t>44C</w:t>
      </w:r>
      <w:r>
        <w:t>.</w:t>
      </w:r>
      <w:r>
        <w:tab/>
        <w:t>Electronic registers for r. 44(2) or 44A(4), rules as to</w:t>
      </w:r>
      <w:bookmarkEnd w:id="445"/>
      <w:bookmarkEnd w:id="446"/>
    </w:p>
    <w:p>
      <w:pPr>
        <w:pStyle w:val="Subsection"/>
      </w:pPr>
      <w:r>
        <w:tab/>
        <w:t>(1)</w:t>
      </w:r>
      <w:r>
        <w:tab/>
        <w:t>In this regulation —</w:t>
      </w:r>
    </w:p>
    <w:p>
      <w:pPr>
        <w:pStyle w:val="Defstart"/>
      </w:pPr>
      <w:r>
        <w:tab/>
      </w:r>
      <w:r>
        <w:rPr>
          <w:rStyle w:val="CharDefText"/>
        </w:rPr>
        <w:t>access code</w:t>
      </w:r>
      <w:r>
        <w:t>, of a person, means a password or other means by which the person gains access to a register;</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Defstart"/>
      </w:pPr>
      <w:r>
        <w:tab/>
      </w:r>
      <w:r>
        <w:rPr>
          <w:rStyle w:val="CharDefText"/>
        </w:rPr>
        <w:t>system identifier</w:t>
      </w:r>
      <w:r>
        <w:t>, of a person, means the code or identifier by which the identity of the person is recorded by a register.</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entries in the register cannot be made by any person who does not use a system identifier issued by the authorised person; and</w:t>
      </w:r>
    </w:p>
    <w:p>
      <w:pPr>
        <w:pStyle w:val="Indenta"/>
      </w:pPr>
      <w:r>
        <w:tab/>
        <w:t>(b)</w:t>
      </w:r>
      <w:r>
        <w:tab/>
        <w:t>a system identifier cannot be used other than in combination with an access code for the person to whom the system identifier was issued; and</w:t>
      </w:r>
    </w:p>
    <w:p>
      <w:pPr>
        <w:pStyle w:val="Indenta"/>
      </w:pPr>
      <w:r>
        <w:tab/>
        <w:t>(c)</w:t>
      </w:r>
      <w:r>
        <w:tab/>
        <w:t>whenever a person makes an entry in the register the system identifier of that person is automatically recorded in the register; and</w:t>
      </w:r>
    </w:p>
    <w:p>
      <w:pPr>
        <w:pStyle w:val="Indenta"/>
      </w:pPr>
      <w:r>
        <w:tab/>
        <w:t>(d)</w:t>
      </w:r>
      <w:r>
        <w:tab/>
        <w:t>the record of the system identifier cannot be changed.</w:t>
      </w:r>
    </w:p>
    <w:p>
      <w:pPr>
        <w:pStyle w:val="Subsection"/>
      </w:pPr>
      <w:r>
        <w:tab/>
        <w:t>(4)</w:t>
      </w:r>
      <w:r>
        <w:tab/>
        <w:t xml:space="preserve">The authorised person must keep a record of the system identifiers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system identifier issued to a person has been recorded in the register in respect of an entry, then in the absence of evidence to the contrary that person is taken to have made the entry. </w:t>
      </w:r>
    </w:p>
    <w:p>
      <w:pPr>
        <w:pStyle w:val="Footnotesection"/>
      </w:pPr>
      <w:r>
        <w:tab/>
        <w:t>[Regulation 44C inserted in Gazette 29 Feb 2000 p. 994</w:t>
      </w:r>
      <w:r>
        <w:noBreakHyphen/>
        <w:t>5; amended in Gazette 28 Jul 2009 p. 2980; 20 Mar 2015 p. 908</w:t>
      </w:r>
      <w:r>
        <w:noBreakHyphen/>
        <w:t>9.]</w:t>
      </w:r>
    </w:p>
    <w:p>
      <w:pPr>
        <w:pStyle w:val="Footnoteheading"/>
      </w:pPr>
      <w:r>
        <w:tab/>
        <w:t>[Heading deleted in Gazette 12 Aug 2003 p. 3663.]</w:t>
      </w:r>
    </w:p>
    <w:p>
      <w:pPr>
        <w:pStyle w:val="Heading5"/>
        <w:rPr>
          <w:snapToGrid w:val="0"/>
        </w:rPr>
      </w:pPr>
      <w:bookmarkStart w:id="447" w:name="_Toc406492478"/>
      <w:bookmarkStart w:id="448" w:name="_Toc524795884"/>
      <w:r>
        <w:rPr>
          <w:rStyle w:val="CharSectno"/>
        </w:rPr>
        <w:t>45</w:t>
      </w:r>
      <w:r>
        <w:rPr>
          <w:snapToGrid w:val="0"/>
        </w:rPr>
        <w:t>.</w:t>
      </w:r>
      <w:r>
        <w:rPr>
          <w:snapToGrid w:val="0"/>
        </w:rPr>
        <w:tab/>
        <w:t>Inventory of drugs of addiction, duties as to</w:t>
      </w:r>
      <w:bookmarkEnd w:id="447"/>
      <w:bookmarkEnd w:id="448"/>
      <w:r>
        <w:rPr>
          <w:snapToGrid w:val="0"/>
        </w:rPr>
        <w:t xml:space="preserve"> </w:t>
      </w:r>
    </w:p>
    <w:p>
      <w:pPr>
        <w:pStyle w:val="Subsection"/>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spacing w:before="100"/>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Footnoteheading"/>
        <w:spacing w:before="100"/>
      </w:pPr>
      <w:r>
        <w:tab/>
        <w:t>[Heading deleted in Gazette 12 Aug 2003 p. 3663.]</w:t>
      </w:r>
    </w:p>
    <w:p>
      <w:pPr>
        <w:pStyle w:val="Heading5"/>
        <w:rPr>
          <w:snapToGrid w:val="0"/>
        </w:rPr>
      </w:pPr>
      <w:bookmarkStart w:id="449" w:name="_Toc406492479"/>
      <w:bookmarkStart w:id="450" w:name="_Toc524795885"/>
      <w:r>
        <w:rPr>
          <w:rStyle w:val="CharSectno"/>
        </w:rPr>
        <w:t>47</w:t>
      </w:r>
      <w:r>
        <w:rPr>
          <w:snapToGrid w:val="0"/>
        </w:rPr>
        <w:t>.</w:t>
      </w:r>
      <w:r>
        <w:rPr>
          <w:snapToGrid w:val="0"/>
        </w:rPr>
        <w:tab/>
        <w:t>Records to be kept for 7 years and available on demand</w:t>
      </w:r>
      <w:bookmarkEnd w:id="449"/>
      <w:bookmarkEnd w:id="450"/>
      <w:r>
        <w:rPr>
          <w:snapToGrid w:val="0"/>
        </w:rPr>
        <w:t xml:space="preserve"> </w:t>
      </w:r>
    </w:p>
    <w:p>
      <w:pPr>
        <w:pStyle w:val="Subsection"/>
        <w:spacing w:before="140"/>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spacing w:before="140"/>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spacing w:before="140"/>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spacing w:before="140"/>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spacing w:before="120"/>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spacing w:before="120"/>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pPr>
      <w:r>
        <w:tab/>
        <w:t>[Regulation 47 amended in Gazette 23 Sep 1983 p. 3804; 29 Jun 1984 p. 1784; 31 Jan 1986 p. 332; 7 Aug 1987 p. 3083; 25 Jun 1993 p. 3085; 26 May 1994 p. 2201; 19 Mar 1996 p. 1229; 15 Dec 2006 p. 5630.]</w:t>
      </w:r>
    </w:p>
    <w:p>
      <w:pPr>
        <w:pStyle w:val="Footnoteheading"/>
        <w:spacing w:before="100"/>
      </w:pPr>
      <w:r>
        <w:tab/>
        <w:t>[Heading deleted in Gazette 12 Aug 2003 p. 3663.]</w:t>
      </w:r>
    </w:p>
    <w:p>
      <w:pPr>
        <w:pStyle w:val="Heading5"/>
        <w:spacing w:before="200"/>
        <w:rPr>
          <w:snapToGrid w:val="0"/>
        </w:rPr>
      </w:pPr>
      <w:bookmarkStart w:id="451" w:name="_Toc406492480"/>
      <w:bookmarkStart w:id="452" w:name="_Toc524795886"/>
      <w:r>
        <w:rPr>
          <w:rStyle w:val="CharSectno"/>
        </w:rPr>
        <w:t>48</w:t>
      </w:r>
      <w:r>
        <w:rPr>
          <w:snapToGrid w:val="0"/>
        </w:rPr>
        <w:t>.</w:t>
      </w:r>
      <w:r>
        <w:rPr>
          <w:snapToGrid w:val="0"/>
        </w:rPr>
        <w:tab/>
        <w:t>Wholesalers to give CEO periodic returns as to Sch. 8 poisons</w:t>
      </w:r>
      <w:bookmarkEnd w:id="451"/>
      <w:bookmarkEnd w:id="452"/>
      <w:r>
        <w:rPr>
          <w:snapToGrid w:val="0"/>
        </w:rPr>
        <w:t xml:space="preserve"> </w:t>
      </w:r>
    </w:p>
    <w:p>
      <w:pPr>
        <w:pStyle w:val="Subsection"/>
        <w:spacing w:before="120"/>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spacing w:before="120"/>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pPr>
      <w:r>
        <w:tab/>
        <w:t>[Regulation 48 inserted in Gazette 23 Sep 1983 p. 3804; amended in Gazette 29 Jun 1984 p. 1784; 25 Jun 1993 p. 3080 and 3085; 26 May 1994 p. 2201; 19 Mar 1996 p. 1229; 15 Dec 2006 p. 5630; 21 Apr 2009 p. 1359.]</w:t>
      </w:r>
    </w:p>
    <w:p>
      <w:pPr>
        <w:pStyle w:val="Heading5"/>
      </w:pPr>
      <w:bookmarkStart w:id="453" w:name="_Toc406492481"/>
      <w:bookmarkStart w:id="454" w:name="_Toc524795887"/>
      <w:r>
        <w:rPr>
          <w:rStyle w:val="CharSectno"/>
        </w:rPr>
        <w:t>49A</w:t>
      </w:r>
      <w:r>
        <w:t>.</w:t>
      </w:r>
      <w:r>
        <w:tab/>
        <w:t>Certificated commercial vessels, possession etc. of Sch. 8 poisons on</w:t>
      </w:r>
      <w:bookmarkEnd w:id="453"/>
      <w:bookmarkEnd w:id="454"/>
      <w:r>
        <w:t xml:space="preserve"> </w:t>
      </w:r>
    </w:p>
    <w:p>
      <w:pPr>
        <w:pStyle w:val="Subsection"/>
        <w:spacing w:before="150"/>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spacing w:before="150"/>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50"/>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keepNext/>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455" w:name="_Toc406492482"/>
      <w:bookmarkStart w:id="456" w:name="_Toc524795888"/>
      <w:r>
        <w:rPr>
          <w:rStyle w:val="CharSectno"/>
        </w:rPr>
        <w:t>49B</w:t>
      </w:r>
      <w:r>
        <w:t>.</w:t>
      </w:r>
      <w:r>
        <w:tab/>
        <w:t>Racing yachts, possession etc. of Sch. 8 poisons on</w:t>
      </w:r>
      <w:bookmarkEnd w:id="455"/>
      <w:bookmarkEnd w:id="456"/>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spacing w:before="60"/>
      </w:pPr>
      <w:r>
        <w:tab/>
        <w:t>(a)</w:t>
      </w:r>
      <w:r>
        <w:tab/>
        <w:t>the date of the order;</w:t>
      </w:r>
    </w:p>
    <w:p>
      <w:pPr>
        <w:pStyle w:val="Indenta"/>
        <w:spacing w:before="60"/>
      </w:pPr>
      <w:r>
        <w:tab/>
        <w:t>(b)</w:t>
      </w:r>
      <w:r>
        <w:tab/>
        <w:t>the name of the racing yacht;</w:t>
      </w:r>
    </w:p>
    <w:p>
      <w:pPr>
        <w:pStyle w:val="Indenta"/>
        <w:spacing w:before="60"/>
      </w:pPr>
      <w:r>
        <w:tab/>
        <w:t>(c)</w:t>
      </w:r>
      <w:r>
        <w:tab/>
        <w:t>the registration number of the racing yacht;</w:t>
      </w:r>
    </w:p>
    <w:p>
      <w:pPr>
        <w:pStyle w:val="Indenta"/>
        <w:spacing w:before="60"/>
      </w:pPr>
      <w:r>
        <w:tab/>
        <w:t>(d)</w:t>
      </w:r>
      <w:r>
        <w:tab/>
        <w:t>the name of the yacht club organising the race;</w:t>
      </w:r>
    </w:p>
    <w:p>
      <w:pPr>
        <w:pStyle w:val="Indenta"/>
        <w:spacing w:before="60"/>
      </w:pPr>
      <w:r>
        <w:tab/>
        <w:t>(e)</w:t>
      </w:r>
      <w:r>
        <w:tab/>
        <w:t>the name, address and signature of the owner of the yacht;</w:t>
      </w:r>
    </w:p>
    <w:p>
      <w:pPr>
        <w:pStyle w:val="Indenta"/>
        <w:spacing w:before="60"/>
      </w:pPr>
      <w:r>
        <w:tab/>
        <w:t>(f)</w:t>
      </w:r>
      <w:r>
        <w:tab/>
        <w:t>the quantity, form and strength of the poison ordered.</w:t>
      </w:r>
    </w:p>
    <w:p>
      <w:pPr>
        <w:pStyle w:val="Subsection"/>
      </w:pPr>
      <w:r>
        <w:tab/>
        <w:t>(4)</w:t>
      </w:r>
      <w:r>
        <w:tab/>
        <w:t>The owner of the racing yacht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spacing w:before="70"/>
      </w:pPr>
      <w:r>
        <w:tab/>
        <w:t>(a)</w:t>
      </w:r>
      <w:r>
        <w:tab/>
        <w:t>the date on which the poison was administered;</w:t>
      </w:r>
    </w:p>
    <w:p>
      <w:pPr>
        <w:pStyle w:val="Indenta"/>
        <w:spacing w:before="70"/>
      </w:pPr>
      <w:r>
        <w:tab/>
        <w:t>(b)</w:t>
      </w:r>
      <w:r>
        <w:tab/>
        <w:t>the poison being administered, the strength of the poison and the quantity that has been administered;</w:t>
      </w:r>
    </w:p>
    <w:p>
      <w:pPr>
        <w:pStyle w:val="Indenta"/>
        <w:spacing w:before="70"/>
      </w:pPr>
      <w:r>
        <w:tab/>
        <w:t>(c)</w:t>
      </w:r>
      <w:r>
        <w:tab/>
        <w:t>the name of the person to whom the poison has been administered;</w:t>
      </w:r>
    </w:p>
    <w:p>
      <w:pPr>
        <w:pStyle w:val="Indenta"/>
        <w:spacing w:before="70"/>
      </w:pPr>
      <w:r>
        <w:tab/>
        <w:t>(d)</w:t>
      </w:r>
      <w:r>
        <w:tab/>
        <w:t>the name and address of the medical practitioner who authorised the administration of the poison.</w:t>
      </w:r>
    </w:p>
    <w:p>
      <w:pPr>
        <w:pStyle w:val="Footnotesection"/>
      </w:pPr>
      <w:r>
        <w:tab/>
        <w:t>[Regulation 49B inserted in Gazette 12 Jun 2009 p. 2113</w:t>
      </w:r>
      <w:r>
        <w:noBreakHyphen/>
        <w:t>14.]</w:t>
      </w:r>
    </w:p>
    <w:p>
      <w:pPr>
        <w:pStyle w:val="Footnoteheading"/>
      </w:pPr>
      <w:r>
        <w:tab/>
        <w:t>[Heading deleted in Gazette 12 Aug 2003 p. 3663.]</w:t>
      </w:r>
    </w:p>
    <w:p>
      <w:pPr>
        <w:pStyle w:val="Heading5"/>
        <w:rPr>
          <w:snapToGrid w:val="0"/>
        </w:rPr>
      </w:pPr>
      <w:bookmarkStart w:id="457" w:name="_Toc406492483"/>
      <w:bookmarkStart w:id="458" w:name="_Toc524795889"/>
      <w:r>
        <w:rPr>
          <w:rStyle w:val="CharSectno"/>
        </w:rPr>
        <w:t>49</w:t>
      </w:r>
      <w:r>
        <w:rPr>
          <w:snapToGrid w:val="0"/>
        </w:rPr>
        <w:t>.</w:t>
      </w:r>
      <w:r>
        <w:rPr>
          <w:snapToGrid w:val="0"/>
        </w:rPr>
        <w:tab/>
        <w:t>Other ships and aircraft, possession etc. of Sch. 8 poisons on</w:t>
      </w:r>
      <w:bookmarkEnd w:id="457"/>
      <w:bookmarkEnd w:id="458"/>
      <w:r>
        <w:rPr>
          <w:snapToGrid w:val="0"/>
        </w:rPr>
        <w:t xml:space="preserve"> </w:t>
      </w:r>
    </w:p>
    <w:p>
      <w:pPr>
        <w:pStyle w:val="Subsection"/>
        <w:keepLines/>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8"/>
        <w:rPr>
          <w:snapToGrid w:val="0"/>
        </w:rPr>
      </w:pPr>
      <w:r>
        <w:rPr>
          <w:snapToGrid w:val="0"/>
        </w:rPr>
        <w:tab/>
        <w:t>(a)</w:t>
      </w:r>
      <w:r>
        <w:rPr>
          <w:snapToGrid w:val="0"/>
        </w:rPr>
        <w:tab/>
        <w:t xml:space="preserve">if the ship is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 xml:space="preserve">section 125 of the </w:t>
      </w:r>
      <w:r>
        <w:rPr>
          <w:i/>
          <w:snapToGrid w:val="0"/>
        </w:rPr>
        <w:t>Navigation Act 1912</w:t>
      </w:r>
      <w:r>
        <w:rPr>
          <w:snapToGrid w:val="0"/>
          <w:vertAlign w:val="superscript"/>
        </w:rPr>
        <w:t> 4</w:t>
      </w:r>
      <w:r>
        <w:rPr>
          <w:snapToGrid w:val="0"/>
        </w:rPr>
        <w:t xml:space="preserve"> of the Commonwealth; or</w:t>
      </w:r>
    </w:p>
    <w:p>
      <w:pPr>
        <w:pStyle w:val="Indenti"/>
        <w:spacing w:before="68"/>
        <w:rPr>
          <w:snapToGrid w:val="0"/>
        </w:rPr>
      </w:pPr>
      <w:r>
        <w:rPr>
          <w:snapToGrid w:val="0"/>
        </w:rPr>
        <w:tab/>
        <w:t>(ii)</w:t>
      </w:r>
      <w:r>
        <w:rPr>
          <w:snapToGrid w:val="0"/>
        </w:rPr>
        <w:tab/>
        <w:t>the navigation authority of any State of Australia;</w:t>
      </w:r>
    </w:p>
    <w:p>
      <w:pPr>
        <w:pStyle w:val="Indenta"/>
        <w:spacing w:before="68"/>
        <w:rPr>
          <w:snapToGrid w:val="0"/>
        </w:rPr>
      </w:pPr>
      <w:r>
        <w:rPr>
          <w:snapToGrid w:val="0"/>
        </w:rPr>
        <w:tab/>
      </w:r>
      <w:r>
        <w:rPr>
          <w:snapToGrid w:val="0"/>
        </w:rPr>
        <w:tab/>
        <w:t>or</w:t>
      </w:r>
    </w:p>
    <w:p>
      <w:pPr>
        <w:pStyle w:val="Indenta"/>
        <w:spacing w:before="68"/>
        <w:rPr>
          <w:snapToGrid w:val="0"/>
        </w:rPr>
      </w:pPr>
      <w:r>
        <w:rPr>
          <w:snapToGrid w:val="0"/>
        </w:rPr>
        <w:tab/>
        <w:t>(b)</w:t>
      </w:r>
      <w:r>
        <w:rPr>
          <w:snapToGrid w:val="0"/>
        </w:rPr>
        <w:tab/>
        <w:t xml:space="preserve">if the ship is not registered in </w:t>
      </w:r>
      <w:smartTag w:uri="urn:schemas-microsoft-com:office:smarttags" w:element="place">
        <w:smartTag w:uri="urn:schemas-microsoft-com:office:smarttags" w:element="country-region">
          <w:r>
            <w:rPr>
              <w:snapToGrid w:val="0"/>
            </w:rPr>
            <w:t>Australia</w:t>
          </w:r>
        </w:smartTag>
      </w:smartTag>
      <w:r>
        <w:rPr>
          <w:snapToGrid w:val="0"/>
        </w:rPr>
        <w:t> — </w:t>
      </w:r>
    </w:p>
    <w:p>
      <w:pPr>
        <w:pStyle w:val="Indenti"/>
        <w:spacing w:before="68"/>
        <w:rPr>
          <w:snapToGrid w:val="0"/>
        </w:rPr>
      </w:pPr>
      <w:r>
        <w:rPr>
          <w:snapToGrid w:val="0"/>
        </w:rPr>
        <w:tab/>
        <w:t>(i)</w:t>
      </w:r>
      <w:r>
        <w:rPr>
          <w:snapToGrid w:val="0"/>
        </w:rPr>
        <w:tab/>
        <w:t>a law applying to ships in the country in which the ship is registered; or</w:t>
      </w:r>
    </w:p>
    <w:p>
      <w:pPr>
        <w:pStyle w:val="Indenti"/>
        <w:spacing w:before="68"/>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spacing w:before="120"/>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spacing w:before="120"/>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spacing w:before="120"/>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spacing w:before="100"/>
      </w:pPr>
      <w:r>
        <w:tab/>
        <w:t>[Regulation 49 inserted in Gazette 31 Dec 1993 p. 6884</w:t>
      </w:r>
      <w:r>
        <w:noBreakHyphen/>
        <w:t>5; amended in Gazette 26 May 1994 p. 2201; 19 Mar 1996 p. 1229; 15 Dec 2006 p. 5630; 12 Jun 2009 p. 2114.]</w:t>
      </w:r>
    </w:p>
    <w:p>
      <w:pPr>
        <w:pStyle w:val="Footnoteheading"/>
        <w:spacing w:before="100"/>
      </w:pPr>
      <w:r>
        <w:tab/>
        <w:t>[Heading deleted in Gazette 12 Aug 2003 p. 3663.]</w:t>
      </w:r>
    </w:p>
    <w:p>
      <w:pPr>
        <w:pStyle w:val="Heading5"/>
      </w:pPr>
      <w:bookmarkStart w:id="459" w:name="_Toc406492484"/>
      <w:bookmarkStart w:id="460" w:name="_Toc524795890"/>
      <w:r>
        <w:rPr>
          <w:rStyle w:val="CharSectno"/>
        </w:rPr>
        <w:t>50</w:t>
      </w:r>
      <w:r>
        <w:t>.</w:t>
      </w:r>
      <w:r>
        <w:tab/>
        <w:t>Sch. 8 poisons in hospitals, rules as to</w:t>
      </w:r>
      <w:bookmarkEnd w:id="459"/>
      <w:bookmarkEnd w:id="460"/>
    </w:p>
    <w:p>
      <w:pPr>
        <w:pStyle w:val="Subsection"/>
        <w:spacing w:before="140"/>
      </w:pPr>
      <w:r>
        <w:tab/>
        <w:t>(1)</w:t>
      </w:r>
      <w:r>
        <w:tab/>
        <w:t xml:space="preserve">In a hospital, the ordering, issuing, storing and keeping of records as required by these regulations of all poisons included in Schedule 8 is the responsibility of — </w:t>
      </w:r>
    </w:p>
    <w:p>
      <w:pPr>
        <w:pStyle w:val="Indenta"/>
        <w:spacing w:before="60"/>
      </w:pPr>
      <w:r>
        <w:tab/>
        <w:t>(a)</w:t>
      </w:r>
      <w:r>
        <w:tab/>
        <w:t>if the hospital has a pharmacy department, the pharmacist in charge of the pharmacy department; or</w:t>
      </w:r>
    </w:p>
    <w:p>
      <w:pPr>
        <w:pStyle w:val="Indenta"/>
      </w:pPr>
      <w:r>
        <w:tab/>
        <w:t>(b)</w:t>
      </w:r>
      <w:r>
        <w:tab/>
        <w:t>otherwise, the director of nursing of the hospital or another person authorised in writing by the CEO.</w:t>
      </w:r>
    </w:p>
    <w:p>
      <w:pPr>
        <w:pStyle w:val="Subsection"/>
        <w:spacing w:before="140"/>
      </w:pPr>
      <w:r>
        <w:tab/>
        <w:t>(2)</w:t>
      </w:r>
      <w:r>
        <w:tab/>
        <w:t xml:space="preserve">A poison included in Schedule 8 must not be administered to a patient in a hospital unless — </w:t>
      </w:r>
    </w:p>
    <w:p>
      <w:pPr>
        <w:pStyle w:val="Indenta"/>
        <w:spacing w:before="60"/>
      </w:pPr>
      <w:r>
        <w:tab/>
        <w:t>(a)</w:t>
      </w:r>
      <w:r>
        <w:tab/>
        <w:t>it is administered by a medical practitioner, nurse practitioner, dentist, endorsed midwife or endorsed podiatrist; or</w:t>
      </w:r>
    </w:p>
    <w:p>
      <w:pPr>
        <w:pStyle w:val="Indenta"/>
        <w:spacing w:before="60"/>
      </w:pPr>
      <w:r>
        <w:tab/>
        <w:t>(b)</w:t>
      </w:r>
      <w:r>
        <w:tab/>
        <w:t>the administration of the poison is authorised in writing on the medication chart of the patient by a medical practitioner, nurse practitioner, dentist or endorsed podiatrist; or</w:t>
      </w:r>
    </w:p>
    <w:p>
      <w:pPr>
        <w:pStyle w:val="Indenta"/>
        <w:spacing w:before="60"/>
      </w:pPr>
      <w:r>
        <w:tab/>
        <w:t>(c)</w:t>
      </w:r>
      <w:r>
        <w:tab/>
        <w:t>the administration of the poison to the patient is verbally authorised by a medical practitioner, nurse practitioner, dentist or endorsed podiatrist.</w:t>
      </w:r>
    </w:p>
    <w:p>
      <w:pPr>
        <w:pStyle w:val="Subsection"/>
        <w:spacing w:before="140"/>
      </w:pPr>
      <w:r>
        <w:tab/>
        <w:t>(3)</w:t>
      </w:r>
      <w:r>
        <w:tab/>
        <w:t>If a medical practitioner, nurse practitioner, dentist or endorsed podiatrist verbally authorises the administration of a poison to a patient in a hospital the medical practitioner, nurse practitioner, dentist or endorsed podiatrist must, within 24 hours of the verbal authorisation, note the authorisation on the medication chart of the patient.</w:t>
      </w:r>
    </w:p>
    <w:p>
      <w:pPr>
        <w:pStyle w:val="Footnotesection"/>
        <w:spacing w:before="100"/>
      </w:pPr>
      <w:r>
        <w:tab/>
        <w:t>[Regulation 50 inserted in Gazette 1 Jun 2012 p. 2318-19.]</w:t>
      </w:r>
    </w:p>
    <w:p>
      <w:pPr>
        <w:pStyle w:val="Footnoteheading"/>
        <w:spacing w:before="100"/>
      </w:pPr>
      <w:r>
        <w:tab/>
        <w:t>[Heading deleted in Gazette 12 Aug 2003 p. 3663.]</w:t>
      </w:r>
    </w:p>
    <w:p>
      <w:pPr>
        <w:pStyle w:val="Heading3"/>
      </w:pPr>
      <w:bookmarkStart w:id="461" w:name="_Toc406084298"/>
      <w:bookmarkStart w:id="462" w:name="_Toc406492485"/>
      <w:bookmarkStart w:id="463" w:name="_Toc414629628"/>
      <w:bookmarkStart w:id="464" w:name="_Toc414629855"/>
      <w:bookmarkStart w:id="465" w:name="_Toc414871719"/>
      <w:bookmarkStart w:id="466" w:name="_Toc414873485"/>
      <w:bookmarkStart w:id="467" w:name="_Toc418582527"/>
      <w:bookmarkStart w:id="468" w:name="_Toc423426574"/>
      <w:bookmarkStart w:id="469" w:name="_Toc423426975"/>
      <w:bookmarkStart w:id="470" w:name="_Toc524795891"/>
      <w:r>
        <w:rPr>
          <w:rStyle w:val="CharDivNo"/>
        </w:rPr>
        <w:t>Division 2</w:t>
      </w:r>
      <w:r>
        <w:t xml:space="preserve"> — </w:t>
      </w:r>
      <w:r>
        <w:rPr>
          <w:rStyle w:val="CharDivText"/>
        </w:rPr>
        <w:t>Supply and prescription</w:t>
      </w:r>
      <w:bookmarkEnd w:id="461"/>
      <w:bookmarkEnd w:id="462"/>
      <w:bookmarkEnd w:id="463"/>
      <w:bookmarkEnd w:id="464"/>
      <w:bookmarkEnd w:id="465"/>
      <w:bookmarkEnd w:id="466"/>
      <w:bookmarkEnd w:id="467"/>
      <w:bookmarkEnd w:id="468"/>
      <w:bookmarkEnd w:id="469"/>
      <w:bookmarkEnd w:id="470"/>
    </w:p>
    <w:p>
      <w:pPr>
        <w:pStyle w:val="Footnoteheading"/>
        <w:keepNext/>
        <w:spacing w:before="100"/>
      </w:pPr>
      <w:r>
        <w:tab/>
        <w:t>[Heading inserted in Gazette 12 Aug 2003 p. 3664.]</w:t>
      </w:r>
    </w:p>
    <w:p>
      <w:pPr>
        <w:pStyle w:val="Heading4"/>
        <w:spacing w:before="220"/>
      </w:pPr>
      <w:bookmarkStart w:id="471" w:name="_Toc406084299"/>
      <w:bookmarkStart w:id="472" w:name="_Toc406492486"/>
      <w:bookmarkStart w:id="473" w:name="_Toc414629629"/>
      <w:bookmarkStart w:id="474" w:name="_Toc414629856"/>
      <w:bookmarkStart w:id="475" w:name="_Toc414871720"/>
      <w:bookmarkStart w:id="476" w:name="_Toc414873486"/>
      <w:bookmarkStart w:id="477" w:name="_Toc418582528"/>
      <w:bookmarkStart w:id="478" w:name="_Toc423426575"/>
      <w:bookmarkStart w:id="479" w:name="_Toc423426976"/>
      <w:bookmarkStart w:id="480" w:name="_Toc524795892"/>
      <w:r>
        <w:t>Subdivision 1 — Prescriptions generally</w:t>
      </w:r>
      <w:bookmarkEnd w:id="471"/>
      <w:bookmarkEnd w:id="472"/>
      <w:bookmarkEnd w:id="473"/>
      <w:bookmarkEnd w:id="474"/>
      <w:bookmarkEnd w:id="475"/>
      <w:bookmarkEnd w:id="476"/>
      <w:bookmarkEnd w:id="477"/>
      <w:bookmarkEnd w:id="478"/>
      <w:bookmarkEnd w:id="479"/>
      <w:bookmarkEnd w:id="480"/>
    </w:p>
    <w:p>
      <w:pPr>
        <w:pStyle w:val="Footnoteheading"/>
        <w:spacing w:before="100"/>
      </w:pPr>
      <w:r>
        <w:tab/>
        <w:t>[Heading inserted in Gazette 12 Aug 2003 p. 3664.]</w:t>
      </w:r>
    </w:p>
    <w:p>
      <w:pPr>
        <w:pStyle w:val="Heading5"/>
        <w:spacing w:before="200"/>
        <w:rPr>
          <w:snapToGrid w:val="0"/>
        </w:rPr>
      </w:pPr>
      <w:bookmarkStart w:id="481" w:name="_Toc406492487"/>
      <w:bookmarkStart w:id="482" w:name="_Toc524795893"/>
      <w:r>
        <w:rPr>
          <w:rStyle w:val="CharSectno"/>
        </w:rPr>
        <w:t>51</w:t>
      </w:r>
      <w:r>
        <w:rPr>
          <w:snapToGrid w:val="0"/>
        </w:rPr>
        <w:t>.</w:t>
      </w:r>
      <w:r>
        <w:rPr>
          <w:snapToGrid w:val="0"/>
        </w:rPr>
        <w:tab/>
        <w:t>Prescriptions for drugs of addiction, rules for</w:t>
      </w:r>
      <w:bookmarkEnd w:id="481"/>
      <w:bookmarkEnd w:id="482"/>
      <w:r>
        <w:rPr>
          <w:snapToGrid w:val="0"/>
        </w:rPr>
        <w:t xml:space="preserve"> </w:t>
      </w:r>
    </w:p>
    <w:p>
      <w:pPr>
        <w:pStyle w:val="Subsection"/>
        <w:spacing w:before="140"/>
      </w:pPr>
      <w:r>
        <w:tab/>
        <w:t>(1)</w:t>
      </w:r>
      <w:r>
        <w:tab/>
        <w:t xml:space="preserve">A prescription for the supply of a drug of addiction shall comply with the following conditions — </w:t>
      </w:r>
    </w:p>
    <w:p>
      <w:pPr>
        <w:pStyle w:val="Indenta"/>
        <w:spacing w:before="60"/>
      </w:pPr>
      <w:r>
        <w:tab/>
        <w:t>(a)</w:t>
      </w:r>
      <w:r>
        <w:tab/>
        <w:t xml:space="preserve">it shall include — </w:t>
      </w:r>
    </w:p>
    <w:p>
      <w:pPr>
        <w:pStyle w:val="Indenti"/>
        <w:spacing w:before="60"/>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spacing w:before="120"/>
      </w:pPr>
      <w:r>
        <w:tab/>
        <w:t>(1B)</w:t>
      </w:r>
      <w:r>
        <w:tab/>
        <w:t xml:space="preserve">A prescription that is not issued electronically shall be either — </w:t>
      </w:r>
    </w:p>
    <w:p>
      <w:pPr>
        <w:pStyle w:val="Indenta"/>
        <w:spacing w:before="60"/>
      </w:pPr>
      <w:r>
        <w:tab/>
        <w:t>(a)</w:t>
      </w:r>
      <w:r>
        <w:tab/>
        <w:t>written in ink in the prescriber’s own handwriting; or</w:t>
      </w:r>
    </w:p>
    <w:p>
      <w:pPr>
        <w:pStyle w:val="Indenta"/>
        <w:spacing w:before="60"/>
      </w:pPr>
      <w:r>
        <w:tab/>
        <w:t>(b)</w:t>
      </w:r>
      <w:r>
        <w:tab/>
        <w:t>processed on an approved computer program and have the information referred to in subregulation (1)(a)(iii), (iv) and (vi) written in ink in the prescriber’s own handwriting.</w:t>
      </w:r>
    </w:p>
    <w:p>
      <w:pPr>
        <w:pStyle w:val="Subsection"/>
        <w:spacing w:before="120"/>
      </w:pPr>
      <w:r>
        <w:tab/>
      </w:r>
      <w:r>
        <w:tab/>
        <w:t>The prescription shall be signed by the prescriber in his or her own handwriting.</w:t>
      </w:r>
    </w:p>
    <w:p>
      <w:pPr>
        <w:pStyle w:val="Subsection"/>
        <w:spacing w:before="120"/>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spacing w:before="60"/>
      </w:pPr>
      <w:r>
        <w:tab/>
        <w:t>(a)</w:t>
      </w:r>
      <w:r>
        <w:tab/>
        <w:t>complies with the criteria specified in Appendix L; or</w:t>
      </w:r>
    </w:p>
    <w:p>
      <w:pPr>
        <w:pStyle w:val="Defpara"/>
        <w:spacing w:before="60"/>
      </w:pPr>
      <w:r>
        <w:tab/>
        <w:t>(b)</w:t>
      </w:r>
      <w:r>
        <w:tab/>
        <w:t>is recommended by the Poisons Advisory Committee and approved in writing by the CEO.</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spacing w:before="8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spacing w:before="200"/>
      </w:pPr>
      <w:bookmarkStart w:id="483" w:name="_Toc406492488"/>
      <w:bookmarkStart w:id="484" w:name="_Toc524795894"/>
      <w:r>
        <w:rPr>
          <w:rStyle w:val="CharSectno"/>
        </w:rPr>
        <w:t>51AAA</w:t>
      </w:r>
      <w:r>
        <w:t>.</w:t>
      </w:r>
      <w:r>
        <w:tab/>
        <w:t>NIMCs for patients discharged from public hospitals to be taken to be lawful prescription</w:t>
      </w:r>
      <w:bookmarkEnd w:id="483"/>
      <w:bookmarkEnd w:id="484"/>
    </w:p>
    <w:p>
      <w:pPr>
        <w:pStyle w:val="Subsection"/>
        <w:spacing w:before="120"/>
      </w:pPr>
      <w:r>
        <w:tab/>
        <w:t>(1)</w:t>
      </w:r>
      <w:r>
        <w:tab/>
        <w:t xml:space="preserve">In this regulation — </w:t>
      </w:r>
    </w:p>
    <w:p>
      <w:pPr>
        <w:pStyle w:val="Defstart"/>
        <w:spacing w:before="60"/>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nurse practitioner or endorsed podiatrist has completed, in ink in his or her own hand writing, all the details in respect of the Schedule 8 poison required by the NIMC; and</w:t>
      </w:r>
    </w:p>
    <w:p>
      <w:pPr>
        <w:pStyle w:val="Indenta"/>
      </w:pPr>
      <w:r>
        <w:tab/>
        <w:t>(c)</w:t>
      </w:r>
      <w:r>
        <w:tab/>
        <w:t>a medical practitioner, nurse practitioner or endorsed podiatrist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 amended in Gazette 1 Jun 2012 p. 2319.]</w:t>
      </w:r>
    </w:p>
    <w:p>
      <w:pPr>
        <w:pStyle w:val="Heading4"/>
        <w:keepNext w:val="0"/>
        <w:spacing w:before="260"/>
      </w:pPr>
      <w:bookmarkStart w:id="485" w:name="_Toc406084302"/>
      <w:bookmarkStart w:id="486" w:name="_Toc406492489"/>
      <w:bookmarkStart w:id="487" w:name="_Toc414629632"/>
      <w:bookmarkStart w:id="488" w:name="_Toc414629859"/>
      <w:bookmarkStart w:id="489" w:name="_Toc414871723"/>
      <w:bookmarkStart w:id="490" w:name="_Toc414873489"/>
      <w:bookmarkStart w:id="491" w:name="_Toc418582531"/>
      <w:bookmarkStart w:id="492" w:name="_Toc423426578"/>
      <w:bookmarkStart w:id="493" w:name="_Toc423426979"/>
      <w:bookmarkStart w:id="494" w:name="_Toc524795895"/>
      <w:r>
        <w:t>Subdivision 2 — Supply and prescription to drug addicts</w:t>
      </w:r>
      <w:bookmarkEnd w:id="485"/>
      <w:bookmarkEnd w:id="486"/>
      <w:bookmarkEnd w:id="487"/>
      <w:bookmarkEnd w:id="488"/>
      <w:bookmarkEnd w:id="489"/>
      <w:bookmarkEnd w:id="490"/>
      <w:bookmarkEnd w:id="491"/>
      <w:bookmarkEnd w:id="492"/>
      <w:bookmarkEnd w:id="493"/>
      <w:bookmarkEnd w:id="494"/>
    </w:p>
    <w:p>
      <w:pPr>
        <w:pStyle w:val="Footnoteheading"/>
        <w:keepNext/>
        <w:spacing w:before="100"/>
      </w:pPr>
      <w:r>
        <w:tab/>
        <w:t>[Heading inserted in Gazette 12 Aug 2003 p. 3664.]</w:t>
      </w:r>
    </w:p>
    <w:p>
      <w:pPr>
        <w:pStyle w:val="Heading5"/>
      </w:pPr>
      <w:bookmarkStart w:id="495" w:name="_Toc406492490"/>
      <w:bookmarkStart w:id="496" w:name="_Toc524795896"/>
      <w:r>
        <w:rPr>
          <w:rStyle w:val="CharSectno"/>
        </w:rPr>
        <w:t>51A</w:t>
      </w:r>
      <w:r>
        <w:t>.</w:t>
      </w:r>
      <w:r>
        <w:tab/>
        <w:t>Terms used</w:t>
      </w:r>
      <w:bookmarkEnd w:id="495"/>
      <w:bookmarkEnd w:id="496"/>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or nurse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spacing w:before="56"/>
      </w:pPr>
      <w:r>
        <w:tab/>
        <w:t>(c)</w:t>
      </w:r>
      <w:r>
        <w:tab/>
        <w:t>is under a psychic or physical dependence to take a drug of addiction or any substitute; or</w:t>
      </w:r>
    </w:p>
    <w:p>
      <w:pPr>
        <w:pStyle w:val="Defpara"/>
        <w:spacing w:before="56"/>
      </w:pPr>
      <w:r>
        <w:tab/>
        <w:t>(d)</w:t>
      </w:r>
      <w:r>
        <w:tab/>
        <w:t xml:space="preserve">is listed in the register of information kept under the </w:t>
      </w:r>
      <w:r>
        <w:rPr>
          <w:i/>
          <w:iCs/>
        </w:rPr>
        <w:t>Drugs of Addiction Notification Regulations 1980</w:t>
      </w:r>
      <w:r>
        <w:t>;</w:t>
      </w:r>
    </w:p>
    <w:p>
      <w:pPr>
        <w:pStyle w:val="Defstart"/>
        <w:spacing w:before="60"/>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tab/>
      </w:r>
      <w:r>
        <w:rPr>
          <w:rStyle w:val="CharDefText"/>
        </w:rPr>
        <w:t>Policies Manual</w:t>
      </w:r>
      <w:r>
        <w:t xml:space="preserve"> means — </w:t>
      </w:r>
    </w:p>
    <w:p>
      <w:pPr>
        <w:pStyle w:val="Defpara"/>
      </w:pPr>
      <w:r>
        <w:tab/>
        <w:t>(a)</w:t>
      </w:r>
      <w:r>
        <w:tab/>
        <w:t xml:space="preserve">the “Clinical policies and procedures for the use of methadone and buprenorphine in the treatment of opioid dependence” published from time to time by the department of the Public Service principally assisting in the administration of the </w:t>
      </w:r>
      <w:r>
        <w:rPr>
          <w:i/>
        </w:rPr>
        <w:t>Alcohol and Other Drugs Act 1974</w:t>
      </w:r>
      <w:r>
        <w:t>; or</w:t>
      </w:r>
    </w:p>
    <w:p>
      <w:pPr>
        <w:pStyle w:val="Defpara"/>
      </w:pPr>
      <w:r>
        <w:tab/>
        <w:t>(b)</w:t>
      </w:r>
      <w:r>
        <w:tab/>
        <w:t xml:space="preserve">until that department first publishes the policies and procedures referred to in paragraph (a) — the “Clinical policies and procedures for the use of methadone and buprenorphine in the treatment of opioid dependence” last published by the Drug and Alcohol Office Western Australia before the day on which the </w:t>
      </w:r>
      <w:r>
        <w:rPr>
          <w:i/>
        </w:rPr>
        <w:t>Alcohol and Drug Authority Amendment Act 2015</w:t>
      </w:r>
      <w:r>
        <w:t xml:space="preserve"> section 8 comes into operation;</w:t>
      </w:r>
    </w:p>
    <w:p>
      <w:pPr>
        <w:pStyle w:val="Defstart"/>
        <w:spacing w:before="60"/>
      </w:pPr>
      <w:r>
        <w:rPr>
          <w:b/>
        </w:rPr>
        <w:tab/>
      </w:r>
      <w:r>
        <w:rPr>
          <w:rStyle w:val="CharDefText"/>
        </w:rPr>
        <w:t>specialist prescriber</w:t>
      </w:r>
      <w:r>
        <w:t xml:space="preserve"> means an authorised prescriber who is designated by the CEO as a specialist prescriber under regulation 51C(2).</w:t>
      </w:r>
    </w:p>
    <w:p>
      <w:pPr>
        <w:pStyle w:val="Subsection"/>
        <w:spacing w:before="110"/>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spacing w:before="70"/>
      </w:pPr>
      <w:r>
        <w:tab/>
        <w:t>[Regulation 51A inserted in Gazette 21 Apr 2009 p. 1359</w:t>
      </w:r>
      <w:r>
        <w:noBreakHyphen/>
        <w:t>60; amended in Gazette 1 Oct 2010 p. 5079; 1 Jun 2012 p. 2319; 17 Apr 2015 p. 1376</w:t>
      </w:r>
      <w:r>
        <w:noBreakHyphen/>
        <w:t>7.]</w:t>
      </w:r>
    </w:p>
    <w:p>
      <w:pPr>
        <w:pStyle w:val="Heading5"/>
        <w:spacing w:before="180"/>
      </w:pPr>
      <w:bookmarkStart w:id="497" w:name="_Toc406492491"/>
      <w:bookmarkStart w:id="498" w:name="_Toc524795897"/>
      <w:r>
        <w:rPr>
          <w:rStyle w:val="CharSectno"/>
        </w:rPr>
        <w:t>51AA</w:t>
      </w:r>
      <w:r>
        <w:t>.</w:t>
      </w:r>
      <w:r>
        <w:tab/>
        <w:t>Drug addicts to disclose addiction to medical practitioners etc.</w:t>
      </w:r>
      <w:bookmarkEnd w:id="497"/>
      <w:bookmarkEnd w:id="498"/>
    </w:p>
    <w:p>
      <w:pPr>
        <w:pStyle w:val="Subsection"/>
        <w:spacing w:before="110"/>
      </w:pPr>
      <w:r>
        <w:tab/>
      </w:r>
      <w:r>
        <w:tab/>
        <w:t>A drug addict must, when seeking to obtain from a medical practitioner, nurse practitioner, authorised health practitioner or dentist — </w:t>
      </w:r>
    </w:p>
    <w:p>
      <w:pPr>
        <w:pStyle w:val="Indenta"/>
        <w:spacing w:before="56"/>
      </w:pPr>
      <w:r>
        <w:tab/>
        <w:t>(a)</w:t>
      </w:r>
      <w:r>
        <w:tab/>
        <w:t>a drug of addiction; or</w:t>
      </w:r>
    </w:p>
    <w:p>
      <w:pPr>
        <w:pStyle w:val="Indenta"/>
        <w:spacing w:before="56"/>
      </w:pPr>
      <w:r>
        <w:tab/>
        <w:t>(b)</w:t>
      </w:r>
      <w:r>
        <w:tab/>
        <w:t>a prescription or document prescribing the use, sale or supply of a drug of addiction,</w:t>
      </w:r>
    </w:p>
    <w:p>
      <w:pPr>
        <w:pStyle w:val="Subsection"/>
        <w:spacing w:before="100"/>
      </w:pPr>
      <w:r>
        <w:tab/>
      </w:r>
      <w:r>
        <w:tab/>
        <w:t>disclose to the medical practitioner, nurse practitioner, authorised health practitioner or dentist the fact that he or she is a drug addict.</w:t>
      </w:r>
    </w:p>
    <w:p>
      <w:pPr>
        <w:pStyle w:val="Footnotesection"/>
        <w:spacing w:before="70"/>
      </w:pPr>
      <w:r>
        <w:tab/>
        <w:t xml:space="preserve">[Regulation 51AA inserted in Gazette 12 Oct 1984 p. 3267; amended in Gazette 11 Apr 1997 p. 1832; 21 Apr 2009 p. 1360; 1 Jun 2012 p. 2320.] </w:t>
      </w:r>
    </w:p>
    <w:p>
      <w:pPr>
        <w:pStyle w:val="Heading5"/>
      </w:pPr>
      <w:bookmarkStart w:id="499" w:name="_Toc406492492"/>
      <w:bookmarkStart w:id="500" w:name="_Toc524795898"/>
      <w:r>
        <w:rPr>
          <w:rStyle w:val="CharSectno"/>
        </w:rPr>
        <w:t>51B</w:t>
      </w:r>
      <w:r>
        <w:t>.</w:t>
      </w:r>
      <w:r>
        <w:tab/>
        <w:t>Drug addicts, restrictions on prescribing and supplying drugs of addiction to</w:t>
      </w:r>
      <w:bookmarkEnd w:id="499"/>
      <w:bookmarkEnd w:id="500"/>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501" w:name="_Toc406492493"/>
      <w:bookmarkStart w:id="502" w:name="_Toc524795899"/>
      <w:r>
        <w:rPr>
          <w:rStyle w:val="CharSectno"/>
        </w:rPr>
        <w:t>51BA</w:t>
      </w:r>
      <w:r>
        <w:t>.</w:t>
      </w:r>
      <w:r>
        <w:tab/>
        <w:t>D</w:t>
      </w:r>
      <w:r>
        <w:rPr>
          <w:snapToGrid w:val="0"/>
        </w:rPr>
        <w:t>rug addicts, administering, prescribing or supplying drugs of addiction to</w:t>
      </w:r>
      <w:bookmarkEnd w:id="501"/>
      <w:bookmarkEnd w:id="502"/>
    </w:p>
    <w:p>
      <w:pPr>
        <w:pStyle w:val="Subsection"/>
        <w:rPr>
          <w:snapToGrid w:val="0"/>
        </w:rPr>
      </w:pPr>
      <w:r>
        <w:tab/>
        <w:t>(1)</w:t>
      </w:r>
      <w:r>
        <w:tab/>
        <w:t xml:space="preserve">A medical practitioner, nurse practitioner, authorised health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nurse practitioner or dentist may </w:t>
      </w:r>
      <w:r>
        <w:rPr>
          <w:snapToGrid w:val="0"/>
        </w:rPr>
        <w:t>prescribe or supply a drug of addiction for the treatment of a person who is a drug addict</w:t>
      </w:r>
      <w:r>
        <w:t xml:space="preserve"> if the medical practitioner, nurse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nurse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 amended in Gazette 1 Jun 2012 p. 2320.]</w:t>
      </w:r>
    </w:p>
    <w:p>
      <w:pPr>
        <w:pStyle w:val="Heading5"/>
        <w:rPr>
          <w:snapToGrid w:val="0"/>
        </w:rPr>
      </w:pPr>
      <w:bookmarkStart w:id="503" w:name="_Toc406492494"/>
      <w:bookmarkStart w:id="504" w:name="_Toc524795900"/>
      <w:r>
        <w:rPr>
          <w:rStyle w:val="CharSectno"/>
        </w:rPr>
        <w:t>51C</w:t>
      </w:r>
      <w:r>
        <w:rPr>
          <w:snapToGrid w:val="0"/>
        </w:rPr>
        <w:t>.</w:t>
      </w:r>
      <w:r>
        <w:rPr>
          <w:snapToGrid w:val="0"/>
        </w:rPr>
        <w:tab/>
        <w:t>Authorised prescribers and specialist prescribers, designation of</w:t>
      </w:r>
      <w:bookmarkEnd w:id="503"/>
      <w:bookmarkEnd w:id="504"/>
    </w:p>
    <w:p>
      <w:pPr>
        <w:pStyle w:val="Subsection"/>
      </w:pPr>
      <w:r>
        <w:tab/>
        <w:t>(1)</w:t>
      </w:r>
      <w:r>
        <w:tab/>
        <w:t>The CEO may designate a medical practitioner or a nurse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 amended in Gazette 1 Jun 2012 p. 2320.]</w:t>
      </w:r>
    </w:p>
    <w:p>
      <w:pPr>
        <w:pStyle w:val="Heading5"/>
        <w:rPr>
          <w:snapToGrid w:val="0"/>
        </w:rPr>
      </w:pPr>
      <w:bookmarkStart w:id="505" w:name="_Toc406492495"/>
      <w:bookmarkStart w:id="506" w:name="_Toc524795901"/>
      <w:r>
        <w:rPr>
          <w:rStyle w:val="CharSectno"/>
        </w:rPr>
        <w:t>51CA</w:t>
      </w:r>
      <w:r>
        <w:t>.</w:t>
      </w:r>
      <w:r>
        <w:tab/>
        <w:t>A</w:t>
      </w:r>
      <w:r>
        <w:rPr>
          <w:snapToGrid w:val="0"/>
        </w:rPr>
        <w:t>uthorised prescribers for drug addicts, appointment of</w:t>
      </w:r>
      <w:bookmarkEnd w:id="505"/>
      <w:bookmarkEnd w:id="50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507" w:name="_Toc406492496"/>
      <w:bookmarkStart w:id="508" w:name="_Toc524795902"/>
      <w:r>
        <w:rPr>
          <w:rStyle w:val="CharSectno"/>
        </w:rPr>
        <w:t>51CB</w:t>
      </w:r>
      <w:r>
        <w:t>.</w:t>
      </w:r>
      <w:r>
        <w:tab/>
        <w:t>Co</w:t>
      </w:r>
      <w:r>
        <w:noBreakHyphen/>
        <w:t xml:space="preserve">prescribers </w:t>
      </w:r>
      <w:r>
        <w:rPr>
          <w:snapToGrid w:val="0"/>
        </w:rPr>
        <w:t>for drug addicts, appointment of</w:t>
      </w:r>
      <w:bookmarkEnd w:id="507"/>
      <w:bookmarkEnd w:id="508"/>
    </w:p>
    <w:p>
      <w:pPr>
        <w:pStyle w:val="Subsection"/>
      </w:pPr>
      <w:r>
        <w:tab/>
        <w:t>(1)</w:t>
      </w:r>
      <w:r>
        <w:tab/>
        <w:t xml:space="preserve">A specialist prescriber who is the authorised prescriber for a person who </w:t>
      </w:r>
      <w:r>
        <w:rPr>
          <w:snapToGrid w:val="0"/>
        </w:rPr>
        <w:t xml:space="preserve">is a drug addict </w:t>
      </w:r>
      <w:r>
        <w:t>may appoint a medical practitioner or nurse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spacing w:before="90"/>
      </w:pPr>
      <w:r>
        <w:tab/>
        <w:t>[Regulation 51CB inserted in Gazette 21 Apr 2009 p. 1362; amended in Gazette 1 Jun 2012 p. 2320.]</w:t>
      </w:r>
    </w:p>
    <w:p>
      <w:pPr>
        <w:pStyle w:val="Heading5"/>
        <w:spacing w:before="200"/>
      </w:pPr>
      <w:bookmarkStart w:id="509" w:name="_Toc406492497"/>
      <w:bookmarkStart w:id="510" w:name="_Toc524795903"/>
      <w:r>
        <w:rPr>
          <w:rStyle w:val="CharSectno"/>
        </w:rPr>
        <w:t>51CC</w:t>
      </w:r>
      <w:r>
        <w:t>.</w:t>
      </w:r>
      <w:r>
        <w:tab/>
      </w:r>
      <w:r>
        <w:rPr>
          <w:snapToGrid w:val="0"/>
        </w:rPr>
        <w:t>Designations, authorisations and appointments, rules as to</w:t>
      </w:r>
      <w:bookmarkEnd w:id="509"/>
      <w:bookmarkEnd w:id="510"/>
    </w:p>
    <w:p>
      <w:pPr>
        <w:pStyle w:val="Subsection"/>
        <w:spacing w:before="120"/>
      </w:pPr>
      <w:r>
        <w:tab/>
      </w:r>
      <w:r>
        <w:tab/>
        <w:t>A designation, authorisation or appointment of a person under this Subdivision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be amended, suspended or revoked at any time.</w:t>
      </w:r>
    </w:p>
    <w:p>
      <w:pPr>
        <w:pStyle w:val="Footnotesection"/>
        <w:spacing w:before="90"/>
      </w:pPr>
      <w:r>
        <w:tab/>
        <w:t>[Regulation 51CC inserted in Gazette 21 Apr 2009 p. 1362.]</w:t>
      </w:r>
    </w:p>
    <w:p>
      <w:pPr>
        <w:pStyle w:val="Heading5"/>
        <w:spacing w:before="200"/>
        <w:rPr>
          <w:snapToGrid w:val="0"/>
        </w:rPr>
      </w:pPr>
      <w:bookmarkStart w:id="511" w:name="_Toc406492498"/>
      <w:bookmarkStart w:id="512" w:name="_Toc524795904"/>
      <w:r>
        <w:rPr>
          <w:rStyle w:val="CharSectno"/>
        </w:rPr>
        <w:t>51D</w:t>
      </w:r>
      <w:r>
        <w:t>.</w:t>
      </w:r>
      <w:r>
        <w:tab/>
        <w:t>Drug addicts, p</w:t>
      </w:r>
      <w:r>
        <w:rPr>
          <w:snapToGrid w:val="0"/>
        </w:rPr>
        <w:t>rescribing pharmacotherapies for treatment of addiction for</w:t>
      </w:r>
      <w:bookmarkEnd w:id="511"/>
      <w:bookmarkEnd w:id="512"/>
    </w:p>
    <w:p>
      <w:pPr>
        <w:pStyle w:val="Subsection"/>
        <w:spacing w:before="120"/>
        <w:rPr>
          <w:snapToGrid w:val="0"/>
        </w:rPr>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appointed as the authorised prescriber for the person; and</w:t>
      </w:r>
    </w:p>
    <w:p>
      <w:pPr>
        <w:pStyle w:val="Indenta"/>
        <w:spacing w:before="60"/>
      </w:pPr>
      <w:r>
        <w:tab/>
        <w:t>(c)</w:t>
      </w:r>
      <w:r>
        <w:tab/>
        <w:t>does so in accordance with that appointment.</w:t>
      </w:r>
    </w:p>
    <w:p>
      <w:pPr>
        <w:pStyle w:val="Subsection"/>
        <w:spacing w:before="120"/>
        <w:rPr>
          <w:snapToGrid w:val="0"/>
        </w:rPr>
      </w:pPr>
      <w:r>
        <w:rPr>
          <w:snapToGrid w:val="0"/>
        </w:rPr>
        <w:tab/>
        <w:t>(2)</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an authorised prescriber; and</w:t>
      </w:r>
    </w:p>
    <w:p>
      <w:pPr>
        <w:pStyle w:val="Indenta"/>
        <w:spacing w:before="60"/>
      </w:pPr>
      <w:r>
        <w:tab/>
        <w:t>(b)</w:t>
      </w:r>
      <w:r>
        <w:tab/>
        <w:t>is a member of the same medical practice as the authorised prescriber appointed for the person; and</w:t>
      </w:r>
    </w:p>
    <w:p>
      <w:pPr>
        <w:pStyle w:val="Indenta"/>
        <w:spacing w:before="60"/>
      </w:pPr>
      <w:r>
        <w:tab/>
        <w:t>(c)</w:t>
      </w:r>
      <w:r>
        <w:tab/>
        <w:t>has access to the medical records of the practice relating to the person; and</w:t>
      </w:r>
    </w:p>
    <w:p>
      <w:pPr>
        <w:pStyle w:val="Indenta"/>
        <w:spacing w:before="60"/>
      </w:pPr>
      <w:r>
        <w:tab/>
        <w:t>(d)</w:t>
      </w:r>
      <w:r>
        <w:tab/>
        <w:t>does so in accordance with the appointment of the authorised prescriber for the person.</w:t>
      </w:r>
    </w:p>
    <w:p>
      <w:pPr>
        <w:pStyle w:val="Subsection"/>
        <w:rPr>
          <w:snapToGrid w:val="0"/>
        </w:rPr>
      </w:pPr>
      <w:r>
        <w:rPr>
          <w:snapToGrid w:val="0"/>
        </w:rPr>
        <w:tab/>
        <w:t>(3)</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co</w:t>
      </w:r>
      <w:r>
        <w:noBreakHyphen/>
        <w:t>prescriber for the person; and</w:t>
      </w:r>
    </w:p>
    <w:p>
      <w:pPr>
        <w:pStyle w:val="Indenta"/>
        <w:spacing w:before="60"/>
      </w:pPr>
      <w:r>
        <w:tab/>
        <w:t>(b)</w:t>
      </w:r>
      <w:r>
        <w:tab/>
        <w:t xml:space="preserve">does so in accordance with — </w:t>
      </w:r>
    </w:p>
    <w:p>
      <w:pPr>
        <w:pStyle w:val="Indenti"/>
        <w:spacing w:before="60"/>
      </w:pPr>
      <w:r>
        <w:tab/>
        <w:t>(i)</w:t>
      </w:r>
      <w:r>
        <w:tab/>
        <w:t>his or her appointment as a co</w:t>
      </w:r>
      <w:r>
        <w:noBreakHyphen/>
        <w:t>prescriber; and</w:t>
      </w:r>
    </w:p>
    <w:p>
      <w:pPr>
        <w:pStyle w:val="Indenti"/>
        <w:spacing w:before="60"/>
      </w:pPr>
      <w:r>
        <w:tab/>
        <w:t>(ii)</w:t>
      </w:r>
      <w:r>
        <w:tab/>
        <w:t>the appointment of the authorised prescriber for the person.</w:t>
      </w:r>
    </w:p>
    <w:p>
      <w:pPr>
        <w:pStyle w:val="Subsection"/>
        <w:rPr>
          <w:snapToGrid w:val="0"/>
        </w:rPr>
      </w:pPr>
      <w:r>
        <w:rPr>
          <w:snapToGrid w:val="0"/>
        </w:rPr>
        <w:tab/>
        <w:t>(4)</w:t>
      </w:r>
      <w:r>
        <w:rPr>
          <w:snapToGrid w:val="0"/>
        </w:rPr>
        <w:tab/>
        <w:t>A medical practitioner</w:t>
      </w:r>
      <w:r>
        <w:t xml:space="preserve"> or nurse practitioner</w:t>
      </w:r>
      <w:r>
        <w:rPr>
          <w:snapToGrid w:val="0"/>
        </w:rPr>
        <w:t xml:space="preserve"> may prescribe a pharmacotherapy for the treatment of the drug addiction of a person who is a drug addict </w:t>
      </w:r>
      <w:r>
        <w:t>if the medical practitioner or nurse practitioner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60"/>
      </w:pPr>
      <w:r>
        <w:tab/>
        <w:t>(a)</w:t>
      </w:r>
      <w:r>
        <w:tab/>
        <w:t>under subregulation (3) — may not cover a period of more than 3 months; or</w:t>
      </w:r>
    </w:p>
    <w:p>
      <w:pPr>
        <w:pStyle w:val="Indenta"/>
        <w:spacing w:before="60"/>
      </w:pPr>
      <w:r>
        <w:tab/>
        <w:t>(b)</w:t>
      </w:r>
      <w:r>
        <w:tab/>
        <w:t>under subregulation (4) — may not cover a period of more than one month.</w:t>
      </w:r>
    </w:p>
    <w:p>
      <w:pPr>
        <w:pStyle w:val="Footnotesection"/>
      </w:pPr>
      <w:r>
        <w:tab/>
        <w:t>[Regulation 51D inserted in Gazette 21 Apr 2009 p. 1362</w:t>
      </w:r>
      <w:r>
        <w:noBreakHyphen/>
        <w:t>3; amended in Gazette 1 Jun 2012 p. 2321.]</w:t>
      </w:r>
    </w:p>
    <w:p>
      <w:pPr>
        <w:pStyle w:val="Heading5"/>
        <w:rPr>
          <w:snapToGrid w:val="0"/>
        </w:rPr>
      </w:pPr>
      <w:bookmarkStart w:id="513" w:name="_Toc406492499"/>
      <w:bookmarkStart w:id="514" w:name="_Toc524795905"/>
      <w:r>
        <w:rPr>
          <w:rStyle w:val="CharSectno"/>
        </w:rPr>
        <w:t>51DA</w:t>
      </w:r>
      <w:r>
        <w:t>.</w:t>
      </w:r>
      <w:r>
        <w:tab/>
        <w:t>Drug addicts in hospital, p</w:t>
      </w:r>
      <w:r>
        <w:rPr>
          <w:snapToGrid w:val="0"/>
        </w:rPr>
        <w:t>rescribing pharmacotherapies for treatment of addiction for</w:t>
      </w:r>
      <w:bookmarkEnd w:id="513"/>
      <w:bookmarkEnd w:id="514"/>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 amended in Gazette 1 Jun 2012 p. 2321.]</w:t>
      </w:r>
    </w:p>
    <w:p>
      <w:pPr>
        <w:pStyle w:val="Heading5"/>
        <w:rPr>
          <w:snapToGrid w:val="0"/>
        </w:rPr>
      </w:pPr>
      <w:bookmarkStart w:id="515" w:name="_Toc406492500"/>
      <w:bookmarkStart w:id="516" w:name="_Toc524795906"/>
      <w:r>
        <w:rPr>
          <w:rStyle w:val="CharSectno"/>
        </w:rPr>
        <w:t>51DB</w:t>
      </w:r>
      <w:r>
        <w:t>.</w:t>
      </w:r>
      <w:r>
        <w:tab/>
        <w:t>Drug addicts in custody, p</w:t>
      </w:r>
      <w:r>
        <w:rPr>
          <w:snapToGrid w:val="0"/>
        </w:rPr>
        <w:t>rescribing pharmacotherapies for treatment of addiction for</w:t>
      </w:r>
      <w:bookmarkEnd w:id="515"/>
      <w:bookmarkEnd w:id="516"/>
    </w:p>
    <w:p>
      <w:pPr>
        <w:pStyle w:val="Subsection"/>
      </w:pPr>
      <w:r>
        <w:rPr>
          <w:snapToGrid w:val="0"/>
        </w:rPr>
        <w:tab/>
        <w:t>(1)</w:t>
      </w:r>
      <w:r>
        <w:rPr>
          <w:snapToGrid w:val="0"/>
        </w:rPr>
        <w:tab/>
        <w:t>A medical practitioner</w:t>
      </w:r>
      <w:r>
        <w:t xml:space="preserve"> or nurse practitioner</w:t>
      </w:r>
      <w:r>
        <w:rPr>
          <w:snapToGrid w:val="0"/>
        </w:rPr>
        <w:t xml:space="preserve">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or nurse practitioner is satisfied that it is safe to prescribe a </w:t>
      </w:r>
      <w:r>
        <w:rPr>
          <w:snapToGrid w:val="0"/>
        </w:rPr>
        <w:t>pharmacotherapy for the person; and</w:t>
      </w:r>
    </w:p>
    <w:p>
      <w:pPr>
        <w:pStyle w:val="Indenta"/>
      </w:pPr>
      <w:r>
        <w:tab/>
        <w:t>(c)</w:t>
      </w:r>
      <w:r>
        <w:tab/>
        <w:t>the medical practitioner or nurse practitioner does so in accordance with the appointment of the authorised prescriber for the person.</w:t>
      </w:r>
    </w:p>
    <w:p>
      <w:pPr>
        <w:pStyle w:val="Subsection"/>
        <w:spacing w:before="120"/>
        <w:rPr>
          <w:snapToGrid w:val="0"/>
        </w:rPr>
      </w:pPr>
      <w:r>
        <w:tab/>
        <w:t>(2)</w:t>
      </w:r>
      <w:r>
        <w:tab/>
        <w:t xml:space="preserve">Subregulation (1) does not authorise the medical practitioner or nurse practitioner to prescribe a </w:t>
      </w:r>
      <w:r>
        <w:rPr>
          <w:snapToGrid w:val="0"/>
        </w:rPr>
        <w:t>pharmacotherapy unless it will be administered to the person while the person is in custody.</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51DB inserted in Gazette 21 Apr 2009 p. 1364; amended in Gazette 1 Jun 2012 p. 2321.]</w:t>
      </w:r>
    </w:p>
    <w:p>
      <w:pPr>
        <w:pStyle w:val="Heading5"/>
        <w:spacing w:before="200"/>
        <w:rPr>
          <w:snapToGrid w:val="0"/>
        </w:rPr>
      </w:pPr>
      <w:bookmarkStart w:id="517" w:name="_Toc406492501"/>
      <w:bookmarkStart w:id="518" w:name="_Toc524795907"/>
      <w:r>
        <w:rPr>
          <w:rStyle w:val="CharSectno"/>
        </w:rPr>
        <w:t>51DC</w:t>
      </w:r>
      <w:r>
        <w:t>.</w:t>
      </w:r>
      <w:r>
        <w:tab/>
        <w:t xml:space="preserve">Drug addicts, specialist prescribers may prescribe </w:t>
      </w:r>
      <w:r>
        <w:rPr>
          <w:snapToGrid w:val="0"/>
        </w:rPr>
        <w:t>pharmacotherapies for treatment of addiction for in some cases</w:t>
      </w:r>
      <w:bookmarkEnd w:id="517"/>
      <w:bookmarkEnd w:id="518"/>
    </w:p>
    <w:p>
      <w:pPr>
        <w:pStyle w:val="Subsection"/>
        <w:spacing w:before="120"/>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spacing w:before="60"/>
      </w:pPr>
      <w:r>
        <w:tab/>
        <w:t>(a)</w:t>
      </w:r>
      <w:r>
        <w:tab/>
        <w:t>an authorised prescriber is appointed for the person; and</w:t>
      </w:r>
    </w:p>
    <w:p>
      <w:pPr>
        <w:pStyle w:val="Indenta"/>
        <w:keepNext/>
        <w:spacing w:before="60"/>
        <w:rPr>
          <w:snapToGrid w:val="0"/>
        </w:rPr>
      </w:pPr>
      <w:r>
        <w:tab/>
        <w:t>(b)</w:t>
      </w:r>
      <w:r>
        <w:tab/>
        <w:t xml:space="preserve">the </w:t>
      </w:r>
      <w:r>
        <w:rPr>
          <w:snapToGrid w:val="0"/>
        </w:rPr>
        <w:t>specialist prescriber</w:t>
      </w:r>
      <w:r>
        <w:t xml:space="preserve"> — </w:t>
      </w:r>
    </w:p>
    <w:p>
      <w:pPr>
        <w:pStyle w:val="Indenti"/>
        <w:spacing w:before="60"/>
        <w:rPr>
          <w:snapToGrid w:val="0"/>
        </w:rPr>
      </w:pPr>
      <w:r>
        <w:tab/>
        <w:t>(i)</w:t>
      </w:r>
      <w:r>
        <w:tab/>
        <w:t xml:space="preserve">is satisfied that the person is unable to obtain a prescription for a </w:t>
      </w:r>
      <w:r>
        <w:rPr>
          <w:snapToGrid w:val="0"/>
        </w:rPr>
        <w:t>pharmacotherapy under regulation 51D, 51DA or 51DB; and</w:t>
      </w:r>
    </w:p>
    <w:p>
      <w:pPr>
        <w:pStyle w:val="Indenti"/>
        <w:spacing w:before="60"/>
      </w:pPr>
      <w:r>
        <w:tab/>
        <w:t>(ii)</w:t>
      </w:r>
      <w:r>
        <w:tab/>
        <w:t xml:space="preserve">is satisfied that it is safe to prescribe a </w:t>
      </w:r>
      <w:r>
        <w:rPr>
          <w:snapToGrid w:val="0"/>
        </w:rPr>
        <w:t>pharmacotherapy for the person</w:t>
      </w:r>
      <w:r>
        <w:t>; and</w:t>
      </w:r>
    </w:p>
    <w:p>
      <w:pPr>
        <w:pStyle w:val="Indenti"/>
        <w:spacing w:before="60"/>
      </w:pPr>
      <w:r>
        <w:tab/>
        <w:t>(iii)</w:t>
      </w:r>
      <w:r>
        <w:tab/>
        <w:t>does so in accordance with the appointment (whether or not it has ceased) of the authorised prescriber for the person.</w:t>
      </w:r>
    </w:p>
    <w:p>
      <w:pPr>
        <w:pStyle w:val="Subsection"/>
        <w:spacing w:before="120"/>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spacing w:before="120"/>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spacing w:before="80"/>
      </w:pPr>
      <w:r>
        <w:tab/>
        <w:t>[Regulation 51DC inserted in Gazette 21 Apr 2009 p. 1365]</w:t>
      </w:r>
    </w:p>
    <w:p>
      <w:pPr>
        <w:pStyle w:val="Heading5"/>
      </w:pPr>
      <w:bookmarkStart w:id="519" w:name="_Toc406492502"/>
      <w:bookmarkStart w:id="520" w:name="_Toc524795908"/>
      <w:r>
        <w:rPr>
          <w:rStyle w:val="CharSectno"/>
        </w:rPr>
        <w:t>51E</w:t>
      </w:r>
      <w:r>
        <w:t>.</w:t>
      </w:r>
      <w:r>
        <w:tab/>
        <w:t>Drug addicts, pharmacists may dispense drugs of addiction to</w:t>
      </w:r>
      <w:bookmarkEnd w:id="519"/>
      <w:bookmarkEnd w:id="520"/>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w:t>
      </w:r>
      <w:r>
        <w:noBreakHyphen/>
        <w:t>80.]</w:t>
      </w:r>
    </w:p>
    <w:p>
      <w:pPr>
        <w:pStyle w:val="Heading5"/>
      </w:pPr>
      <w:bookmarkStart w:id="521" w:name="_Toc406492503"/>
      <w:bookmarkStart w:id="522" w:name="_Toc524795909"/>
      <w:r>
        <w:rPr>
          <w:rStyle w:val="CharSectno"/>
        </w:rPr>
        <w:t>51EA</w:t>
      </w:r>
      <w:r>
        <w:t>.</w:t>
      </w:r>
      <w:r>
        <w:tab/>
        <w:t>Drug addicts, dispensing pharmacotherapies to at pharmacies</w:t>
      </w:r>
      <w:bookmarkEnd w:id="521"/>
      <w:bookmarkEnd w:id="522"/>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keepNext/>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w:t>
      </w:r>
      <w:r>
        <w:noBreakHyphen/>
        <w:t>80.]</w:t>
      </w:r>
    </w:p>
    <w:p>
      <w:pPr>
        <w:pStyle w:val="Heading4"/>
      </w:pPr>
      <w:bookmarkStart w:id="523" w:name="_Toc406084317"/>
      <w:bookmarkStart w:id="524" w:name="_Toc406492504"/>
      <w:bookmarkStart w:id="525" w:name="_Toc414629647"/>
      <w:bookmarkStart w:id="526" w:name="_Toc414629874"/>
      <w:bookmarkStart w:id="527" w:name="_Toc414871738"/>
      <w:bookmarkStart w:id="528" w:name="_Toc414873504"/>
      <w:bookmarkStart w:id="529" w:name="_Toc418582546"/>
      <w:bookmarkStart w:id="530" w:name="_Toc423426593"/>
      <w:bookmarkStart w:id="531" w:name="_Toc423426994"/>
      <w:bookmarkStart w:id="532" w:name="_Toc524795910"/>
      <w:r>
        <w:t>Subdivision 2A — Supply and prescription of Schedule 8 poisons to persons other than drug addicts</w:t>
      </w:r>
      <w:bookmarkEnd w:id="523"/>
      <w:bookmarkEnd w:id="524"/>
      <w:bookmarkEnd w:id="525"/>
      <w:bookmarkEnd w:id="526"/>
      <w:bookmarkEnd w:id="527"/>
      <w:bookmarkEnd w:id="528"/>
      <w:bookmarkEnd w:id="529"/>
      <w:bookmarkEnd w:id="530"/>
      <w:bookmarkEnd w:id="531"/>
      <w:bookmarkEnd w:id="532"/>
    </w:p>
    <w:p>
      <w:pPr>
        <w:pStyle w:val="Footnoteheading"/>
      </w:pPr>
      <w:r>
        <w:tab/>
        <w:t>[Heading inserted in Gazette 21 Apr 2009 p. 1366.]</w:t>
      </w:r>
    </w:p>
    <w:p>
      <w:pPr>
        <w:pStyle w:val="Heading5"/>
        <w:rPr>
          <w:snapToGrid w:val="0"/>
        </w:rPr>
      </w:pPr>
      <w:bookmarkStart w:id="533" w:name="_Toc406492505"/>
      <w:bookmarkStart w:id="534" w:name="_Toc524795911"/>
      <w:r>
        <w:rPr>
          <w:rStyle w:val="CharSectno"/>
        </w:rPr>
        <w:t>51F</w:t>
      </w:r>
      <w:r>
        <w:rPr>
          <w:snapToGrid w:val="0"/>
        </w:rPr>
        <w:t>.</w:t>
      </w:r>
      <w:r>
        <w:rPr>
          <w:snapToGrid w:val="0"/>
        </w:rPr>
        <w:tab/>
        <w:t xml:space="preserve">Sch. 8 poisons not to be prescribed to be used for over 60 days unless authorised by </w:t>
      </w:r>
      <w:r>
        <w:t>CEO</w:t>
      </w:r>
      <w:bookmarkEnd w:id="533"/>
      <w:bookmarkEnd w:id="534"/>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w:t>
      </w:r>
      <w:r>
        <w:t xml:space="preserve"> or nurse practitioner</w:t>
      </w:r>
      <w:r>
        <w:rPr>
          <w:snapToGrid w:val="0"/>
        </w:rPr>
        <w:t xml:space="preserve">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w:t>
      </w:r>
      <w:r>
        <w:t xml:space="preserve"> or nurse practitioner</w:t>
      </w:r>
      <w:r>
        <w:rPr>
          <w:snapToGrid w:val="0"/>
        </w:rPr>
        <w:t xml:space="preserve">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rPr>
          <w:snapToGrid w:val="0"/>
        </w:rPr>
      </w:pPr>
      <w:r>
        <w:rPr>
          <w:snapToGrid w:val="0"/>
        </w:rPr>
        <w:tab/>
        <w:t>(a)</w:t>
      </w:r>
      <w:r>
        <w:rPr>
          <w:snapToGrid w:val="0"/>
        </w:rPr>
        <w:tab/>
        <w:t>the medical practitioner</w:t>
      </w:r>
      <w:r>
        <w:t xml:space="preserve"> or nurse practitioner</w:t>
      </w:r>
      <w:r>
        <w:rPr>
          <w:snapToGrid w:val="0"/>
        </w:rPr>
        <w:t xml:space="preserve"> has first obtained written authorisation under this regulation to do so from the</w:t>
      </w:r>
      <w:r>
        <w:t xml:space="preserve"> CEO</w:t>
      </w:r>
      <w:r>
        <w:rPr>
          <w:snapToGrid w:val="0"/>
        </w:rPr>
        <w:t>; or</w:t>
      </w:r>
    </w:p>
    <w:p>
      <w:pPr>
        <w:pStyle w:val="Indenta"/>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Notwithstanding any authorisation referred to in subregulation (1) or (2) a medical practitioner</w:t>
      </w:r>
      <w:r>
        <w:t xml:space="preserve"> or nurse practitioner</w:t>
      </w:r>
      <w:r>
        <w:rPr>
          <w:snapToGrid w:val="0"/>
        </w:rPr>
        <w:t xml:space="preserve">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a specified</w:t>
      </w:r>
      <w:r>
        <w:t xml:space="preserve"> medical practitioner or nurse practitioner;</w:t>
      </w:r>
    </w:p>
    <w:p>
      <w:pPr>
        <w:pStyle w:val="Indenta"/>
        <w:rPr>
          <w:snapToGrid w:val="0"/>
        </w:rPr>
      </w:pPr>
      <w:r>
        <w:rPr>
          <w:snapToGrid w:val="0"/>
        </w:rPr>
        <w:tab/>
        <w:t>(b)</w:t>
      </w:r>
      <w:r>
        <w:rPr>
          <w:snapToGrid w:val="0"/>
        </w:rPr>
        <w:tab/>
        <w:t>that only a specified poison included in Schedule 8 be prescribed or used for treatment;</w:t>
      </w:r>
    </w:p>
    <w:p>
      <w:pPr>
        <w:pStyle w:val="Indenta"/>
        <w:rPr>
          <w:snapToGrid w:val="0"/>
        </w:rPr>
      </w:pPr>
      <w:r>
        <w:rPr>
          <w:snapToGrid w:val="0"/>
        </w:rPr>
        <w:tab/>
        <w:t>(c)</w:t>
      </w:r>
      <w:r>
        <w:rPr>
          <w:snapToGrid w:val="0"/>
        </w:rPr>
        <w:tab/>
        <w:t>that the type of the poison included in Schedule 8 specified be of the type specified;</w:t>
      </w:r>
    </w:p>
    <w:p>
      <w:pPr>
        <w:pStyle w:val="Indenta"/>
        <w:rPr>
          <w:snapToGrid w:val="0"/>
        </w:rPr>
      </w:pPr>
      <w:r>
        <w:rPr>
          <w:snapToGrid w:val="0"/>
        </w:rPr>
        <w:tab/>
        <w:t>(d)</w:t>
      </w:r>
      <w:r>
        <w:rPr>
          <w:snapToGrid w:val="0"/>
        </w:rPr>
        <w:tab/>
        <w:t>that the amount to be prescribed or used for treatment shall not exceed the amount specified;</w:t>
      </w:r>
    </w:p>
    <w:p>
      <w:pPr>
        <w:pStyle w:val="Indenta"/>
        <w:keepNext/>
        <w:rPr>
          <w:snapToGrid w:val="0"/>
        </w:rPr>
      </w:pPr>
      <w:r>
        <w:rPr>
          <w:snapToGrid w:val="0"/>
        </w:rPr>
        <w:tab/>
        <w:t>(e)</w:t>
      </w:r>
      <w:r>
        <w:rPr>
          <w:snapToGrid w:val="0"/>
        </w:rPr>
        <w:tab/>
        <w:t>that the amount to be prescribed or used on any one day shall not exceed the amount specified;</w:t>
      </w:r>
    </w:p>
    <w:p>
      <w:pPr>
        <w:pStyle w:val="Indenta"/>
        <w:rPr>
          <w:snapToGrid w:val="0"/>
        </w:rPr>
      </w:pPr>
      <w:r>
        <w:rPr>
          <w:snapToGrid w:val="0"/>
        </w:rPr>
        <w:tab/>
        <w:t>(f)</w:t>
      </w:r>
      <w:r>
        <w:rPr>
          <w:snapToGrid w:val="0"/>
        </w:rPr>
        <w:tab/>
        <w:t>that the concentration to be prescribed shall not exceed the concentration specified;</w:t>
      </w:r>
    </w:p>
    <w:p>
      <w:pPr>
        <w:pStyle w:val="Indenta"/>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rPr>
          <w:snapToGrid w:val="0"/>
        </w:rPr>
      </w:pPr>
      <w:r>
        <w:rPr>
          <w:snapToGrid w:val="0"/>
        </w:rPr>
        <w:tab/>
        <w:t>(h)</w:t>
      </w:r>
      <w:r>
        <w:rPr>
          <w:snapToGrid w:val="0"/>
        </w:rPr>
        <w:tab/>
        <w:t>that the prescription be supplied at the pharmacy specified;</w:t>
      </w:r>
    </w:p>
    <w:p>
      <w:pPr>
        <w:pStyle w:val="Indenta"/>
        <w:rPr>
          <w:snapToGrid w:val="0"/>
        </w:rPr>
      </w:pPr>
      <w:r>
        <w:rPr>
          <w:snapToGrid w:val="0"/>
        </w:rPr>
        <w:tab/>
        <w:t>(i)</w:t>
      </w:r>
      <w:r>
        <w:rPr>
          <w:snapToGrid w:val="0"/>
        </w:rPr>
        <w:tab/>
        <w:t>that the amount dispensed on a single prescription not exceed such amount as is specified;</w:t>
      </w:r>
    </w:p>
    <w:p>
      <w:pPr>
        <w:pStyle w:val="Indenta"/>
        <w:rPr>
          <w:snapToGrid w:val="0"/>
        </w:rPr>
      </w:pPr>
      <w:r>
        <w:rPr>
          <w:snapToGrid w:val="0"/>
        </w:rPr>
        <w:tab/>
        <w:t>(j)</w:t>
      </w:r>
      <w:r>
        <w:rPr>
          <w:snapToGrid w:val="0"/>
        </w:rPr>
        <w:tab/>
        <w:t>that the amount that may be supplied on any one day shall not exceed such amount as is specified.</w:t>
      </w:r>
    </w:p>
    <w:p>
      <w:pPr>
        <w:pStyle w:val="Subsection"/>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rPr>
          <w:snapToGrid w:val="0"/>
        </w:rPr>
      </w:pPr>
      <w:r>
        <w:rPr>
          <w:snapToGrid w:val="0"/>
        </w:rPr>
        <w:tab/>
        <w:t>(6)</w:t>
      </w:r>
      <w:r>
        <w:rPr>
          <w:snapToGrid w:val="0"/>
        </w:rPr>
        <w:tab/>
        <w:t xml:space="preserve">A medical practitioner </w:t>
      </w:r>
      <w:r>
        <w:t>or nurse practitioner</w:t>
      </w:r>
      <w:r>
        <w:rPr>
          <w:snapToGrid w:val="0"/>
        </w:rPr>
        <w:t xml:space="preserve">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14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spacing w:before="80"/>
      </w:pPr>
      <w:r>
        <w:tab/>
        <w:t>[Regulation 51F inserted in Gazette 3 Feb 1995 p. 342</w:t>
      </w:r>
      <w:r>
        <w:noBreakHyphen/>
        <w:t>3; amended in Gazette 19 Mar 1996 p. 1230</w:t>
      </w:r>
      <w:r>
        <w:noBreakHyphen/>
        <w:t>1; 11 Apr 1997 p. 1833; 16 Nov 2001 p. 5985; 15 Dec 2006 p. 5630 and 5631; 1 Oct 2010 p. 5079</w:t>
      </w:r>
      <w:r>
        <w:noBreakHyphen/>
        <w:t>80; 1 Jun 2012 p. 2321-2.]</w:t>
      </w:r>
    </w:p>
    <w:p>
      <w:pPr>
        <w:pStyle w:val="Heading4"/>
      </w:pPr>
      <w:bookmarkStart w:id="535" w:name="_Toc406084319"/>
      <w:bookmarkStart w:id="536" w:name="_Toc406492506"/>
      <w:bookmarkStart w:id="537" w:name="_Toc414629649"/>
      <w:bookmarkStart w:id="538" w:name="_Toc414629876"/>
      <w:bookmarkStart w:id="539" w:name="_Toc414871740"/>
      <w:bookmarkStart w:id="540" w:name="_Toc414873506"/>
      <w:bookmarkStart w:id="541" w:name="_Toc418582548"/>
      <w:bookmarkStart w:id="542" w:name="_Toc423426595"/>
      <w:bookmarkStart w:id="543" w:name="_Toc423426996"/>
      <w:bookmarkStart w:id="544" w:name="_Toc524795912"/>
      <w:r>
        <w:t xml:space="preserve">Subdivision 3 — Supply and prescription of </w:t>
      </w:r>
      <w:r>
        <w:rPr>
          <w:bCs/>
        </w:rPr>
        <w:t>stimulants</w:t>
      </w:r>
      <w:bookmarkEnd w:id="535"/>
      <w:bookmarkEnd w:id="536"/>
      <w:bookmarkEnd w:id="537"/>
      <w:bookmarkEnd w:id="538"/>
      <w:bookmarkEnd w:id="539"/>
      <w:bookmarkEnd w:id="540"/>
      <w:bookmarkEnd w:id="541"/>
      <w:bookmarkEnd w:id="542"/>
      <w:bookmarkEnd w:id="543"/>
      <w:bookmarkEnd w:id="544"/>
    </w:p>
    <w:p>
      <w:pPr>
        <w:pStyle w:val="Footnoteheading"/>
        <w:spacing w:before="80"/>
      </w:pPr>
      <w:r>
        <w:tab/>
        <w:t>[Heading inserted in Gazette 12 Aug 2003 p. 3664; amended in Gazette 15 Sep 2009 p. 3573.]</w:t>
      </w:r>
    </w:p>
    <w:p>
      <w:pPr>
        <w:pStyle w:val="Heading5"/>
      </w:pPr>
      <w:bookmarkStart w:id="545" w:name="_Toc406492507"/>
      <w:bookmarkStart w:id="546" w:name="_Toc524795913"/>
      <w:r>
        <w:rPr>
          <w:rStyle w:val="CharSectno"/>
        </w:rPr>
        <w:t>51FA</w:t>
      </w:r>
      <w:r>
        <w:t>.</w:t>
      </w:r>
      <w:r>
        <w:tab/>
        <w:t>Terms used</w:t>
      </w:r>
      <w:bookmarkEnd w:id="545"/>
      <w:bookmarkEnd w:id="546"/>
    </w:p>
    <w:p>
      <w:pPr>
        <w:pStyle w:val="Subsection"/>
        <w:spacing w:before="140"/>
      </w:pPr>
      <w:r>
        <w:tab/>
      </w:r>
      <w:r>
        <w:tab/>
        <w:t>In this Subdivision —</w:t>
      </w:r>
    </w:p>
    <w:p>
      <w:pPr>
        <w:pStyle w:val="Defstart"/>
        <w:spacing w:before="70"/>
      </w:pPr>
      <w:r>
        <w:rPr>
          <w:b/>
        </w:rPr>
        <w:tab/>
      </w:r>
      <w:r>
        <w:rPr>
          <w:rStyle w:val="CharDefText"/>
        </w:rPr>
        <w:t>approved clinic</w:t>
      </w:r>
      <w:r>
        <w:t xml:space="preserve"> means a clinic approved under regulation 51FJ;</w:t>
      </w:r>
    </w:p>
    <w:p>
      <w:pPr>
        <w:pStyle w:val="Defstart"/>
        <w:spacing w:before="7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or nurse practitioner who is a co</w:t>
      </w:r>
      <w:r>
        <w:noBreakHyphen/>
        <w:t>prescriber for the patient under regulation 51FH(5);</w:t>
      </w:r>
    </w:p>
    <w:p>
      <w:pPr>
        <w:pStyle w:val="Defstart"/>
        <w:spacing w:before="7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7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70"/>
      </w:pPr>
      <w:r>
        <w:rPr>
          <w:b/>
        </w:rPr>
        <w:tab/>
      </w:r>
      <w:r>
        <w:rPr>
          <w:rStyle w:val="CharDefText"/>
        </w:rPr>
        <w:t>current prescriber</w:t>
      </w:r>
      <w:r>
        <w:t>, in relation to a patient, means the SPN practitioner who is the current prescriber for the patient under regulation 51FF;</w:t>
      </w:r>
    </w:p>
    <w:p>
      <w:pPr>
        <w:pStyle w:val="Defstart"/>
        <w:spacing w:before="7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70"/>
      </w:pPr>
      <w:r>
        <w:rPr>
          <w:b/>
        </w:rPr>
        <w:tab/>
      </w:r>
      <w:r>
        <w:rPr>
          <w:rStyle w:val="CharDefText"/>
        </w:rPr>
        <w:t>nominated co</w:t>
      </w:r>
      <w:r>
        <w:rPr>
          <w:rStyle w:val="CharDefText"/>
        </w:rPr>
        <w:noBreakHyphen/>
        <w:t>prescriber</w:t>
      </w:r>
      <w:r>
        <w:rPr>
          <w:bCs/>
        </w:rPr>
        <w:t>, in relation to a patient,</w:t>
      </w:r>
      <w:r>
        <w:t xml:space="preserve"> means a medical practitioner or nurse practitioner who is a nominated co</w:t>
      </w:r>
      <w:r>
        <w:noBreakHyphen/>
        <w:t>prescriber for the patient under regulation 51FH;</w:t>
      </w:r>
    </w:p>
    <w:p>
      <w:pPr>
        <w:pStyle w:val="Defstart"/>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pPr>
      <w:r>
        <w:rPr>
          <w:b/>
        </w:rPr>
        <w:tab/>
      </w:r>
      <w:r>
        <w:rPr>
          <w:rStyle w:val="CharDefText"/>
        </w:rPr>
        <w:t>Stimulant Prescribing Code</w:t>
      </w:r>
      <w:r>
        <w:t xml:space="preserve"> means the “Clinical criteria for the prescribing of stimulant medicines in </w:t>
      </w:r>
      <w:smartTag w:uri="urn:schemas-microsoft-com:office:smarttags" w:element="place">
        <w:smartTag w:uri="urn:schemas-microsoft-com:office:smarttags" w:element="State">
          <w:r>
            <w:t>Western Australia</w:t>
          </w:r>
        </w:smartTag>
      </w:smartTag>
      <w:r>
        <w:t>” published by the CEO from time to time.</w:t>
      </w:r>
    </w:p>
    <w:p>
      <w:pPr>
        <w:pStyle w:val="Footnotesection"/>
        <w:spacing w:before="100"/>
      </w:pPr>
      <w:r>
        <w:tab/>
        <w:t>[Regulation 51FA inserted in Gazette 15 Sep 2009 p. 3573</w:t>
      </w:r>
      <w:r>
        <w:noBreakHyphen/>
        <w:t>4; amended in Gazette 1 Jun 2012 p. 2322.]</w:t>
      </w:r>
    </w:p>
    <w:p>
      <w:pPr>
        <w:pStyle w:val="Heading5"/>
      </w:pPr>
      <w:bookmarkStart w:id="547" w:name="_Toc406492508"/>
      <w:bookmarkStart w:id="548" w:name="_Toc524795914"/>
      <w:r>
        <w:rPr>
          <w:rStyle w:val="CharSectno"/>
        </w:rPr>
        <w:t>51FB</w:t>
      </w:r>
      <w:r>
        <w:t>.</w:t>
      </w:r>
      <w:r>
        <w:tab/>
        <w:t>Stimulants, who may supply or prescribe</w:t>
      </w:r>
      <w:bookmarkEnd w:id="547"/>
      <w:bookmarkEnd w:id="548"/>
    </w:p>
    <w:p>
      <w:pPr>
        <w:pStyle w:val="Subsection"/>
      </w:pPr>
      <w:r>
        <w:tab/>
        <w:t>(1)</w:t>
      </w:r>
      <w:r>
        <w:tab/>
        <w:t xml:space="preserve">A person must not supply or prescribe a stimulant unless — </w:t>
      </w:r>
    </w:p>
    <w:p>
      <w:pPr>
        <w:pStyle w:val="Indenta"/>
        <w:spacing w:before="60"/>
      </w:pPr>
      <w:r>
        <w:tab/>
        <w:t>(a)</w:t>
      </w:r>
      <w:r>
        <w:tab/>
        <w:t xml:space="preserve">the person — </w:t>
      </w:r>
    </w:p>
    <w:p>
      <w:pPr>
        <w:pStyle w:val="Indenti"/>
        <w:spacing w:before="60"/>
      </w:pPr>
      <w:r>
        <w:tab/>
        <w:t>(i)</w:t>
      </w:r>
      <w:r>
        <w:tab/>
        <w:t>is a medical practitioner or a nurse practitioner; and</w:t>
      </w:r>
    </w:p>
    <w:p>
      <w:pPr>
        <w:pStyle w:val="Indenti"/>
        <w:spacing w:before="60"/>
      </w:pPr>
      <w:r>
        <w:tab/>
        <w:t>(ii)</w:t>
      </w:r>
      <w:r>
        <w:tab/>
        <w:t xml:space="preserve">one of subregulations (2) to (5) applies; </w:t>
      </w:r>
    </w:p>
    <w:p>
      <w:pPr>
        <w:pStyle w:val="Indenta"/>
        <w:spacing w:before="60"/>
      </w:pPr>
      <w:r>
        <w:tab/>
      </w:r>
      <w:r>
        <w:tab/>
        <w:t>or</w:t>
      </w:r>
    </w:p>
    <w:p>
      <w:pPr>
        <w:pStyle w:val="Indenta"/>
        <w:keepNext/>
        <w:spacing w:before="60"/>
      </w:pPr>
      <w:r>
        <w:tab/>
        <w:t>(b)</w:t>
      </w:r>
      <w:r>
        <w:tab/>
        <w:t xml:space="preserve">the person — </w:t>
      </w:r>
    </w:p>
    <w:p>
      <w:pPr>
        <w:pStyle w:val="Indenti"/>
        <w:spacing w:before="60"/>
      </w:pPr>
      <w:r>
        <w:tab/>
        <w:t>(i)</w:t>
      </w:r>
      <w:r>
        <w:tab/>
        <w:t>is a pharmacist, or an assistant under the direct personal supervision of a pharmacist; and</w:t>
      </w:r>
    </w:p>
    <w:p>
      <w:pPr>
        <w:pStyle w:val="Indenti"/>
        <w:spacing w:before="60"/>
      </w:pPr>
      <w:r>
        <w:tab/>
        <w:t>(ii)</w:t>
      </w:r>
      <w:r>
        <w:tab/>
        <w:t>dispenses the stimulant in accordance with regulation 52.</w:t>
      </w:r>
    </w:p>
    <w:p>
      <w:pPr>
        <w:pStyle w:val="Subsection"/>
        <w:spacing w:before="150"/>
      </w:pPr>
      <w:r>
        <w:tab/>
        <w:t>(2)</w:t>
      </w:r>
      <w:r>
        <w:tab/>
        <w:t>This subregulation applies if the person, being a medical practitioner —</w:t>
      </w:r>
    </w:p>
    <w:p>
      <w:pPr>
        <w:pStyle w:val="Indenta"/>
        <w:spacing w:before="60"/>
      </w:pPr>
      <w:r>
        <w:tab/>
        <w:t>(a)</w:t>
      </w:r>
      <w:r>
        <w:tab/>
        <w:t>is authorised under regulation 51FG as an SPN practitioner; and</w:t>
      </w:r>
    </w:p>
    <w:p>
      <w:pPr>
        <w:pStyle w:val="Indenta"/>
        <w:spacing w:before="60"/>
      </w:pPr>
      <w:r>
        <w:tab/>
        <w:t>(b)</w:t>
      </w:r>
      <w:r>
        <w:tab/>
        <w:t>supplies or prescribes the stimulant in accordance with that authorisation.</w:t>
      </w:r>
    </w:p>
    <w:p>
      <w:pPr>
        <w:pStyle w:val="Subsection"/>
        <w:spacing w:before="150"/>
      </w:pPr>
      <w:r>
        <w:tab/>
        <w:t>(3)</w:t>
      </w:r>
      <w:r>
        <w:tab/>
        <w:t>This subregulation applies if the medical practitioner or nurse practitioner —</w:t>
      </w:r>
    </w:p>
    <w:p>
      <w:pPr>
        <w:pStyle w:val="Indenta"/>
        <w:spacing w:before="60"/>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or nurse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keepNext/>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or nurse practitioner’s practice is, or includes, treating persons at the hospital, prison or detention centre; and</w:t>
      </w:r>
    </w:p>
    <w:p>
      <w:pPr>
        <w:pStyle w:val="Indenta"/>
      </w:pPr>
      <w:r>
        <w:tab/>
        <w:t>(d)</w:t>
      </w:r>
      <w:r>
        <w:tab/>
        <w:t>the current prescriber or a current clinic prescriber has agreed with the medical practitioner or nurse practitioner that the patient should continue to be supplied or prescribed the stimulant; and</w:t>
      </w:r>
    </w:p>
    <w:p>
      <w:pPr>
        <w:pStyle w:val="Indenta"/>
      </w:pPr>
      <w:r>
        <w:tab/>
        <w:t>(e)</w:t>
      </w:r>
      <w:r>
        <w:tab/>
        <w:t>the medical practitioner or nurse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or nurse practitioner first supplies or prescribed stimulants to or for the patient. </w:t>
      </w:r>
    </w:p>
    <w:p>
      <w:pPr>
        <w:pStyle w:val="Footnotesection"/>
        <w:spacing w:before="100"/>
      </w:pPr>
      <w:r>
        <w:tab/>
        <w:t>[Regulation 51FB inserted in Gazette 15 Sep 2009 p. 3574</w:t>
      </w:r>
      <w:r>
        <w:noBreakHyphen/>
        <w:t>5; amended in Gazette 1 Oct 2010 p. 5079</w:t>
      </w:r>
      <w:r>
        <w:noBreakHyphen/>
        <w:t>80; 1 Jun 2012 p. 2322</w:t>
      </w:r>
      <w:r>
        <w:noBreakHyphen/>
        <w:t>3.]</w:t>
      </w:r>
    </w:p>
    <w:p>
      <w:pPr>
        <w:pStyle w:val="Heading5"/>
        <w:spacing w:before="200"/>
      </w:pPr>
      <w:bookmarkStart w:id="549" w:name="_Toc406492509"/>
      <w:bookmarkStart w:id="550" w:name="_Toc524795915"/>
      <w:r>
        <w:rPr>
          <w:rStyle w:val="CharSectno"/>
        </w:rPr>
        <w:t>51FC</w:t>
      </w:r>
      <w:r>
        <w:t>.</w:t>
      </w:r>
      <w:r>
        <w:tab/>
        <w:t>Stimulants, manner of supplying or prescribing</w:t>
      </w:r>
      <w:bookmarkEnd w:id="549"/>
      <w:bookmarkEnd w:id="550"/>
    </w:p>
    <w:p>
      <w:pPr>
        <w:pStyle w:val="Subsection"/>
        <w:spacing w:before="140"/>
      </w:pPr>
      <w:r>
        <w:tab/>
        <w:t>(1)</w:t>
      </w:r>
      <w:r>
        <w:tab/>
        <w:t>A medical practitioner or nurse practitioner must not supply or prescribe a stimulant unless he or she does so —</w:t>
      </w:r>
    </w:p>
    <w:p>
      <w:pPr>
        <w:pStyle w:val="Indenta"/>
        <w:spacing w:before="60"/>
      </w:pPr>
      <w:r>
        <w:tab/>
        <w:t>(a)</w:t>
      </w:r>
      <w:r>
        <w:tab/>
        <w:t>in accordance with the Stimulant Prescribing Code; or</w:t>
      </w:r>
    </w:p>
    <w:p>
      <w:pPr>
        <w:pStyle w:val="Indenta"/>
        <w:spacing w:before="60"/>
      </w:pPr>
      <w:r>
        <w:tab/>
        <w:t>(b)</w:t>
      </w:r>
      <w:r>
        <w:tab/>
        <w:t>in accordance with an authorisation granted under subregulation (2) or (4).</w:t>
      </w:r>
    </w:p>
    <w:p>
      <w:pPr>
        <w:pStyle w:val="Subsection"/>
        <w:spacing w:before="140"/>
      </w:pPr>
      <w:r>
        <w:tab/>
        <w:t>(2)</w:t>
      </w:r>
      <w:r>
        <w:tab/>
        <w:t>The CEO may authorise an SPN practitioner to supply or prescribe a stimulant to or for a particular patient other than in accordance with the Stimulant Prescribing Code.</w:t>
      </w:r>
    </w:p>
    <w:p>
      <w:pPr>
        <w:pStyle w:val="Subsection"/>
        <w:spacing w:before="140"/>
      </w:pPr>
      <w:r>
        <w:tab/>
        <w:t>(3)</w:t>
      </w:r>
      <w:r>
        <w:tab/>
        <w:t>An application for an authorisation under subregulation (2) must be made to the CEO in a form approved by the CEO.</w:t>
      </w:r>
    </w:p>
    <w:p>
      <w:pPr>
        <w:pStyle w:val="Subsection"/>
        <w:spacing w:before="140"/>
      </w:pPr>
      <w:r>
        <w:tab/>
        <w:t>(4)</w:t>
      </w:r>
      <w:r>
        <w:tab/>
        <w:t>The CEO may, when authorising a medical practitioner or nurse practitioner under regulation 51FG(3), also authorise that practitioner to supply or prescribe the stimulant other than in accordance with the Stimulant Prescribing Code.</w:t>
      </w:r>
    </w:p>
    <w:p>
      <w:pPr>
        <w:pStyle w:val="Subsection"/>
        <w:spacing w:before="140"/>
      </w:pPr>
      <w:r>
        <w:tab/>
        <w:t>(5)</w:t>
      </w:r>
      <w:r>
        <w:tab/>
        <w:t>The CEO must not grant an authorisation under subregulation (2) or (4) unless satisfied that there are good medical grounds for doing so.</w:t>
      </w:r>
    </w:p>
    <w:p>
      <w:pPr>
        <w:pStyle w:val="Subsection"/>
        <w:spacing w:before="140"/>
      </w:pPr>
      <w:r>
        <w:tab/>
        <w:t>(6)</w:t>
      </w:r>
      <w:r>
        <w:tab/>
        <w:t>Subject to subregulation (5), the CEO may grant, or refuse to grant, an authorisation under subregulation (2) or (4) as the CEO thinks fit.</w:t>
      </w:r>
    </w:p>
    <w:p>
      <w:pPr>
        <w:pStyle w:val="Subsection"/>
        <w:spacing w:before="140"/>
      </w:pPr>
      <w:r>
        <w:tab/>
        <w:t>(7)</w:t>
      </w:r>
      <w:r>
        <w:tab/>
        <w:t>The CEO may grant an authorisation under subregulation (2) or (4) on any terms and conditions the CEO thinks fit.</w:t>
      </w:r>
    </w:p>
    <w:p>
      <w:pPr>
        <w:pStyle w:val="Subsection"/>
        <w:spacing w:before="140"/>
      </w:pPr>
      <w:r>
        <w:tab/>
        <w:t>(8)</w:t>
      </w:r>
      <w:r>
        <w:tab/>
        <w:t>An authorisation granted under subregulation (2) extends to any co</w:t>
      </w:r>
      <w:r>
        <w:noBreakHyphen/>
        <w:t>prescriber for the patient who is named in the authorisation.</w:t>
      </w:r>
    </w:p>
    <w:p>
      <w:pPr>
        <w:pStyle w:val="Subsection"/>
      </w:pPr>
      <w:r>
        <w:tab/>
        <w:t>(9)</w:t>
      </w:r>
      <w:r>
        <w:tab/>
        <w:t>The CEO may vary or revoke an authorisation granted under subregulation (2) or (4) at any time by giving written notice to the medical practitioner or nurse practitioner.</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 amended in Gazette 1 Jun 2012 p. 2323.]</w:t>
      </w:r>
    </w:p>
    <w:p>
      <w:pPr>
        <w:pStyle w:val="Heading5"/>
      </w:pPr>
      <w:bookmarkStart w:id="551" w:name="_Toc406492510"/>
      <w:bookmarkStart w:id="552" w:name="_Toc524795916"/>
      <w:r>
        <w:rPr>
          <w:rStyle w:val="CharSectno"/>
        </w:rPr>
        <w:t>51FD</w:t>
      </w:r>
      <w:r>
        <w:t>.</w:t>
      </w:r>
      <w:r>
        <w:tab/>
        <w:t>CEO may order supply etc. of stimulant to patient to be terminated or varied</w:t>
      </w:r>
      <w:bookmarkEnd w:id="551"/>
      <w:bookmarkEnd w:id="552"/>
    </w:p>
    <w:p>
      <w:pPr>
        <w:pStyle w:val="Subsection"/>
        <w:spacing w:before="150"/>
      </w:pPr>
      <w:r>
        <w:tab/>
        <w:t>(1)</w:t>
      </w:r>
      <w:r>
        <w:tab/>
        <w:t>If a stimulant is being supplied or prescribed to or for a patient the CEO may, by giving notice in accordance with subregulation (2), order that the supply or prescription be terminated or varied.</w:t>
      </w:r>
    </w:p>
    <w:p>
      <w:pPr>
        <w:pStyle w:val="Subsection"/>
        <w:spacing w:before="150"/>
      </w:pPr>
      <w:r>
        <w:tab/>
        <w:t>(2)</w:t>
      </w:r>
      <w:r>
        <w:tab/>
        <w:t>Notice of an order must be given in writing —</w:t>
      </w:r>
    </w:p>
    <w:p>
      <w:pPr>
        <w:pStyle w:val="Indenta"/>
        <w:spacing w:before="60"/>
      </w:pPr>
      <w:r>
        <w:tab/>
        <w:t>(a)</w:t>
      </w:r>
      <w:r>
        <w:tab/>
        <w:t>if the patient has a current prescriber — to that prescriber; or</w:t>
      </w:r>
    </w:p>
    <w:p>
      <w:pPr>
        <w:pStyle w:val="Indenta"/>
        <w:spacing w:before="60"/>
      </w:pPr>
      <w:r>
        <w:tab/>
        <w:t>(b)</w:t>
      </w:r>
      <w:r>
        <w:tab/>
        <w:t>if the patient has a current clinic — to the manager of that clinic; or</w:t>
      </w:r>
    </w:p>
    <w:p>
      <w:pPr>
        <w:pStyle w:val="Indenta"/>
        <w:spacing w:before="60"/>
      </w:pPr>
      <w:r>
        <w:tab/>
        <w:t>(c)</w:t>
      </w:r>
      <w:r>
        <w:tab/>
        <w:t>if the stimulant is being prescribed by a medical practitioner or nurse practitioner authorised under regulation 51FG(3) — to that practitioner.</w:t>
      </w:r>
    </w:p>
    <w:p>
      <w:pPr>
        <w:pStyle w:val="Subsection"/>
      </w:pPr>
      <w:r>
        <w:tab/>
        <w:t>(3)</w:t>
      </w:r>
      <w:r>
        <w:tab/>
        <w:t>A person who is given a notice under subregulation (2) must give a copy of it —</w:t>
      </w:r>
    </w:p>
    <w:p>
      <w:pPr>
        <w:pStyle w:val="Indenta"/>
        <w:spacing w:before="60"/>
      </w:pPr>
      <w:r>
        <w:tab/>
        <w:t>(a)</w:t>
      </w:r>
      <w:r>
        <w:tab/>
        <w:t>to any nominated co</w:t>
      </w:r>
      <w:r>
        <w:noBreakHyphen/>
        <w:t>prescriber for the patient; and</w:t>
      </w:r>
    </w:p>
    <w:p>
      <w:pPr>
        <w:pStyle w:val="Indenta"/>
        <w:spacing w:before="60"/>
      </w:pPr>
      <w:r>
        <w:tab/>
        <w:t>(b)</w:t>
      </w:r>
      <w:r>
        <w:tab/>
        <w:t>if the patient is being treated by a medical practitioner or nurse practitioner as permitted under regulation 51FB(5) — to that practitioner.</w:t>
      </w:r>
    </w:p>
    <w:p>
      <w:pPr>
        <w:pStyle w:val="Subsection"/>
      </w:pPr>
      <w:r>
        <w:tab/>
        <w:t>(4)</w:t>
      </w:r>
      <w:r>
        <w:tab/>
        <w:t>A medical practitioner or nurse practitioner must not supply or prescribe a stimulant in contravention of an order made under subregulation (1).</w:t>
      </w:r>
    </w:p>
    <w:p>
      <w:pPr>
        <w:pStyle w:val="Footnotesection"/>
      </w:pPr>
      <w:r>
        <w:tab/>
        <w:t>[Regulation 51FD inserted in Gazette 15 Sep 2009 p. 3576</w:t>
      </w:r>
      <w:r>
        <w:noBreakHyphen/>
        <w:t>7; amended in Gazette 1 Jun 2012 p. 2323-4.]</w:t>
      </w:r>
    </w:p>
    <w:p>
      <w:pPr>
        <w:pStyle w:val="Heading5"/>
      </w:pPr>
      <w:bookmarkStart w:id="553" w:name="_Toc406492511"/>
      <w:bookmarkStart w:id="554" w:name="_Toc524795917"/>
      <w:r>
        <w:rPr>
          <w:rStyle w:val="CharSectno"/>
        </w:rPr>
        <w:t>51FE</w:t>
      </w:r>
      <w:r>
        <w:t>.</w:t>
      </w:r>
      <w:r>
        <w:tab/>
        <w:t>CEO to be notified of supply etc. of stimulants to patients</w:t>
      </w:r>
      <w:bookmarkEnd w:id="553"/>
      <w:bookmarkEnd w:id="554"/>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Subsection"/>
      </w:pPr>
      <w:r>
        <w:tab/>
        <w:t>(5)</w:t>
      </w:r>
      <w:r>
        <w:tab/>
        <w:t xml:space="preserve">A medical practitioner or nurse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 amended in Gazette 1 Jun 2012 p. 2324.]</w:t>
      </w:r>
    </w:p>
    <w:p>
      <w:pPr>
        <w:pStyle w:val="Heading5"/>
      </w:pPr>
      <w:bookmarkStart w:id="555" w:name="_Toc406492512"/>
      <w:bookmarkStart w:id="556" w:name="_Toc524795918"/>
      <w:r>
        <w:rPr>
          <w:rStyle w:val="CharSectno"/>
        </w:rPr>
        <w:t>51FF</w:t>
      </w:r>
      <w:r>
        <w:t>.</w:t>
      </w:r>
      <w:r>
        <w:tab/>
        <w:t>Current prescribers and current clinics for patients</w:t>
      </w:r>
      <w:bookmarkEnd w:id="555"/>
      <w:bookmarkEnd w:id="556"/>
    </w:p>
    <w:p>
      <w:pPr>
        <w:pStyle w:val="Subsection"/>
      </w:pPr>
      <w:r>
        <w:tab/>
        <w:t>(1)</w:t>
      </w:r>
      <w:r>
        <w:tab/>
        <w:t>When the CEO receives a notification about a patient under regulation 51FE(1) —</w:t>
      </w:r>
    </w:p>
    <w:p>
      <w:pPr>
        <w:pStyle w:val="Indenta"/>
        <w:spacing w:before="70"/>
      </w:pPr>
      <w:r>
        <w:tab/>
        <w:t>(a)</w:t>
      </w:r>
      <w:r>
        <w:tab/>
        <w:t>unless paragraph (b) applies — the practitioner giving the notification becomes the patient’s current prescriber; or</w:t>
      </w:r>
    </w:p>
    <w:p>
      <w:pPr>
        <w:pStyle w:val="Indenta"/>
        <w:spacing w:before="70"/>
      </w:pPr>
      <w:r>
        <w:tab/>
        <w:t>(b)</w:t>
      </w:r>
      <w:r>
        <w:tab/>
        <w:t>if —</w:t>
      </w:r>
    </w:p>
    <w:p>
      <w:pPr>
        <w:pStyle w:val="Indenti"/>
        <w:spacing w:before="70"/>
      </w:pPr>
      <w:r>
        <w:tab/>
        <w:t>(i)</w:t>
      </w:r>
      <w:r>
        <w:tab/>
        <w:t>the practitioner giving the notification practises at an approved clinic; and</w:t>
      </w:r>
    </w:p>
    <w:p>
      <w:pPr>
        <w:pStyle w:val="Indenti"/>
        <w:spacing w:before="70"/>
      </w:pPr>
      <w:r>
        <w:tab/>
        <w:t>(ii)</w:t>
      </w:r>
      <w:r>
        <w:tab/>
        <w:t>the supply or prescription of the stimulant is in accordance with the Stimulant Prescribing Code,</w:t>
      </w:r>
    </w:p>
    <w:p>
      <w:pPr>
        <w:pStyle w:val="Indenta"/>
        <w:spacing w:before="70"/>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keepNext/>
      </w:pPr>
      <w:r>
        <w:tab/>
        <w:t>(3)</w:t>
      </w:r>
      <w:r>
        <w:tab/>
        <w:t>A patient’s current prescriber ceases to be his or her current prescriber if —</w:t>
      </w:r>
    </w:p>
    <w:p>
      <w:pPr>
        <w:pStyle w:val="Indenta"/>
        <w:spacing w:before="70"/>
      </w:pPr>
      <w:r>
        <w:tab/>
        <w:t>(a)</w:t>
      </w:r>
      <w:r>
        <w:tab/>
        <w:t>the prescriber is given a notice under subregulation (2); or</w:t>
      </w:r>
    </w:p>
    <w:p>
      <w:pPr>
        <w:pStyle w:val="Indenta"/>
        <w:spacing w:before="70"/>
      </w:pPr>
      <w:r>
        <w:tab/>
        <w:t>(b)</w:t>
      </w:r>
      <w:r>
        <w:tab/>
        <w:t>the practitioner gives an updated notification under regulation 51FE(2)(c); or</w:t>
      </w:r>
    </w:p>
    <w:p>
      <w:pPr>
        <w:pStyle w:val="Indenta"/>
        <w:spacing w:before="70"/>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or nurse practitioner as permitted under regulation 51FB(5) — to that practitioner.</w:t>
      </w:r>
    </w:p>
    <w:p>
      <w:pPr>
        <w:pStyle w:val="Footnotesection"/>
      </w:pPr>
      <w:r>
        <w:tab/>
        <w:t>[Regulation 51FF inserted in Gazette 15 Sep 2009 p. 3578</w:t>
      </w:r>
      <w:r>
        <w:noBreakHyphen/>
        <w:t>9; amended in Gazette 1 Jun 2012 p. 2324.]</w:t>
      </w:r>
    </w:p>
    <w:p>
      <w:pPr>
        <w:pStyle w:val="Heading5"/>
      </w:pPr>
      <w:bookmarkStart w:id="557" w:name="_Toc406492513"/>
      <w:bookmarkStart w:id="558" w:name="_Toc524795919"/>
      <w:r>
        <w:rPr>
          <w:rStyle w:val="CharSectno"/>
        </w:rPr>
        <w:t>51FG</w:t>
      </w:r>
      <w:r>
        <w:t>.</w:t>
      </w:r>
      <w:r>
        <w:tab/>
        <w:t>Authorising medical practitioners to supply etc. stimulants</w:t>
      </w:r>
      <w:bookmarkEnd w:id="557"/>
      <w:bookmarkEnd w:id="558"/>
    </w:p>
    <w:p>
      <w:pPr>
        <w:pStyle w:val="Subsection"/>
      </w:pPr>
      <w:r>
        <w:tab/>
        <w:t>(1)</w:t>
      </w:r>
      <w:r>
        <w:tab/>
        <w:t>The CEO may authorise a medical practitioner to supply and prescribe stimulants to or for the practitioner’s patients.</w:t>
      </w:r>
    </w:p>
    <w:p>
      <w:pPr>
        <w:pStyle w:val="Subsection"/>
      </w:pPr>
      <w:r>
        <w:tab/>
        <w:t>(2)</w:t>
      </w:r>
      <w:r>
        <w:tab/>
        <w:t>Each medical practitioner authorised under subregulation (1) is to be assigned a unique stimulant prescriber number.</w:t>
      </w:r>
    </w:p>
    <w:p>
      <w:pPr>
        <w:pStyle w:val="Subsection"/>
      </w:pPr>
      <w:r>
        <w:tab/>
        <w:t>(3)</w:t>
      </w:r>
      <w:r>
        <w:tab/>
        <w:t>The CEO may authorise a nurse practitioner or a medical practitioner who is not an SPN practitioner to supply or prescribe a stimulant to or for a particular patient on a particular occasion or during a particular period.</w:t>
      </w:r>
    </w:p>
    <w:p>
      <w:pPr>
        <w:pStyle w:val="Subsection"/>
      </w:pPr>
      <w:r>
        <w:tab/>
        <w:t>(4)</w:t>
      </w:r>
      <w:r>
        <w:tab/>
        <w:t>An application for an authorisation under subregulation (1) or (3) must be made to the CEO in a form approved by the CEO.</w:t>
      </w:r>
    </w:p>
    <w:p>
      <w:pPr>
        <w:pStyle w:val="Subsection"/>
      </w:pPr>
      <w:r>
        <w:tab/>
        <w:t>(5)</w:t>
      </w:r>
      <w:r>
        <w:tab/>
        <w:t>The CEO may grant, or refuse to grant, an authorisation under subregulation (1) or (3) as the CEO thinks fit.</w:t>
      </w:r>
    </w:p>
    <w:p>
      <w:pPr>
        <w:pStyle w:val="Subsection"/>
      </w:pPr>
      <w:r>
        <w:tab/>
        <w:t>(6)</w:t>
      </w:r>
      <w:r>
        <w:tab/>
        <w:t>The CEO may grant an authorisation under subregulation (1) or (3) on any terms and conditions the CEO thinks fit.</w:t>
      </w:r>
    </w:p>
    <w:p>
      <w:pPr>
        <w:pStyle w:val="Subsection"/>
      </w:pPr>
      <w:r>
        <w:tab/>
        <w:t>(7)</w:t>
      </w:r>
      <w:r>
        <w:tab/>
        <w:t>The CEO may vary or revoke an authorisation under subregulation (1) or (3) at any time by giving written notice to the medical practitioner or nurse practitioner.</w:t>
      </w:r>
    </w:p>
    <w:p>
      <w:pPr>
        <w:pStyle w:val="Footnotesection"/>
      </w:pPr>
      <w:r>
        <w:tab/>
        <w:t>[Regulation 51FG inserted in Gazette 15 Sep 2009 p. 3579; amended in Gazette 1 Jun 2012 p. 2324.]</w:t>
      </w:r>
    </w:p>
    <w:p>
      <w:pPr>
        <w:pStyle w:val="Heading5"/>
      </w:pPr>
      <w:bookmarkStart w:id="559" w:name="_Toc406492514"/>
      <w:bookmarkStart w:id="560" w:name="_Toc524795920"/>
      <w:r>
        <w:rPr>
          <w:rStyle w:val="CharSectno"/>
        </w:rPr>
        <w:t>51FH</w:t>
      </w:r>
      <w:r>
        <w:t>.</w:t>
      </w:r>
      <w:r>
        <w:tab/>
        <w:t>Co</w:t>
      </w:r>
      <w:r>
        <w:noBreakHyphen/>
        <w:t>prescribers for patients</w:t>
      </w:r>
      <w:bookmarkEnd w:id="559"/>
      <w:bookmarkEnd w:id="560"/>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or nurse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pPr>
      <w:r>
        <w:tab/>
        <w:t>(a)</w:t>
      </w:r>
      <w:r>
        <w:tab/>
        <w:t>the current prescriber ceases to be the patient’s current prescriber; or</w:t>
      </w:r>
    </w:p>
    <w:p>
      <w:pPr>
        <w:pStyle w:val="Indenta"/>
      </w:pPr>
      <w:r>
        <w:tab/>
        <w:t>(b)</w:t>
      </w:r>
      <w:r>
        <w:tab/>
        <w:t>the current prescriber cancels the nomination under subregulation (1)(b); or</w:t>
      </w:r>
    </w:p>
    <w:p>
      <w:pPr>
        <w:pStyle w:val="Indenta"/>
      </w:pPr>
      <w:r>
        <w:tab/>
        <w:t>(c)</w:t>
      </w:r>
      <w:r>
        <w:tab/>
        <w:t>the CEO cancels the co</w:t>
      </w:r>
      <w:r>
        <w:noBreakHyphen/>
        <w:t>prescriber’s nomination under subregulation (7).</w:t>
      </w:r>
    </w:p>
    <w:p>
      <w:pPr>
        <w:pStyle w:val="Subsection"/>
      </w:pPr>
      <w:r>
        <w:tab/>
        <w:t>(4)</w:t>
      </w:r>
      <w:r>
        <w:tab/>
        <w:t>A nominated co</w:t>
      </w:r>
      <w:r>
        <w:noBreakHyphen/>
        <w:t>prescriber who was nominated by a current clinic prescriber, ceases to be a nominated co</w:t>
      </w:r>
      <w:r>
        <w:noBreakHyphen/>
        <w:t>prescriber if —</w:t>
      </w:r>
    </w:p>
    <w:p>
      <w:pPr>
        <w:pStyle w:val="Indenta"/>
      </w:pPr>
      <w:r>
        <w:tab/>
        <w:t>(a)</w:t>
      </w:r>
      <w:r>
        <w:tab/>
        <w:t>the clinic ceases to be the patient’s current clinic; or</w:t>
      </w:r>
    </w:p>
    <w:p>
      <w:pPr>
        <w:pStyle w:val="Indenta"/>
      </w:pPr>
      <w:r>
        <w:tab/>
        <w:t>(b)</w:t>
      </w:r>
      <w:r>
        <w:tab/>
        <w:t>any of the patient’s current clinic prescribers cancels the nomination under subregulation (1)(b); or</w:t>
      </w:r>
    </w:p>
    <w:p>
      <w:pPr>
        <w:pStyle w:val="Indenta"/>
      </w:pPr>
      <w:r>
        <w:tab/>
        <w:t>(c)</w:t>
      </w:r>
      <w:r>
        <w:tab/>
        <w:t>the CEO cancels the co</w:t>
      </w:r>
      <w:r>
        <w:noBreakHyphen/>
        <w:t>prescriber’s nomination under subregulation (7).</w:t>
      </w:r>
    </w:p>
    <w:p>
      <w:pPr>
        <w:pStyle w:val="Subsection"/>
      </w:pPr>
      <w:r>
        <w:tab/>
        <w:t>(5)</w:t>
      </w:r>
      <w:r>
        <w:tab/>
        <w:t>Subject to subregulation (6), if there is a nominated co</w:t>
      </w:r>
      <w:r>
        <w:noBreakHyphen/>
        <w:t>prescriber for a patient, any other medical practitioner or nurse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pPr>
      <w:r>
        <w:tab/>
        <w:t>(7)</w:t>
      </w:r>
      <w:r>
        <w:tab/>
        <w:t>The CEO may cancel the nomination of a co</w:t>
      </w:r>
      <w:r>
        <w:noBreakHyphen/>
        <w:t>prescriber by giving written notice to the co</w:t>
      </w:r>
      <w:r>
        <w:noBreakHyphen/>
        <w:t xml:space="preserve">prescriber. </w:t>
      </w:r>
    </w:p>
    <w:p>
      <w:pPr>
        <w:pStyle w:val="Subsection"/>
      </w:pPr>
      <w:r>
        <w:tab/>
        <w:t>(8)</w:t>
      </w:r>
      <w:r>
        <w:tab/>
        <w:t xml:space="preserve">The CEO must give a copy of a notice given under subregulation (7) to — </w:t>
      </w:r>
    </w:p>
    <w:p>
      <w:pPr>
        <w:pStyle w:val="Indenta"/>
      </w:pPr>
      <w:r>
        <w:tab/>
        <w:t>(a)</w:t>
      </w:r>
      <w:r>
        <w:tab/>
        <w:t>if the co</w:t>
      </w:r>
      <w:r>
        <w:noBreakHyphen/>
        <w:t>prescriber was nominated by a current prescriber — that person; or</w:t>
      </w:r>
    </w:p>
    <w:p>
      <w:pPr>
        <w:pStyle w:val="Indenta"/>
        <w:keepNext/>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 amended in Gazette 1 Jun 2012 p. 2324-5.]</w:t>
      </w:r>
    </w:p>
    <w:p>
      <w:pPr>
        <w:pStyle w:val="Heading5"/>
      </w:pPr>
      <w:bookmarkStart w:id="561" w:name="_Toc406492515"/>
      <w:bookmarkStart w:id="562" w:name="_Toc524795921"/>
      <w:r>
        <w:rPr>
          <w:rStyle w:val="CharSectno"/>
        </w:rPr>
        <w:t>51FJ</w:t>
      </w:r>
      <w:r>
        <w:t>.</w:t>
      </w:r>
      <w:r>
        <w:tab/>
        <w:t>Clinics, approval of</w:t>
      </w:r>
      <w:bookmarkEnd w:id="561"/>
      <w:bookmarkEnd w:id="562"/>
    </w:p>
    <w:p>
      <w:pPr>
        <w:pStyle w:val="Subsection"/>
      </w:pPr>
      <w:r>
        <w:tab/>
        <w:t>(1)</w:t>
      </w:r>
      <w:r>
        <w:tab/>
        <w:t>The CEO may approve a clinic —</w:t>
      </w:r>
    </w:p>
    <w:p>
      <w:pPr>
        <w:pStyle w:val="Indenta"/>
        <w:spacing w:before="70"/>
      </w:pPr>
      <w:r>
        <w:tab/>
        <w:t>(a)</w:t>
      </w:r>
      <w:r>
        <w:tab/>
        <w:t>that is, or is part of, a public hospital; and</w:t>
      </w:r>
    </w:p>
    <w:p>
      <w:pPr>
        <w:pStyle w:val="Indenta"/>
      </w:pPr>
      <w:r>
        <w:tab/>
        <w:t>(b)</w:t>
      </w:r>
      <w:r>
        <w:tab/>
        <w:t>at which —</w:t>
      </w:r>
    </w:p>
    <w:p>
      <w:pPr>
        <w:pStyle w:val="Indenti"/>
      </w:pPr>
      <w:r>
        <w:tab/>
        <w:t>(i)</w:t>
      </w:r>
      <w:r>
        <w:tab/>
        <w:t>treatment is provided for patients who may, in accordance with the Stimulant Prescribing Code, be treated with a stimulant; and</w:t>
      </w:r>
    </w:p>
    <w:p>
      <w:pPr>
        <w:pStyle w:val="Indenti"/>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pPr>
      <w:r>
        <w:tab/>
        <w:t>(a)</w:t>
      </w:r>
      <w:r>
        <w:tab/>
        <w:t>an SPN practitioner commences to practise at the clinic;</w:t>
      </w:r>
    </w:p>
    <w:p>
      <w:pPr>
        <w:pStyle w:val="Indenta"/>
      </w:pPr>
      <w:r>
        <w:tab/>
        <w:t>(b)</w:t>
      </w:r>
      <w:r>
        <w:tab/>
        <w:t>an SPN practitioner ceases to practise at the clinic;</w:t>
      </w:r>
    </w:p>
    <w:p>
      <w:pPr>
        <w:pStyle w:val="Indenta"/>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563" w:name="_Toc406492516"/>
      <w:bookmarkStart w:id="564" w:name="_Toc524795922"/>
      <w:r>
        <w:rPr>
          <w:rStyle w:val="CharSectno"/>
        </w:rPr>
        <w:t>51FK</w:t>
      </w:r>
      <w:r>
        <w:t>.</w:t>
      </w:r>
      <w:r>
        <w:tab/>
        <w:t>Managers of clinics, change of</w:t>
      </w:r>
      <w:bookmarkEnd w:id="563"/>
      <w:bookmarkEnd w:id="564"/>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keepNext/>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spacing w:before="100"/>
      </w:pPr>
      <w:r>
        <w:tab/>
        <w:t>[Regulation 51FK inserted in Gazette 15 Sep 2009 p. 3581</w:t>
      </w:r>
      <w:r>
        <w:noBreakHyphen/>
        <w:t>2.]</w:t>
      </w:r>
    </w:p>
    <w:p>
      <w:pPr>
        <w:pStyle w:val="Ednotesection"/>
      </w:pPr>
      <w:r>
        <w:t>[</w:t>
      </w:r>
      <w:r>
        <w:rPr>
          <w:b/>
          <w:bCs/>
        </w:rPr>
        <w:t>51G</w:t>
      </w:r>
      <w:r>
        <w:rPr>
          <w:b/>
          <w:bCs/>
        </w:rPr>
        <w:noBreakHyphen/>
        <w:t>51GAI.</w:t>
      </w:r>
      <w:r>
        <w:tab/>
        <w:t>Deleted in Gazette 15 Sep 2009 p. 3573.]</w:t>
      </w:r>
    </w:p>
    <w:p>
      <w:pPr>
        <w:pStyle w:val="Heading4"/>
      </w:pPr>
      <w:bookmarkStart w:id="565" w:name="_Toc406084330"/>
      <w:bookmarkStart w:id="566" w:name="_Toc406492517"/>
      <w:bookmarkStart w:id="567" w:name="_Toc414629660"/>
      <w:bookmarkStart w:id="568" w:name="_Toc414629887"/>
      <w:bookmarkStart w:id="569" w:name="_Toc414871751"/>
      <w:bookmarkStart w:id="570" w:name="_Toc414873517"/>
      <w:bookmarkStart w:id="571" w:name="_Toc418582559"/>
      <w:bookmarkStart w:id="572" w:name="_Toc423426606"/>
      <w:bookmarkStart w:id="573" w:name="_Toc423427007"/>
      <w:bookmarkStart w:id="574" w:name="_Toc524795923"/>
      <w:r>
        <w:t>Subdivision 4 — Supply and prescription of other poisons</w:t>
      </w:r>
      <w:bookmarkEnd w:id="565"/>
      <w:bookmarkEnd w:id="566"/>
      <w:bookmarkEnd w:id="567"/>
      <w:bookmarkEnd w:id="568"/>
      <w:bookmarkEnd w:id="569"/>
      <w:bookmarkEnd w:id="570"/>
      <w:bookmarkEnd w:id="571"/>
      <w:bookmarkEnd w:id="572"/>
      <w:bookmarkEnd w:id="573"/>
      <w:bookmarkEnd w:id="574"/>
    </w:p>
    <w:p>
      <w:pPr>
        <w:pStyle w:val="Footnoteheading"/>
        <w:spacing w:before="100"/>
      </w:pPr>
      <w:r>
        <w:tab/>
        <w:t>[Heading inserted in Gazette 15 Sep 2009 p. 3582.]</w:t>
      </w:r>
    </w:p>
    <w:p>
      <w:pPr>
        <w:pStyle w:val="Heading5"/>
        <w:spacing w:before="180"/>
        <w:rPr>
          <w:snapToGrid w:val="0"/>
        </w:rPr>
      </w:pPr>
      <w:bookmarkStart w:id="575" w:name="_Toc406492518"/>
      <w:bookmarkStart w:id="576" w:name="_Toc524795924"/>
      <w:r>
        <w:rPr>
          <w:rStyle w:val="CharSectno"/>
        </w:rPr>
        <w:t>51GA</w:t>
      </w:r>
      <w:r>
        <w:rPr>
          <w:snapToGrid w:val="0"/>
        </w:rPr>
        <w:t>.</w:t>
      </w:r>
      <w:r>
        <w:rPr>
          <w:snapToGrid w:val="0"/>
        </w:rPr>
        <w:tab/>
        <w:t>Dronabinol, supply of etc.</w:t>
      </w:r>
      <w:bookmarkEnd w:id="575"/>
      <w:bookmarkEnd w:id="576"/>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spacing w:before="100"/>
      </w:pPr>
      <w:r>
        <w:tab/>
        <w:t>[Regulation 51GA inserted in Gazette 19 Sep 1995 p. 4384.]</w:t>
      </w:r>
    </w:p>
    <w:p>
      <w:pPr>
        <w:pStyle w:val="Heading5"/>
        <w:rPr>
          <w:snapToGrid w:val="0"/>
        </w:rPr>
      </w:pPr>
      <w:bookmarkStart w:id="577" w:name="_Toc406492519"/>
      <w:bookmarkStart w:id="578" w:name="_Toc524795925"/>
      <w:r>
        <w:rPr>
          <w:rStyle w:val="CharSectno"/>
        </w:rPr>
        <w:t>51GB</w:t>
      </w:r>
      <w:r>
        <w:rPr>
          <w:snapToGrid w:val="0"/>
        </w:rPr>
        <w:t>.</w:t>
      </w:r>
      <w:r>
        <w:rPr>
          <w:snapToGrid w:val="0"/>
        </w:rPr>
        <w:tab/>
        <w:t>Flunitrazepam, supply of etc.</w:t>
      </w:r>
      <w:bookmarkEnd w:id="577"/>
      <w:bookmarkEnd w:id="578"/>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w:t>
      </w:r>
      <w:r>
        <w:t xml:space="preserve">called the </w:t>
      </w:r>
      <w:r>
        <w:rPr>
          <w:rStyle w:val="CharDefText"/>
        </w:rPr>
        <w:t>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keepLines/>
        <w:spacing w:before="180"/>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spacing w:before="180"/>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spacing w:before="180"/>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spacing w:before="140"/>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spacing w:before="140"/>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spacing w:before="100"/>
      </w:pPr>
      <w:r>
        <w:tab/>
        <w:t>[Regulation 51GB inserted in Gazette 26 May 1998 p. 2966; amended in Gazette 15 Dec 2006 p. 5630; 21 Apr 2009 p. 1366; 1 Oct 2010 p. 5079</w:t>
      </w:r>
      <w:r>
        <w:noBreakHyphen/>
        <w:t>80.]</w:t>
      </w:r>
    </w:p>
    <w:p>
      <w:pPr>
        <w:pStyle w:val="Heading5"/>
        <w:spacing w:before="240"/>
        <w:rPr>
          <w:snapToGrid w:val="0"/>
        </w:rPr>
      </w:pPr>
      <w:bookmarkStart w:id="579" w:name="_Toc406492520"/>
      <w:bookmarkStart w:id="580" w:name="_Toc524795926"/>
      <w:r>
        <w:rPr>
          <w:rStyle w:val="CharSectno"/>
        </w:rPr>
        <w:t>51H</w:t>
      </w:r>
      <w:r>
        <w:rPr>
          <w:snapToGrid w:val="0"/>
        </w:rPr>
        <w:t>.</w:t>
      </w:r>
      <w:r>
        <w:rPr>
          <w:snapToGrid w:val="0"/>
        </w:rPr>
        <w:tab/>
        <w:t>Prescription of Sch. 8 poisons by dentists, restrictions on</w:t>
      </w:r>
      <w:bookmarkEnd w:id="579"/>
      <w:bookmarkEnd w:id="580"/>
      <w:r>
        <w:rPr>
          <w:snapToGrid w:val="0"/>
        </w:rPr>
        <w:t xml:space="preserve"> </w:t>
      </w:r>
    </w:p>
    <w:p>
      <w:pPr>
        <w:pStyle w:val="Subsection"/>
        <w:spacing w:before="140"/>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spacing w:before="140"/>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spacing w:before="140"/>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spacing w:before="100"/>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Footnoteheading"/>
      </w:pPr>
      <w:r>
        <w:tab/>
        <w:t>[Heading deleted in Gazette 12 Aug 2003 p. 3663.]</w:t>
      </w:r>
    </w:p>
    <w:p>
      <w:pPr>
        <w:pStyle w:val="Heading3"/>
      </w:pPr>
      <w:bookmarkStart w:id="581" w:name="_Toc406084334"/>
      <w:bookmarkStart w:id="582" w:name="_Toc406492521"/>
      <w:bookmarkStart w:id="583" w:name="_Toc414629664"/>
      <w:bookmarkStart w:id="584" w:name="_Toc414629891"/>
      <w:bookmarkStart w:id="585" w:name="_Toc414871755"/>
      <w:bookmarkStart w:id="586" w:name="_Toc414873521"/>
      <w:bookmarkStart w:id="587" w:name="_Toc418582563"/>
      <w:bookmarkStart w:id="588" w:name="_Toc423426610"/>
      <w:bookmarkStart w:id="589" w:name="_Toc423427011"/>
      <w:bookmarkStart w:id="590" w:name="_Toc524795927"/>
      <w:r>
        <w:rPr>
          <w:rStyle w:val="CharDivNo"/>
        </w:rPr>
        <w:t>Division 3</w:t>
      </w:r>
      <w:r>
        <w:t xml:space="preserve"> — </w:t>
      </w:r>
      <w:r>
        <w:rPr>
          <w:rStyle w:val="CharDivText"/>
        </w:rPr>
        <w:t>Dispensing and delivery</w:t>
      </w:r>
      <w:bookmarkEnd w:id="581"/>
      <w:bookmarkEnd w:id="582"/>
      <w:bookmarkEnd w:id="583"/>
      <w:bookmarkEnd w:id="584"/>
      <w:bookmarkEnd w:id="585"/>
      <w:bookmarkEnd w:id="586"/>
      <w:bookmarkEnd w:id="587"/>
      <w:bookmarkEnd w:id="588"/>
      <w:bookmarkEnd w:id="589"/>
      <w:bookmarkEnd w:id="590"/>
    </w:p>
    <w:p>
      <w:pPr>
        <w:pStyle w:val="Footnoteheading"/>
      </w:pPr>
      <w:r>
        <w:tab/>
        <w:t>[Heading inserted in Gazette 12 Aug 2003 p. 3664.]</w:t>
      </w:r>
    </w:p>
    <w:p>
      <w:pPr>
        <w:pStyle w:val="Heading5"/>
        <w:rPr>
          <w:snapToGrid w:val="0"/>
        </w:rPr>
      </w:pPr>
      <w:bookmarkStart w:id="591" w:name="_Toc406492522"/>
      <w:bookmarkStart w:id="592" w:name="_Toc524795928"/>
      <w:r>
        <w:rPr>
          <w:rStyle w:val="CharSectno"/>
        </w:rPr>
        <w:t>52</w:t>
      </w:r>
      <w:r>
        <w:rPr>
          <w:snapToGrid w:val="0"/>
        </w:rPr>
        <w:t>.</w:t>
      </w:r>
      <w:r>
        <w:rPr>
          <w:snapToGrid w:val="0"/>
        </w:rPr>
        <w:tab/>
        <w:t>Dispensing and supplying drugs of addiction, rules as to</w:t>
      </w:r>
      <w:bookmarkEnd w:id="591"/>
      <w:bookmarkEnd w:id="592"/>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nurse practitioner, endorsed podiatrist, pharmacist</w:t>
      </w:r>
      <w:r>
        <w:rPr>
          <w:snapToGrid w:val="0"/>
        </w:rPr>
        <w:t xml:space="preserve">, or veterinary surgeon or an assistant under the direct personal supervision of a medical practitioner, </w:t>
      </w:r>
      <w:r>
        <w:t>nurse practitioner, endorsed podiatrist, pharmacist</w:t>
      </w:r>
      <w:r>
        <w:rPr>
          <w:snapToGrid w:val="0"/>
        </w:rPr>
        <w:t>, or veterinary surgeon shall be the only person who shall dispense a drug of addiction.</w:t>
      </w:r>
    </w:p>
    <w:p>
      <w:pPr>
        <w:pStyle w:val="Subsection"/>
        <w:keepNext/>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 and</w:t>
      </w:r>
    </w:p>
    <w:p>
      <w:pPr>
        <w:pStyle w:val="Indenti"/>
        <w:rPr>
          <w:snapToGrid w:val="0"/>
        </w:rPr>
      </w:pPr>
      <w:r>
        <w:rPr>
          <w:snapToGrid w:val="0"/>
        </w:rPr>
        <w:tab/>
        <w:t>(ii)</w:t>
      </w:r>
      <w:r>
        <w:rPr>
          <w:snapToGrid w:val="0"/>
        </w:rPr>
        <w:tab/>
        <w:t xml:space="preserve">that the person who issued the prescription is a medical practitioner, </w:t>
      </w:r>
      <w:r>
        <w:t>a nurse practitioner, an endorsed podiatrist,</w:t>
      </w:r>
      <w:r>
        <w:rPr>
          <w:snapToGrid w:val="0"/>
        </w:rPr>
        <w:t xml:space="preserve"> a dentist or a veterinary surgeon; and</w:t>
      </w:r>
    </w:p>
    <w:p>
      <w:pPr>
        <w:pStyle w:val="Indenti"/>
      </w:pPr>
      <w:r>
        <w:tab/>
        <w:t>(iii)</w:t>
      </w:r>
      <w:r>
        <w:tab/>
        <w:t>in accordance with subregulation (3a), that the prescription was issued by the prescriber whose name appears on the prescription;</w:t>
      </w:r>
    </w:p>
    <w:p>
      <w:pPr>
        <w:pStyle w:val="Indenta"/>
        <w:spacing w:before="120"/>
      </w:pPr>
      <w:r>
        <w:tab/>
      </w:r>
      <w:r>
        <w:tab/>
        <w:t>and</w:t>
      </w:r>
    </w:p>
    <w:p>
      <w:pPr>
        <w:pStyle w:val="Indenta"/>
        <w:spacing w:before="120"/>
      </w:pPr>
      <w:r>
        <w:tab/>
        <w:t>(b)</w:t>
      </w:r>
      <w:r>
        <w:tab/>
        <w:t>the drug of addiction shall not be dispensed under the prescription more than the maximum number of times indicated by the prescription, or at intervals less than those indicated by the prescription; and</w:t>
      </w:r>
    </w:p>
    <w:p>
      <w:pPr>
        <w:pStyle w:val="Indenta"/>
        <w:spacing w:before="120"/>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r>
      <w:r>
        <w:tab/>
        <w:t>and</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spacing w:before="120"/>
      </w:pPr>
      <w:r>
        <w:tab/>
      </w:r>
      <w:r>
        <w:tab/>
        <w:t>and</w:t>
      </w:r>
    </w:p>
    <w:p>
      <w:pPr>
        <w:pStyle w:val="Indenta"/>
        <w:spacing w:before="120"/>
      </w:pPr>
      <w:r>
        <w:tab/>
        <w:t>(c)</w:t>
      </w:r>
      <w:r>
        <w:tab/>
        <w:t>where the drug of addiction is prescribed by a veterinary surgeon, the dispenser shall not dispense the drug of addiction on more than one occasion under that prescription; and</w:t>
      </w:r>
    </w:p>
    <w:p>
      <w:pPr>
        <w:pStyle w:val="Indenta"/>
        <w:spacing w:before="120"/>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spacing w:before="70"/>
      </w:pPr>
      <w:r>
        <w:tab/>
        <w:t>(i)</w:t>
      </w:r>
      <w:r>
        <w:tab/>
        <w:t>in the case of a prescription that is not issued electronically — note on the prescription clearly in ink the amount dispensed and the date on which it was dispensed; and</w:t>
      </w:r>
    </w:p>
    <w:p>
      <w:pPr>
        <w:pStyle w:val="Indenti"/>
        <w:spacing w:before="70"/>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spacing w:before="70"/>
      </w:pPr>
      <w:r>
        <w:tab/>
      </w:r>
      <w:r>
        <w:tab/>
        <w:t>and</w:t>
      </w:r>
    </w:p>
    <w:p>
      <w:pPr>
        <w:pStyle w:val="Indenta"/>
        <w:spacing w:before="70"/>
      </w:pPr>
      <w:r>
        <w:tab/>
        <w:t>(e)</w:t>
      </w:r>
      <w:r>
        <w:tab/>
        <w:t xml:space="preserve">after dispensing the drug of addiction as directed by the prescription the dispenser shall — </w:t>
      </w:r>
    </w:p>
    <w:p>
      <w:pPr>
        <w:pStyle w:val="Indenti"/>
        <w:spacing w:before="70"/>
      </w:pPr>
      <w:r>
        <w:tab/>
        <w:t>(i)</w:t>
      </w:r>
      <w:r>
        <w:tab/>
        <w:t>indicate, in relation to the prescription, the number of occasions remaining (if any) on which the drug of addiction is to be dispensed under the prescription; and</w:t>
      </w:r>
    </w:p>
    <w:p>
      <w:pPr>
        <w:pStyle w:val="Indenti"/>
        <w:spacing w:before="70"/>
      </w:pPr>
      <w:r>
        <w:tab/>
        <w:t>(ii)</w:t>
      </w:r>
      <w:r>
        <w:tab/>
        <w:t>in the case of a prescription that is not issued electronically — retain, subject to subregulation (7), the prescription in safe custody at the dispensary;</w:t>
      </w:r>
    </w:p>
    <w:p>
      <w:pPr>
        <w:pStyle w:val="Indenta"/>
        <w:spacing w:before="70"/>
      </w:pPr>
      <w:r>
        <w:tab/>
      </w:r>
      <w:r>
        <w:tab/>
        <w:t>and</w:t>
      </w:r>
    </w:p>
    <w:p>
      <w:pPr>
        <w:pStyle w:val="Indenta"/>
        <w:spacing w:before="70"/>
      </w:pPr>
      <w:r>
        <w:tab/>
        <w:t>(f)</w:t>
      </w:r>
      <w:r>
        <w:tab/>
        <w:t xml:space="preserve">in the case of a prescription that is not issued electronically — the dispenser shall write in ink, or stamp, the word “cancelled” across the prescription in legible letters if — </w:t>
      </w:r>
    </w:p>
    <w:p>
      <w:pPr>
        <w:pStyle w:val="Indenti"/>
        <w:spacing w:before="70"/>
      </w:pPr>
      <w:r>
        <w:tab/>
        <w:t>(i)</w:t>
      </w:r>
      <w:r>
        <w:tab/>
        <w:t>the prescription does not clearly indicate the maximum number of occasions on which the drug of addiction is to be dispensed under the prescription; or</w:t>
      </w:r>
    </w:p>
    <w:p>
      <w:pPr>
        <w:pStyle w:val="Indenti"/>
        <w:spacing w:before="70"/>
      </w:pPr>
      <w:r>
        <w:tab/>
        <w:t>(ii)</w:t>
      </w:r>
      <w:r>
        <w:tab/>
        <w:t>the prescription does not clearly indicate the intervals at which the drug of addiction is to be dispensed under the prescription; or</w:t>
      </w:r>
    </w:p>
    <w:p>
      <w:pPr>
        <w:pStyle w:val="Indenti"/>
      </w:pPr>
      <w:r>
        <w:tab/>
        <w:t>(iii)</w:t>
      </w:r>
      <w:r>
        <w:tab/>
        <w:t>the drug of addiction has already been dispensed on the maximum number of occasions on which it can lawfully be dispensed under the prescription;</w:t>
      </w:r>
    </w:p>
    <w:p>
      <w:pPr>
        <w:pStyle w:val="Indenta"/>
        <w:spacing w:before="120"/>
      </w:pPr>
      <w:r>
        <w:tab/>
      </w:r>
      <w:r>
        <w:tab/>
        <w:t>and</w:t>
      </w:r>
    </w:p>
    <w:p>
      <w:pPr>
        <w:pStyle w:val="Indenta"/>
        <w:spacing w:before="12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 and</w:t>
      </w:r>
    </w:p>
    <w:p>
      <w:pPr>
        <w:pStyle w:val="Indenta"/>
        <w:spacing w:before="12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 and</w:t>
      </w:r>
    </w:p>
    <w:p>
      <w:pPr>
        <w:pStyle w:val="Indenta"/>
        <w:spacing w:before="120"/>
      </w:pPr>
      <w:r>
        <w:tab/>
        <w:t>(h)</w:t>
      </w:r>
      <w:r>
        <w:tab/>
        <w:t xml:space="preserve">before the drug of addiction is handed to the purchaser, the following particulars shall be recorded in accordance with regulation 52B — </w:t>
      </w:r>
    </w:p>
    <w:p>
      <w:pPr>
        <w:pStyle w:val="Indenti"/>
      </w:pPr>
      <w:r>
        <w:tab/>
        <w:t>(i)</w:t>
      </w:r>
      <w:r>
        <w:tab/>
        <w:t>the prescription number;</w:t>
      </w:r>
    </w:p>
    <w:p>
      <w:pPr>
        <w:pStyle w:val="Indenti"/>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pPr>
      <w:r>
        <w:tab/>
        <w:t>(iii)</w:t>
      </w:r>
      <w:r>
        <w:tab/>
        <w:t>a description of the drug of addiction;</w:t>
      </w:r>
    </w:p>
    <w:p>
      <w:pPr>
        <w:pStyle w:val="Indenti"/>
      </w:pPr>
      <w:r>
        <w:tab/>
        <w:t>(iv)</w:t>
      </w:r>
      <w:r>
        <w:tab/>
        <w:t>the quantity of the drug of addiction dispensed;</w:t>
      </w:r>
    </w:p>
    <w:p>
      <w:pPr>
        <w:pStyle w:val="Indenti"/>
      </w:pPr>
      <w:r>
        <w:tab/>
        <w:t>(v)</w:t>
      </w:r>
      <w:r>
        <w:tab/>
        <w:t>directions for the use of the drug of addiction;</w:t>
      </w:r>
    </w:p>
    <w:p>
      <w:pPr>
        <w:pStyle w:val="Indenti"/>
      </w:pPr>
      <w:r>
        <w:tab/>
        <w:t>(vi)</w:t>
      </w:r>
      <w:r>
        <w:tab/>
        <w:t>the date of the prescription;</w:t>
      </w:r>
    </w:p>
    <w:p>
      <w:pPr>
        <w:pStyle w:val="Indenti"/>
      </w:pPr>
      <w:r>
        <w:tab/>
        <w:t>(vii)</w:t>
      </w:r>
      <w:r>
        <w:tab/>
        <w:t>the name and address of the prescriber;</w:t>
      </w:r>
    </w:p>
    <w:p>
      <w:pPr>
        <w:pStyle w:val="Indenti"/>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Indenta"/>
        <w:spacing w:before="120"/>
        <w:rPr>
          <w:snapToGrid w:val="0"/>
        </w:rPr>
      </w:pPr>
      <w:r>
        <w:rPr>
          <w:snapToGrid w:val="0"/>
        </w:rPr>
        <w:tab/>
      </w:r>
      <w:r>
        <w:rPr>
          <w:snapToGrid w:val="0"/>
        </w:rPr>
        <w:tab/>
        <w:t>and</w:t>
      </w:r>
    </w:p>
    <w:p>
      <w:pPr>
        <w:pStyle w:val="Ednotepara"/>
        <w:rPr>
          <w:snapToGrid w:val="0"/>
        </w:rPr>
      </w:pPr>
      <w:r>
        <w:rPr>
          <w:snapToGrid w:val="0"/>
        </w:rPr>
        <w:tab/>
        <w:t>[(j)</w:t>
      </w:r>
      <w:r>
        <w:rPr>
          <w:snapToGrid w:val="0"/>
        </w:rPr>
        <w:tab/>
        <w:t xml:space="preserve">deleted] </w:t>
      </w:r>
    </w:p>
    <w:p>
      <w:pPr>
        <w:pStyle w:val="Indenta"/>
        <w:spacing w:before="12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rPr>
          <w:snapToGrid w:val="0"/>
        </w:rPr>
      </w:pPr>
      <w:r>
        <w:rPr>
          <w:snapToGrid w:val="0"/>
        </w:rPr>
        <w:tab/>
        <w:t>[(l)</w:t>
      </w:r>
      <w:r>
        <w:rPr>
          <w:snapToGrid w:val="0"/>
        </w:rPr>
        <w:tab/>
        <w:t xml:space="preserve">deleted] </w:t>
      </w:r>
    </w:p>
    <w:p>
      <w:pPr>
        <w:pStyle w:val="Indenta"/>
        <w:spacing w:before="12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spacing w:before="180"/>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vertAlign w:val="superscript"/>
        </w:rPr>
        <w:t> 5</w:t>
      </w:r>
      <w:r>
        <w:rPr>
          <w:snapToGrid w:val="0"/>
        </w:rPr>
        <w:t xml:space="preserve"> of the Commonwealth a copy of such a prescription is deemed to be a prescription for the purposes of this regulation.</w:t>
      </w:r>
    </w:p>
    <w:p>
      <w:pPr>
        <w:pStyle w:val="Subsection"/>
        <w:spacing w:before="180"/>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spacing w:before="180"/>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spacing w:before="180"/>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spacing w:before="180"/>
      </w:pPr>
      <w:r>
        <w:tab/>
        <w:t>(6)</w:t>
      </w:r>
      <w:r>
        <w:tab/>
        <w:t xml:space="preserve">If a pharmacist is presented with or accesses a prescription which he or she suspects of being false in any particular he or she shall — </w:t>
      </w:r>
    </w:p>
    <w:p>
      <w:pPr>
        <w:pStyle w:val="Indenta"/>
        <w:spacing w:before="100"/>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spacing w:before="100"/>
      </w:pPr>
      <w:r>
        <w:tab/>
        <w:t>(b)</w:t>
      </w:r>
      <w:r>
        <w:tab/>
        <w:t>in any case — make enquiries concerning the genuineness of the prescription, the identity of the person who issued it and the bona fides of the person wishing to have the drug dispensed under it.</w:t>
      </w:r>
    </w:p>
    <w:p>
      <w:pPr>
        <w:pStyle w:val="Subsection"/>
        <w:spacing w:before="180"/>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rPr>
        <w:tab/>
        <w:t xml:space="preserve">A </w:t>
      </w:r>
      <w:r>
        <w:t>pharmacist</w:t>
      </w:r>
      <w:r>
        <w:rPr>
          <w:snapToGrid w:val="0"/>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w:t>
      </w:r>
      <w:r>
        <w:noBreakHyphen/>
        <w:t>80; 1 Jun 2012 p. 2325; 10 Aug 2012 p. 3806-7.]</w:t>
      </w:r>
    </w:p>
    <w:p>
      <w:pPr>
        <w:pStyle w:val="Heading5"/>
        <w:rPr>
          <w:snapToGrid w:val="0"/>
        </w:rPr>
      </w:pPr>
      <w:bookmarkStart w:id="593" w:name="_Toc406492523"/>
      <w:bookmarkStart w:id="594" w:name="_Toc524795929"/>
      <w:r>
        <w:rPr>
          <w:rStyle w:val="CharSectno"/>
        </w:rPr>
        <w:t>52A</w:t>
      </w:r>
      <w:r>
        <w:rPr>
          <w:snapToGrid w:val="0"/>
        </w:rPr>
        <w:t>.</w:t>
      </w:r>
      <w:r>
        <w:rPr>
          <w:snapToGrid w:val="0"/>
        </w:rPr>
        <w:tab/>
        <w:t>Certain movements of drugs of addiction to be recorded under r. 52B</w:t>
      </w:r>
      <w:bookmarkEnd w:id="593"/>
      <w:bookmarkEnd w:id="594"/>
      <w:r>
        <w:rPr>
          <w:snapToGrid w:val="0"/>
        </w:rPr>
        <w:t xml:space="preserve"> </w:t>
      </w:r>
    </w:p>
    <w:p>
      <w:pPr>
        <w:pStyle w:val="Subsection"/>
        <w:spacing w:before="120"/>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spacing w:before="100"/>
      </w:pPr>
      <w:r>
        <w:tab/>
        <w:t>[Regulation 52A inserted in Gazette 31 Jan 1986 p. 333; amended in Gazette 7 Aug 1987 p. 3083; 19 Mar 1996 p. 1231.]</w:t>
      </w:r>
    </w:p>
    <w:p>
      <w:pPr>
        <w:pStyle w:val="Footnoteheading"/>
        <w:spacing w:before="100"/>
      </w:pPr>
      <w:r>
        <w:tab/>
        <w:t>[Heading deleted in Gazette 12 Aug 2003 p. 3663.]</w:t>
      </w:r>
    </w:p>
    <w:p>
      <w:pPr>
        <w:pStyle w:val="Heading5"/>
        <w:spacing w:before="200"/>
        <w:rPr>
          <w:snapToGrid w:val="0"/>
        </w:rPr>
      </w:pPr>
      <w:bookmarkStart w:id="595" w:name="_Toc406492524"/>
      <w:bookmarkStart w:id="596" w:name="_Toc524795930"/>
      <w:r>
        <w:rPr>
          <w:rStyle w:val="CharSectno"/>
        </w:rPr>
        <w:t>52B</w:t>
      </w:r>
      <w:r>
        <w:rPr>
          <w:snapToGrid w:val="0"/>
        </w:rPr>
        <w:t>.</w:t>
      </w:r>
      <w:r>
        <w:rPr>
          <w:snapToGrid w:val="0"/>
        </w:rPr>
        <w:tab/>
        <w:t>How details to be recorded under r. 52(3)(h) and 52A</w:t>
      </w:r>
      <w:bookmarkEnd w:id="595"/>
      <w:bookmarkEnd w:id="596"/>
      <w:r>
        <w:rPr>
          <w:snapToGrid w:val="0"/>
        </w:rPr>
        <w:t xml:space="preserve"> </w:t>
      </w:r>
    </w:p>
    <w:p>
      <w:pPr>
        <w:pStyle w:val="Subsection"/>
        <w:spacing w:before="120"/>
        <w:rPr>
          <w:snapToGrid w:val="0"/>
        </w:rPr>
      </w:pPr>
      <w:r>
        <w:rPr>
          <w:snapToGrid w:val="0"/>
        </w:rPr>
        <w:tab/>
        <w:t>(1)</w:t>
      </w:r>
      <w:r>
        <w:rPr>
          <w:snapToGrid w:val="0"/>
        </w:rPr>
        <w:tab/>
        <w:t>The details required to be recorded under regulations 52(3)(h) and 52A shall be — </w:t>
      </w:r>
    </w:p>
    <w:p>
      <w:pPr>
        <w:pStyle w:val="Indenta"/>
        <w:spacing w:before="60"/>
        <w:rPr>
          <w:snapToGrid w:val="0"/>
        </w:rPr>
      </w:pPr>
      <w:r>
        <w:rPr>
          <w:snapToGrid w:val="0"/>
        </w:rPr>
        <w:tab/>
        <w:t>(a)</w:t>
      </w:r>
      <w:r>
        <w:rPr>
          <w:snapToGrid w:val="0"/>
        </w:rPr>
        <w:tab/>
        <w:t>entered on a duplicate form approved by the</w:t>
      </w:r>
      <w:r>
        <w:t xml:space="preserve"> CEO</w:t>
      </w:r>
      <w:r>
        <w:rPr>
          <w:snapToGrid w:val="0"/>
        </w:rPr>
        <w:t>; or</w:t>
      </w:r>
    </w:p>
    <w:p>
      <w:pPr>
        <w:pStyle w:val="Indenta"/>
        <w:spacing w:before="60"/>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keepNext/>
        <w:spacing w:before="120"/>
        <w:rPr>
          <w:snapToGrid w:val="0"/>
        </w:rPr>
      </w:pPr>
      <w:r>
        <w:rPr>
          <w:snapToGrid w:val="0"/>
        </w:rPr>
        <w:tab/>
        <w:t>(2)</w:t>
      </w:r>
      <w:r>
        <w:rPr>
          <w:snapToGrid w:val="0"/>
        </w:rPr>
        <w:tab/>
        <w:t>Where the details of a transaction referred to in regulation 52(3)(h) are entered — </w:t>
      </w:r>
    </w:p>
    <w:p>
      <w:pPr>
        <w:pStyle w:val="Indenta"/>
        <w:spacing w:before="60"/>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spacing w:before="60"/>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spacing w:before="100"/>
      </w:pPr>
      <w:r>
        <w:tab/>
        <w:t xml:space="preserve">[Regulation 52B inserted in Gazette 7 Aug 1987 p. 3083; amended in Gazette 25 Jun 1993 p. 3085; 26 May 1994 p. 2201; 19 Mar 1996 p. 1231; 15 Dec 2006 p. 5630.] </w:t>
      </w:r>
    </w:p>
    <w:p>
      <w:pPr>
        <w:pStyle w:val="Footnoteheading"/>
        <w:spacing w:before="100"/>
      </w:pPr>
      <w:r>
        <w:tab/>
        <w:t>[Heading deleted in Gazette 12 Aug 2003 p. 3663.]</w:t>
      </w:r>
    </w:p>
    <w:p>
      <w:pPr>
        <w:pStyle w:val="Heading5"/>
        <w:spacing w:before="200"/>
        <w:rPr>
          <w:snapToGrid w:val="0"/>
        </w:rPr>
      </w:pPr>
      <w:bookmarkStart w:id="597" w:name="_Toc406492525"/>
      <w:bookmarkStart w:id="598" w:name="_Toc524795931"/>
      <w:r>
        <w:rPr>
          <w:rStyle w:val="CharSectno"/>
        </w:rPr>
        <w:t>52C</w:t>
      </w:r>
      <w:r>
        <w:rPr>
          <w:snapToGrid w:val="0"/>
        </w:rPr>
        <w:t>.</w:t>
      </w:r>
      <w:r>
        <w:rPr>
          <w:snapToGrid w:val="0"/>
        </w:rPr>
        <w:tab/>
        <w:t>Pharmacies to give department information about drugs of addiction each month</w:t>
      </w:r>
      <w:bookmarkEnd w:id="597"/>
      <w:bookmarkEnd w:id="598"/>
      <w:r>
        <w:rPr>
          <w:snapToGrid w:val="0"/>
        </w:rPr>
        <w:t xml:space="preserve"> </w:t>
      </w:r>
    </w:p>
    <w:p>
      <w:pPr>
        <w:pStyle w:val="Subsection"/>
        <w:spacing w:before="120"/>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w:t>
      </w:r>
      <w:r>
        <w:noBreakHyphen/>
        <w:t>80.]</w:t>
      </w:r>
    </w:p>
    <w:p>
      <w:pPr>
        <w:pStyle w:val="Footnoteheading"/>
      </w:pPr>
      <w:r>
        <w:tab/>
        <w:t>[Heading deleted in Gazette 12 Aug 2003 p. 3663.]</w:t>
      </w:r>
    </w:p>
    <w:p>
      <w:pPr>
        <w:pStyle w:val="Heading5"/>
        <w:rPr>
          <w:snapToGrid w:val="0"/>
        </w:rPr>
      </w:pPr>
      <w:bookmarkStart w:id="599" w:name="_Toc406492526"/>
      <w:bookmarkStart w:id="600" w:name="_Toc524795932"/>
      <w:r>
        <w:rPr>
          <w:rStyle w:val="CharSectno"/>
        </w:rPr>
        <w:t>53</w:t>
      </w:r>
      <w:r>
        <w:rPr>
          <w:snapToGrid w:val="0"/>
        </w:rPr>
        <w:t>.</w:t>
      </w:r>
      <w:r>
        <w:rPr>
          <w:snapToGrid w:val="0"/>
        </w:rPr>
        <w:tab/>
        <w:t>Dispensing Sch. 8 poisons in emergencies</w:t>
      </w:r>
      <w:bookmarkEnd w:id="599"/>
      <w:bookmarkEnd w:id="600"/>
      <w:r>
        <w:rPr>
          <w:snapToGrid w:val="0"/>
        </w:rPr>
        <w:t xml:space="preserve"> </w:t>
      </w:r>
    </w:p>
    <w:p>
      <w:pPr>
        <w:pStyle w:val="Subsection"/>
      </w:pPr>
      <w:r>
        <w:tab/>
        <w:t>(1)</w:t>
      </w:r>
      <w:r>
        <w:tab/>
        <w:t>If a medical practitioner, nurse practitioner, dentist, endorsed podiatrist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w:t>
      </w:r>
      <w:r>
        <w:noBreakHyphen/>
        <w:t>1; 7 Nov 2008 p. 4817; 1 Jun 2012 p. 2325.]</w:t>
      </w:r>
    </w:p>
    <w:p>
      <w:pPr>
        <w:pStyle w:val="Footnoteheading"/>
      </w:pPr>
      <w:r>
        <w:tab/>
        <w:t>[Heading deleted in Gazette 12 Aug 2003 p. 3663.]</w:t>
      </w:r>
    </w:p>
    <w:p>
      <w:pPr>
        <w:pStyle w:val="Heading5"/>
        <w:rPr>
          <w:snapToGrid w:val="0"/>
        </w:rPr>
      </w:pPr>
      <w:bookmarkStart w:id="601" w:name="_Toc406492527"/>
      <w:bookmarkStart w:id="602" w:name="_Toc524795933"/>
      <w:r>
        <w:rPr>
          <w:rStyle w:val="CharSectno"/>
        </w:rPr>
        <w:t>53A</w:t>
      </w:r>
      <w:r>
        <w:rPr>
          <w:snapToGrid w:val="0"/>
        </w:rPr>
        <w:t>.</w:t>
      </w:r>
      <w:r>
        <w:rPr>
          <w:snapToGrid w:val="0"/>
        </w:rPr>
        <w:tab/>
        <w:t>Dispensing prescriptions for Sch. 8 poisons</w:t>
      </w:r>
      <w:bookmarkEnd w:id="601"/>
      <w:bookmarkEnd w:id="602"/>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keepLines/>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Footnoteheading"/>
      </w:pPr>
      <w:r>
        <w:tab/>
        <w:t>[Heading deleted in Gazette 12 Aug 2003 p. 3663.]</w:t>
      </w:r>
    </w:p>
    <w:p>
      <w:pPr>
        <w:pStyle w:val="Heading5"/>
        <w:rPr>
          <w:snapToGrid w:val="0"/>
        </w:rPr>
      </w:pPr>
      <w:bookmarkStart w:id="603" w:name="_Toc406492528"/>
      <w:bookmarkStart w:id="604" w:name="_Toc524795934"/>
      <w:r>
        <w:rPr>
          <w:rStyle w:val="CharSectno"/>
        </w:rPr>
        <w:t>54</w:t>
      </w:r>
      <w:r>
        <w:rPr>
          <w:snapToGrid w:val="0"/>
        </w:rPr>
        <w:t>.</w:t>
      </w:r>
      <w:r>
        <w:rPr>
          <w:snapToGrid w:val="0"/>
        </w:rPr>
        <w:tab/>
        <w:t>Delivery of Sch. 8 poisons other than by dispensing</w:t>
      </w:r>
      <w:bookmarkEnd w:id="603"/>
      <w:bookmarkEnd w:id="604"/>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 and</w:t>
      </w:r>
    </w:p>
    <w:p>
      <w:pPr>
        <w:pStyle w:val="Indenti"/>
        <w:rPr>
          <w:snapToGrid w:val="0"/>
        </w:rPr>
      </w:pPr>
      <w:r>
        <w:rPr>
          <w:snapToGrid w:val="0"/>
        </w:rPr>
        <w:tab/>
        <w:t>(ii)</w:t>
      </w:r>
      <w:r>
        <w:rPr>
          <w:snapToGrid w:val="0"/>
        </w:rPr>
        <w:tab/>
        <w:t>bearing on the face thereof — </w:t>
      </w:r>
    </w:p>
    <w:p>
      <w:pPr>
        <w:pStyle w:val="IndentI0"/>
        <w:spacing w:before="60"/>
        <w:rPr>
          <w:snapToGrid w:val="0"/>
        </w:rPr>
      </w:pPr>
      <w:r>
        <w:rPr>
          <w:snapToGrid w:val="0"/>
        </w:rPr>
        <w:tab/>
        <w:t>(I)</w:t>
      </w:r>
      <w:r>
        <w:rPr>
          <w:snapToGrid w:val="0"/>
        </w:rPr>
        <w:tab/>
        <w:t>the date when it is written;</w:t>
      </w:r>
    </w:p>
    <w:p>
      <w:pPr>
        <w:pStyle w:val="IndentI0"/>
        <w:spacing w:before="60"/>
        <w:rPr>
          <w:snapToGrid w:val="0"/>
        </w:rPr>
      </w:pPr>
      <w:r>
        <w:rPr>
          <w:snapToGrid w:val="0"/>
        </w:rPr>
        <w:tab/>
        <w:t>(II)</w:t>
      </w:r>
      <w:r>
        <w:rPr>
          <w:snapToGrid w:val="0"/>
        </w:rPr>
        <w:tab/>
        <w:t>the name and address of the person requiring it to be supplied;</w:t>
      </w:r>
    </w:p>
    <w:p>
      <w:pPr>
        <w:pStyle w:val="IndentI0"/>
        <w:spacing w:before="60"/>
        <w:rPr>
          <w:snapToGrid w:val="0"/>
        </w:rPr>
      </w:pPr>
      <w:r>
        <w:rPr>
          <w:snapToGrid w:val="0"/>
        </w:rPr>
        <w:tab/>
        <w:t>(III)</w:t>
      </w:r>
      <w:r>
        <w:rPr>
          <w:snapToGrid w:val="0"/>
        </w:rPr>
        <w:tab/>
        <w:t>the quantity and description of the poison included in Schedule 8 to be supplied;</w:t>
      </w:r>
    </w:p>
    <w:p>
      <w:pPr>
        <w:pStyle w:val="Indenti"/>
        <w:spacing w:before="60"/>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spacing w:before="120"/>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w:t>
      </w:r>
      <w:r>
        <w:noBreakHyphen/>
        <w:t>1; 7 Nov 2008 p. 4818.]</w:t>
      </w:r>
    </w:p>
    <w:p>
      <w:pPr>
        <w:pStyle w:val="Heading5"/>
        <w:spacing w:before="480"/>
        <w:rPr>
          <w:snapToGrid w:val="0"/>
        </w:rPr>
      </w:pPr>
      <w:bookmarkStart w:id="605" w:name="_Toc406492529"/>
      <w:bookmarkStart w:id="606" w:name="_Toc524795935"/>
      <w:r>
        <w:rPr>
          <w:rStyle w:val="CharSectno"/>
        </w:rPr>
        <w:t>54A</w:t>
      </w:r>
      <w:r>
        <w:rPr>
          <w:snapToGrid w:val="0"/>
        </w:rPr>
        <w:t>.</w:t>
      </w:r>
      <w:r>
        <w:rPr>
          <w:snapToGrid w:val="0"/>
        </w:rPr>
        <w:tab/>
        <w:t>Packaging of drugs of addiction</w:t>
      </w:r>
      <w:bookmarkEnd w:id="605"/>
      <w:bookmarkEnd w:id="606"/>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Footnoteheading"/>
      </w:pPr>
      <w:r>
        <w:tab/>
        <w:t>[Heading deleted in Gazette 12 Aug 2003 p. 3663.]</w:t>
      </w:r>
    </w:p>
    <w:p>
      <w:pPr>
        <w:pStyle w:val="Heading5"/>
        <w:rPr>
          <w:snapToGrid w:val="0"/>
        </w:rPr>
      </w:pPr>
      <w:bookmarkStart w:id="607" w:name="_Toc406492530"/>
      <w:bookmarkStart w:id="608" w:name="_Toc524795936"/>
      <w:r>
        <w:rPr>
          <w:rStyle w:val="CharSectno"/>
        </w:rPr>
        <w:t>55</w:t>
      </w:r>
      <w:r>
        <w:rPr>
          <w:snapToGrid w:val="0"/>
        </w:rPr>
        <w:t>.</w:t>
      </w:r>
      <w:r>
        <w:rPr>
          <w:snapToGrid w:val="0"/>
        </w:rPr>
        <w:tab/>
        <w:t>Common carriers protected</w:t>
      </w:r>
      <w:bookmarkEnd w:id="607"/>
      <w:bookmarkEnd w:id="608"/>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Footnoteheading"/>
      </w:pPr>
      <w:r>
        <w:tab/>
        <w:t>[Heading deleted in Gazette 12 Aug 2003 p. 3663.]</w:t>
      </w:r>
    </w:p>
    <w:p>
      <w:pPr>
        <w:pStyle w:val="Heading3"/>
        <w:keepNext w:val="0"/>
        <w:spacing w:before="200"/>
      </w:pPr>
      <w:bookmarkStart w:id="609" w:name="_Toc406084344"/>
      <w:bookmarkStart w:id="610" w:name="_Toc406492531"/>
      <w:bookmarkStart w:id="611" w:name="_Toc414629674"/>
      <w:bookmarkStart w:id="612" w:name="_Toc414629901"/>
      <w:bookmarkStart w:id="613" w:name="_Toc414871765"/>
      <w:bookmarkStart w:id="614" w:name="_Toc414873531"/>
      <w:bookmarkStart w:id="615" w:name="_Toc418582573"/>
      <w:bookmarkStart w:id="616" w:name="_Toc423426620"/>
      <w:bookmarkStart w:id="617" w:name="_Toc423427021"/>
      <w:bookmarkStart w:id="618" w:name="_Toc524795937"/>
      <w:r>
        <w:rPr>
          <w:rStyle w:val="CharDivNo"/>
        </w:rPr>
        <w:t>Division 4</w:t>
      </w:r>
      <w:r>
        <w:t xml:space="preserve"> — </w:t>
      </w:r>
      <w:r>
        <w:rPr>
          <w:rStyle w:val="CharDivText"/>
        </w:rPr>
        <w:t>Safe custody</w:t>
      </w:r>
      <w:bookmarkEnd w:id="609"/>
      <w:bookmarkEnd w:id="610"/>
      <w:bookmarkEnd w:id="611"/>
      <w:bookmarkEnd w:id="612"/>
      <w:bookmarkEnd w:id="613"/>
      <w:bookmarkEnd w:id="614"/>
      <w:bookmarkEnd w:id="615"/>
      <w:bookmarkEnd w:id="616"/>
      <w:bookmarkEnd w:id="617"/>
      <w:bookmarkEnd w:id="618"/>
    </w:p>
    <w:p>
      <w:pPr>
        <w:pStyle w:val="Footnoteheading"/>
      </w:pPr>
      <w:r>
        <w:tab/>
        <w:t>[Heading inserted in Gazette 12 Aug 2003 p. 3665.]</w:t>
      </w:r>
    </w:p>
    <w:p>
      <w:pPr>
        <w:pStyle w:val="Heading5"/>
        <w:keepNext w:val="0"/>
        <w:keepLines w:val="0"/>
        <w:spacing w:before="180"/>
        <w:rPr>
          <w:snapToGrid w:val="0"/>
        </w:rPr>
      </w:pPr>
      <w:bookmarkStart w:id="619" w:name="_Toc406492532"/>
      <w:bookmarkStart w:id="620" w:name="_Toc524795938"/>
      <w:r>
        <w:rPr>
          <w:rStyle w:val="CharSectno"/>
        </w:rPr>
        <w:t>56</w:t>
      </w:r>
      <w:r>
        <w:rPr>
          <w:snapToGrid w:val="0"/>
        </w:rPr>
        <w:t>.</w:t>
      </w:r>
      <w:r>
        <w:rPr>
          <w:snapToGrid w:val="0"/>
        </w:rPr>
        <w:tab/>
        <w:t>Storing and securing drugs of addiction</w:t>
      </w:r>
      <w:bookmarkEnd w:id="619"/>
      <w:bookmarkEnd w:id="620"/>
      <w:r>
        <w:rPr>
          <w:snapToGrid w:val="0"/>
        </w:rPr>
        <w:t xml:space="preserve"> </w:t>
      </w:r>
    </w:p>
    <w:p>
      <w:pPr>
        <w:pStyle w:val="Subsection"/>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w:t>
      </w:r>
      <w:r>
        <w:t>42(1), (2A) or (4); or</w:t>
      </w:r>
    </w:p>
    <w:p>
      <w:pPr>
        <w:pStyle w:val="Indenta"/>
        <w:keepNext/>
        <w:rPr>
          <w:snapToGrid w:val="0"/>
        </w:rPr>
      </w:pPr>
      <w:r>
        <w:rPr>
          <w:snapToGrid w:val="0"/>
        </w:rPr>
        <w:tab/>
        <w:t>(b)</w:t>
      </w:r>
      <w:r>
        <w:rPr>
          <w:snapToGrid w:val="0"/>
        </w:rPr>
        <w:tab/>
        <w:t>licensed under regulation 3,</w:t>
      </w:r>
    </w:p>
    <w:p>
      <w:pPr>
        <w:pStyle w:val="Subsection"/>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w:t>
      </w:r>
      <w:r>
        <w:t>42(1) or (2A); or</w:t>
      </w:r>
    </w:p>
    <w:p>
      <w:pPr>
        <w:pStyle w:val="Indenta"/>
        <w:keepNext/>
        <w:rPr>
          <w:snapToGrid w:val="0"/>
        </w:rPr>
      </w:pPr>
      <w:r>
        <w:rPr>
          <w:snapToGrid w:val="0"/>
        </w:rPr>
        <w:tab/>
        <w:t>(b)</w:t>
      </w:r>
      <w:r>
        <w:rPr>
          <w:snapToGrid w:val="0"/>
        </w:rPr>
        <w:tab/>
        <w:t>licensed under regulation 3,</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spacing w:before="70"/>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or</w:t>
      </w:r>
    </w:p>
    <w:p>
      <w:pPr>
        <w:pStyle w:val="Indenta"/>
        <w:spacing w:before="70"/>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keepNext/>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 or</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 or</w:t>
      </w:r>
    </w:p>
    <w:p>
      <w:pPr>
        <w:pStyle w:val="Indenta"/>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rPr>
          <w:snapToGrid w:val="0"/>
        </w:rPr>
      </w:pPr>
      <w:r>
        <w:rPr>
          <w:snapToGrid w:val="0"/>
        </w:rPr>
        <w:tab/>
        <w:t>(i)</w:t>
      </w:r>
      <w:r>
        <w:rPr>
          <w:snapToGrid w:val="0"/>
        </w:rPr>
        <w:tab/>
        <w:t xml:space="preserve">transported by a medical practitioner, </w:t>
      </w:r>
      <w:r>
        <w:t>nurse practitioner, endorsed midwife,</w:t>
      </w:r>
      <w:r>
        <w:rPr>
          <w:snapToGrid w:val="0"/>
        </w:rPr>
        <w:t xml:space="preserve"> dentist or veterinary surgeon for the purpose of his or her profession or practice; or</w:t>
      </w:r>
    </w:p>
    <w:p>
      <w:pPr>
        <w:pStyle w:val="Indenti"/>
        <w:keepNext/>
        <w:rPr>
          <w:snapToGrid w:val="0"/>
        </w:rPr>
      </w:pPr>
      <w:r>
        <w:rPr>
          <w:snapToGrid w:val="0"/>
        </w:rPr>
        <w:tab/>
        <w:t>(ii)</w:t>
      </w:r>
      <w:r>
        <w:rPr>
          <w:snapToGrid w:val="0"/>
        </w:rPr>
        <w:tab/>
        <w:t xml:space="preserve">otherwise in the possession of a medical practitioner, </w:t>
      </w:r>
      <w:r>
        <w:t>nurse practitioner, endorsed midwife,</w:t>
      </w:r>
      <w:r>
        <w:rPr>
          <w:snapToGrid w:val="0"/>
        </w:rPr>
        <w:t xml:space="preserve"> dentist or veterinary surgeon,</w:t>
      </w:r>
    </w:p>
    <w:p>
      <w:pPr>
        <w:pStyle w:val="Indenta"/>
        <w:rPr>
          <w:snapToGrid w:val="0"/>
        </w:rPr>
      </w:pPr>
      <w:r>
        <w:rPr>
          <w:snapToGrid w:val="0"/>
        </w:rPr>
        <w:tab/>
      </w:r>
      <w:r>
        <w:rPr>
          <w:snapToGrid w:val="0"/>
        </w:rPr>
        <w:tab/>
        <w:t xml:space="preserve">if that medical practitioner, </w:t>
      </w:r>
      <w:r>
        <w:t>nurse practitioner, endorsed midwife,</w:t>
      </w:r>
      <w:r>
        <w:rPr>
          <w:snapToGrid w:val="0"/>
        </w:rPr>
        <w:t xml:space="preserve">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w:t>
      </w:r>
      <w:r>
        <w:noBreakHyphen/>
        <w:t>1; 1 Oct 2010 p. 5079</w:t>
      </w:r>
      <w:r>
        <w:noBreakHyphen/>
        <w:t>80; 22 Oct 2010 p. 5218; 1 Jun 2012 p. 2325-6; 10 Aug 2012 p. 3807.]</w:t>
      </w:r>
    </w:p>
    <w:p>
      <w:pPr>
        <w:pStyle w:val="Heading5"/>
        <w:spacing w:before="260"/>
        <w:rPr>
          <w:snapToGrid w:val="0"/>
        </w:rPr>
      </w:pPr>
      <w:bookmarkStart w:id="621" w:name="_Toc406492533"/>
      <w:bookmarkStart w:id="622" w:name="_Toc524795939"/>
      <w:r>
        <w:rPr>
          <w:rStyle w:val="CharSectno"/>
        </w:rPr>
        <w:t>56A</w:t>
      </w:r>
      <w:r>
        <w:rPr>
          <w:snapToGrid w:val="0"/>
        </w:rPr>
        <w:t>.</w:t>
      </w:r>
      <w:r>
        <w:rPr>
          <w:snapToGrid w:val="0"/>
        </w:rPr>
        <w:tab/>
        <w:t>Amounts prescribed for r. 56(1) and (2)</w:t>
      </w:r>
      <w:bookmarkEnd w:id="621"/>
      <w:bookmarkEnd w:id="622"/>
      <w:r>
        <w:rPr>
          <w:snapToGrid w:val="0"/>
        </w:rPr>
        <w:t xml:space="preserve"> </w:t>
      </w:r>
    </w:p>
    <w:p>
      <w:pPr>
        <w:pStyle w:val="Subsection"/>
        <w:keepNext/>
        <w:keepLines/>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ml of liquid; or</w:t>
      </w:r>
    </w:p>
    <w:p>
      <w:pPr>
        <w:pStyle w:val="Indenta"/>
        <w:rPr>
          <w:snapToGrid w:val="0"/>
        </w:rPr>
      </w:pPr>
      <w:r>
        <w:rPr>
          <w:snapToGrid w:val="0"/>
        </w:rPr>
        <w:tab/>
        <w:t>(d)</w:t>
      </w:r>
      <w:r>
        <w:rPr>
          <w:snapToGrid w:val="0"/>
        </w:rPr>
        <w:tab/>
        <w:t>7.5 g,</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623" w:name="_Toc406492534"/>
      <w:bookmarkStart w:id="624" w:name="_Toc524795940"/>
      <w:r>
        <w:rPr>
          <w:rStyle w:val="CharSectno"/>
        </w:rPr>
        <w:t>56B</w:t>
      </w:r>
      <w:r>
        <w:rPr>
          <w:snapToGrid w:val="0"/>
        </w:rPr>
        <w:t>.</w:t>
      </w:r>
      <w:r>
        <w:rPr>
          <w:snapToGrid w:val="0"/>
        </w:rPr>
        <w:tab/>
        <w:t>Safes, location of</w:t>
      </w:r>
      <w:bookmarkEnd w:id="623"/>
      <w:bookmarkEnd w:id="624"/>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spacing w:before="110"/>
      </w:pPr>
      <w:r>
        <w:tab/>
        <w:t>[Regulation 56B inserted in Gazette 25 Jun 1993 p. 3082.]</w:t>
      </w:r>
    </w:p>
    <w:p>
      <w:pPr>
        <w:pStyle w:val="Heading5"/>
        <w:rPr>
          <w:snapToGrid w:val="0"/>
        </w:rPr>
      </w:pPr>
      <w:bookmarkStart w:id="625" w:name="_Toc406492535"/>
      <w:bookmarkStart w:id="626" w:name="_Toc524795941"/>
      <w:r>
        <w:rPr>
          <w:rStyle w:val="CharSectno"/>
        </w:rPr>
        <w:t>56C</w:t>
      </w:r>
      <w:r>
        <w:rPr>
          <w:snapToGrid w:val="0"/>
        </w:rPr>
        <w:t>.</w:t>
      </w:r>
      <w:r>
        <w:rPr>
          <w:snapToGrid w:val="0"/>
        </w:rPr>
        <w:tab/>
        <w:t>Keys to safes, who may possess</w:t>
      </w:r>
      <w:bookmarkEnd w:id="625"/>
      <w:bookmarkEnd w:id="62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spacing w:before="60"/>
        <w:rPr>
          <w:snapToGrid w:val="0"/>
        </w:rPr>
      </w:pPr>
      <w:r>
        <w:rPr>
          <w:snapToGrid w:val="0"/>
        </w:rPr>
        <w:tab/>
        <w:t>(a)</w:t>
      </w:r>
      <w:r>
        <w:rPr>
          <w:snapToGrid w:val="0"/>
        </w:rPr>
        <w:tab/>
        <w:t>keep the key to the safe in his or her immediate and personal possession; or</w:t>
      </w:r>
    </w:p>
    <w:p>
      <w:pPr>
        <w:pStyle w:val="Indenta"/>
        <w:spacing w:before="60"/>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10"/>
      </w:pPr>
      <w:r>
        <w:tab/>
        <w:t>[Regulation 56C inserted in Gazette 25 Jun 1993 p. 3082; amended in Gazette 26 May 1994 p. 2201; 15 Dec 2006 p. 5630</w:t>
      </w:r>
      <w:r>
        <w:noBreakHyphen/>
        <w:t xml:space="preserve">1.] </w:t>
      </w:r>
    </w:p>
    <w:p>
      <w:pPr>
        <w:pStyle w:val="Heading5"/>
        <w:rPr>
          <w:snapToGrid w:val="0"/>
        </w:rPr>
      </w:pPr>
      <w:bookmarkStart w:id="627" w:name="_Toc406492536"/>
      <w:bookmarkStart w:id="628" w:name="_Toc524795942"/>
      <w:r>
        <w:rPr>
          <w:rStyle w:val="CharSectno"/>
        </w:rPr>
        <w:t>56D</w:t>
      </w:r>
      <w:r>
        <w:rPr>
          <w:snapToGrid w:val="0"/>
        </w:rPr>
        <w:t>.</w:t>
      </w:r>
      <w:r>
        <w:rPr>
          <w:snapToGrid w:val="0"/>
        </w:rPr>
        <w:tab/>
        <w:t>Safes, rules as to locking</w:t>
      </w:r>
      <w:bookmarkEnd w:id="627"/>
      <w:bookmarkEnd w:id="628"/>
      <w:r>
        <w:rPr>
          <w:snapToGrid w:val="0"/>
        </w:rPr>
        <w:t xml:space="preserve"> </w:t>
      </w:r>
    </w:p>
    <w:p>
      <w:pPr>
        <w:pStyle w:val="Subsection"/>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8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100"/>
        <w:rPr>
          <w:snapToGrid w:val="0"/>
        </w:rPr>
      </w:pPr>
      <w:r>
        <w:rPr>
          <w:snapToGrid w:val="0"/>
        </w:rPr>
        <w:tab/>
        <w:t>(a)</w:t>
      </w:r>
      <w:r>
        <w:rPr>
          <w:snapToGrid w:val="0"/>
        </w:rPr>
        <w:tab/>
        <w:t>when items are being placed into, or being removed from, the safe; or</w:t>
      </w:r>
    </w:p>
    <w:p>
      <w:pPr>
        <w:pStyle w:val="Indenta"/>
        <w:spacing w:before="10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pPr>
      <w:r>
        <w:tab/>
        <w:t xml:space="preserve">[Regulation 56D inserted in Gazette 25 Jun 1993 p. 3082.] </w:t>
      </w:r>
    </w:p>
    <w:p>
      <w:pPr>
        <w:pStyle w:val="Heading5"/>
        <w:spacing w:before="240"/>
        <w:rPr>
          <w:snapToGrid w:val="0"/>
        </w:rPr>
      </w:pPr>
      <w:bookmarkStart w:id="629" w:name="_Toc406492537"/>
      <w:bookmarkStart w:id="630" w:name="_Toc524795943"/>
      <w:r>
        <w:rPr>
          <w:rStyle w:val="CharSectno"/>
        </w:rPr>
        <w:t>56E</w:t>
      </w:r>
      <w:r>
        <w:rPr>
          <w:snapToGrid w:val="0"/>
        </w:rPr>
        <w:t>.</w:t>
      </w:r>
      <w:r>
        <w:rPr>
          <w:snapToGrid w:val="0"/>
        </w:rPr>
        <w:tab/>
        <w:t>Pharmacist at pharmacy may store Sch. 8 poison in poisons cupboard</w:t>
      </w:r>
      <w:bookmarkEnd w:id="629"/>
      <w:bookmarkEnd w:id="630"/>
      <w:r>
        <w:rPr>
          <w:snapToGrid w:val="0"/>
        </w:rPr>
        <w:t xml:space="preserve"> </w:t>
      </w:r>
    </w:p>
    <w:p>
      <w:pPr>
        <w:pStyle w:val="Subsection"/>
        <w:spacing w:before="180"/>
        <w:rPr>
          <w:snapToGrid w:val="0"/>
        </w:rPr>
      </w:pPr>
      <w:r>
        <w:rPr>
          <w:snapToGrid w:val="0"/>
        </w:rPr>
        <w:tab/>
      </w:r>
      <w:r>
        <w:rPr>
          <w:snapToGrid w:val="0"/>
        </w:rPr>
        <w:tab/>
        <w:t xml:space="preserve">A </w:t>
      </w:r>
      <w:r>
        <w:t>pharmacist</w:t>
      </w:r>
      <w:r>
        <w:rPr>
          <w:snapToGrid w:val="0"/>
        </w:rPr>
        <w:t xml:space="preserve"> who is — </w:t>
      </w:r>
    </w:p>
    <w:p>
      <w:pPr>
        <w:pStyle w:val="Indenta"/>
        <w:spacing w:before="100"/>
        <w:rPr>
          <w:snapToGrid w:val="0"/>
        </w:rPr>
      </w:pPr>
      <w:r>
        <w:rPr>
          <w:snapToGrid w:val="0"/>
        </w:rPr>
        <w:tab/>
        <w:t>(a)</w:t>
      </w:r>
      <w:r>
        <w:rPr>
          <w:snapToGrid w:val="0"/>
        </w:rPr>
        <w:tab/>
        <w:t>authorised to be, and is, in possession of a poison included in Schedule 8; and</w:t>
      </w:r>
    </w:p>
    <w:p>
      <w:pPr>
        <w:pStyle w:val="Indenta"/>
        <w:spacing w:before="100"/>
        <w:rPr>
          <w:snapToGrid w:val="0"/>
        </w:rPr>
      </w:pPr>
      <w:r>
        <w:rPr>
          <w:snapToGrid w:val="0"/>
        </w:rPr>
        <w:tab/>
        <w:t>(b)</w:t>
      </w:r>
      <w:r>
        <w:rPr>
          <w:snapToGrid w:val="0"/>
        </w:rPr>
        <w:tab/>
        <w:t xml:space="preserve">present on the pharmacy premises, </w:t>
      </w:r>
    </w:p>
    <w:p>
      <w:pPr>
        <w:pStyle w:val="Subsection"/>
        <w:spacing w:before="20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pPr>
      <w:r>
        <w:tab/>
        <w:t>[Regulation 56E inserted in Gazette 25 Jun 1993 p. 3083; amended in Gazette 19 Mar 1996 p. 1233; 1 Oct 2010 p. 5079</w:t>
      </w:r>
      <w:r>
        <w:noBreakHyphen/>
        <w:t xml:space="preserve">80.] </w:t>
      </w:r>
    </w:p>
    <w:p>
      <w:pPr>
        <w:pStyle w:val="Heading5"/>
        <w:spacing w:before="240"/>
        <w:rPr>
          <w:snapToGrid w:val="0"/>
        </w:rPr>
      </w:pPr>
      <w:bookmarkStart w:id="631" w:name="_Toc406492538"/>
      <w:bookmarkStart w:id="632" w:name="_Toc524795944"/>
      <w:r>
        <w:rPr>
          <w:rStyle w:val="CharSectno"/>
        </w:rPr>
        <w:t>56F</w:t>
      </w:r>
      <w:r>
        <w:rPr>
          <w:snapToGrid w:val="0"/>
        </w:rPr>
        <w:t>.</w:t>
      </w:r>
      <w:r>
        <w:rPr>
          <w:snapToGrid w:val="0"/>
        </w:rPr>
        <w:tab/>
        <w:t>Poisons cupboards etc. of pharmacists, security of</w:t>
      </w:r>
      <w:bookmarkEnd w:id="631"/>
      <w:bookmarkEnd w:id="632"/>
      <w:r>
        <w:rPr>
          <w:snapToGrid w:val="0"/>
        </w:rPr>
        <w:t xml:space="preserve"> </w:t>
      </w:r>
    </w:p>
    <w:p>
      <w:pPr>
        <w:pStyle w:val="Subsection"/>
        <w:keepNext/>
        <w:keepLines/>
        <w:spacing w:before="180"/>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spacing w:before="60"/>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[Regulation 56F inserted in Gazette 25 Jun 1993 p. 3083; amended in Gazette 1 Oct 2010 p. 5079</w:t>
      </w:r>
      <w:r>
        <w:noBreakHyphen/>
        <w:t xml:space="preserve">80.] </w:t>
      </w:r>
    </w:p>
    <w:p>
      <w:pPr>
        <w:pStyle w:val="Heading5"/>
        <w:spacing w:before="280"/>
        <w:rPr>
          <w:snapToGrid w:val="0"/>
        </w:rPr>
      </w:pPr>
      <w:bookmarkStart w:id="633" w:name="_Toc406492539"/>
      <w:bookmarkStart w:id="634" w:name="_Toc524795945"/>
      <w:r>
        <w:rPr>
          <w:rStyle w:val="CharSectno"/>
        </w:rPr>
        <w:t>56G</w:t>
      </w:r>
      <w:r>
        <w:rPr>
          <w:snapToGrid w:val="0"/>
        </w:rPr>
        <w:t>.</w:t>
      </w:r>
      <w:r>
        <w:rPr>
          <w:snapToGrid w:val="0"/>
        </w:rPr>
        <w:tab/>
        <w:t>Sch. 8 poisons in hospital wards, storage of</w:t>
      </w:r>
      <w:bookmarkEnd w:id="633"/>
      <w:bookmarkEnd w:id="634"/>
      <w:r>
        <w:rPr>
          <w:snapToGrid w:val="0"/>
        </w:rPr>
        <w:t xml:space="preserve"> </w:t>
      </w:r>
    </w:p>
    <w:p>
      <w:pPr>
        <w:pStyle w:val="Subsection"/>
        <w:spacing w:before="180"/>
        <w:rPr>
          <w:snapToGrid w:val="0"/>
        </w:rPr>
      </w:pPr>
      <w:r>
        <w:tab/>
        <w:t>(1)</w:t>
      </w:r>
      <w:r>
        <w:tab/>
        <w:t>A poison</w:t>
      </w:r>
      <w:r>
        <w:rPr>
          <w:snapToGrid w:val="0"/>
        </w:rPr>
        <w:t xml:space="preserve">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keepNext/>
        <w:rPr>
          <w:snapToGrid w:val="0"/>
        </w:rPr>
      </w:pPr>
      <w:r>
        <w:rPr>
          <w:snapToGrid w:val="0"/>
        </w:rPr>
        <w:tab/>
        <w:t>(b)</w:t>
      </w:r>
      <w:r>
        <w:rPr>
          <w:snapToGrid w:val="0"/>
        </w:rPr>
        <w:tab/>
        <w:t>in a lockable portion of a cupboard in the ward,</w:t>
      </w:r>
    </w:p>
    <w:p>
      <w:pPr>
        <w:pStyle w:val="Subsection"/>
        <w:spacing w:before="180"/>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Subsection"/>
      </w:pPr>
      <w:r>
        <w:tab/>
        <w:t>(2)</w:t>
      </w:r>
      <w:r>
        <w:tab/>
        <w:t>A poison included in Schedule 8 may be stored in a hospital ward if the poison is stored in an electronic storage and supply unit that has been installed in accordance with an approval of the CEO under regulation 32G(1).</w:t>
      </w:r>
    </w:p>
    <w:p>
      <w:pPr>
        <w:pStyle w:val="Footnotesection"/>
      </w:pPr>
      <w:r>
        <w:tab/>
        <w:t xml:space="preserve">[Regulation 56G inserted in Gazette 25 Jun 1993 p. 3083; amended in Gazette 19 Mar 1996 p. 1233; 20 Mar 2015 p. 909.] </w:t>
      </w:r>
    </w:p>
    <w:p>
      <w:pPr>
        <w:pStyle w:val="Heading5"/>
        <w:spacing w:before="280"/>
        <w:rPr>
          <w:snapToGrid w:val="0"/>
        </w:rPr>
      </w:pPr>
      <w:bookmarkStart w:id="635" w:name="_Toc406492540"/>
      <w:bookmarkStart w:id="636" w:name="_Toc524795946"/>
      <w:r>
        <w:rPr>
          <w:rStyle w:val="CharSectno"/>
        </w:rPr>
        <w:t>56H</w:t>
      </w:r>
      <w:r>
        <w:rPr>
          <w:snapToGrid w:val="0"/>
        </w:rPr>
        <w:t>.</w:t>
      </w:r>
      <w:r>
        <w:rPr>
          <w:snapToGrid w:val="0"/>
        </w:rPr>
        <w:tab/>
        <w:t>Sch. 8 poisons cupboards in hospital wards, security of</w:t>
      </w:r>
      <w:bookmarkEnd w:id="635"/>
      <w:bookmarkEnd w:id="636"/>
      <w:r>
        <w:rPr>
          <w:snapToGrid w:val="0"/>
        </w:rPr>
        <w:t xml:space="preserve"> </w:t>
      </w:r>
    </w:p>
    <w:p>
      <w:pPr>
        <w:pStyle w:val="Subsection"/>
        <w:spacing w:before="200"/>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w:t>
      </w:r>
      <w:r>
        <w:t xml:space="preserve">56G(1) </w:t>
      </w:r>
      <w:r>
        <w:rPr>
          <w:snapToGrid w:val="0"/>
        </w:rPr>
        <w:t>shall — </w:t>
      </w:r>
    </w:p>
    <w:p>
      <w:pPr>
        <w:pStyle w:val="Indenta"/>
        <w:spacing w:before="100"/>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spacing w:before="100"/>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20 Mar 2015 p. 910.] </w:t>
      </w:r>
    </w:p>
    <w:p>
      <w:pPr>
        <w:pStyle w:val="Footnoteheading"/>
      </w:pPr>
      <w:r>
        <w:tab/>
        <w:t>[Heading deleted in Gazette 12 Aug 2003 p. 3663.]</w:t>
      </w:r>
    </w:p>
    <w:p>
      <w:pPr>
        <w:pStyle w:val="Heading3"/>
      </w:pPr>
      <w:bookmarkStart w:id="637" w:name="_Toc406084354"/>
      <w:bookmarkStart w:id="638" w:name="_Toc406492541"/>
      <w:bookmarkStart w:id="639" w:name="_Toc414629684"/>
      <w:bookmarkStart w:id="640" w:name="_Toc414629911"/>
      <w:bookmarkStart w:id="641" w:name="_Toc414871775"/>
      <w:bookmarkStart w:id="642" w:name="_Toc414873541"/>
      <w:bookmarkStart w:id="643" w:name="_Toc418582583"/>
      <w:bookmarkStart w:id="644" w:name="_Toc423426630"/>
      <w:bookmarkStart w:id="645" w:name="_Toc423427031"/>
      <w:bookmarkStart w:id="646" w:name="_Toc524795947"/>
      <w:r>
        <w:rPr>
          <w:rStyle w:val="CharDivNo"/>
        </w:rPr>
        <w:t>Division 5</w:t>
      </w:r>
      <w:r>
        <w:t xml:space="preserve"> — </w:t>
      </w:r>
      <w:r>
        <w:rPr>
          <w:rStyle w:val="CharDivText"/>
        </w:rPr>
        <w:t>Restrictions on supply</w:t>
      </w:r>
      <w:bookmarkEnd w:id="637"/>
      <w:bookmarkEnd w:id="638"/>
      <w:bookmarkEnd w:id="639"/>
      <w:bookmarkEnd w:id="640"/>
      <w:bookmarkEnd w:id="641"/>
      <w:bookmarkEnd w:id="642"/>
      <w:bookmarkEnd w:id="643"/>
      <w:bookmarkEnd w:id="644"/>
      <w:bookmarkEnd w:id="645"/>
      <w:bookmarkEnd w:id="646"/>
    </w:p>
    <w:p>
      <w:pPr>
        <w:pStyle w:val="Footnoteheading"/>
        <w:spacing w:before="80"/>
      </w:pPr>
      <w:r>
        <w:tab/>
        <w:t>[Heading inserted in Gazette 12 Aug 2003 p. 3665.]</w:t>
      </w:r>
    </w:p>
    <w:p>
      <w:pPr>
        <w:pStyle w:val="Heading5"/>
        <w:spacing w:before="180"/>
        <w:rPr>
          <w:snapToGrid w:val="0"/>
        </w:rPr>
      </w:pPr>
      <w:bookmarkStart w:id="647" w:name="_Toc406492542"/>
      <w:bookmarkStart w:id="648" w:name="_Toc524795948"/>
      <w:r>
        <w:rPr>
          <w:rStyle w:val="CharSectno"/>
        </w:rPr>
        <w:t>57</w:t>
      </w:r>
      <w:r>
        <w:rPr>
          <w:snapToGrid w:val="0"/>
        </w:rPr>
        <w:t>.</w:t>
      </w:r>
      <w:r>
        <w:rPr>
          <w:snapToGrid w:val="0"/>
        </w:rPr>
        <w:tab/>
        <w:t>Labelling requirements</w:t>
      </w:r>
      <w:bookmarkEnd w:id="647"/>
      <w:bookmarkEnd w:id="648"/>
      <w:r>
        <w:rPr>
          <w:snapToGrid w:val="0"/>
        </w:rPr>
        <w:t xml:space="preserve"> </w:t>
      </w:r>
    </w:p>
    <w:p>
      <w:pPr>
        <w:pStyle w:val="Subsection"/>
        <w:spacing w:before="110"/>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spacing w:before="110"/>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spacing w:before="110"/>
        <w:rPr>
          <w:snapToGrid w:val="0"/>
        </w:rPr>
      </w:pPr>
      <w:r>
        <w:rPr>
          <w:snapToGrid w:val="0"/>
        </w:rPr>
        <w:tab/>
        <w:t>(3)</w:t>
      </w:r>
      <w:r>
        <w:rPr>
          <w:snapToGrid w:val="0"/>
        </w:rPr>
        <w:tab/>
        <w:t>This regulation does not apply to any drug of addiction, preparation, or admixture dispensed in accordance with these regulations.</w:t>
      </w:r>
    </w:p>
    <w:p>
      <w:pPr>
        <w:pStyle w:val="Footnoteheading"/>
        <w:spacing w:before="80"/>
      </w:pPr>
      <w:r>
        <w:tab/>
        <w:t>[Heading deleted in Gazette 12 Aug 2003 p. 3663.]</w:t>
      </w:r>
    </w:p>
    <w:p>
      <w:pPr>
        <w:pStyle w:val="Heading5"/>
        <w:spacing w:before="180"/>
        <w:rPr>
          <w:snapToGrid w:val="0"/>
        </w:rPr>
      </w:pPr>
      <w:bookmarkStart w:id="649" w:name="_Toc406492543"/>
      <w:bookmarkStart w:id="650" w:name="_Toc524795949"/>
      <w:r>
        <w:rPr>
          <w:rStyle w:val="CharSectno"/>
        </w:rPr>
        <w:t>58</w:t>
      </w:r>
      <w:r>
        <w:rPr>
          <w:snapToGrid w:val="0"/>
        </w:rPr>
        <w:t>.</w:t>
      </w:r>
      <w:r>
        <w:rPr>
          <w:snapToGrid w:val="0"/>
        </w:rPr>
        <w:tab/>
        <w:t>Drugs of addiction not to be prescribed etc. merely for purposes of addiction</w:t>
      </w:r>
      <w:bookmarkEnd w:id="649"/>
      <w:bookmarkEnd w:id="650"/>
      <w:r>
        <w:rPr>
          <w:snapToGrid w:val="0"/>
        </w:rPr>
        <w:t xml:space="preserve"> </w:t>
      </w:r>
    </w:p>
    <w:p>
      <w:pPr>
        <w:pStyle w:val="Subsection"/>
        <w:spacing w:before="110"/>
        <w:rPr>
          <w:snapToGrid w:val="0"/>
        </w:rPr>
      </w:pPr>
      <w:r>
        <w:rPr>
          <w:snapToGrid w:val="0"/>
        </w:rPr>
        <w:tab/>
        <w:t>(1)</w:t>
      </w:r>
      <w:r>
        <w:rPr>
          <w:snapToGrid w:val="0"/>
        </w:rPr>
        <w:tab/>
        <w:t xml:space="preserve">A medical practitioner, </w:t>
      </w:r>
      <w:r>
        <w:t>nurse practitioner, dentist, endorsed podiatrist</w:t>
      </w:r>
      <w:r>
        <w:rPr>
          <w:snapToGrid w:val="0"/>
        </w:rPr>
        <w:t xml:space="preserve"> or veterinary surgeon shall not knowingly give a prescription for a drug of addiction merely for purposes of addiction.</w:t>
      </w:r>
    </w:p>
    <w:p>
      <w:pPr>
        <w:pStyle w:val="Subsection"/>
        <w:spacing w:before="110"/>
        <w:rPr>
          <w:snapToGrid w:val="0"/>
        </w:rPr>
      </w:pPr>
      <w:r>
        <w:rPr>
          <w:snapToGrid w:val="0"/>
        </w:rPr>
        <w:tab/>
        <w:t>(2)</w:t>
      </w:r>
      <w:r>
        <w:rPr>
          <w:snapToGrid w:val="0"/>
        </w:rPr>
        <w:tab/>
        <w:t xml:space="preserve">A medical practitioner, </w:t>
      </w:r>
      <w:r>
        <w:t>nurse practitioner, dentist, authorised health practitioner</w:t>
      </w:r>
      <w:r>
        <w:rPr>
          <w:snapToGrid w:val="0"/>
        </w:rPr>
        <w:t xml:space="preserve"> or veterinary surgeon shall not knowingly supply or administer a drug of addiction merely for purposes of addiction.</w:t>
      </w:r>
    </w:p>
    <w:p>
      <w:pPr>
        <w:pStyle w:val="Footnotesection"/>
        <w:spacing w:before="80"/>
      </w:pPr>
      <w:r>
        <w:tab/>
        <w:t>[Regulation 58 amended in Gazette 23 Sep 1983 p. 3807; 20 Mar 1987 p. 954; 1 Jun 2012 p. 2326.]</w:t>
      </w:r>
    </w:p>
    <w:p>
      <w:pPr>
        <w:pStyle w:val="Footnoteheading"/>
        <w:spacing w:before="80"/>
      </w:pPr>
      <w:r>
        <w:tab/>
        <w:t>[Headings deleted in Gazette 12 Aug 2003 p. 3663.]</w:t>
      </w:r>
    </w:p>
    <w:p>
      <w:pPr>
        <w:pStyle w:val="Heading2"/>
      </w:pPr>
      <w:bookmarkStart w:id="651" w:name="_Toc406084357"/>
      <w:bookmarkStart w:id="652" w:name="_Toc406492544"/>
      <w:bookmarkStart w:id="653" w:name="_Toc414629687"/>
      <w:bookmarkStart w:id="654" w:name="_Toc414629914"/>
      <w:bookmarkStart w:id="655" w:name="_Toc414871778"/>
      <w:bookmarkStart w:id="656" w:name="_Toc414873544"/>
      <w:bookmarkStart w:id="657" w:name="_Toc418582586"/>
      <w:bookmarkStart w:id="658" w:name="_Toc423426633"/>
      <w:bookmarkStart w:id="659" w:name="_Toc423427034"/>
      <w:bookmarkStart w:id="660" w:name="_Toc524795950"/>
      <w:r>
        <w:rPr>
          <w:rStyle w:val="CharPartNo"/>
        </w:rPr>
        <w:t>Part 7</w:t>
      </w:r>
      <w:r>
        <w:rPr>
          <w:rStyle w:val="CharDivNo"/>
        </w:rPr>
        <w:t> </w:t>
      </w:r>
      <w:r>
        <w:t>—</w:t>
      </w:r>
      <w:r>
        <w:rPr>
          <w:rStyle w:val="CharDivText"/>
        </w:rPr>
        <w:t> </w:t>
      </w:r>
      <w:r>
        <w:rPr>
          <w:rStyle w:val="CharPartText"/>
        </w:rPr>
        <w:t>Miscellaneous provisions</w:t>
      </w:r>
      <w:bookmarkEnd w:id="651"/>
      <w:bookmarkEnd w:id="652"/>
      <w:bookmarkEnd w:id="653"/>
      <w:bookmarkEnd w:id="654"/>
      <w:bookmarkEnd w:id="655"/>
      <w:bookmarkEnd w:id="656"/>
      <w:bookmarkEnd w:id="657"/>
      <w:bookmarkEnd w:id="658"/>
      <w:bookmarkEnd w:id="659"/>
      <w:bookmarkEnd w:id="660"/>
    </w:p>
    <w:p>
      <w:pPr>
        <w:pStyle w:val="Footnoteheading"/>
      </w:pPr>
      <w:r>
        <w:tab/>
        <w:t>[Heading inserted in Gazette 12 Aug 2003 p. 3665.]</w:t>
      </w:r>
    </w:p>
    <w:p>
      <w:pPr>
        <w:pStyle w:val="Heading5"/>
        <w:rPr>
          <w:snapToGrid w:val="0"/>
        </w:rPr>
      </w:pPr>
      <w:bookmarkStart w:id="661" w:name="_Toc406492545"/>
      <w:bookmarkStart w:id="662" w:name="_Toc524795951"/>
      <w:r>
        <w:rPr>
          <w:rStyle w:val="CharSectno"/>
        </w:rPr>
        <w:t>59</w:t>
      </w:r>
      <w:r>
        <w:rPr>
          <w:snapToGrid w:val="0"/>
        </w:rPr>
        <w:t>.</w:t>
      </w:r>
      <w:r>
        <w:rPr>
          <w:snapToGrid w:val="0"/>
        </w:rPr>
        <w:tab/>
        <w:t xml:space="preserve">CEO’s decision cancelling etc. licences etc. may be published in </w:t>
      </w:r>
      <w:r>
        <w:rPr>
          <w:i/>
          <w:snapToGrid w:val="0"/>
        </w:rPr>
        <w:t>Gazette</w:t>
      </w:r>
      <w:bookmarkEnd w:id="661"/>
      <w:bookmarkEnd w:id="662"/>
      <w:r>
        <w:rPr>
          <w:i/>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w:t>
      </w:r>
      <w:r>
        <w:noBreakHyphen/>
        <w:t>1.]</w:t>
      </w:r>
    </w:p>
    <w:p>
      <w:pPr>
        <w:pStyle w:val="Footnoteheading"/>
      </w:pPr>
      <w:r>
        <w:tab/>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663" w:name="_Toc406492546"/>
      <w:bookmarkStart w:id="664" w:name="_Toc524795952"/>
      <w:r>
        <w:rPr>
          <w:rStyle w:val="CharSectno"/>
        </w:rPr>
        <w:t>64</w:t>
      </w:r>
      <w:r>
        <w:rPr>
          <w:snapToGrid w:val="0"/>
        </w:rPr>
        <w:t>.</w:t>
      </w:r>
      <w:r>
        <w:rPr>
          <w:snapToGrid w:val="0"/>
        </w:rPr>
        <w:tab/>
        <w:t>Substitution of one brand of drug for another</w:t>
      </w:r>
      <w:bookmarkEnd w:id="663"/>
      <w:bookmarkEnd w:id="66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xml:space="preserve">, nurse practitioner, dentist or authorised health practitioner </w:t>
      </w:r>
      <w:r>
        <w:rPr>
          <w:snapToGrid w:val="0"/>
        </w:rPr>
        <w:t>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xml:space="preserve">, nurse practitioner, dentist or authorised health practitioner </w:t>
      </w:r>
      <w:r>
        <w:rPr>
          <w:snapToGrid w:val="0"/>
        </w:rPr>
        <w:t>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 xml:space="preserve">If a prescription issued by a medical </w:t>
      </w:r>
      <w:r>
        <w:t>practitioner, nurse practitioner or an authorised health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19 Nov 2010 p. 5715; 1 Jun 2012 p. 2326; amended by Act No. 9 of 2003 s. 49.]</w:t>
      </w:r>
    </w:p>
    <w:p>
      <w:pPr>
        <w:pStyle w:val="Heading5"/>
        <w:rPr>
          <w:snapToGrid w:val="0"/>
        </w:rPr>
      </w:pPr>
      <w:bookmarkStart w:id="665" w:name="_Toc406492547"/>
      <w:bookmarkStart w:id="666" w:name="_Toc524795953"/>
      <w:r>
        <w:rPr>
          <w:rStyle w:val="CharSectno"/>
        </w:rPr>
        <w:t>65</w:t>
      </w:r>
      <w:r>
        <w:rPr>
          <w:snapToGrid w:val="0"/>
        </w:rPr>
        <w:t>.</w:t>
      </w:r>
      <w:r>
        <w:rPr>
          <w:snapToGrid w:val="0"/>
        </w:rPr>
        <w:tab/>
        <w:t>Warrant, form prescribed (Act s. 55A)</w:t>
      </w:r>
      <w:bookmarkEnd w:id="665"/>
      <w:bookmarkEnd w:id="666"/>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667" w:name="_Toc406084361"/>
      <w:bookmarkStart w:id="668" w:name="_Toc406492548"/>
      <w:bookmarkStart w:id="669" w:name="_Toc414629691"/>
      <w:bookmarkStart w:id="670" w:name="_Toc414629918"/>
      <w:bookmarkStart w:id="671" w:name="_Toc414871782"/>
      <w:bookmarkStart w:id="672" w:name="_Toc414873548"/>
      <w:bookmarkStart w:id="673" w:name="_Toc418582590"/>
      <w:bookmarkStart w:id="674" w:name="_Toc423426637"/>
      <w:bookmarkStart w:id="675" w:name="_Toc423427038"/>
      <w:bookmarkStart w:id="676" w:name="_Toc524795954"/>
      <w:r>
        <w:rPr>
          <w:rStyle w:val="CharPartNo"/>
        </w:rPr>
        <w:t>Part 8</w:t>
      </w:r>
      <w:r>
        <w:rPr>
          <w:b w:val="0"/>
        </w:rPr>
        <w:t> </w:t>
      </w:r>
      <w:r>
        <w:t>—</w:t>
      </w:r>
      <w:r>
        <w:rPr>
          <w:b w:val="0"/>
        </w:rPr>
        <w:t> </w:t>
      </w:r>
      <w:r>
        <w:rPr>
          <w:rStyle w:val="CharPartText"/>
        </w:rPr>
        <w:t>Transitional provisions</w:t>
      </w:r>
      <w:bookmarkEnd w:id="667"/>
      <w:bookmarkEnd w:id="668"/>
      <w:bookmarkEnd w:id="669"/>
      <w:bookmarkEnd w:id="670"/>
      <w:bookmarkEnd w:id="671"/>
      <w:bookmarkEnd w:id="672"/>
      <w:bookmarkEnd w:id="673"/>
      <w:bookmarkEnd w:id="674"/>
      <w:bookmarkEnd w:id="675"/>
      <w:bookmarkEnd w:id="676"/>
    </w:p>
    <w:p>
      <w:pPr>
        <w:pStyle w:val="Footnoteheading"/>
      </w:pPr>
      <w:r>
        <w:tab/>
        <w:t>[Heading inserted in Gazette 21 Apr 2009 p. 1366.]</w:t>
      </w:r>
    </w:p>
    <w:p>
      <w:pPr>
        <w:pStyle w:val="Heading3"/>
        <w:spacing w:before="260"/>
      </w:pPr>
      <w:bookmarkStart w:id="677" w:name="_Toc406084362"/>
      <w:bookmarkStart w:id="678" w:name="_Toc406492549"/>
      <w:bookmarkStart w:id="679" w:name="_Toc414629692"/>
      <w:bookmarkStart w:id="680" w:name="_Toc414629919"/>
      <w:bookmarkStart w:id="681" w:name="_Toc414871783"/>
      <w:bookmarkStart w:id="682" w:name="_Toc414873549"/>
      <w:bookmarkStart w:id="683" w:name="_Toc418582591"/>
      <w:bookmarkStart w:id="684" w:name="_Toc423426638"/>
      <w:bookmarkStart w:id="685" w:name="_Toc423427039"/>
      <w:bookmarkStart w:id="686" w:name="_Toc524795955"/>
      <w:r>
        <w:rPr>
          <w:rStyle w:val="CharDivNo"/>
        </w:rPr>
        <w:t>Division 1</w:t>
      </w:r>
      <w:r>
        <w:t> — </w:t>
      </w:r>
      <w:r>
        <w:rPr>
          <w:rStyle w:val="CharDivText"/>
        </w:rPr>
        <w:t xml:space="preserve">Transitional provisions relating to the </w:t>
      </w:r>
      <w:r>
        <w:rPr>
          <w:rStyle w:val="CharDivText"/>
          <w:i/>
          <w:iCs/>
        </w:rPr>
        <w:t>Poisons Amendment Regulations (No. 2) 2009</w:t>
      </w:r>
      <w:bookmarkEnd w:id="677"/>
      <w:bookmarkEnd w:id="678"/>
      <w:bookmarkEnd w:id="679"/>
      <w:bookmarkEnd w:id="680"/>
      <w:bookmarkEnd w:id="681"/>
      <w:bookmarkEnd w:id="682"/>
      <w:bookmarkEnd w:id="683"/>
      <w:bookmarkEnd w:id="684"/>
      <w:bookmarkEnd w:id="685"/>
      <w:bookmarkEnd w:id="686"/>
    </w:p>
    <w:p>
      <w:pPr>
        <w:pStyle w:val="Footnoteheading"/>
      </w:pPr>
      <w:r>
        <w:tab/>
        <w:t>[Heading inserted in Gazette 21 Apr 2009 p. 1366.]</w:t>
      </w:r>
    </w:p>
    <w:p>
      <w:pPr>
        <w:pStyle w:val="Heading5"/>
        <w:spacing w:before="240"/>
      </w:pPr>
      <w:bookmarkStart w:id="687" w:name="_Toc406492550"/>
      <w:bookmarkStart w:id="688" w:name="_Toc524795956"/>
      <w:r>
        <w:rPr>
          <w:rStyle w:val="CharSectno"/>
        </w:rPr>
        <w:t>66</w:t>
      </w:r>
      <w:r>
        <w:t>.</w:t>
      </w:r>
      <w:r>
        <w:tab/>
        <w:t>Terms used</w:t>
      </w:r>
      <w:bookmarkEnd w:id="687"/>
      <w:bookmarkEnd w:id="688"/>
    </w:p>
    <w:p>
      <w:pPr>
        <w:pStyle w:val="Subsection"/>
        <w:spacing w:before="180"/>
      </w:pPr>
      <w:r>
        <w:tab/>
      </w:r>
      <w:r>
        <w:tab/>
        <w:t xml:space="preserve">In this Division — </w:t>
      </w:r>
    </w:p>
    <w:p>
      <w:pPr>
        <w:pStyle w:val="Defstart"/>
      </w:pPr>
      <w:r>
        <w:tab/>
      </w:r>
      <w:r>
        <w:rPr>
          <w:rStyle w:val="CharDefText"/>
        </w:rPr>
        <w:t>commencement day</w:t>
      </w:r>
      <w:r>
        <w:t xml:space="preserve"> means the day on which this Division comes into operation;</w:t>
      </w:r>
    </w:p>
    <w:p>
      <w:pPr>
        <w:pStyle w:val="Defstart"/>
      </w:pPr>
      <w:r>
        <w:tab/>
      </w:r>
      <w:r>
        <w:rPr>
          <w:rStyle w:val="CharDefText"/>
        </w:rPr>
        <w:t>prescription</w:t>
      </w:r>
      <w:r>
        <w:t xml:space="preserve"> means a prescription or document prescribing the use, sale or supply of a drug of addiction.</w:t>
      </w:r>
    </w:p>
    <w:p>
      <w:pPr>
        <w:pStyle w:val="Footnotesection"/>
      </w:pPr>
      <w:r>
        <w:tab/>
        <w:t>[Regulation 66 inserted in Gazette 21 Apr 2009 p. 1366.]</w:t>
      </w:r>
    </w:p>
    <w:p>
      <w:pPr>
        <w:pStyle w:val="Heading5"/>
        <w:spacing w:before="240"/>
      </w:pPr>
      <w:bookmarkStart w:id="689" w:name="_Toc406492551"/>
      <w:bookmarkStart w:id="690" w:name="_Toc524795957"/>
      <w:r>
        <w:rPr>
          <w:rStyle w:val="CharSectno"/>
        </w:rPr>
        <w:t>67</w:t>
      </w:r>
      <w:r>
        <w:t>.</w:t>
      </w:r>
      <w:r>
        <w:tab/>
        <w:t>Authorisation to prescribe drugs of addiction to drug addicts</w:t>
      </w:r>
      <w:bookmarkEnd w:id="689"/>
      <w:bookmarkEnd w:id="690"/>
    </w:p>
    <w:p>
      <w:pPr>
        <w:pStyle w:val="Subsection"/>
        <w:spacing w:before="180"/>
      </w:pPr>
      <w:r>
        <w:tab/>
        <w:t>(1)</w:t>
      </w:r>
      <w:r>
        <w:tab/>
        <w:t xml:space="preserve">This regulation applies to a person — </w:t>
      </w:r>
    </w:p>
    <w:p>
      <w:pPr>
        <w:pStyle w:val="Indenta"/>
      </w:pPr>
      <w:r>
        <w:tab/>
        <w:t>(a)</w:t>
      </w:r>
      <w:r>
        <w:tab/>
        <w:t>who was authorised under regulation 51B(1)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spacing w:before="18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pPr>
      <w:r>
        <w:tab/>
        <w:t>[Regulation 67 inserted in Gazette 21 Apr 2009 p. 1366</w:t>
      </w:r>
      <w:r>
        <w:noBreakHyphen/>
        <w:t>7.]</w:t>
      </w:r>
    </w:p>
    <w:p>
      <w:pPr>
        <w:pStyle w:val="Heading5"/>
      </w:pPr>
      <w:bookmarkStart w:id="691" w:name="_Toc406492552"/>
      <w:bookmarkStart w:id="692" w:name="_Toc524795958"/>
      <w:r>
        <w:rPr>
          <w:rStyle w:val="CharSectno"/>
        </w:rPr>
        <w:t>68</w:t>
      </w:r>
      <w:r>
        <w:t>.</w:t>
      </w:r>
      <w:r>
        <w:tab/>
        <w:t>Authorisation to prescribe pharmacotherapies to drug addicts</w:t>
      </w:r>
      <w:bookmarkEnd w:id="691"/>
      <w:bookmarkEnd w:id="692"/>
    </w:p>
    <w:p>
      <w:pPr>
        <w:pStyle w:val="Subsection"/>
        <w:keepNext/>
        <w:keepLines/>
      </w:pPr>
      <w:r>
        <w:tab/>
        <w:t>(1)</w:t>
      </w:r>
      <w:r>
        <w:tab/>
        <w:t xml:space="preserve">This regulation applies to a person — </w:t>
      </w:r>
    </w:p>
    <w:p>
      <w:pPr>
        <w:pStyle w:val="Indenta"/>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693" w:name="_Toc406492553"/>
      <w:bookmarkStart w:id="694" w:name="_Toc524795959"/>
      <w:r>
        <w:rPr>
          <w:rStyle w:val="CharSectno"/>
        </w:rPr>
        <w:t>69</w:t>
      </w:r>
      <w:r>
        <w:t>.</w:t>
      </w:r>
      <w:r>
        <w:tab/>
        <w:t>Prescriptions issued before 22 Apr 2009</w:t>
      </w:r>
      <w:bookmarkEnd w:id="693"/>
      <w:bookmarkEnd w:id="694"/>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695" w:name="_Toc406492554"/>
      <w:bookmarkStart w:id="696" w:name="_Toc524795960"/>
      <w:r>
        <w:rPr>
          <w:rStyle w:val="CharSectno"/>
        </w:rPr>
        <w:t>70</w:t>
      </w:r>
      <w:r>
        <w:t>.</w:t>
      </w:r>
      <w:r>
        <w:tab/>
        <w:t>Operation of r. 51B for pharmacies</w:t>
      </w:r>
      <w:bookmarkEnd w:id="695"/>
      <w:bookmarkEnd w:id="696"/>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697" w:name="_Toc406084368"/>
      <w:bookmarkStart w:id="698" w:name="_Toc406492555"/>
      <w:bookmarkStart w:id="699" w:name="_Toc414629698"/>
      <w:bookmarkStart w:id="700" w:name="_Toc414629925"/>
      <w:bookmarkStart w:id="701" w:name="_Toc414871789"/>
      <w:bookmarkStart w:id="702" w:name="_Toc414873555"/>
      <w:bookmarkStart w:id="703" w:name="_Toc418582597"/>
      <w:bookmarkStart w:id="704" w:name="_Toc423426644"/>
      <w:bookmarkStart w:id="705" w:name="_Toc423427045"/>
      <w:bookmarkStart w:id="706" w:name="_Toc524795961"/>
      <w:r>
        <w:rPr>
          <w:rStyle w:val="CharSchNo"/>
        </w:rPr>
        <w:t>Appendix A</w:t>
      </w:r>
      <w:bookmarkEnd w:id="697"/>
      <w:bookmarkEnd w:id="698"/>
      <w:bookmarkEnd w:id="699"/>
      <w:bookmarkEnd w:id="700"/>
      <w:bookmarkEnd w:id="701"/>
      <w:bookmarkEnd w:id="702"/>
      <w:bookmarkEnd w:id="703"/>
      <w:bookmarkEnd w:id="704"/>
      <w:bookmarkEnd w:id="705"/>
      <w:bookmarkEnd w:id="706"/>
      <w:r>
        <w:rPr>
          <w:rStyle w:val="CharSchText"/>
        </w:rPr>
        <w:t xml:space="preserve"> </w:t>
      </w:r>
    </w:p>
    <w:tbl>
      <w:tblPr>
        <w:tblW w:w="0" w:type="auto"/>
        <w:tblInd w:w="108" w:type="dxa"/>
        <w:tblLayout w:type="fixed"/>
        <w:tblLook w:val="0000" w:firstRow="0" w:lastRow="0" w:firstColumn="0" w:lastColumn="0" w:noHBand="0" w:noVBand="0"/>
      </w:tblPr>
      <w:tblGrid>
        <w:gridCol w:w="1560"/>
        <w:gridCol w:w="2409"/>
        <w:gridCol w:w="3119"/>
      </w:tblGrid>
      <w:tr>
        <w:trPr>
          <w:cantSplit/>
        </w:trPr>
        <w:tc>
          <w:tcPr>
            <w:tcW w:w="3969"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rStyle w:val="CharSClsNo"/>
                <w:b/>
              </w:rPr>
            </w:pPr>
            <w:r>
              <w:rPr>
                <w:rStyle w:val="CharSClsNo"/>
                <w:b/>
              </w:rPr>
              <w:t>Form 1</w:t>
            </w:r>
          </w:p>
        </w:tc>
        <w:tc>
          <w:tcPr>
            <w:tcW w:w="3119" w:type="dxa"/>
            <w:tcBorders>
              <w:left w:val="single" w:sz="4" w:space="0" w:color="auto"/>
            </w:tcBorders>
          </w:tcPr>
          <w:p>
            <w:pPr>
              <w:pStyle w:val="yTableNAm"/>
              <w:spacing w:before="60"/>
              <w:rPr>
                <w:snapToGrid w:val="0"/>
              </w:rPr>
            </w:pPr>
          </w:p>
        </w:tc>
      </w:tr>
      <w:tr>
        <w:trPr>
          <w:cantSplit/>
        </w:trPr>
        <w:tc>
          <w:tcPr>
            <w:tcW w:w="7088" w:type="dxa"/>
            <w:gridSpan w:val="3"/>
          </w:tcPr>
          <w:p>
            <w:pPr>
              <w:pStyle w:val="yTableNAm"/>
              <w:spacing w:before="60"/>
              <w:rPr>
                <w:snapToGrid w:val="0"/>
                <w:sz w:val="16"/>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7088" w:type="dxa"/>
            <w:gridSpan w:val="3"/>
            <w:tcBorders>
              <w:bottom w:val="single" w:sz="4" w:space="0" w:color="auto"/>
            </w:tcBorders>
          </w:tcPr>
          <w:p>
            <w:pPr>
              <w:pStyle w:val="yTableNAm"/>
              <w:spacing w:before="60"/>
              <w:rPr>
                <w:snapToGrid w:val="0"/>
                <w:sz w:val="18"/>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560"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7088" w:type="dxa"/>
            <w:gridSpan w:val="3"/>
            <w:tcBorders>
              <w:top w:val="single" w:sz="4" w:space="0" w:color="auto"/>
              <w:bottom w:val="single" w:sz="4" w:space="0" w:color="auto"/>
            </w:tcBorders>
          </w:tcPr>
          <w:p>
            <w:pPr>
              <w:pStyle w:val="yTableNAm"/>
              <w:spacing w:before="60"/>
              <w:rPr>
                <w:snapToGrid w:val="0"/>
                <w:sz w:val="18"/>
              </w:rPr>
            </w:pPr>
          </w:p>
        </w:tc>
      </w:tr>
      <w:tr>
        <w:trPr>
          <w:cantSplit/>
        </w:trPr>
        <w:tc>
          <w:tcPr>
            <w:tcW w:w="7088"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bl>
    <w:p>
      <w:pPr>
        <w:rPr>
          <w:sz w:val="12"/>
          <w:szCs w:val="12"/>
        </w:rPr>
      </w:pPr>
    </w:p>
    <w:tbl>
      <w:tblPr>
        <w:tblW w:w="0" w:type="auto"/>
        <w:tblInd w:w="108" w:type="dxa"/>
        <w:tblLayout w:type="fixed"/>
        <w:tblLook w:val="0000" w:firstRow="0" w:lastRow="0" w:firstColumn="0" w:lastColumn="0" w:noHBand="0" w:noVBand="0"/>
      </w:tblPr>
      <w:tblGrid>
        <w:gridCol w:w="1560"/>
        <w:gridCol w:w="5528"/>
      </w:tblGrid>
      <w:tr>
        <w:trPr>
          <w:cantSplit/>
        </w:trPr>
        <w:tc>
          <w:tcPr>
            <w:tcW w:w="7088" w:type="dxa"/>
            <w:gridSpan w:val="2"/>
            <w:tcBorders>
              <w:bottom w:val="single" w:sz="4" w:space="0" w:color="auto"/>
            </w:tcBorders>
          </w:tcPr>
          <w:p>
            <w:pPr>
              <w:pStyle w:val="yTableNAm"/>
              <w:spacing w:before="60"/>
              <w:rPr>
                <w:snapToGrid w:val="0"/>
                <w:sz w:val="18"/>
              </w:rPr>
            </w:pPr>
          </w:p>
        </w:tc>
      </w:tr>
      <w:tr>
        <w:trPr>
          <w:cantSplit/>
        </w:trPr>
        <w:tc>
          <w:tcPr>
            <w:tcW w:w="708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7088" w:type="dxa"/>
            <w:gridSpan w:val="2"/>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7088" w:type="dxa"/>
            <w:gridSpan w:val="2"/>
            <w:tcBorders>
              <w:top w:val="single" w:sz="4" w:space="0" w:color="auto"/>
              <w:bottom w:val="single" w:sz="4" w:space="0" w:color="auto"/>
            </w:tcBorders>
          </w:tcPr>
          <w:p>
            <w:pPr>
              <w:pStyle w:val="yTableNAm"/>
              <w:spacing w:before="60"/>
              <w:rPr>
                <w:snapToGrid w:val="0"/>
                <w:sz w:val="18"/>
              </w:rPr>
            </w:pPr>
          </w:p>
        </w:tc>
      </w:tr>
      <w:tr>
        <w:tc>
          <w:tcPr>
            <w:tcW w:w="1560"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rPr>
      </w:pPr>
      <w:r>
        <w:rPr>
          <w:rStyle w:val="CharSClsNo"/>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rStyle w:val="CharSClsNo"/>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rStyle w:val="CharSClsNo"/>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rStyle w:val="CharSClsNo"/>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rStyle w:val="CharSClsNo"/>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rStyle w:val="CharSClsNo"/>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w:t>
      </w:r>
      <w:r>
        <w:noBreakHyphen/>
        <w:t>1.]</w:t>
      </w:r>
    </w:p>
    <w:p>
      <w:pPr>
        <w:pStyle w:val="yMiscellaneousHeading"/>
        <w:pageBreakBefore/>
        <w:rPr>
          <w:b/>
          <w:bCs/>
          <w:snapToGrid w:val="0"/>
        </w:rPr>
      </w:pPr>
      <w:r>
        <w:rPr>
          <w:rStyle w:val="CharSClsNo"/>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w:t>
      </w:r>
      <w:r>
        <w:noBreakHyphen/>
        <w:t>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rStyle w:val="CharSClsNo"/>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w:t>
      </w:r>
      <w:r>
        <w:noBreakHyphen/>
        <w:t>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rStyle w:val="CharSClsNo"/>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 xml:space="preserve">Dated at </w:t>
      </w:r>
      <w:smartTag w:uri="urn:schemas-microsoft-com:office:smarttags" w:element="place">
        <w:smartTag w:uri="urn:schemas-microsoft-com:office:smarttags" w:element="City">
          <w:r>
            <w:rPr>
              <w:snapToGrid w:val="0"/>
            </w:rPr>
            <w:t>Perth</w:t>
          </w:r>
        </w:smartTag>
      </w:smartTag>
      <w:r>
        <w:rPr>
          <w:snapToGrid w:val="0"/>
        </w:rPr>
        <w:t xml:space="preserve">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w:t>
      </w:r>
      <w:r>
        <w:noBreakHyphen/>
        <w:t>1.]</w:t>
      </w:r>
    </w:p>
    <w:p>
      <w:pPr>
        <w:pStyle w:val="yMiscellaneousHeading"/>
        <w:pageBreakBefore/>
        <w:rPr>
          <w:b/>
          <w:bCs/>
          <w:snapToGrid w:val="0"/>
        </w:rPr>
      </w:pPr>
      <w:r>
        <w:rPr>
          <w:rStyle w:val="CharSClsNo"/>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w:t>
      </w:r>
      <w:r>
        <w:noBreakHyphen/>
        <w:t>1.]</w:t>
      </w:r>
    </w:p>
    <w:p>
      <w:pPr>
        <w:pStyle w:val="yMiscellaneousHeading"/>
        <w:pageBreakBefore/>
        <w:rPr>
          <w:b/>
          <w:bCs/>
          <w:snapToGrid w:val="0"/>
        </w:rPr>
      </w:pPr>
      <w:r>
        <w:rPr>
          <w:rStyle w:val="CharSClsNo"/>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 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rStyle w:val="CharSClsNo"/>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960"/>
          <w:tab w:val="left" w:pos="1680"/>
        </w:tabs>
        <w:spacing w:before="60"/>
        <w:ind w:left="1680" w:hanging="1680"/>
        <w:rPr>
          <w:snapToGrid w:val="0"/>
        </w:rPr>
      </w:pPr>
      <w:r>
        <w:rPr>
          <w:snapToGrid w:val="0"/>
        </w:rPr>
        <w:tab/>
        <w:t>(i)</w:t>
      </w:r>
      <w:r>
        <w:rPr>
          <w:snapToGrid w:val="0"/>
        </w:rPr>
        <w:tab/>
        <w:t>to stop the vehicle or vessel;</w:t>
      </w:r>
    </w:p>
    <w:p>
      <w:pPr>
        <w:pStyle w:val="yMiscellaneousBody"/>
        <w:tabs>
          <w:tab w:val="left" w:pos="960"/>
          <w:tab w:val="left" w:pos="1680"/>
        </w:tabs>
        <w:spacing w:before="60"/>
        <w:ind w:left="1680" w:hanging="1680"/>
        <w:rPr>
          <w:snapToGrid w:val="0"/>
        </w:rPr>
      </w:pPr>
      <w:r>
        <w:rPr>
          <w:snapToGrid w:val="0"/>
        </w:rPr>
        <w:tab/>
        <w:t>(ii)</w:t>
      </w:r>
      <w:r>
        <w:rPr>
          <w:snapToGrid w:val="0"/>
        </w:rPr>
        <w:tab/>
        <w:t>to move the vehicle or vessel to a place specified by the officer;</w:t>
      </w:r>
    </w:p>
    <w:p>
      <w:pPr>
        <w:pStyle w:val="yMiscellaneousBody"/>
        <w:tabs>
          <w:tab w:val="left" w:pos="960"/>
          <w:tab w:val="left" w:pos="1680"/>
        </w:tabs>
        <w:spacing w:before="60"/>
        <w:ind w:left="1680" w:hanging="168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w:t>
      </w:r>
      <w:r>
        <w:noBreakHyphen/>
        <w:t>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708" w:name="_Toc406084369"/>
      <w:bookmarkStart w:id="709" w:name="_Toc406492556"/>
      <w:bookmarkStart w:id="710" w:name="_Toc414629699"/>
      <w:bookmarkStart w:id="711" w:name="_Toc414629926"/>
      <w:bookmarkStart w:id="712" w:name="_Toc414871790"/>
      <w:bookmarkStart w:id="713" w:name="_Toc414873556"/>
      <w:bookmarkStart w:id="714" w:name="_Toc418582598"/>
      <w:bookmarkStart w:id="715" w:name="_Toc423426645"/>
      <w:bookmarkStart w:id="716" w:name="_Toc423427046"/>
      <w:bookmarkStart w:id="717" w:name="_Toc524795962"/>
      <w:r>
        <w:rPr>
          <w:rStyle w:val="CharSchNo"/>
        </w:rPr>
        <w:t>Appendix B</w:t>
      </w:r>
      <w:r>
        <w:t> — </w:t>
      </w:r>
      <w:r>
        <w:rPr>
          <w:rStyle w:val="CharSchText"/>
        </w:rPr>
        <w:t>Vaccines exempt from specified provisions of the Act</w:t>
      </w:r>
      <w:bookmarkEnd w:id="708"/>
      <w:bookmarkEnd w:id="709"/>
      <w:bookmarkEnd w:id="710"/>
      <w:bookmarkEnd w:id="711"/>
      <w:bookmarkEnd w:id="712"/>
      <w:bookmarkEnd w:id="713"/>
      <w:bookmarkEnd w:id="714"/>
      <w:bookmarkEnd w:id="715"/>
      <w:bookmarkEnd w:id="716"/>
      <w:bookmarkEnd w:id="717"/>
    </w:p>
    <w:p>
      <w:pPr>
        <w:pStyle w:val="yShoulderClause"/>
      </w:pPr>
      <w:r>
        <w:t>[r. 37B]</w:t>
      </w:r>
    </w:p>
    <w:p>
      <w:pPr>
        <w:pStyle w:val="yFootnoteheading"/>
        <w:spacing w:after="120"/>
      </w:pPr>
      <w:r>
        <w:tab/>
        <w:t>[Heading inserted in Gazette 26 Mar 2010 p. 1147.]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6379"/>
      </w:tblGrid>
      <w:tr>
        <w:tc>
          <w:tcPr>
            <w:tcW w:w="709" w:type="dxa"/>
          </w:tcPr>
          <w:p>
            <w:pPr>
              <w:pStyle w:val="yTableNAm"/>
              <w:spacing w:before="60"/>
            </w:pPr>
          </w:p>
        </w:tc>
        <w:tc>
          <w:tcPr>
            <w:tcW w:w="6379" w:type="dxa"/>
          </w:tcPr>
          <w:p>
            <w:pPr>
              <w:pStyle w:val="yTableNAm"/>
              <w:spacing w:before="60"/>
              <w:rPr>
                <w:b/>
                <w:bCs/>
              </w:rPr>
            </w:pPr>
            <w:r>
              <w:rPr>
                <w:b/>
                <w:bCs/>
              </w:rPr>
              <w:t>Vaccines</w:t>
            </w:r>
          </w:p>
        </w:tc>
      </w:tr>
      <w:tr>
        <w:tc>
          <w:tcPr>
            <w:tcW w:w="709" w:type="dxa"/>
          </w:tcPr>
          <w:p>
            <w:pPr>
              <w:pStyle w:val="yTableNAm"/>
              <w:spacing w:before="60"/>
            </w:pPr>
            <w:r>
              <w:t>1.</w:t>
            </w:r>
          </w:p>
        </w:tc>
        <w:tc>
          <w:tcPr>
            <w:tcW w:w="6379" w:type="dxa"/>
          </w:tcPr>
          <w:p>
            <w:pPr>
              <w:pStyle w:val="yTableNAm"/>
              <w:spacing w:before="60"/>
            </w:pPr>
            <w:r>
              <w:t>Diphtheria toxoid</w:t>
            </w:r>
          </w:p>
        </w:tc>
      </w:tr>
      <w:tr>
        <w:tc>
          <w:tcPr>
            <w:tcW w:w="709" w:type="dxa"/>
          </w:tcPr>
          <w:p>
            <w:pPr>
              <w:pStyle w:val="yTableNAm"/>
              <w:spacing w:before="60"/>
            </w:pPr>
            <w:r>
              <w:t>2.</w:t>
            </w:r>
          </w:p>
        </w:tc>
        <w:tc>
          <w:tcPr>
            <w:tcW w:w="6379" w:type="dxa"/>
          </w:tcPr>
          <w:p>
            <w:pPr>
              <w:pStyle w:val="yTableNAm"/>
              <w:spacing w:before="60"/>
            </w:pPr>
            <w:r>
              <w:t xml:space="preserve">Haemophilus B conjugate vaccine </w:t>
            </w:r>
          </w:p>
        </w:tc>
      </w:tr>
      <w:tr>
        <w:tc>
          <w:tcPr>
            <w:tcW w:w="709" w:type="dxa"/>
          </w:tcPr>
          <w:p>
            <w:pPr>
              <w:pStyle w:val="yTableNAm"/>
              <w:spacing w:before="60"/>
            </w:pPr>
            <w:r>
              <w:t>3.</w:t>
            </w:r>
          </w:p>
        </w:tc>
        <w:tc>
          <w:tcPr>
            <w:tcW w:w="6379" w:type="dxa"/>
          </w:tcPr>
          <w:p>
            <w:pPr>
              <w:pStyle w:val="yTableNAm"/>
              <w:spacing w:before="60"/>
            </w:pPr>
            <w:r>
              <w:t>Haemophilus influenzae vaccine</w:t>
            </w:r>
          </w:p>
        </w:tc>
      </w:tr>
      <w:tr>
        <w:tc>
          <w:tcPr>
            <w:tcW w:w="709" w:type="dxa"/>
          </w:tcPr>
          <w:p>
            <w:pPr>
              <w:pStyle w:val="yTableNAm"/>
              <w:spacing w:before="60"/>
            </w:pPr>
            <w:r>
              <w:t>4.</w:t>
            </w:r>
          </w:p>
        </w:tc>
        <w:tc>
          <w:tcPr>
            <w:tcW w:w="6379" w:type="dxa"/>
          </w:tcPr>
          <w:p>
            <w:pPr>
              <w:pStyle w:val="yTableNAm"/>
              <w:spacing w:before="60"/>
            </w:pPr>
            <w:r>
              <w:t>Hepatitis A vaccine, inactivated</w:t>
            </w:r>
          </w:p>
        </w:tc>
      </w:tr>
      <w:tr>
        <w:tc>
          <w:tcPr>
            <w:tcW w:w="709" w:type="dxa"/>
          </w:tcPr>
          <w:p>
            <w:pPr>
              <w:pStyle w:val="yTableNAm"/>
              <w:spacing w:before="60"/>
            </w:pPr>
            <w:r>
              <w:t>5.</w:t>
            </w:r>
          </w:p>
        </w:tc>
        <w:tc>
          <w:tcPr>
            <w:tcW w:w="6379" w:type="dxa"/>
          </w:tcPr>
          <w:p>
            <w:pPr>
              <w:pStyle w:val="yTableNAm"/>
              <w:spacing w:before="60"/>
            </w:pPr>
            <w:r>
              <w:t>Hepatitis B vaccine</w:t>
            </w:r>
          </w:p>
        </w:tc>
      </w:tr>
      <w:tr>
        <w:tc>
          <w:tcPr>
            <w:tcW w:w="709" w:type="dxa"/>
          </w:tcPr>
          <w:p>
            <w:pPr>
              <w:pStyle w:val="yTableNAm"/>
              <w:spacing w:before="60"/>
            </w:pPr>
            <w:r>
              <w:t>6.</w:t>
            </w:r>
          </w:p>
        </w:tc>
        <w:tc>
          <w:tcPr>
            <w:tcW w:w="6379" w:type="dxa"/>
          </w:tcPr>
          <w:p>
            <w:pPr>
              <w:pStyle w:val="yTableNAm"/>
              <w:spacing w:before="60"/>
            </w:pPr>
            <w:r>
              <w:t>Human papillomavirus vaccine, recombinant</w:t>
            </w:r>
          </w:p>
        </w:tc>
      </w:tr>
      <w:tr>
        <w:tc>
          <w:tcPr>
            <w:tcW w:w="709" w:type="dxa"/>
          </w:tcPr>
          <w:p>
            <w:pPr>
              <w:pStyle w:val="yTableNAm"/>
              <w:spacing w:before="60"/>
            </w:pPr>
            <w:r>
              <w:t>7.</w:t>
            </w:r>
          </w:p>
        </w:tc>
        <w:tc>
          <w:tcPr>
            <w:tcW w:w="6379" w:type="dxa"/>
          </w:tcPr>
          <w:p>
            <w:pPr>
              <w:pStyle w:val="yTableNAm"/>
              <w:spacing w:before="60"/>
            </w:pPr>
            <w:r>
              <w:rPr>
                <w:rFonts w:cs="Arial"/>
              </w:rPr>
              <w:t>Influenza virus vaccine</w:t>
            </w:r>
          </w:p>
        </w:tc>
      </w:tr>
      <w:tr>
        <w:tc>
          <w:tcPr>
            <w:tcW w:w="709" w:type="dxa"/>
          </w:tcPr>
          <w:p>
            <w:pPr>
              <w:pStyle w:val="yTableNAm"/>
              <w:spacing w:before="60"/>
            </w:pPr>
            <w:r>
              <w:t>8.</w:t>
            </w:r>
          </w:p>
        </w:tc>
        <w:tc>
          <w:tcPr>
            <w:tcW w:w="6379" w:type="dxa"/>
          </w:tcPr>
          <w:p>
            <w:pPr>
              <w:pStyle w:val="yTableNAm"/>
              <w:spacing w:before="60"/>
            </w:pPr>
            <w:r>
              <w:t>Measles vaccine, live</w:t>
            </w:r>
          </w:p>
        </w:tc>
      </w:tr>
      <w:tr>
        <w:tc>
          <w:tcPr>
            <w:tcW w:w="709" w:type="dxa"/>
          </w:tcPr>
          <w:p>
            <w:pPr>
              <w:pStyle w:val="yTableNAm"/>
              <w:spacing w:before="60"/>
            </w:pPr>
            <w:r>
              <w:t>9.</w:t>
            </w:r>
          </w:p>
        </w:tc>
        <w:tc>
          <w:tcPr>
            <w:tcW w:w="6379" w:type="dxa"/>
          </w:tcPr>
          <w:p>
            <w:pPr>
              <w:pStyle w:val="yTableNAm"/>
              <w:spacing w:before="60"/>
            </w:pPr>
            <w:r>
              <w:rPr>
                <w:rFonts w:cs="Arial"/>
              </w:rPr>
              <w:t>Mumps vaccine, live</w:t>
            </w:r>
          </w:p>
        </w:tc>
      </w:tr>
      <w:tr>
        <w:tc>
          <w:tcPr>
            <w:tcW w:w="709" w:type="dxa"/>
          </w:tcPr>
          <w:p>
            <w:pPr>
              <w:pStyle w:val="yTableNAm"/>
              <w:spacing w:before="60"/>
            </w:pPr>
            <w:r>
              <w:t>10.</w:t>
            </w:r>
          </w:p>
        </w:tc>
        <w:tc>
          <w:tcPr>
            <w:tcW w:w="6379" w:type="dxa"/>
          </w:tcPr>
          <w:p>
            <w:pPr>
              <w:pStyle w:val="yTableNAm"/>
              <w:spacing w:before="60"/>
            </w:pPr>
            <w:r>
              <w:rPr>
                <w:rFonts w:cs="Arial"/>
              </w:rPr>
              <w:t>Neisseria meningitidis vaccine</w:t>
            </w:r>
          </w:p>
        </w:tc>
      </w:tr>
      <w:tr>
        <w:tc>
          <w:tcPr>
            <w:tcW w:w="709" w:type="dxa"/>
          </w:tcPr>
          <w:p>
            <w:pPr>
              <w:pStyle w:val="yTableNAm"/>
              <w:spacing w:before="60"/>
            </w:pPr>
            <w:r>
              <w:t>11.</w:t>
            </w:r>
          </w:p>
        </w:tc>
        <w:tc>
          <w:tcPr>
            <w:tcW w:w="6379" w:type="dxa"/>
          </w:tcPr>
          <w:p>
            <w:pPr>
              <w:pStyle w:val="yTableNAm"/>
              <w:spacing w:before="60"/>
            </w:pPr>
            <w:r>
              <w:rPr>
                <w:rFonts w:cs="Arial"/>
              </w:rPr>
              <w:t>Pertussis vaccine</w:t>
            </w:r>
          </w:p>
        </w:tc>
      </w:tr>
      <w:tr>
        <w:tc>
          <w:tcPr>
            <w:tcW w:w="709" w:type="dxa"/>
          </w:tcPr>
          <w:p>
            <w:pPr>
              <w:pStyle w:val="yTableNAm"/>
              <w:spacing w:before="60"/>
            </w:pPr>
            <w:r>
              <w:t>12.</w:t>
            </w:r>
          </w:p>
        </w:tc>
        <w:tc>
          <w:tcPr>
            <w:tcW w:w="6379" w:type="dxa"/>
          </w:tcPr>
          <w:p>
            <w:pPr>
              <w:pStyle w:val="yTableNAm"/>
              <w:spacing w:before="60"/>
            </w:pPr>
            <w:r>
              <w:rPr>
                <w:rFonts w:cs="Arial"/>
              </w:rPr>
              <w:t>Pneumococcal vaccine</w:t>
            </w:r>
          </w:p>
        </w:tc>
      </w:tr>
      <w:tr>
        <w:tc>
          <w:tcPr>
            <w:tcW w:w="709" w:type="dxa"/>
          </w:tcPr>
          <w:p>
            <w:pPr>
              <w:pStyle w:val="yTableNAm"/>
              <w:spacing w:before="60"/>
            </w:pPr>
            <w:r>
              <w:t>13.</w:t>
            </w:r>
          </w:p>
        </w:tc>
        <w:tc>
          <w:tcPr>
            <w:tcW w:w="6379" w:type="dxa"/>
          </w:tcPr>
          <w:p>
            <w:pPr>
              <w:pStyle w:val="yTableNAm"/>
              <w:spacing w:before="60"/>
            </w:pPr>
            <w:r>
              <w:rPr>
                <w:rFonts w:cs="Arial"/>
              </w:rPr>
              <w:t>Poliomyelitis vaccine</w:t>
            </w:r>
          </w:p>
        </w:tc>
      </w:tr>
      <w:tr>
        <w:tc>
          <w:tcPr>
            <w:tcW w:w="709" w:type="dxa"/>
          </w:tcPr>
          <w:p>
            <w:pPr>
              <w:pStyle w:val="yTableNAm"/>
              <w:spacing w:before="60"/>
            </w:pPr>
            <w:r>
              <w:t>14.</w:t>
            </w:r>
          </w:p>
        </w:tc>
        <w:tc>
          <w:tcPr>
            <w:tcW w:w="6379" w:type="dxa"/>
          </w:tcPr>
          <w:p>
            <w:pPr>
              <w:pStyle w:val="yTableNAm"/>
              <w:spacing w:before="60"/>
            </w:pPr>
            <w:r>
              <w:rPr>
                <w:rFonts w:cs="Arial"/>
              </w:rPr>
              <w:t>Rotavirus vaccine, live, oral</w:t>
            </w:r>
          </w:p>
        </w:tc>
      </w:tr>
      <w:tr>
        <w:tc>
          <w:tcPr>
            <w:tcW w:w="709" w:type="dxa"/>
          </w:tcPr>
          <w:p>
            <w:pPr>
              <w:pStyle w:val="yTableNAm"/>
              <w:spacing w:before="60"/>
            </w:pPr>
            <w:r>
              <w:t>15.</w:t>
            </w:r>
          </w:p>
        </w:tc>
        <w:tc>
          <w:tcPr>
            <w:tcW w:w="6379" w:type="dxa"/>
          </w:tcPr>
          <w:p>
            <w:pPr>
              <w:pStyle w:val="yTableNAm"/>
              <w:spacing w:before="60"/>
            </w:pPr>
            <w:r>
              <w:rPr>
                <w:rFonts w:cs="Arial"/>
              </w:rPr>
              <w:t>Rubella vaccine, live</w:t>
            </w:r>
          </w:p>
        </w:tc>
      </w:tr>
      <w:tr>
        <w:tc>
          <w:tcPr>
            <w:tcW w:w="709" w:type="dxa"/>
          </w:tcPr>
          <w:p>
            <w:pPr>
              <w:pStyle w:val="yTableNAm"/>
              <w:spacing w:before="60"/>
            </w:pPr>
            <w:r>
              <w:t>16.</w:t>
            </w:r>
          </w:p>
        </w:tc>
        <w:tc>
          <w:tcPr>
            <w:tcW w:w="6379" w:type="dxa"/>
          </w:tcPr>
          <w:p>
            <w:pPr>
              <w:pStyle w:val="yTableNAm"/>
              <w:spacing w:before="60"/>
            </w:pPr>
            <w:r>
              <w:t>Tetanus toxoid</w:t>
            </w:r>
          </w:p>
        </w:tc>
      </w:tr>
      <w:tr>
        <w:tc>
          <w:tcPr>
            <w:tcW w:w="709" w:type="dxa"/>
          </w:tcPr>
          <w:p>
            <w:pPr>
              <w:pStyle w:val="yTableNAm"/>
              <w:spacing w:before="60"/>
            </w:pPr>
            <w:r>
              <w:t>17.</w:t>
            </w:r>
          </w:p>
        </w:tc>
        <w:tc>
          <w:tcPr>
            <w:tcW w:w="6379" w:type="dxa"/>
          </w:tcPr>
          <w:p>
            <w:pPr>
              <w:pStyle w:val="yTableNAm"/>
              <w:spacing w:before="60"/>
            </w:pPr>
            <w:r>
              <w:t>Varicella zoster vaccine, live attenuated</w:t>
            </w:r>
          </w:p>
        </w:tc>
      </w:tr>
    </w:tbl>
    <w:p>
      <w:pPr>
        <w:pStyle w:val="yFootnotesection"/>
      </w:pPr>
      <w:r>
        <w:tab/>
        <w:t>[Appendix B inserted in Gazette 26 Mar 2010 p. 1147</w:t>
      </w:r>
      <w:r>
        <w:noBreakHyphen/>
        <w:t>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Heading2"/>
      </w:pPr>
      <w:bookmarkStart w:id="718" w:name="_Toc423427047"/>
      <w:bookmarkStart w:id="719" w:name="_Toc406084370"/>
      <w:bookmarkStart w:id="720" w:name="_Toc406492557"/>
      <w:bookmarkStart w:id="721" w:name="_Toc414629700"/>
      <w:bookmarkStart w:id="722" w:name="_Toc414629927"/>
      <w:bookmarkStart w:id="723" w:name="_Toc414871791"/>
      <w:bookmarkStart w:id="724" w:name="_Toc414873557"/>
      <w:bookmarkStart w:id="725" w:name="_Toc418582599"/>
      <w:bookmarkStart w:id="726" w:name="_Toc423426646"/>
      <w:bookmarkStart w:id="727" w:name="_Toc524795963"/>
      <w:r>
        <w:t>Appendix G</w:t>
      </w:r>
      <w:bookmarkEnd w:id="718"/>
      <w:bookmarkEnd w:id="727"/>
    </w:p>
    <w:p>
      <w:pPr>
        <w:pStyle w:val="yShoulderClause"/>
      </w:pPr>
      <w:r>
        <w:t>[r. 12]</w:t>
      </w:r>
    </w:p>
    <w:p>
      <w:pPr>
        <w:pStyle w:val="yFootnoteheading"/>
        <w:spacing w:after="120"/>
      </w:pPr>
      <w:r>
        <w:tab/>
        <w:t>[Heading inserted in Gazette 5 May 2015 p. 1595.]</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09"/>
        <w:gridCol w:w="2835"/>
        <w:gridCol w:w="886"/>
        <w:gridCol w:w="886"/>
        <w:gridCol w:w="886"/>
        <w:gridCol w:w="886"/>
      </w:tblGrid>
      <w:tr>
        <w:trPr>
          <w:cantSplit/>
          <w:tblHeader/>
        </w:trPr>
        <w:tc>
          <w:tcPr>
            <w:tcW w:w="709" w:type="dxa"/>
          </w:tcPr>
          <w:p>
            <w:pPr>
              <w:pStyle w:val="yTableNAm"/>
              <w:jc w:val="center"/>
            </w:pPr>
            <w:r>
              <w:rPr>
                <w:b/>
                <w:sz w:val="18"/>
                <w:szCs w:val="18"/>
              </w:rPr>
              <w:t>Form</w:t>
            </w:r>
            <w:r>
              <w:rPr>
                <w:b/>
                <w:sz w:val="18"/>
                <w:szCs w:val="18"/>
              </w:rPr>
              <w:br/>
              <w:t>No.</w:t>
            </w:r>
          </w:p>
        </w:tc>
        <w:tc>
          <w:tcPr>
            <w:tcW w:w="2835" w:type="dxa"/>
          </w:tcPr>
          <w:p>
            <w:pPr>
              <w:pStyle w:val="yTableNAm"/>
              <w:jc w:val="center"/>
            </w:pPr>
            <w:r>
              <w:rPr>
                <w:b/>
                <w:sz w:val="18"/>
                <w:szCs w:val="18"/>
              </w:rPr>
              <w:t>Description of licence or permit</w:t>
            </w:r>
          </w:p>
        </w:tc>
        <w:tc>
          <w:tcPr>
            <w:tcW w:w="886" w:type="dxa"/>
          </w:tcPr>
          <w:p>
            <w:pPr>
              <w:pStyle w:val="yTableNAm"/>
              <w:jc w:val="center"/>
            </w:pPr>
            <w:r>
              <w:rPr>
                <w:b/>
                <w:sz w:val="18"/>
                <w:szCs w:val="18"/>
              </w:rPr>
              <w:t>Initial Fee</w:t>
            </w:r>
            <w:r>
              <w:rPr>
                <w:b/>
                <w:sz w:val="18"/>
                <w:szCs w:val="18"/>
              </w:rPr>
              <w:br/>
              <w:t>(1 year)</w:t>
            </w:r>
            <w:r>
              <w:rPr>
                <w:b/>
                <w:sz w:val="18"/>
                <w:szCs w:val="18"/>
              </w:rPr>
              <w:br/>
              <w:t>$</w:t>
            </w:r>
          </w:p>
        </w:tc>
        <w:tc>
          <w:tcPr>
            <w:tcW w:w="886" w:type="dxa"/>
          </w:tcPr>
          <w:p>
            <w:pPr>
              <w:pStyle w:val="yTableNAm"/>
              <w:jc w:val="center"/>
            </w:pPr>
            <w:r>
              <w:rPr>
                <w:b/>
                <w:sz w:val="18"/>
                <w:szCs w:val="18"/>
              </w:rPr>
              <w:t>Initial Fee</w:t>
            </w:r>
            <w:r>
              <w:rPr>
                <w:b/>
                <w:sz w:val="18"/>
                <w:szCs w:val="18"/>
              </w:rPr>
              <w:br/>
              <w:t>(3 years)</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(1 year)</w:t>
            </w:r>
            <w:r>
              <w:rPr>
                <w:b/>
                <w:sz w:val="18"/>
                <w:szCs w:val="18"/>
              </w:rPr>
              <w:br/>
              <w:t>$</w:t>
            </w:r>
          </w:p>
        </w:tc>
        <w:tc>
          <w:tcPr>
            <w:tcW w:w="886" w:type="dxa"/>
          </w:tcPr>
          <w:p>
            <w:pPr>
              <w:pStyle w:val="yTableNAm"/>
              <w:jc w:val="center"/>
            </w:pPr>
            <w:r>
              <w:rPr>
                <w:b/>
                <w:sz w:val="18"/>
                <w:szCs w:val="18"/>
              </w:rPr>
              <w:t>Renewal</w:t>
            </w:r>
            <w:r>
              <w:rPr>
                <w:b/>
                <w:sz w:val="18"/>
                <w:szCs w:val="18"/>
              </w:rPr>
              <w:br/>
            </w:r>
            <w:r>
              <w:rPr>
                <w:b/>
                <w:sz w:val="18"/>
                <w:szCs w:val="18"/>
              </w:rPr>
              <w:br/>
              <w:t>(3 years)</w:t>
            </w:r>
            <w:r>
              <w:rPr>
                <w:b/>
                <w:sz w:val="18"/>
                <w:szCs w:val="18"/>
              </w:rPr>
              <w:br/>
              <w:t>$</w:t>
            </w:r>
          </w:p>
        </w:tc>
      </w:tr>
      <w:tr>
        <w:trPr>
          <w:cantSplit/>
        </w:trPr>
        <w:tc>
          <w:tcPr>
            <w:tcW w:w="709" w:type="dxa"/>
          </w:tcPr>
          <w:p>
            <w:pPr>
              <w:pStyle w:val="yTableNAm"/>
            </w:pPr>
            <w:r>
              <w:rPr>
                <w:sz w:val="18"/>
                <w:szCs w:val="18"/>
              </w:rPr>
              <w:t>1.</w:t>
            </w:r>
          </w:p>
        </w:tc>
        <w:tc>
          <w:tcPr>
            <w:tcW w:w="2835" w:type="dxa"/>
          </w:tcPr>
          <w:p>
            <w:pPr>
              <w:pStyle w:val="yTableNAm"/>
            </w:pPr>
            <w:r>
              <w:rPr>
                <w:sz w:val="18"/>
                <w:szCs w:val="18"/>
              </w:rPr>
              <w:t>Wholesaler’s licence</w:t>
            </w:r>
          </w:p>
        </w:tc>
        <w:tc>
          <w:tcPr>
            <w:tcW w:w="886" w:type="dxa"/>
          </w:tcPr>
          <w:p>
            <w:pPr>
              <w:pStyle w:val="yTableNAm"/>
            </w:pPr>
            <w:r>
              <w:rPr>
                <w:sz w:val="18"/>
                <w:szCs w:val="18"/>
              </w:rPr>
              <w:t>719</w:t>
            </w:r>
          </w:p>
        </w:tc>
        <w:tc>
          <w:tcPr>
            <w:tcW w:w="886" w:type="dxa"/>
          </w:tcPr>
          <w:p>
            <w:pPr>
              <w:pStyle w:val="yTableNAm"/>
            </w:pPr>
            <w:r>
              <w:rPr>
                <w:sz w:val="18"/>
                <w:szCs w:val="18"/>
              </w:rPr>
              <w:t>1 071</w:t>
            </w:r>
          </w:p>
        </w:tc>
        <w:tc>
          <w:tcPr>
            <w:tcW w:w="886" w:type="dxa"/>
          </w:tcPr>
          <w:p>
            <w:pPr>
              <w:pStyle w:val="yTableNAm"/>
            </w:pPr>
            <w:r>
              <w:rPr>
                <w:sz w:val="18"/>
                <w:szCs w:val="18"/>
              </w:rPr>
              <w:t>221</w:t>
            </w:r>
          </w:p>
        </w:tc>
        <w:tc>
          <w:tcPr>
            <w:tcW w:w="886" w:type="dxa"/>
          </w:tcPr>
          <w:p>
            <w:pPr>
              <w:pStyle w:val="yTableNAm"/>
            </w:pPr>
            <w:r>
              <w:rPr>
                <w:sz w:val="18"/>
                <w:szCs w:val="18"/>
              </w:rPr>
              <w:t>535</w:t>
            </w:r>
          </w:p>
        </w:tc>
      </w:tr>
      <w:tr>
        <w:trPr>
          <w:cantSplit/>
        </w:trPr>
        <w:tc>
          <w:tcPr>
            <w:tcW w:w="709" w:type="dxa"/>
          </w:tcPr>
          <w:p>
            <w:pPr>
              <w:pStyle w:val="yTableNAm"/>
            </w:pPr>
            <w:r>
              <w:rPr>
                <w:sz w:val="18"/>
                <w:szCs w:val="18"/>
              </w:rPr>
              <w:t>3.</w:t>
            </w:r>
          </w:p>
        </w:tc>
        <w:tc>
          <w:tcPr>
            <w:tcW w:w="2835" w:type="dxa"/>
          </w:tcPr>
          <w:p>
            <w:pPr>
              <w:pStyle w:val="yTableNAm"/>
            </w:pPr>
            <w:r>
              <w:rPr>
                <w:sz w:val="18"/>
                <w:szCs w:val="18"/>
              </w:rPr>
              <w:t>Pharmacist’s licence to sell poisons</w:t>
            </w:r>
          </w:p>
        </w:tc>
        <w:tc>
          <w:tcPr>
            <w:tcW w:w="886" w:type="dxa"/>
          </w:tcPr>
          <w:p>
            <w:pPr>
              <w:pStyle w:val="yTableNAm"/>
            </w:pPr>
            <w:r>
              <w:rPr>
                <w:sz w:val="18"/>
                <w:szCs w:val="18"/>
              </w:rPr>
              <w:br/>
              <w:t>126</w:t>
            </w:r>
          </w:p>
        </w:tc>
        <w:tc>
          <w:tcPr>
            <w:tcW w:w="886" w:type="dxa"/>
          </w:tcPr>
          <w:p>
            <w:pPr>
              <w:pStyle w:val="yTableNAm"/>
            </w:pPr>
            <w:r>
              <w:rPr>
                <w:sz w:val="18"/>
                <w:szCs w:val="18"/>
              </w:rPr>
              <w:br/>
              <w:t>252</w:t>
            </w:r>
          </w:p>
        </w:tc>
        <w:tc>
          <w:tcPr>
            <w:tcW w:w="886" w:type="dxa"/>
          </w:tcPr>
          <w:p>
            <w:pPr>
              <w:pStyle w:val="yTableNAm"/>
            </w:pPr>
            <w:r>
              <w:rPr>
                <w:sz w:val="18"/>
                <w:szCs w:val="18"/>
              </w:rPr>
              <w:br/>
              <w:t>94</w:t>
            </w:r>
          </w:p>
        </w:tc>
        <w:tc>
          <w:tcPr>
            <w:tcW w:w="886" w:type="dxa"/>
          </w:tcPr>
          <w:p>
            <w:pPr>
              <w:pStyle w:val="yTableNAm"/>
            </w:pPr>
            <w:r>
              <w:rPr>
                <w:sz w:val="18"/>
                <w:szCs w:val="18"/>
              </w:rPr>
              <w:br/>
              <w:t>212</w:t>
            </w:r>
          </w:p>
        </w:tc>
      </w:tr>
      <w:tr>
        <w:trPr>
          <w:cantSplit/>
        </w:trPr>
        <w:tc>
          <w:tcPr>
            <w:tcW w:w="709" w:type="dxa"/>
          </w:tcPr>
          <w:p>
            <w:pPr>
              <w:pStyle w:val="yTableNAm"/>
            </w:pPr>
            <w:r>
              <w:rPr>
                <w:sz w:val="18"/>
                <w:szCs w:val="18"/>
              </w:rPr>
              <w:t>5.</w:t>
            </w:r>
          </w:p>
        </w:tc>
        <w:tc>
          <w:tcPr>
            <w:tcW w:w="2835" w:type="dxa"/>
          </w:tcPr>
          <w:p>
            <w:pPr>
              <w:pStyle w:val="yTableNAm"/>
            </w:pPr>
            <w:r>
              <w:rPr>
                <w:sz w:val="18"/>
                <w:szCs w:val="18"/>
              </w:rPr>
              <w:t>Licence to sell by retail, poisons included in Schedule 2</w:t>
            </w:r>
          </w:p>
        </w:tc>
        <w:tc>
          <w:tcPr>
            <w:tcW w:w="886" w:type="dxa"/>
          </w:tcPr>
          <w:p>
            <w:pPr>
              <w:pStyle w:val="yTableNAm"/>
            </w:pPr>
            <w:r>
              <w:rPr>
                <w:sz w:val="18"/>
                <w:szCs w:val="18"/>
              </w:rPr>
              <w:br/>
              <w:t>126</w:t>
            </w:r>
          </w:p>
        </w:tc>
        <w:tc>
          <w:tcPr>
            <w:tcW w:w="886" w:type="dxa"/>
          </w:tcPr>
          <w:p>
            <w:pPr>
              <w:pStyle w:val="yTableNAm"/>
            </w:pPr>
            <w:r>
              <w:rPr>
                <w:sz w:val="18"/>
                <w:szCs w:val="18"/>
              </w:rPr>
              <w:br/>
              <w:t>189</w:t>
            </w:r>
          </w:p>
        </w:tc>
        <w:tc>
          <w:tcPr>
            <w:tcW w:w="886" w:type="dxa"/>
          </w:tcPr>
          <w:p>
            <w:pPr>
              <w:pStyle w:val="yTableNAm"/>
            </w:pPr>
            <w:r>
              <w:rPr>
                <w:sz w:val="18"/>
                <w:szCs w:val="18"/>
              </w:rPr>
              <w:br/>
              <w:t>57</w:t>
            </w:r>
          </w:p>
        </w:tc>
        <w:tc>
          <w:tcPr>
            <w:tcW w:w="886" w:type="dxa"/>
          </w:tcPr>
          <w:p>
            <w:pPr>
              <w:pStyle w:val="yTableNAm"/>
            </w:pPr>
            <w:r>
              <w:rPr>
                <w:sz w:val="18"/>
                <w:szCs w:val="18"/>
              </w:rPr>
              <w:br/>
              <w:t>122</w:t>
            </w:r>
          </w:p>
        </w:tc>
      </w:tr>
      <w:tr>
        <w:trPr>
          <w:cantSplit/>
        </w:trPr>
        <w:tc>
          <w:tcPr>
            <w:tcW w:w="709" w:type="dxa"/>
          </w:tcPr>
          <w:p>
            <w:pPr>
              <w:pStyle w:val="yTableNAm"/>
            </w:pPr>
            <w:r>
              <w:rPr>
                <w:sz w:val="18"/>
                <w:szCs w:val="18"/>
              </w:rPr>
              <w:t>6.</w:t>
            </w:r>
          </w:p>
        </w:tc>
        <w:tc>
          <w:tcPr>
            <w:tcW w:w="2835" w:type="dxa"/>
          </w:tcPr>
          <w:p>
            <w:pPr>
              <w:pStyle w:val="yTableNAm"/>
            </w:pPr>
            <w:r>
              <w:rPr>
                <w:sz w:val="18"/>
                <w:szCs w:val="18"/>
              </w:rPr>
              <w:t>Licence to sell by retail, poisons included in Schedule 7</w:t>
            </w:r>
          </w:p>
        </w:tc>
        <w:tc>
          <w:tcPr>
            <w:tcW w:w="886" w:type="dxa"/>
          </w:tcPr>
          <w:p>
            <w:pPr>
              <w:pStyle w:val="yTableNAm"/>
            </w:pPr>
            <w:r>
              <w:rPr>
                <w:sz w:val="18"/>
                <w:szCs w:val="18"/>
              </w:rPr>
              <w:br/>
              <w:t>226</w:t>
            </w:r>
          </w:p>
        </w:tc>
        <w:tc>
          <w:tcPr>
            <w:tcW w:w="886" w:type="dxa"/>
          </w:tcPr>
          <w:p>
            <w:pPr>
              <w:pStyle w:val="yTableNAm"/>
            </w:pPr>
            <w:r>
              <w:rPr>
                <w:sz w:val="18"/>
                <w:szCs w:val="18"/>
              </w:rPr>
              <w:br/>
              <w:t>365</w:t>
            </w:r>
          </w:p>
        </w:tc>
        <w:tc>
          <w:tcPr>
            <w:tcW w:w="886" w:type="dxa"/>
          </w:tcPr>
          <w:p>
            <w:pPr>
              <w:pStyle w:val="yTableNAm"/>
            </w:pPr>
            <w:r>
              <w:rPr>
                <w:sz w:val="18"/>
                <w:szCs w:val="18"/>
              </w:rPr>
              <w:br/>
              <w:t>94</w:t>
            </w:r>
          </w:p>
        </w:tc>
        <w:tc>
          <w:tcPr>
            <w:tcW w:w="886" w:type="dxa"/>
          </w:tcPr>
          <w:p>
            <w:pPr>
              <w:pStyle w:val="yTableNAm"/>
            </w:pPr>
            <w:r>
              <w:rPr>
                <w:sz w:val="18"/>
                <w:szCs w:val="18"/>
              </w:rPr>
              <w:br/>
              <w:t>212</w:t>
            </w:r>
          </w:p>
        </w:tc>
      </w:tr>
      <w:tr>
        <w:trPr>
          <w:cantSplit/>
        </w:trPr>
        <w:tc>
          <w:tcPr>
            <w:tcW w:w="709" w:type="dxa"/>
          </w:tcPr>
          <w:p>
            <w:pPr>
              <w:pStyle w:val="yTableNAm"/>
            </w:pPr>
            <w:r>
              <w:rPr>
                <w:sz w:val="18"/>
                <w:szCs w:val="18"/>
              </w:rPr>
              <w:t>6B.</w:t>
            </w:r>
          </w:p>
        </w:tc>
        <w:tc>
          <w:tcPr>
            <w:tcW w:w="2835" w:type="dxa"/>
          </w:tcPr>
          <w:p>
            <w:pPr>
              <w:pStyle w:val="yTableNAm"/>
            </w:pPr>
            <w:r>
              <w:rPr>
                <w:sz w:val="18"/>
                <w:szCs w:val="18"/>
              </w:rPr>
              <w:t>Poisons permit (distribution of samples)</w:t>
            </w:r>
          </w:p>
        </w:tc>
        <w:tc>
          <w:tcPr>
            <w:tcW w:w="886" w:type="dxa"/>
          </w:tcPr>
          <w:p>
            <w:pPr>
              <w:pStyle w:val="yTableNAm"/>
            </w:pPr>
            <w:r>
              <w:rPr>
                <w:sz w:val="18"/>
                <w:szCs w:val="18"/>
              </w:rPr>
              <w:br/>
              <w:t>126</w:t>
            </w:r>
          </w:p>
        </w:tc>
        <w:tc>
          <w:tcPr>
            <w:tcW w:w="886" w:type="dxa"/>
          </w:tcPr>
          <w:p>
            <w:pPr>
              <w:pStyle w:val="yTableNAm"/>
            </w:pPr>
            <w:r>
              <w:rPr>
                <w:sz w:val="18"/>
                <w:szCs w:val="18"/>
              </w:rPr>
              <w:br/>
              <w:t>189</w:t>
            </w:r>
          </w:p>
        </w:tc>
        <w:tc>
          <w:tcPr>
            <w:tcW w:w="886" w:type="dxa"/>
          </w:tcPr>
          <w:p>
            <w:pPr>
              <w:pStyle w:val="yTableNAm"/>
            </w:pPr>
            <w:r>
              <w:rPr>
                <w:sz w:val="18"/>
                <w:szCs w:val="18"/>
              </w:rPr>
              <w:br/>
              <w:t>57</w:t>
            </w:r>
          </w:p>
        </w:tc>
        <w:tc>
          <w:tcPr>
            <w:tcW w:w="886" w:type="dxa"/>
          </w:tcPr>
          <w:p>
            <w:pPr>
              <w:pStyle w:val="yTableNAm"/>
            </w:pPr>
            <w:r>
              <w:rPr>
                <w:sz w:val="18"/>
                <w:szCs w:val="18"/>
              </w:rPr>
              <w:br/>
              <w:t>122</w:t>
            </w:r>
          </w:p>
        </w:tc>
      </w:tr>
      <w:tr>
        <w:trPr>
          <w:cantSplit/>
        </w:trPr>
        <w:tc>
          <w:tcPr>
            <w:tcW w:w="709" w:type="dxa"/>
          </w:tcPr>
          <w:p>
            <w:pPr>
              <w:pStyle w:val="yTableNAm"/>
              <w:rPr>
                <w:sz w:val="18"/>
                <w:szCs w:val="18"/>
              </w:rPr>
            </w:pPr>
            <w:r>
              <w:rPr>
                <w:sz w:val="18"/>
                <w:szCs w:val="18"/>
              </w:rPr>
              <w:t>7.</w:t>
            </w:r>
          </w:p>
        </w:tc>
        <w:tc>
          <w:tcPr>
            <w:tcW w:w="2835" w:type="dxa"/>
          </w:tcPr>
          <w:p>
            <w:pPr>
              <w:pStyle w:val="yTableNAm"/>
              <w:rPr>
                <w:sz w:val="18"/>
                <w:szCs w:val="18"/>
              </w:rPr>
            </w:pPr>
            <w:r>
              <w:rPr>
                <w:sz w:val="18"/>
                <w:szCs w:val="18"/>
              </w:rPr>
              <w:t>Poisons permit (industrial) — </w:t>
            </w:r>
          </w:p>
          <w:p>
            <w:pPr>
              <w:pStyle w:val="yTableNAm"/>
              <w:tabs>
                <w:tab w:val="clear" w:pos="567"/>
                <w:tab w:val="left" w:pos="387"/>
              </w:tabs>
              <w:ind w:left="415" w:hanging="415"/>
              <w:rPr>
                <w:sz w:val="18"/>
                <w:szCs w:val="18"/>
              </w:rPr>
            </w:pPr>
            <w:r>
              <w:rPr>
                <w:sz w:val="18"/>
                <w:szCs w:val="18"/>
              </w:rPr>
              <w:t>(a)</w:t>
            </w:r>
            <w:r>
              <w:rPr>
                <w:sz w:val="18"/>
                <w:szCs w:val="18"/>
              </w:rPr>
              <w:tab/>
              <w:t xml:space="preserve">for one or more of the following poisons — </w:t>
            </w:r>
          </w:p>
          <w:p>
            <w:pPr>
              <w:pStyle w:val="yTableNAm"/>
              <w:tabs>
                <w:tab w:val="clear" w:pos="567"/>
                <w:tab w:val="left" w:pos="387"/>
              </w:tabs>
              <w:ind w:left="415" w:hanging="415"/>
              <w:rPr>
                <w:sz w:val="18"/>
                <w:szCs w:val="18"/>
              </w:rPr>
            </w:pPr>
            <w:r>
              <w:rPr>
                <w:sz w:val="18"/>
                <w:szCs w:val="18"/>
              </w:rPr>
              <w:tab/>
              <w:t>benzene;</w:t>
            </w:r>
          </w:p>
          <w:p>
            <w:pPr>
              <w:pStyle w:val="yTableNAm"/>
              <w:tabs>
                <w:tab w:val="clear" w:pos="567"/>
                <w:tab w:val="left" w:pos="387"/>
              </w:tabs>
              <w:ind w:left="415" w:hanging="415"/>
              <w:rPr>
                <w:sz w:val="18"/>
                <w:szCs w:val="18"/>
              </w:rPr>
            </w:pPr>
            <w:r>
              <w:rPr>
                <w:sz w:val="18"/>
                <w:szCs w:val="18"/>
              </w:rPr>
              <w:tab/>
              <w:t>4,4</w:t>
            </w:r>
            <w:r>
              <w:rPr>
                <w:sz w:val="18"/>
                <w:szCs w:val="18"/>
              </w:rPr>
              <w:noBreakHyphen/>
              <w:t>diaminodiphenylmethane (Methylene dianiline);</w:t>
            </w:r>
          </w:p>
          <w:p>
            <w:pPr>
              <w:pStyle w:val="yTableNAm"/>
              <w:tabs>
                <w:tab w:val="clear" w:pos="567"/>
                <w:tab w:val="left" w:pos="387"/>
              </w:tabs>
              <w:ind w:left="415" w:hanging="415"/>
              <w:rPr>
                <w:sz w:val="18"/>
                <w:szCs w:val="18"/>
              </w:rPr>
            </w:pPr>
            <w:r>
              <w:rPr>
                <w:sz w:val="18"/>
                <w:szCs w:val="18"/>
              </w:rPr>
              <w:tab/>
              <w:t>4,4’</w:t>
            </w:r>
            <w:r>
              <w:rPr>
                <w:sz w:val="18"/>
                <w:szCs w:val="18"/>
              </w:rPr>
              <w:noBreakHyphen/>
              <w:t>methylenebis (2</w:t>
            </w:r>
            <w:r>
              <w:rPr>
                <w:sz w:val="18"/>
                <w:szCs w:val="18"/>
              </w:rPr>
              <w:noBreakHyphen/>
              <w:t>chloroaniline);</w:t>
            </w:r>
          </w:p>
          <w:p>
            <w:pPr>
              <w:pStyle w:val="yTableNAm"/>
              <w:tabs>
                <w:tab w:val="clear" w:pos="567"/>
                <w:tab w:val="left" w:pos="387"/>
              </w:tabs>
              <w:ind w:left="415" w:hanging="415"/>
              <w:rPr>
                <w:sz w:val="18"/>
                <w:szCs w:val="18"/>
              </w:rPr>
            </w:pPr>
            <w:r>
              <w:rPr>
                <w:sz w:val="18"/>
                <w:szCs w:val="18"/>
              </w:rPr>
              <w:t>(b)</w:t>
            </w:r>
            <w:r>
              <w:rPr>
                <w:sz w:val="18"/>
                <w:szCs w:val="18"/>
              </w:rPr>
              <w:tab/>
              <w:t>for poisons other than those set out in paragraph (a)</w:t>
            </w:r>
          </w:p>
        </w:tc>
        <w:tc>
          <w:tcPr>
            <w:tcW w:w="886" w:type="dxa"/>
          </w:tcPr>
          <w:p>
            <w:pPr>
              <w:pStyle w:val="yTableNAm"/>
              <w:rPr>
                <w:sz w:val="18"/>
                <w:szCs w:val="18"/>
              </w:rPr>
            </w:pPr>
          </w:p>
          <w:p>
            <w:pPr>
              <w:pStyle w:val="yTableNAm"/>
              <w:rPr>
                <w:sz w:val="18"/>
                <w:szCs w:val="18"/>
              </w:rPr>
            </w:pPr>
            <w:r>
              <w:rPr>
                <w:sz w:val="18"/>
                <w:szCs w:val="18"/>
              </w:rPr>
              <w:br/>
              <w:t>575</w:t>
            </w:r>
          </w:p>
          <w:p>
            <w:pPr>
              <w:pStyle w:val="yTableNAm"/>
              <w:rPr>
                <w:sz w:val="18"/>
                <w:szCs w:val="18"/>
              </w:rPr>
            </w:pPr>
          </w:p>
          <w:p>
            <w:pPr>
              <w:pStyle w:val="yTableNAm"/>
              <w:rPr>
                <w:sz w:val="18"/>
                <w:szCs w:val="18"/>
              </w:rPr>
            </w:pPr>
            <w:r>
              <w:rPr>
                <w:sz w:val="18"/>
                <w:szCs w:val="18"/>
              </w:rPr>
              <w:br/>
            </w:r>
          </w:p>
          <w:p>
            <w:pPr>
              <w:pStyle w:val="yTableNAm"/>
              <w:rPr>
                <w:sz w:val="18"/>
                <w:szCs w:val="18"/>
              </w:rPr>
            </w:pPr>
            <w:r>
              <w:rPr>
                <w:sz w:val="18"/>
                <w:szCs w:val="18"/>
              </w:rPr>
              <w:br/>
            </w:r>
          </w:p>
          <w:p>
            <w:pPr>
              <w:pStyle w:val="yTableNAm"/>
              <w:rPr>
                <w:sz w:val="18"/>
                <w:szCs w:val="18"/>
              </w:rPr>
            </w:pPr>
            <w:r>
              <w:rPr>
                <w:sz w:val="18"/>
                <w:szCs w:val="18"/>
              </w:rPr>
              <w:br/>
              <w:t>252</w:t>
            </w:r>
          </w:p>
        </w:tc>
        <w:tc>
          <w:tcPr>
            <w:tcW w:w="886" w:type="dxa"/>
          </w:tcPr>
          <w:p>
            <w:pPr>
              <w:pStyle w:val="yTableNAm"/>
              <w:rPr>
                <w:sz w:val="18"/>
                <w:szCs w:val="18"/>
              </w:rPr>
            </w:pPr>
          </w:p>
          <w:p>
            <w:pPr>
              <w:pStyle w:val="yTableNAm"/>
              <w:rPr>
                <w:sz w:val="18"/>
                <w:szCs w:val="18"/>
              </w:rPr>
            </w:pPr>
            <w:r>
              <w:rPr>
                <w:sz w:val="18"/>
                <w:szCs w:val="18"/>
              </w:rPr>
              <w:br/>
              <w:t>1 275</w:t>
            </w:r>
          </w:p>
          <w:p>
            <w:pPr>
              <w:pStyle w:val="yTableNAm"/>
              <w:rPr>
                <w:sz w:val="18"/>
                <w:szCs w:val="18"/>
              </w:rPr>
            </w:pPr>
          </w:p>
          <w:p>
            <w:pPr>
              <w:pStyle w:val="yTableNAm"/>
              <w:rPr>
                <w:sz w:val="18"/>
                <w:szCs w:val="18"/>
              </w:rPr>
            </w:pPr>
            <w:r>
              <w:rPr>
                <w:sz w:val="18"/>
                <w:szCs w:val="18"/>
              </w:rPr>
              <w:br/>
            </w:r>
          </w:p>
          <w:p>
            <w:pPr>
              <w:pStyle w:val="yTableNAm"/>
              <w:rPr>
                <w:sz w:val="18"/>
                <w:szCs w:val="18"/>
              </w:rPr>
            </w:pPr>
            <w:r>
              <w:rPr>
                <w:sz w:val="18"/>
                <w:szCs w:val="18"/>
              </w:rPr>
              <w:br/>
            </w:r>
          </w:p>
          <w:p>
            <w:pPr>
              <w:pStyle w:val="yTableNAm"/>
              <w:rPr>
                <w:sz w:val="18"/>
                <w:szCs w:val="18"/>
              </w:rPr>
            </w:pPr>
            <w:r>
              <w:rPr>
                <w:sz w:val="18"/>
                <w:szCs w:val="18"/>
              </w:rPr>
              <w:br/>
              <w:t>378</w:t>
            </w:r>
          </w:p>
        </w:tc>
        <w:tc>
          <w:tcPr>
            <w:tcW w:w="886" w:type="dxa"/>
          </w:tcPr>
          <w:p>
            <w:pPr>
              <w:pStyle w:val="yTableNAm"/>
              <w:rPr>
                <w:sz w:val="18"/>
                <w:szCs w:val="18"/>
              </w:rPr>
            </w:pPr>
          </w:p>
          <w:p>
            <w:pPr>
              <w:pStyle w:val="yTableNAm"/>
              <w:rPr>
                <w:sz w:val="18"/>
                <w:szCs w:val="18"/>
              </w:rPr>
            </w:pPr>
            <w:r>
              <w:rPr>
                <w:sz w:val="18"/>
                <w:szCs w:val="18"/>
              </w:rPr>
              <w:br/>
              <w:t>425</w:t>
            </w:r>
          </w:p>
          <w:p>
            <w:pPr>
              <w:pStyle w:val="yTableNAm"/>
              <w:rPr>
                <w:sz w:val="18"/>
                <w:szCs w:val="18"/>
              </w:rPr>
            </w:pPr>
          </w:p>
          <w:p>
            <w:pPr>
              <w:pStyle w:val="yTableNAm"/>
              <w:rPr>
                <w:sz w:val="18"/>
                <w:szCs w:val="18"/>
              </w:rPr>
            </w:pPr>
            <w:r>
              <w:rPr>
                <w:sz w:val="18"/>
                <w:szCs w:val="18"/>
              </w:rPr>
              <w:br/>
            </w:r>
          </w:p>
          <w:p>
            <w:pPr>
              <w:pStyle w:val="yTableNAm"/>
              <w:rPr>
                <w:sz w:val="18"/>
                <w:szCs w:val="18"/>
              </w:rPr>
            </w:pPr>
            <w:r>
              <w:rPr>
                <w:sz w:val="18"/>
                <w:szCs w:val="18"/>
              </w:rPr>
              <w:br/>
            </w:r>
          </w:p>
          <w:p>
            <w:pPr>
              <w:pStyle w:val="yTableNAm"/>
              <w:rPr>
                <w:sz w:val="18"/>
                <w:szCs w:val="18"/>
              </w:rPr>
            </w:pPr>
            <w:r>
              <w:rPr>
                <w:sz w:val="18"/>
                <w:szCs w:val="18"/>
              </w:rPr>
              <w:br/>
              <w:t>94</w:t>
            </w:r>
          </w:p>
        </w:tc>
        <w:tc>
          <w:tcPr>
            <w:tcW w:w="886" w:type="dxa"/>
          </w:tcPr>
          <w:p>
            <w:pPr>
              <w:pStyle w:val="yTableNAm"/>
              <w:rPr>
                <w:sz w:val="18"/>
                <w:szCs w:val="18"/>
              </w:rPr>
            </w:pPr>
          </w:p>
          <w:p>
            <w:pPr>
              <w:pStyle w:val="yTableNAm"/>
              <w:rPr>
                <w:sz w:val="18"/>
                <w:szCs w:val="18"/>
              </w:rPr>
            </w:pPr>
            <w:r>
              <w:rPr>
                <w:sz w:val="18"/>
                <w:szCs w:val="18"/>
              </w:rPr>
              <w:br/>
              <w:t>1 125</w:t>
            </w:r>
          </w:p>
          <w:p>
            <w:pPr>
              <w:pStyle w:val="yTableNAm"/>
              <w:rPr>
                <w:sz w:val="18"/>
                <w:szCs w:val="18"/>
              </w:rPr>
            </w:pPr>
          </w:p>
          <w:p>
            <w:pPr>
              <w:pStyle w:val="yTableNAm"/>
              <w:rPr>
                <w:sz w:val="18"/>
                <w:szCs w:val="18"/>
              </w:rPr>
            </w:pPr>
            <w:r>
              <w:rPr>
                <w:sz w:val="18"/>
                <w:szCs w:val="18"/>
              </w:rPr>
              <w:br/>
            </w:r>
          </w:p>
          <w:p>
            <w:pPr>
              <w:pStyle w:val="yTableNAm"/>
              <w:rPr>
                <w:sz w:val="18"/>
                <w:szCs w:val="18"/>
              </w:rPr>
            </w:pPr>
            <w:r>
              <w:rPr>
                <w:sz w:val="18"/>
                <w:szCs w:val="18"/>
              </w:rPr>
              <w:br/>
            </w:r>
          </w:p>
          <w:p>
            <w:pPr>
              <w:pStyle w:val="yTableNAm"/>
              <w:rPr>
                <w:sz w:val="18"/>
                <w:szCs w:val="18"/>
              </w:rPr>
            </w:pPr>
            <w:r>
              <w:rPr>
                <w:sz w:val="18"/>
                <w:szCs w:val="18"/>
              </w:rPr>
              <w:br/>
              <w:t>212</w:t>
            </w:r>
          </w:p>
        </w:tc>
      </w:tr>
      <w:tr>
        <w:trPr>
          <w:cantSplit/>
        </w:trPr>
        <w:tc>
          <w:tcPr>
            <w:tcW w:w="709" w:type="dxa"/>
          </w:tcPr>
          <w:p>
            <w:pPr>
              <w:pStyle w:val="yTableNAm"/>
            </w:pPr>
            <w:r>
              <w:rPr>
                <w:sz w:val="18"/>
                <w:szCs w:val="18"/>
              </w:rPr>
              <w:t>8.</w:t>
            </w:r>
          </w:p>
        </w:tc>
        <w:tc>
          <w:tcPr>
            <w:tcW w:w="2835" w:type="dxa"/>
          </w:tcPr>
          <w:p>
            <w:pPr>
              <w:pStyle w:val="yTableNAm"/>
            </w:pPr>
            <w:r>
              <w:rPr>
                <w:sz w:val="18"/>
                <w:szCs w:val="18"/>
              </w:rPr>
              <w:t>Poisons permit (educational, advisory or research)</w:t>
            </w:r>
          </w:p>
        </w:tc>
        <w:tc>
          <w:tcPr>
            <w:tcW w:w="886" w:type="dxa"/>
          </w:tcPr>
          <w:p>
            <w:pPr>
              <w:pStyle w:val="yTableNAm"/>
            </w:pPr>
            <w:r>
              <w:rPr>
                <w:sz w:val="18"/>
                <w:szCs w:val="18"/>
              </w:rPr>
              <w:br/>
              <w:t>126</w:t>
            </w:r>
          </w:p>
        </w:tc>
        <w:tc>
          <w:tcPr>
            <w:tcW w:w="886" w:type="dxa"/>
          </w:tcPr>
          <w:p>
            <w:pPr>
              <w:pStyle w:val="yTableNAm"/>
            </w:pPr>
            <w:r>
              <w:rPr>
                <w:sz w:val="18"/>
                <w:szCs w:val="18"/>
              </w:rPr>
              <w:br/>
              <w:t>189</w:t>
            </w:r>
          </w:p>
        </w:tc>
        <w:tc>
          <w:tcPr>
            <w:tcW w:w="886" w:type="dxa"/>
          </w:tcPr>
          <w:p>
            <w:pPr>
              <w:pStyle w:val="yTableNAm"/>
            </w:pPr>
            <w:r>
              <w:rPr>
                <w:sz w:val="18"/>
                <w:szCs w:val="18"/>
              </w:rPr>
              <w:br/>
              <w:t>57</w:t>
            </w:r>
          </w:p>
        </w:tc>
        <w:tc>
          <w:tcPr>
            <w:tcW w:w="886" w:type="dxa"/>
          </w:tcPr>
          <w:p>
            <w:pPr>
              <w:pStyle w:val="yTableNAm"/>
            </w:pPr>
            <w:r>
              <w:rPr>
                <w:sz w:val="18"/>
                <w:szCs w:val="18"/>
              </w:rPr>
              <w:br/>
              <w:t>122</w:t>
            </w:r>
          </w:p>
        </w:tc>
      </w:tr>
      <w:tr>
        <w:trPr>
          <w:cantSplit/>
        </w:trPr>
        <w:tc>
          <w:tcPr>
            <w:tcW w:w="709" w:type="dxa"/>
          </w:tcPr>
          <w:p>
            <w:pPr>
              <w:pStyle w:val="yTableNAm"/>
            </w:pPr>
            <w:r>
              <w:rPr>
                <w:sz w:val="18"/>
                <w:szCs w:val="18"/>
              </w:rPr>
              <w:t>8AA.</w:t>
            </w:r>
          </w:p>
        </w:tc>
        <w:tc>
          <w:tcPr>
            <w:tcW w:w="2835" w:type="dxa"/>
          </w:tcPr>
          <w:p>
            <w:pPr>
              <w:pStyle w:val="yTableNAm"/>
            </w:pPr>
            <w:r>
              <w:rPr>
                <w:sz w:val="18"/>
                <w:szCs w:val="18"/>
              </w:rPr>
              <w:t>Poisons permit (health services)</w:t>
            </w:r>
          </w:p>
        </w:tc>
        <w:tc>
          <w:tcPr>
            <w:tcW w:w="886" w:type="dxa"/>
          </w:tcPr>
          <w:p>
            <w:pPr>
              <w:pStyle w:val="yTableNAm"/>
            </w:pPr>
            <w:r>
              <w:rPr>
                <w:sz w:val="18"/>
                <w:szCs w:val="18"/>
              </w:rPr>
              <w:t>252</w:t>
            </w:r>
          </w:p>
        </w:tc>
        <w:tc>
          <w:tcPr>
            <w:tcW w:w="886" w:type="dxa"/>
          </w:tcPr>
          <w:p>
            <w:pPr>
              <w:pStyle w:val="yTableNAm"/>
            </w:pPr>
            <w:r>
              <w:rPr>
                <w:sz w:val="18"/>
                <w:szCs w:val="18"/>
              </w:rPr>
              <w:t>378</w:t>
            </w:r>
          </w:p>
        </w:tc>
        <w:tc>
          <w:tcPr>
            <w:tcW w:w="886" w:type="dxa"/>
          </w:tcPr>
          <w:p>
            <w:pPr>
              <w:pStyle w:val="yTableNAm"/>
            </w:pPr>
            <w:r>
              <w:rPr>
                <w:sz w:val="18"/>
                <w:szCs w:val="18"/>
              </w:rPr>
              <w:t>94</w:t>
            </w:r>
          </w:p>
        </w:tc>
        <w:tc>
          <w:tcPr>
            <w:tcW w:w="886" w:type="dxa"/>
          </w:tcPr>
          <w:p>
            <w:pPr>
              <w:pStyle w:val="yTableNAm"/>
            </w:pPr>
            <w:r>
              <w:rPr>
                <w:sz w:val="18"/>
                <w:szCs w:val="18"/>
              </w:rPr>
              <w:t>212</w:t>
            </w:r>
          </w:p>
        </w:tc>
      </w:tr>
      <w:tr>
        <w:trPr>
          <w:cantSplit/>
        </w:trPr>
        <w:tc>
          <w:tcPr>
            <w:tcW w:w="709" w:type="dxa"/>
          </w:tcPr>
          <w:p>
            <w:pPr>
              <w:pStyle w:val="yTableNAm"/>
            </w:pPr>
            <w:r>
              <w:rPr>
                <w:sz w:val="18"/>
                <w:szCs w:val="18"/>
              </w:rPr>
              <w:t>11AA.</w:t>
            </w:r>
          </w:p>
        </w:tc>
        <w:tc>
          <w:tcPr>
            <w:tcW w:w="2835" w:type="dxa"/>
          </w:tcPr>
          <w:p>
            <w:pPr>
              <w:pStyle w:val="yTableNAm"/>
            </w:pPr>
            <w:r>
              <w:rPr>
                <w:sz w:val="18"/>
                <w:szCs w:val="18"/>
              </w:rPr>
              <w:t>Stockfeed manufacturer’s permit</w:t>
            </w:r>
          </w:p>
        </w:tc>
        <w:tc>
          <w:tcPr>
            <w:tcW w:w="886" w:type="dxa"/>
          </w:tcPr>
          <w:p>
            <w:pPr>
              <w:pStyle w:val="yTableNAm"/>
            </w:pPr>
            <w:r>
              <w:rPr>
                <w:sz w:val="18"/>
                <w:szCs w:val="18"/>
              </w:rPr>
              <w:t>174</w:t>
            </w:r>
          </w:p>
        </w:tc>
        <w:tc>
          <w:tcPr>
            <w:tcW w:w="886" w:type="dxa"/>
          </w:tcPr>
          <w:p>
            <w:pPr>
              <w:pStyle w:val="yTableNAm"/>
            </w:pPr>
            <w:r>
              <w:rPr>
                <w:sz w:val="18"/>
                <w:szCs w:val="18"/>
              </w:rPr>
              <w:t>260</w:t>
            </w:r>
          </w:p>
        </w:tc>
        <w:tc>
          <w:tcPr>
            <w:tcW w:w="886" w:type="dxa"/>
          </w:tcPr>
          <w:p>
            <w:pPr>
              <w:pStyle w:val="yTableNAm"/>
            </w:pPr>
            <w:r>
              <w:rPr>
                <w:sz w:val="18"/>
                <w:szCs w:val="18"/>
              </w:rPr>
              <w:t>82</w:t>
            </w:r>
          </w:p>
        </w:tc>
        <w:tc>
          <w:tcPr>
            <w:tcW w:w="886" w:type="dxa"/>
          </w:tcPr>
          <w:p>
            <w:pPr>
              <w:pStyle w:val="yTableNAm"/>
            </w:pPr>
            <w:r>
              <w:rPr>
                <w:sz w:val="18"/>
                <w:szCs w:val="18"/>
              </w:rPr>
              <w:t>165</w:t>
            </w:r>
          </w:p>
        </w:tc>
      </w:tr>
      <w:tr>
        <w:trPr>
          <w:cantSplit/>
        </w:trPr>
        <w:tc>
          <w:tcPr>
            <w:tcW w:w="709" w:type="dxa"/>
          </w:tcPr>
          <w:p>
            <w:pPr>
              <w:pStyle w:val="yTableNAm"/>
              <w:rPr>
                <w:sz w:val="18"/>
                <w:szCs w:val="18"/>
              </w:rPr>
            </w:pPr>
            <w:r>
              <w:rPr>
                <w:sz w:val="18"/>
                <w:szCs w:val="18"/>
              </w:rPr>
              <w:t>13.</w:t>
            </w:r>
          </w:p>
        </w:tc>
        <w:tc>
          <w:tcPr>
            <w:tcW w:w="2835" w:type="dxa"/>
          </w:tcPr>
          <w:p>
            <w:pPr>
              <w:pStyle w:val="yTableNAm"/>
              <w:rPr>
                <w:sz w:val="18"/>
                <w:szCs w:val="18"/>
              </w:rPr>
            </w:pPr>
            <w:r>
              <w:rPr>
                <w:sz w:val="18"/>
                <w:szCs w:val="18"/>
              </w:rPr>
              <w:t>Poisons permit (Departmental and hospitals) — </w:t>
            </w:r>
          </w:p>
          <w:p>
            <w:pPr>
              <w:pStyle w:val="yTableNAm"/>
              <w:tabs>
                <w:tab w:val="clear" w:pos="567"/>
                <w:tab w:val="left" w:pos="387"/>
              </w:tabs>
              <w:ind w:left="415" w:hanging="415"/>
              <w:rPr>
                <w:sz w:val="18"/>
                <w:szCs w:val="18"/>
              </w:rPr>
            </w:pPr>
            <w:r>
              <w:rPr>
                <w:sz w:val="18"/>
                <w:szCs w:val="18"/>
              </w:rPr>
              <w:t>(a)</w:t>
            </w:r>
            <w:r>
              <w:rPr>
                <w:sz w:val="18"/>
                <w:szCs w:val="18"/>
              </w:rPr>
              <w:tab/>
              <w:t>Departmental;</w:t>
            </w:r>
          </w:p>
          <w:p>
            <w:pPr>
              <w:pStyle w:val="yTableNAm"/>
              <w:tabs>
                <w:tab w:val="clear" w:pos="567"/>
                <w:tab w:val="left" w:pos="387"/>
              </w:tabs>
              <w:ind w:left="415" w:hanging="415"/>
              <w:rPr>
                <w:sz w:val="18"/>
                <w:szCs w:val="18"/>
              </w:rPr>
            </w:pPr>
            <w:r>
              <w:rPr>
                <w:sz w:val="18"/>
                <w:szCs w:val="18"/>
              </w:rPr>
              <w:t>(b)</w:t>
            </w:r>
            <w:r>
              <w:rPr>
                <w:sz w:val="18"/>
                <w:szCs w:val="18"/>
              </w:rPr>
              <w:tab/>
              <w:t>hospitals</w:t>
            </w:r>
          </w:p>
        </w:tc>
        <w:tc>
          <w:tcPr>
            <w:tcW w:w="886" w:type="dxa"/>
          </w:tcPr>
          <w:p>
            <w:pPr>
              <w:pStyle w:val="yTableNAm"/>
              <w:rPr>
                <w:sz w:val="18"/>
                <w:szCs w:val="18"/>
              </w:rPr>
            </w:pPr>
            <w:r>
              <w:rPr>
                <w:sz w:val="18"/>
                <w:szCs w:val="18"/>
              </w:rPr>
              <w:br/>
            </w:r>
          </w:p>
          <w:p>
            <w:pPr>
              <w:pStyle w:val="yTableNAm"/>
              <w:rPr>
                <w:sz w:val="18"/>
                <w:szCs w:val="18"/>
              </w:rPr>
            </w:pPr>
            <w:r>
              <w:rPr>
                <w:sz w:val="18"/>
                <w:szCs w:val="18"/>
              </w:rPr>
              <w:t>126</w:t>
            </w:r>
          </w:p>
          <w:p>
            <w:pPr>
              <w:pStyle w:val="yTableNAm"/>
              <w:rPr>
                <w:sz w:val="18"/>
                <w:szCs w:val="18"/>
              </w:rPr>
            </w:pPr>
            <w:r>
              <w:rPr>
                <w:sz w:val="18"/>
                <w:szCs w:val="18"/>
              </w:rPr>
              <w:t>No fee</w:t>
            </w:r>
          </w:p>
        </w:tc>
        <w:tc>
          <w:tcPr>
            <w:tcW w:w="886" w:type="dxa"/>
          </w:tcPr>
          <w:p>
            <w:pPr>
              <w:pStyle w:val="yTableNAm"/>
              <w:rPr>
                <w:sz w:val="18"/>
                <w:szCs w:val="18"/>
              </w:rPr>
            </w:pPr>
            <w:r>
              <w:rPr>
                <w:sz w:val="18"/>
                <w:szCs w:val="18"/>
              </w:rPr>
              <w:br/>
            </w:r>
          </w:p>
          <w:p>
            <w:pPr>
              <w:pStyle w:val="yTableNAm"/>
              <w:rPr>
                <w:sz w:val="18"/>
                <w:szCs w:val="18"/>
              </w:rPr>
            </w:pPr>
            <w:r>
              <w:rPr>
                <w:sz w:val="18"/>
                <w:szCs w:val="18"/>
              </w:rPr>
              <w:t>189</w:t>
            </w:r>
          </w:p>
          <w:p>
            <w:pPr>
              <w:pStyle w:val="yTableNAm"/>
              <w:rPr>
                <w:sz w:val="18"/>
                <w:szCs w:val="18"/>
              </w:rPr>
            </w:pPr>
            <w:r>
              <w:rPr>
                <w:sz w:val="18"/>
                <w:szCs w:val="18"/>
              </w:rPr>
              <w:t>No fee</w:t>
            </w:r>
          </w:p>
        </w:tc>
        <w:tc>
          <w:tcPr>
            <w:tcW w:w="886" w:type="dxa"/>
          </w:tcPr>
          <w:p>
            <w:pPr>
              <w:pStyle w:val="yTableNAm"/>
              <w:rPr>
                <w:sz w:val="18"/>
                <w:szCs w:val="18"/>
              </w:rPr>
            </w:pPr>
            <w:r>
              <w:rPr>
                <w:sz w:val="18"/>
                <w:szCs w:val="18"/>
              </w:rPr>
              <w:br/>
            </w:r>
          </w:p>
          <w:p>
            <w:pPr>
              <w:pStyle w:val="yTableNAm"/>
              <w:rPr>
                <w:sz w:val="18"/>
                <w:szCs w:val="18"/>
              </w:rPr>
            </w:pPr>
            <w:r>
              <w:rPr>
                <w:sz w:val="18"/>
                <w:szCs w:val="18"/>
              </w:rPr>
              <w:t>57</w:t>
            </w:r>
          </w:p>
          <w:p>
            <w:pPr>
              <w:pStyle w:val="yTableNAm"/>
              <w:rPr>
                <w:sz w:val="18"/>
                <w:szCs w:val="18"/>
              </w:rPr>
            </w:pPr>
            <w:r>
              <w:rPr>
                <w:sz w:val="18"/>
                <w:szCs w:val="18"/>
              </w:rPr>
              <w:t>No fee</w:t>
            </w:r>
          </w:p>
        </w:tc>
        <w:tc>
          <w:tcPr>
            <w:tcW w:w="886" w:type="dxa"/>
          </w:tcPr>
          <w:p>
            <w:pPr>
              <w:pStyle w:val="yTableNAm"/>
              <w:rPr>
                <w:sz w:val="18"/>
                <w:szCs w:val="18"/>
              </w:rPr>
            </w:pPr>
            <w:r>
              <w:rPr>
                <w:sz w:val="18"/>
                <w:szCs w:val="18"/>
              </w:rPr>
              <w:br/>
            </w:r>
          </w:p>
          <w:p>
            <w:pPr>
              <w:pStyle w:val="yTableNAm"/>
              <w:rPr>
                <w:sz w:val="18"/>
                <w:szCs w:val="18"/>
              </w:rPr>
            </w:pPr>
            <w:r>
              <w:rPr>
                <w:sz w:val="18"/>
                <w:szCs w:val="18"/>
              </w:rPr>
              <w:t>122</w:t>
            </w:r>
          </w:p>
          <w:p>
            <w:pPr>
              <w:pStyle w:val="yTableNAm"/>
              <w:rPr>
                <w:sz w:val="18"/>
                <w:szCs w:val="18"/>
              </w:rPr>
            </w:pPr>
            <w:r>
              <w:rPr>
                <w:sz w:val="18"/>
                <w:szCs w:val="18"/>
              </w:rPr>
              <w:t>No fee</w:t>
            </w:r>
          </w:p>
        </w:tc>
      </w:tr>
    </w:tbl>
    <w:p>
      <w:pPr>
        <w:pStyle w:val="yFootnotesection"/>
        <w:rPr>
          <w:rStyle w:val="CharSchNo"/>
          <w:b/>
          <w:snapToGrid/>
        </w:rPr>
      </w:pPr>
      <w:r>
        <w:tab/>
        <w:t>[Appendix G inserted in Gazette 5 May 2015 p. 1595.]</w:t>
      </w:r>
    </w:p>
    <w:p>
      <w:pPr>
        <w:pStyle w:val="yScheduleHeading"/>
        <w:outlineLvl w:val="0"/>
      </w:pPr>
      <w:bookmarkStart w:id="728" w:name="_Toc406084371"/>
      <w:bookmarkStart w:id="729" w:name="_Toc406492558"/>
      <w:bookmarkStart w:id="730" w:name="_Toc414629701"/>
      <w:bookmarkStart w:id="731" w:name="_Toc414629928"/>
      <w:bookmarkStart w:id="732" w:name="_Toc414871792"/>
      <w:bookmarkStart w:id="733" w:name="_Toc414873558"/>
      <w:bookmarkStart w:id="734" w:name="_Toc418582600"/>
      <w:bookmarkStart w:id="735" w:name="_Toc423426647"/>
      <w:bookmarkStart w:id="736" w:name="_Toc423427048"/>
      <w:bookmarkStart w:id="737" w:name="_Toc524795964"/>
      <w:bookmarkEnd w:id="719"/>
      <w:bookmarkEnd w:id="720"/>
      <w:bookmarkEnd w:id="721"/>
      <w:bookmarkEnd w:id="722"/>
      <w:bookmarkEnd w:id="723"/>
      <w:bookmarkEnd w:id="724"/>
      <w:bookmarkEnd w:id="725"/>
      <w:bookmarkEnd w:id="726"/>
      <w:r>
        <w:rPr>
          <w:rStyle w:val="CharSchNo"/>
        </w:rPr>
        <w:t>Appendix H</w:t>
      </w:r>
      <w:bookmarkEnd w:id="728"/>
      <w:bookmarkEnd w:id="729"/>
      <w:bookmarkEnd w:id="730"/>
      <w:bookmarkEnd w:id="731"/>
      <w:bookmarkEnd w:id="732"/>
      <w:bookmarkEnd w:id="733"/>
      <w:bookmarkEnd w:id="734"/>
      <w:bookmarkEnd w:id="735"/>
      <w:bookmarkEnd w:id="736"/>
      <w:bookmarkEnd w:id="737"/>
    </w:p>
    <w:p>
      <w:pPr>
        <w:pStyle w:val="yHeading2"/>
        <w:outlineLvl w:val="9"/>
      </w:pPr>
      <w:bookmarkStart w:id="738" w:name="_Toc406084372"/>
      <w:bookmarkStart w:id="739" w:name="_Toc406492559"/>
      <w:bookmarkStart w:id="740" w:name="_Toc414629702"/>
      <w:bookmarkStart w:id="741" w:name="_Toc414629929"/>
      <w:bookmarkStart w:id="742" w:name="_Toc414871793"/>
      <w:bookmarkStart w:id="743" w:name="_Toc414873559"/>
      <w:bookmarkStart w:id="744" w:name="_Toc418582601"/>
      <w:bookmarkStart w:id="745" w:name="_Toc423426648"/>
      <w:bookmarkStart w:id="746" w:name="_Toc423427049"/>
      <w:bookmarkStart w:id="747" w:name="_Toc524795965"/>
      <w:r>
        <w:rPr>
          <w:rStyle w:val="CharSchText"/>
        </w:rPr>
        <w:t>Schedule 4 substances referred to in regulation 39(1)</w:t>
      </w:r>
      <w:bookmarkEnd w:id="738"/>
      <w:bookmarkEnd w:id="739"/>
      <w:bookmarkEnd w:id="740"/>
      <w:bookmarkEnd w:id="741"/>
      <w:bookmarkEnd w:id="742"/>
      <w:bookmarkEnd w:id="743"/>
      <w:bookmarkEnd w:id="744"/>
      <w:bookmarkEnd w:id="745"/>
      <w:bookmarkEnd w:id="746"/>
      <w:bookmarkEnd w:id="747"/>
    </w:p>
    <w:p>
      <w:pPr>
        <w:pStyle w:val="yFootnoteheading"/>
      </w:pPr>
      <w:r>
        <w:tab/>
        <w:t>[Heading inserted in Gazette 8 Feb 1985 p. 520; amended in Gazette 19 Mar 1996 p. 1239.]</w:t>
      </w:r>
    </w:p>
    <w:p>
      <w:pPr>
        <w:pStyle w:val="yMiscellaneousBody"/>
        <w:spacing w:before="24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748" w:name="_Toc406084373"/>
      <w:bookmarkStart w:id="749" w:name="_Toc406492560"/>
      <w:bookmarkStart w:id="750" w:name="_Toc414629703"/>
      <w:bookmarkStart w:id="751" w:name="_Toc414629930"/>
      <w:bookmarkStart w:id="752" w:name="_Toc414871794"/>
      <w:bookmarkStart w:id="753" w:name="_Toc414873560"/>
      <w:bookmarkStart w:id="754" w:name="_Toc418582602"/>
      <w:bookmarkStart w:id="755" w:name="_Toc423426649"/>
      <w:bookmarkStart w:id="756" w:name="_Toc423427050"/>
      <w:bookmarkStart w:id="757" w:name="_Toc524795966"/>
      <w:r>
        <w:rPr>
          <w:rStyle w:val="CharSchNo"/>
        </w:rPr>
        <w:t>Appendix J</w:t>
      </w:r>
      <w:bookmarkEnd w:id="748"/>
      <w:bookmarkEnd w:id="749"/>
      <w:bookmarkEnd w:id="750"/>
      <w:bookmarkEnd w:id="751"/>
      <w:bookmarkEnd w:id="752"/>
      <w:bookmarkEnd w:id="753"/>
      <w:bookmarkEnd w:id="754"/>
      <w:bookmarkEnd w:id="755"/>
      <w:bookmarkEnd w:id="756"/>
      <w:bookmarkEnd w:id="757"/>
    </w:p>
    <w:p>
      <w:pPr>
        <w:pStyle w:val="yShoulderClause"/>
        <w:rPr>
          <w:snapToGrid w:val="0"/>
        </w:rPr>
      </w:pPr>
      <w:r>
        <w:rPr>
          <w:snapToGrid w:val="0"/>
        </w:rPr>
        <w:t>(reg. 35A)</w:t>
      </w:r>
    </w:p>
    <w:p>
      <w:pPr>
        <w:pStyle w:val="yHeading2"/>
        <w:outlineLvl w:val="0"/>
      </w:pPr>
      <w:bookmarkStart w:id="758" w:name="_Toc406084374"/>
      <w:bookmarkStart w:id="759" w:name="_Toc406492561"/>
      <w:bookmarkStart w:id="760" w:name="_Toc414629704"/>
      <w:bookmarkStart w:id="761" w:name="_Toc414629931"/>
      <w:bookmarkStart w:id="762" w:name="_Toc414871795"/>
      <w:bookmarkStart w:id="763" w:name="_Toc414873561"/>
      <w:bookmarkStart w:id="764" w:name="_Toc418582603"/>
      <w:bookmarkStart w:id="765" w:name="_Toc423426650"/>
      <w:bookmarkStart w:id="766" w:name="_Toc423427051"/>
      <w:bookmarkStart w:id="767" w:name="_Toc524795967"/>
      <w:r>
        <w:rPr>
          <w:rStyle w:val="CharSchText"/>
        </w:rPr>
        <w:t>Schedule 3 poison sales to be recorded</w:t>
      </w:r>
      <w:bookmarkEnd w:id="758"/>
      <w:bookmarkEnd w:id="759"/>
      <w:bookmarkEnd w:id="760"/>
      <w:bookmarkEnd w:id="761"/>
      <w:bookmarkEnd w:id="762"/>
      <w:bookmarkEnd w:id="763"/>
      <w:bookmarkEnd w:id="764"/>
      <w:bookmarkEnd w:id="765"/>
      <w:bookmarkEnd w:id="766"/>
      <w:bookmarkEnd w:id="767"/>
    </w:p>
    <w:p>
      <w:pPr>
        <w:pStyle w:val="yFootnoteheading"/>
        <w:ind w:left="0" w:firstLine="0"/>
      </w:pPr>
      <w:r>
        <w:tab/>
        <w:t>[Heading inserted in Gazette 20 Sep 1985 p. 3743.]</w:t>
      </w:r>
    </w:p>
    <w:p>
      <w:pPr>
        <w:pStyle w:val="yMiscellaneousBody"/>
        <w:spacing w:before="24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768" w:name="_Toc406084375"/>
      <w:bookmarkStart w:id="769" w:name="_Toc406492562"/>
      <w:bookmarkStart w:id="770" w:name="_Toc414629705"/>
      <w:bookmarkStart w:id="771" w:name="_Toc414629932"/>
      <w:bookmarkStart w:id="772" w:name="_Toc414871796"/>
      <w:bookmarkStart w:id="773" w:name="_Toc414873562"/>
      <w:bookmarkStart w:id="774" w:name="_Toc418582604"/>
      <w:bookmarkStart w:id="775" w:name="_Toc423426651"/>
      <w:bookmarkStart w:id="776" w:name="_Toc423427052"/>
      <w:bookmarkStart w:id="777" w:name="_Toc524795968"/>
      <w:r>
        <w:rPr>
          <w:rStyle w:val="CharSchNo"/>
        </w:rPr>
        <w:t>Appendix K</w:t>
      </w:r>
      <w:bookmarkEnd w:id="768"/>
      <w:bookmarkEnd w:id="769"/>
      <w:bookmarkEnd w:id="770"/>
      <w:bookmarkEnd w:id="771"/>
      <w:bookmarkEnd w:id="772"/>
      <w:bookmarkEnd w:id="773"/>
      <w:bookmarkEnd w:id="774"/>
      <w:bookmarkEnd w:id="775"/>
      <w:bookmarkEnd w:id="776"/>
      <w:bookmarkEnd w:id="777"/>
    </w:p>
    <w:p>
      <w:pPr>
        <w:pStyle w:val="yShoulderClause"/>
      </w:pPr>
      <w:r>
        <w:t>[r. 32B]</w:t>
      </w:r>
    </w:p>
    <w:p>
      <w:pPr>
        <w:pStyle w:val="yHeading2"/>
        <w:outlineLvl w:val="0"/>
      </w:pPr>
      <w:bookmarkStart w:id="778" w:name="_Toc406084376"/>
      <w:bookmarkStart w:id="779" w:name="_Toc406492563"/>
      <w:bookmarkStart w:id="780" w:name="_Toc414629706"/>
      <w:bookmarkStart w:id="781" w:name="_Toc414629933"/>
      <w:bookmarkStart w:id="782" w:name="_Toc414871797"/>
      <w:bookmarkStart w:id="783" w:name="_Toc414873563"/>
      <w:bookmarkStart w:id="784" w:name="_Toc418582605"/>
      <w:bookmarkStart w:id="785" w:name="_Toc423426652"/>
      <w:bookmarkStart w:id="786" w:name="_Toc423427053"/>
      <w:bookmarkStart w:id="787" w:name="_Toc524795969"/>
      <w:r>
        <w:rPr>
          <w:rStyle w:val="CharSchText"/>
        </w:rPr>
        <w:t>Criteria for electronic prescribing systems</w:t>
      </w:r>
      <w:bookmarkEnd w:id="778"/>
      <w:bookmarkEnd w:id="779"/>
      <w:bookmarkEnd w:id="780"/>
      <w:bookmarkEnd w:id="781"/>
      <w:bookmarkEnd w:id="782"/>
      <w:bookmarkEnd w:id="783"/>
      <w:bookmarkEnd w:id="784"/>
      <w:bookmarkEnd w:id="785"/>
      <w:bookmarkEnd w:id="786"/>
      <w:bookmarkEnd w:id="787"/>
    </w:p>
    <w:p>
      <w:pPr>
        <w:pStyle w:val="yFootnoteheading"/>
        <w:ind w:left="0" w:firstLine="0"/>
      </w:pPr>
      <w:r>
        <w:tab/>
        <w:t>[Heading inserted in Gazette 7 Nov 2008 p. 4818.]</w:t>
      </w:r>
    </w:p>
    <w:p>
      <w:pPr>
        <w:pStyle w:val="ySubsection"/>
        <w:spacing w:before="240"/>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 xml:space="preserve">of access to the system, or entries made in the system, during a certain period; </w:t>
      </w:r>
    </w:p>
    <w:p>
      <w:pPr>
        <w:pStyle w:val="yIndenti0"/>
        <w:rPr>
          <w:snapToGrid w:val="0"/>
        </w:rPr>
      </w:pPr>
      <w:r>
        <w:rPr>
          <w:snapToGrid w:val="0"/>
        </w:rPr>
        <w:tab/>
        <w:t>(iii)</w:t>
      </w:r>
      <w:r>
        <w:rPr>
          <w:snapToGrid w:val="0"/>
        </w:rPr>
        <w:tab/>
        <w:t xml:space="preserve">of entries made in the system during a certain period, sorted according to drug type, strength or dose or according to patient; </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788" w:name="_Toc406084377"/>
      <w:bookmarkStart w:id="789" w:name="_Toc406492564"/>
      <w:bookmarkStart w:id="790" w:name="_Toc414629707"/>
      <w:bookmarkStart w:id="791" w:name="_Toc414629934"/>
      <w:bookmarkStart w:id="792" w:name="_Toc414871798"/>
      <w:bookmarkStart w:id="793" w:name="_Toc414873564"/>
      <w:bookmarkStart w:id="794" w:name="_Toc418582606"/>
      <w:bookmarkStart w:id="795" w:name="_Toc423426653"/>
      <w:bookmarkStart w:id="796" w:name="_Toc423427054"/>
      <w:bookmarkStart w:id="797" w:name="_Toc524795970"/>
      <w:r>
        <w:rPr>
          <w:rStyle w:val="CharSchNo"/>
        </w:rPr>
        <w:t>Appendix L</w:t>
      </w:r>
      <w:bookmarkEnd w:id="788"/>
      <w:bookmarkEnd w:id="789"/>
      <w:bookmarkEnd w:id="790"/>
      <w:bookmarkEnd w:id="791"/>
      <w:bookmarkEnd w:id="792"/>
      <w:bookmarkEnd w:id="793"/>
      <w:bookmarkEnd w:id="794"/>
      <w:bookmarkEnd w:id="795"/>
      <w:bookmarkEnd w:id="796"/>
      <w:bookmarkEnd w:id="797"/>
    </w:p>
    <w:p>
      <w:pPr>
        <w:pStyle w:val="yShoulderClause"/>
        <w:spacing w:before="0"/>
        <w:rPr>
          <w:snapToGrid w:val="0"/>
        </w:rPr>
      </w:pPr>
      <w:r>
        <w:rPr>
          <w:snapToGrid w:val="0"/>
        </w:rPr>
        <w:t>(Regulations 37 and 51)</w:t>
      </w:r>
    </w:p>
    <w:p>
      <w:pPr>
        <w:pStyle w:val="yHeading2"/>
        <w:outlineLvl w:val="9"/>
      </w:pPr>
      <w:bookmarkStart w:id="798" w:name="_Toc406084378"/>
      <w:bookmarkStart w:id="799" w:name="_Toc406492565"/>
      <w:bookmarkStart w:id="800" w:name="_Toc414629708"/>
      <w:bookmarkStart w:id="801" w:name="_Toc414629935"/>
      <w:bookmarkStart w:id="802" w:name="_Toc414871799"/>
      <w:bookmarkStart w:id="803" w:name="_Toc414873565"/>
      <w:bookmarkStart w:id="804" w:name="_Toc418582607"/>
      <w:bookmarkStart w:id="805" w:name="_Toc423426654"/>
      <w:bookmarkStart w:id="806" w:name="_Toc423427055"/>
      <w:bookmarkStart w:id="807" w:name="_Toc524795971"/>
      <w:r>
        <w:rPr>
          <w:rStyle w:val="CharSchText"/>
        </w:rPr>
        <w:t>Specified criteria for the generation of prescriptions by computer</w:t>
      </w:r>
      <w:bookmarkEnd w:id="798"/>
      <w:bookmarkEnd w:id="799"/>
      <w:bookmarkEnd w:id="800"/>
      <w:bookmarkEnd w:id="801"/>
      <w:bookmarkEnd w:id="802"/>
      <w:bookmarkEnd w:id="803"/>
      <w:bookmarkEnd w:id="804"/>
      <w:bookmarkEnd w:id="805"/>
      <w:bookmarkEnd w:id="806"/>
      <w:bookmarkEnd w:id="807"/>
    </w:p>
    <w:p>
      <w:pPr>
        <w:pStyle w:val="yFootnoteheading"/>
        <w:ind w:left="0" w:firstLine="0"/>
      </w:pPr>
      <w:r>
        <w:tab/>
        <w:t>[Heading inserted in Gazette 26 Jul 1991 p. 3855.]</w:t>
      </w:r>
    </w:p>
    <w:p>
      <w:pPr>
        <w:pStyle w:val="ySubsection"/>
        <w:spacing w:before="240"/>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keepLines/>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pageBreakBefore w:val="0"/>
        <w:outlineLvl w:val="0"/>
      </w:pPr>
      <w:bookmarkStart w:id="808" w:name="_Toc406084379"/>
      <w:bookmarkStart w:id="809" w:name="_Toc406492566"/>
      <w:bookmarkStart w:id="810" w:name="_Toc414629709"/>
      <w:bookmarkStart w:id="811" w:name="_Toc414629936"/>
      <w:bookmarkStart w:id="812" w:name="_Toc414871800"/>
      <w:bookmarkStart w:id="813" w:name="_Toc414873566"/>
      <w:bookmarkStart w:id="814" w:name="_Toc418582608"/>
      <w:bookmarkStart w:id="815" w:name="_Toc423426655"/>
      <w:bookmarkStart w:id="816" w:name="_Toc423427056"/>
      <w:bookmarkStart w:id="817" w:name="_Toc524795972"/>
      <w:r>
        <w:rPr>
          <w:rStyle w:val="CharSchNo"/>
        </w:rPr>
        <w:t>Appendix M</w:t>
      </w:r>
      <w:bookmarkEnd w:id="808"/>
      <w:bookmarkEnd w:id="809"/>
      <w:bookmarkEnd w:id="810"/>
      <w:bookmarkEnd w:id="811"/>
      <w:bookmarkEnd w:id="812"/>
      <w:bookmarkEnd w:id="813"/>
      <w:bookmarkEnd w:id="814"/>
      <w:bookmarkEnd w:id="815"/>
      <w:bookmarkEnd w:id="816"/>
      <w:bookmarkEnd w:id="817"/>
    </w:p>
    <w:p>
      <w:pPr>
        <w:pStyle w:val="yShoulderClause"/>
        <w:spacing w:before="60"/>
        <w:rPr>
          <w:snapToGrid w:val="0"/>
        </w:rPr>
      </w:pPr>
      <w:r>
        <w:rPr>
          <w:snapToGrid w:val="0"/>
        </w:rPr>
        <w:t>[Regulations 56(1) and (2)]</w:t>
      </w:r>
    </w:p>
    <w:p>
      <w:pPr>
        <w:pStyle w:val="yHeading2"/>
        <w:spacing w:before="180"/>
        <w:outlineLvl w:val="0"/>
      </w:pPr>
      <w:bookmarkStart w:id="818" w:name="_Toc406084380"/>
      <w:bookmarkStart w:id="819" w:name="_Toc406492567"/>
      <w:bookmarkStart w:id="820" w:name="_Toc414629710"/>
      <w:bookmarkStart w:id="821" w:name="_Toc414629937"/>
      <w:bookmarkStart w:id="822" w:name="_Toc414871801"/>
      <w:bookmarkStart w:id="823" w:name="_Toc414873567"/>
      <w:bookmarkStart w:id="824" w:name="_Toc418582609"/>
      <w:bookmarkStart w:id="825" w:name="_Toc423426656"/>
      <w:bookmarkStart w:id="826" w:name="_Toc423427057"/>
      <w:bookmarkStart w:id="827" w:name="_Toc524795973"/>
      <w:r>
        <w:rPr>
          <w:rStyle w:val="CharSchText"/>
        </w:rPr>
        <w:t>Safes and additional security for storing drugs of addiction</w:t>
      </w:r>
      <w:bookmarkEnd w:id="818"/>
      <w:bookmarkEnd w:id="819"/>
      <w:bookmarkEnd w:id="820"/>
      <w:bookmarkEnd w:id="821"/>
      <w:bookmarkEnd w:id="822"/>
      <w:bookmarkEnd w:id="823"/>
      <w:bookmarkEnd w:id="824"/>
      <w:bookmarkEnd w:id="825"/>
      <w:bookmarkEnd w:id="826"/>
      <w:bookmarkEnd w:id="827"/>
    </w:p>
    <w:p>
      <w:pPr>
        <w:pStyle w:val="yFootnoteheading"/>
        <w:spacing w:before="60"/>
      </w:pPr>
      <w:r>
        <w:tab/>
        <w:t>[Heading inserted in Gazette 25 Jun 1993 p. 3084.]</w:t>
      </w:r>
    </w:p>
    <w:p>
      <w:pPr>
        <w:pStyle w:val="yHeading5"/>
        <w:spacing w:before="180"/>
        <w:outlineLvl w:val="0"/>
        <w:rPr>
          <w:snapToGrid w:val="0"/>
        </w:rPr>
      </w:pPr>
      <w:bookmarkStart w:id="828" w:name="_Toc406492568"/>
      <w:bookmarkStart w:id="829" w:name="_Toc524795974"/>
      <w:r>
        <w:rPr>
          <w:rStyle w:val="CharSClsNo"/>
        </w:rPr>
        <w:t>1</w:t>
      </w:r>
      <w:r>
        <w:rPr>
          <w:snapToGrid w:val="0"/>
        </w:rPr>
        <w:t>.</w:t>
      </w:r>
      <w:r>
        <w:rPr>
          <w:snapToGrid w:val="0"/>
        </w:rPr>
        <w:tab/>
        <w:t>Safes, requirements for</w:t>
      </w:r>
      <w:bookmarkEnd w:id="828"/>
      <w:bookmarkEnd w:id="82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kg,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either a key or a combination lock; and</w:t>
      </w:r>
    </w:p>
    <w:p>
      <w:pPr>
        <w:pStyle w:val="yIndenti0"/>
        <w:rPr>
          <w:snapToGrid w:val="0"/>
        </w:rPr>
      </w:pPr>
      <w:r>
        <w:rPr>
          <w:snapToGrid w:val="0"/>
        </w:rPr>
        <w:tab/>
        <w:t>(iii)</w:t>
      </w:r>
      <w:r>
        <w:rPr>
          <w:snapToGrid w:val="0"/>
        </w:rPr>
        <w:tab/>
        <w:t>having a steel plate door at least 12 mm thick, with at least 2 locking bolts that are at least 25 mm thick; and</w:t>
      </w:r>
    </w:p>
    <w:p>
      <w:pPr>
        <w:pStyle w:val="yIndenti0"/>
        <w:rPr>
          <w:snapToGrid w:val="0"/>
        </w:rPr>
      </w:pPr>
      <w:r>
        <w:rPr>
          <w:snapToGrid w:val="0"/>
        </w:rPr>
        <w:tab/>
        <w:t>(iv)</w:t>
      </w:r>
      <w:r>
        <w:rPr>
          <w:snapToGrid w:val="0"/>
        </w:rPr>
        <w:tab/>
        <w:t xml:space="preserve">having the manufacturer’s recommendation that items with a total value of at least $30 000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 and</w:t>
      </w:r>
    </w:p>
    <w:p>
      <w:pPr>
        <w:pStyle w:val="yIndenti0"/>
        <w:rPr>
          <w:snapToGrid w:val="0"/>
        </w:rPr>
      </w:pPr>
      <w:r>
        <w:rPr>
          <w:snapToGrid w:val="0"/>
        </w:rPr>
        <w:tab/>
        <w:t>(ii)</w:t>
      </w:r>
      <w:r>
        <w:rPr>
          <w:snapToGrid w:val="0"/>
        </w:rPr>
        <w:tab/>
        <w:t>lockable by means of a combination lock; and</w:t>
      </w:r>
    </w:p>
    <w:p>
      <w:pPr>
        <w:pStyle w:val="yIndenti0"/>
        <w:rPr>
          <w:snapToGrid w:val="0"/>
        </w:rPr>
      </w:pPr>
      <w:r>
        <w:rPr>
          <w:snapToGrid w:val="0"/>
        </w:rPr>
        <w:tab/>
        <w:t>(iii)</w:t>
      </w:r>
      <w:r>
        <w:rPr>
          <w:snapToGrid w:val="0"/>
        </w:rPr>
        <w:tab/>
        <w:t>having a heavy cast, high tensile steel lid that is secured at least 25 mm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$30 000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830" w:name="_Toc406492569"/>
      <w:bookmarkStart w:id="831" w:name="_Toc524795975"/>
      <w:r>
        <w:rPr>
          <w:rStyle w:val="CharSClsNo"/>
        </w:rPr>
        <w:t>2</w:t>
      </w:r>
      <w:r>
        <w:rPr>
          <w:snapToGrid w:val="0"/>
        </w:rPr>
        <w:t>.</w:t>
      </w:r>
      <w:r>
        <w:rPr>
          <w:snapToGrid w:val="0"/>
        </w:rPr>
        <w:tab/>
        <w:t>Additional security requirements</w:t>
      </w:r>
      <w:bookmarkEnd w:id="830"/>
      <w:bookmarkEnd w:id="831"/>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 or</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7" w:h="16840" w:code="9"/>
          <w:pgMar w:top="2376" w:right="2405" w:bottom="3542" w:left="2405" w:header="706" w:footer="3380" w:gutter="0"/>
          <w:cols w:space="720"/>
          <w:noEndnote/>
          <w:docGrid w:linePitch="326"/>
        </w:sectPr>
      </w:pPr>
    </w:p>
    <w:p>
      <w:pPr>
        <w:pStyle w:val="nHeading2"/>
        <w:outlineLvl w:val="0"/>
      </w:pPr>
      <w:bookmarkStart w:id="832" w:name="_Toc406084383"/>
      <w:bookmarkStart w:id="833" w:name="_Toc406492570"/>
      <w:bookmarkStart w:id="834" w:name="_Toc414629713"/>
      <w:bookmarkStart w:id="835" w:name="_Toc414629940"/>
      <w:bookmarkStart w:id="836" w:name="_Toc414871804"/>
      <w:bookmarkStart w:id="837" w:name="_Toc414873570"/>
      <w:bookmarkStart w:id="838" w:name="_Toc418582612"/>
      <w:bookmarkStart w:id="839" w:name="_Toc423426659"/>
      <w:bookmarkStart w:id="840" w:name="_Toc423427060"/>
      <w:bookmarkStart w:id="841" w:name="_Toc524795976"/>
      <w:r>
        <w:t>Notes</w:t>
      </w:r>
      <w:bookmarkEnd w:id="832"/>
      <w:bookmarkEnd w:id="833"/>
      <w:bookmarkEnd w:id="834"/>
      <w:bookmarkEnd w:id="835"/>
      <w:bookmarkEnd w:id="836"/>
      <w:bookmarkEnd w:id="837"/>
      <w:bookmarkEnd w:id="838"/>
      <w:bookmarkEnd w:id="839"/>
      <w:bookmarkEnd w:id="840"/>
      <w:bookmarkEnd w:id="841"/>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842" w:name="_Toc406492571"/>
      <w:bookmarkStart w:id="843" w:name="_Toc524795977"/>
      <w:r>
        <w:rPr>
          <w:snapToGrid w:val="0"/>
        </w:rPr>
        <w:t>Compilation table</w:t>
      </w:r>
      <w:bookmarkEnd w:id="842"/>
      <w:bookmarkEnd w:id="843"/>
    </w:p>
    <w:tbl>
      <w:tblPr>
        <w:tblW w:w="0" w:type="auto"/>
        <w:tblInd w:w="36" w:type="dxa"/>
        <w:tblLayout w:type="fixed"/>
        <w:tblCellMar>
          <w:left w:w="56" w:type="dxa"/>
          <w:right w:w="56" w:type="dxa"/>
        </w:tblCellMar>
        <w:tblLook w:val="0000" w:firstRow="0" w:lastRow="0" w:firstColumn="0" w:lastColumn="0" w:noHBand="0" w:noVBand="0"/>
      </w:tblPr>
      <w:tblGrid>
        <w:gridCol w:w="20"/>
        <w:gridCol w:w="3098"/>
        <w:gridCol w:w="20"/>
        <w:gridCol w:w="1256"/>
        <w:gridCol w:w="20"/>
        <w:gridCol w:w="2673"/>
        <w:gridCol w:w="21"/>
      </w:tblGrid>
      <w:tr>
        <w:trPr>
          <w:gridBefore w:val="1"/>
          <w:wBefore w:w="20" w:type="dxa"/>
          <w:cantSplit/>
          <w:tblHeader/>
        </w:trPr>
        <w:tc>
          <w:tcPr>
            <w:tcW w:w="3118" w:type="dxa"/>
            <w:gridSpan w:val="2"/>
            <w:tcBorders>
              <w:top w:val="single" w:sz="8" w:space="0" w:color="auto"/>
              <w:bottom w:val="single" w:sz="8" w:space="0" w:color="auto"/>
            </w:tcBorders>
            <w:shd w:val="clear" w:color="auto" w:fill="auto"/>
          </w:tcPr>
          <w:p>
            <w:pPr>
              <w:pStyle w:val="nTable"/>
              <w:spacing w:before="52" w:after="40"/>
              <w:ind w:right="113"/>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before="52" w:after="40"/>
              <w:rPr>
                <w:b/>
              </w:rPr>
            </w:pPr>
            <w:r>
              <w:rPr>
                <w:b/>
              </w:rPr>
              <w:t>Gazettal</w:t>
            </w:r>
          </w:p>
        </w:tc>
        <w:tc>
          <w:tcPr>
            <w:tcW w:w="2694" w:type="dxa"/>
            <w:gridSpan w:val="2"/>
            <w:tcBorders>
              <w:top w:val="single" w:sz="8" w:space="0" w:color="auto"/>
              <w:bottom w:val="single" w:sz="8" w:space="0" w:color="auto"/>
            </w:tcBorders>
            <w:shd w:val="clear" w:color="auto" w:fill="auto"/>
          </w:tcPr>
          <w:p>
            <w:pPr>
              <w:pStyle w:val="nTable"/>
              <w:spacing w:before="52" w:after="40"/>
              <w:rPr>
                <w:b/>
              </w:rPr>
            </w:pPr>
            <w:r>
              <w:rPr>
                <w:b/>
              </w:rPr>
              <w:t>Commencement</w:t>
            </w:r>
          </w:p>
        </w:tc>
      </w:tr>
      <w:tr>
        <w:trPr>
          <w:gridBefore w:val="1"/>
          <w:wBefore w:w="20" w:type="dxa"/>
          <w:cantSplit/>
        </w:trPr>
        <w:tc>
          <w:tcPr>
            <w:tcW w:w="3118" w:type="dxa"/>
            <w:gridSpan w:val="2"/>
          </w:tcPr>
          <w:p>
            <w:pPr>
              <w:pStyle w:val="nTable"/>
              <w:spacing w:before="52" w:after="40"/>
              <w:ind w:right="113"/>
              <w:rPr>
                <w:vertAlign w:val="superscript"/>
              </w:rPr>
            </w:pPr>
            <w:r>
              <w:rPr>
                <w:i/>
              </w:rPr>
              <w:t>Poisons Act Regulations 1965 </w:t>
            </w:r>
            <w:r>
              <w:rPr>
                <w:iCs/>
                <w:vertAlign w:val="superscript"/>
              </w:rPr>
              <w:t>9</w:t>
            </w:r>
          </w:p>
        </w:tc>
        <w:tc>
          <w:tcPr>
            <w:tcW w:w="1276" w:type="dxa"/>
            <w:gridSpan w:val="2"/>
          </w:tcPr>
          <w:p>
            <w:pPr>
              <w:pStyle w:val="nTable"/>
              <w:spacing w:before="52" w:after="40"/>
            </w:pPr>
            <w:r>
              <w:t>29 Jun 1965 p. 1883</w:t>
            </w:r>
            <w:r>
              <w:noBreakHyphen/>
              <w:t>914</w:t>
            </w:r>
          </w:p>
        </w:tc>
        <w:tc>
          <w:tcPr>
            <w:tcW w:w="2694" w:type="dxa"/>
            <w:gridSpan w:val="2"/>
          </w:tcPr>
          <w:p>
            <w:pPr>
              <w:pStyle w:val="nTable"/>
              <w:spacing w:before="52" w:after="40"/>
            </w:pPr>
            <w:r>
              <w:t>1 Jul 1965</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10 Feb 1966 p. 410</w:t>
            </w:r>
          </w:p>
        </w:tc>
        <w:tc>
          <w:tcPr>
            <w:tcW w:w="2694" w:type="dxa"/>
            <w:gridSpan w:val="2"/>
          </w:tcPr>
          <w:p>
            <w:pPr>
              <w:pStyle w:val="nTable"/>
              <w:spacing w:before="52" w:after="40"/>
            </w:pPr>
            <w:r>
              <w:t>10 Feb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16 Nov 1966 p. 2935</w:t>
            </w:r>
          </w:p>
        </w:tc>
        <w:tc>
          <w:tcPr>
            <w:tcW w:w="2694" w:type="dxa"/>
            <w:gridSpan w:val="2"/>
          </w:tcPr>
          <w:p>
            <w:pPr>
              <w:pStyle w:val="nTable"/>
              <w:spacing w:before="52" w:after="40"/>
            </w:pPr>
            <w:r>
              <w:t>16 Nov 1966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14 Jun 1967 p. 1582</w:t>
            </w:r>
            <w:r>
              <w:noBreakHyphen/>
              <w:t>3</w:t>
            </w:r>
          </w:p>
        </w:tc>
        <w:tc>
          <w:tcPr>
            <w:tcW w:w="2694" w:type="dxa"/>
            <w:gridSpan w:val="2"/>
          </w:tcPr>
          <w:p>
            <w:pPr>
              <w:pStyle w:val="nTable"/>
              <w:spacing w:before="52" w:after="40"/>
            </w:pPr>
            <w:r>
              <w:t>14 Jun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25 Oct 1967 p. 2962</w:t>
            </w:r>
          </w:p>
        </w:tc>
        <w:tc>
          <w:tcPr>
            <w:tcW w:w="2694" w:type="dxa"/>
            <w:gridSpan w:val="2"/>
          </w:tcPr>
          <w:p>
            <w:pPr>
              <w:pStyle w:val="nTable"/>
              <w:spacing w:before="52" w:after="40"/>
            </w:pPr>
            <w:r>
              <w:t>25 Oct 1967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Jun 1968 p. 1694</w:t>
            </w:r>
            <w:r>
              <w:noBreakHyphen/>
              <w:t>5</w:t>
            </w:r>
          </w:p>
        </w:tc>
        <w:tc>
          <w:tcPr>
            <w:tcW w:w="2694" w:type="dxa"/>
            <w:gridSpan w:val="2"/>
          </w:tcPr>
          <w:p>
            <w:pPr>
              <w:pStyle w:val="nTable"/>
              <w:spacing w:before="52" w:after="40"/>
            </w:pPr>
            <w:r>
              <w:t>4 Jun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28 Nov 1968 p. 3457</w:t>
            </w:r>
            <w:r>
              <w:noBreakHyphen/>
              <w:t>8</w:t>
            </w:r>
          </w:p>
        </w:tc>
        <w:tc>
          <w:tcPr>
            <w:tcW w:w="2694" w:type="dxa"/>
            <w:gridSpan w:val="2"/>
          </w:tcPr>
          <w:p>
            <w:pPr>
              <w:pStyle w:val="nTable"/>
              <w:spacing w:before="52" w:after="40"/>
            </w:pPr>
            <w:r>
              <w:t>28 Nov 1968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2874</w:t>
            </w:r>
            <w:r>
              <w:noBreakHyphen/>
              <w:t>6</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Sep 1969 p. 2877</w:t>
            </w:r>
          </w:p>
        </w:tc>
        <w:tc>
          <w:tcPr>
            <w:tcW w:w="2694" w:type="dxa"/>
            <w:gridSpan w:val="2"/>
          </w:tcPr>
          <w:p>
            <w:pPr>
              <w:pStyle w:val="nTable"/>
              <w:spacing w:before="52" w:after="40"/>
            </w:pPr>
            <w:r>
              <w:t>22 Sep 1969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9 Feb 1970 p. 370</w:t>
            </w:r>
          </w:p>
        </w:tc>
        <w:tc>
          <w:tcPr>
            <w:tcW w:w="2694" w:type="dxa"/>
            <w:gridSpan w:val="2"/>
          </w:tcPr>
          <w:p>
            <w:pPr>
              <w:pStyle w:val="nTable"/>
              <w:spacing w:before="52" w:after="40"/>
            </w:pPr>
            <w:r>
              <w:t>9 Feb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Aug 1970 p. 2542</w:t>
            </w:r>
            <w:r>
              <w:noBreakHyphen/>
              <w:t>3</w:t>
            </w:r>
          </w:p>
        </w:tc>
        <w:tc>
          <w:tcPr>
            <w:tcW w:w="2694" w:type="dxa"/>
            <w:gridSpan w:val="2"/>
          </w:tcPr>
          <w:p>
            <w:pPr>
              <w:pStyle w:val="nTable"/>
              <w:spacing w:before="52" w:after="40"/>
            </w:pPr>
            <w:r>
              <w:t>12 Aug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11 Dec 1970 p. 3752</w:t>
            </w:r>
          </w:p>
        </w:tc>
        <w:tc>
          <w:tcPr>
            <w:tcW w:w="2694" w:type="dxa"/>
            <w:gridSpan w:val="2"/>
          </w:tcPr>
          <w:p>
            <w:pPr>
              <w:pStyle w:val="nTable"/>
              <w:spacing w:before="52" w:after="40"/>
            </w:pPr>
            <w:r>
              <w:t>11 Dec 1970</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12 Feb 1971 p. 425</w:t>
            </w:r>
          </w:p>
        </w:tc>
        <w:tc>
          <w:tcPr>
            <w:tcW w:w="2694" w:type="dxa"/>
            <w:gridSpan w:val="2"/>
          </w:tcPr>
          <w:p>
            <w:pPr>
              <w:pStyle w:val="nTable"/>
              <w:spacing w:before="52" w:after="40"/>
            </w:pPr>
            <w:r>
              <w:t>12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19 Feb 1971 p. 518</w:t>
            </w:r>
            <w:r>
              <w:noBreakHyphen/>
              <w:t>21</w:t>
            </w:r>
          </w:p>
        </w:tc>
        <w:tc>
          <w:tcPr>
            <w:tcW w:w="2694" w:type="dxa"/>
            <w:gridSpan w:val="2"/>
          </w:tcPr>
          <w:p>
            <w:pPr>
              <w:pStyle w:val="nTable"/>
              <w:spacing w:before="52" w:after="40"/>
            </w:pPr>
            <w:r>
              <w:t>19 Feb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May 1971 p. 1771</w:t>
            </w:r>
            <w:r>
              <w:noBreakHyphen/>
              <w:t>3</w:t>
            </w:r>
          </w:p>
        </w:tc>
        <w:tc>
          <w:tcPr>
            <w:tcW w:w="2694" w:type="dxa"/>
            <w:gridSpan w:val="2"/>
          </w:tcPr>
          <w:p>
            <w:pPr>
              <w:pStyle w:val="nTable"/>
              <w:spacing w:before="52" w:after="40"/>
            </w:pPr>
            <w:r>
              <w:t>26 May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Sep 1971 p. 3277</w:t>
            </w:r>
            <w:r>
              <w:noBreakHyphen/>
              <w:t>9</w:t>
            </w:r>
          </w:p>
        </w:tc>
        <w:tc>
          <w:tcPr>
            <w:tcW w:w="2694" w:type="dxa"/>
            <w:gridSpan w:val="2"/>
          </w:tcPr>
          <w:p>
            <w:pPr>
              <w:pStyle w:val="nTable"/>
              <w:spacing w:before="52" w:after="40"/>
            </w:pPr>
            <w:r>
              <w:t>7 Sep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23 Dec 1971 p. 5318</w:t>
            </w:r>
          </w:p>
        </w:tc>
        <w:tc>
          <w:tcPr>
            <w:tcW w:w="2694" w:type="dxa"/>
            <w:gridSpan w:val="2"/>
          </w:tcPr>
          <w:p>
            <w:pPr>
              <w:pStyle w:val="nTable"/>
              <w:spacing w:before="52" w:after="40"/>
            </w:pPr>
            <w:r>
              <w:t>23 Dec 1971</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12 Jul 1972 in </w:t>
            </w:r>
            <w:r>
              <w:rPr>
                <w:b/>
                <w:i/>
              </w:rPr>
              <w:t>Gazette</w:t>
            </w:r>
            <w:r>
              <w:rPr>
                <w:b/>
              </w:rPr>
              <w:t xml:space="preserve"> 25 Jul 1972 p. 2755</w:t>
            </w:r>
            <w:r>
              <w:rPr>
                <w:b/>
              </w:rPr>
              <w:noBreakHyphen/>
              <w:t>99</w:t>
            </w:r>
            <w:r>
              <w:t xml:space="preserve"> (includes amendments listed above except those in </w:t>
            </w:r>
            <w:r>
              <w:rPr>
                <w:i/>
              </w:rPr>
              <w:t>Gazette</w:t>
            </w:r>
            <w:r>
              <w:t xml:space="preserve"> 23 Dec 1971)</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22 Feb 1974 p. 553</w:t>
            </w:r>
          </w:p>
        </w:tc>
        <w:tc>
          <w:tcPr>
            <w:tcW w:w="2694" w:type="dxa"/>
            <w:gridSpan w:val="2"/>
          </w:tcPr>
          <w:p>
            <w:pPr>
              <w:pStyle w:val="nTable"/>
              <w:spacing w:before="52" w:after="40"/>
            </w:pPr>
            <w:r>
              <w:t>22 Feb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3 May 1974 p. 1434</w:t>
            </w:r>
            <w:r>
              <w:noBreakHyphen/>
              <w:t>5</w:t>
            </w:r>
          </w:p>
        </w:tc>
        <w:tc>
          <w:tcPr>
            <w:tcW w:w="2694" w:type="dxa"/>
            <w:gridSpan w:val="2"/>
          </w:tcPr>
          <w:p>
            <w:pPr>
              <w:pStyle w:val="nTable"/>
              <w:spacing w:before="52" w:after="40"/>
            </w:pPr>
            <w:r>
              <w:t>3 May 1974</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15 Apr 1976 p. 1183</w:t>
            </w:r>
          </w:p>
        </w:tc>
        <w:tc>
          <w:tcPr>
            <w:tcW w:w="2694" w:type="dxa"/>
            <w:gridSpan w:val="2"/>
          </w:tcPr>
          <w:p>
            <w:pPr>
              <w:pStyle w:val="nTable"/>
              <w:spacing w:before="52" w:after="40"/>
            </w:pPr>
            <w:r>
              <w:t>15 Apr 1976</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26 Aug 1977 p. 2966</w:t>
            </w:r>
            <w:r>
              <w:noBreakHyphen/>
              <w:t>73</w:t>
            </w:r>
          </w:p>
        </w:tc>
        <w:tc>
          <w:tcPr>
            <w:tcW w:w="2694" w:type="dxa"/>
            <w:gridSpan w:val="2"/>
          </w:tcPr>
          <w:p>
            <w:pPr>
              <w:pStyle w:val="nTable"/>
              <w:spacing w:before="52" w:after="40"/>
            </w:pPr>
            <w:r>
              <w:t>26 Aug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4 Nov 1977 p. 4087</w:t>
            </w:r>
          </w:p>
        </w:tc>
        <w:tc>
          <w:tcPr>
            <w:tcW w:w="2694" w:type="dxa"/>
            <w:gridSpan w:val="2"/>
          </w:tcPr>
          <w:p>
            <w:pPr>
              <w:pStyle w:val="nTable"/>
              <w:spacing w:before="52" w:after="40"/>
            </w:pPr>
            <w:r>
              <w:t>4 Nov 1977</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20 Oct 1978 p. 3760</w:t>
            </w:r>
          </w:p>
        </w:tc>
        <w:tc>
          <w:tcPr>
            <w:tcW w:w="2694" w:type="dxa"/>
            <w:gridSpan w:val="2"/>
          </w:tcPr>
          <w:p>
            <w:pPr>
              <w:pStyle w:val="nTable"/>
              <w:spacing w:before="52" w:after="40"/>
            </w:pPr>
            <w:r>
              <w:t>20 Oct 1978</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1 Jun 1979 p. 1437</w:t>
            </w:r>
          </w:p>
        </w:tc>
        <w:tc>
          <w:tcPr>
            <w:tcW w:w="2694" w:type="dxa"/>
            <w:gridSpan w:val="2"/>
          </w:tcPr>
          <w:p>
            <w:pPr>
              <w:pStyle w:val="nTable"/>
              <w:spacing w:before="52" w:after="40"/>
            </w:pPr>
            <w:r>
              <w:t>1 Jul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5 Oct 1979 p. 3085</w:t>
            </w:r>
            <w:r>
              <w:noBreakHyphen/>
              <w:t>6</w:t>
            </w:r>
          </w:p>
        </w:tc>
        <w:tc>
          <w:tcPr>
            <w:tcW w:w="2694" w:type="dxa"/>
            <w:gridSpan w:val="2"/>
          </w:tcPr>
          <w:p>
            <w:pPr>
              <w:pStyle w:val="nTable"/>
              <w:spacing w:before="52" w:after="40"/>
            </w:pPr>
            <w:r>
              <w:t>5 Oct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7 Dec 1979 p. 3799</w:t>
            </w:r>
            <w:r>
              <w:noBreakHyphen/>
              <w:t>805</w:t>
            </w:r>
          </w:p>
        </w:tc>
        <w:tc>
          <w:tcPr>
            <w:tcW w:w="2694" w:type="dxa"/>
            <w:gridSpan w:val="2"/>
          </w:tcPr>
          <w:p>
            <w:pPr>
              <w:pStyle w:val="nTable"/>
              <w:spacing w:before="52" w:after="40"/>
            </w:pPr>
            <w:r>
              <w:t>7 Dec 1979</w:t>
            </w:r>
          </w:p>
        </w:tc>
      </w:tr>
      <w:tr>
        <w:trPr>
          <w:gridBefore w:val="1"/>
          <w:wBefore w:w="20" w:type="dxa"/>
          <w:cantSplit/>
        </w:trPr>
        <w:tc>
          <w:tcPr>
            <w:tcW w:w="3118" w:type="dxa"/>
            <w:gridSpan w:val="2"/>
          </w:tcPr>
          <w:p>
            <w:pPr>
              <w:pStyle w:val="nTable"/>
              <w:spacing w:before="52" w:after="40"/>
              <w:ind w:right="113"/>
            </w:pPr>
            <w:r>
              <w:t>Untitled regulations</w:t>
            </w:r>
          </w:p>
        </w:tc>
        <w:tc>
          <w:tcPr>
            <w:tcW w:w="1276" w:type="dxa"/>
            <w:gridSpan w:val="2"/>
          </w:tcPr>
          <w:p>
            <w:pPr>
              <w:pStyle w:val="nTable"/>
              <w:spacing w:before="52" w:after="40"/>
            </w:pPr>
            <w:r>
              <w:t>29 Aug 1980 p. 3027</w:t>
            </w:r>
            <w:r>
              <w:noBreakHyphen/>
              <w:t>31</w:t>
            </w:r>
          </w:p>
        </w:tc>
        <w:tc>
          <w:tcPr>
            <w:tcW w:w="2694" w:type="dxa"/>
            <w:gridSpan w:val="2"/>
          </w:tcPr>
          <w:p>
            <w:pPr>
              <w:pStyle w:val="nTable"/>
              <w:spacing w:before="52" w:after="40"/>
            </w:pPr>
            <w:r>
              <w:t>1 Oct 1980 (see </w:t>
            </w:r>
            <w:r>
              <w:rPr>
                <w:i/>
              </w:rPr>
              <w:t>Gazette</w:t>
            </w:r>
            <w:r>
              <w:t xml:space="preserve"> 29 Aug 1980 p. 3015)</w:t>
            </w:r>
          </w:p>
        </w:tc>
      </w:tr>
      <w:tr>
        <w:trPr>
          <w:gridBefore w:val="1"/>
          <w:wBefore w:w="20" w:type="dxa"/>
          <w:cantSplit/>
        </w:trPr>
        <w:tc>
          <w:tcPr>
            <w:tcW w:w="3118" w:type="dxa"/>
            <w:gridSpan w:val="2"/>
          </w:tcPr>
          <w:p>
            <w:pPr>
              <w:pStyle w:val="nTable"/>
              <w:spacing w:before="52" w:after="40"/>
              <w:ind w:right="113"/>
            </w:pPr>
            <w:r>
              <w:rPr>
                <w:i/>
              </w:rPr>
              <w:t>Poisons Act Amendment Regulations 1980</w:t>
            </w:r>
          </w:p>
        </w:tc>
        <w:tc>
          <w:tcPr>
            <w:tcW w:w="1276" w:type="dxa"/>
            <w:gridSpan w:val="2"/>
          </w:tcPr>
          <w:p>
            <w:pPr>
              <w:pStyle w:val="nTable"/>
              <w:spacing w:before="52" w:after="40"/>
            </w:pPr>
            <w:r>
              <w:t>7 Nov 1980 p. 3746</w:t>
            </w:r>
          </w:p>
        </w:tc>
        <w:tc>
          <w:tcPr>
            <w:tcW w:w="2694" w:type="dxa"/>
            <w:gridSpan w:val="2"/>
          </w:tcPr>
          <w:p>
            <w:pPr>
              <w:pStyle w:val="nTable"/>
              <w:spacing w:before="52" w:after="40"/>
            </w:pPr>
            <w:r>
              <w:t>7 Nov 1980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Act Regulations 1965</w:t>
            </w:r>
            <w:r>
              <w:rPr>
                <w:b/>
              </w:rPr>
              <w:t xml:space="preserve"> authorised 7 Sep 1981 in </w:t>
            </w:r>
            <w:r>
              <w:rPr>
                <w:b/>
                <w:i/>
              </w:rPr>
              <w:t>Gazette</w:t>
            </w:r>
            <w:r>
              <w:rPr>
                <w:b/>
              </w:rPr>
              <w:t xml:space="preserve"> 15 Sep 1981 p. 3975</w:t>
            </w:r>
            <w:r>
              <w:rPr>
                <w:b/>
              </w:rPr>
              <w:noBreakHyphen/>
              <w:t>4029</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Act Amendment Regulations 1981</w:t>
            </w:r>
          </w:p>
        </w:tc>
        <w:tc>
          <w:tcPr>
            <w:tcW w:w="1276" w:type="dxa"/>
            <w:gridSpan w:val="2"/>
          </w:tcPr>
          <w:p>
            <w:pPr>
              <w:pStyle w:val="nTable"/>
              <w:spacing w:before="52" w:after="40"/>
            </w:pPr>
            <w:r>
              <w:t>6 Nov 1981 p. 4527</w:t>
            </w:r>
          </w:p>
        </w:tc>
        <w:tc>
          <w:tcPr>
            <w:tcW w:w="2694" w:type="dxa"/>
            <w:gridSpan w:val="2"/>
          </w:tcPr>
          <w:p>
            <w:pPr>
              <w:pStyle w:val="nTable"/>
              <w:spacing w:before="52" w:after="40"/>
            </w:pPr>
            <w:r>
              <w:t>6 Nov 1981</w:t>
            </w:r>
          </w:p>
        </w:tc>
      </w:tr>
      <w:tr>
        <w:trPr>
          <w:gridBefore w:val="1"/>
          <w:wBefore w:w="20" w:type="dxa"/>
          <w:cantSplit/>
        </w:trPr>
        <w:tc>
          <w:tcPr>
            <w:tcW w:w="3118" w:type="dxa"/>
            <w:gridSpan w:val="2"/>
          </w:tcPr>
          <w:p>
            <w:pPr>
              <w:pStyle w:val="nTable"/>
              <w:spacing w:before="52" w:after="40"/>
              <w:ind w:right="113"/>
            </w:pPr>
            <w:r>
              <w:rPr>
                <w:i/>
              </w:rPr>
              <w:t>Poisons Amendment Regulations 1982</w:t>
            </w:r>
          </w:p>
        </w:tc>
        <w:tc>
          <w:tcPr>
            <w:tcW w:w="1276" w:type="dxa"/>
            <w:gridSpan w:val="2"/>
          </w:tcPr>
          <w:p>
            <w:pPr>
              <w:pStyle w:val="nTable"/>
              <w:spacing w:before="52" w:after="40"/>
            </w:pPr>
            <w:r>
              <w:t>16 Jul 1982 p. 2727</w:t>
            </w:r>
            <w:r>
              <w:noBreakHyphen/>
              <w:t>8</w:t>
            </w:r>
          </w:p>
        </w:tc>
        <w:tc>
          <w:tcPr>
            <w:tcW w:w="2694" w:type="dxa"/>
            <w:gridSpan w:val="2"/>
          </w:tcPr>
          <w:p>
            <w:pPr>
              <w:pStyle w:val="nTable"/>
              <w:spacing w:before="52" w:after="40"/>
            </w:pPr>
            <w:r>
              <w:t>16 Jul 1982</w:t>
            </w:r>
          </w:p>
        </w:tc>
      </w:tr>
      <w:tr>
        <w:trPr>
          <w:gridBefore w:val="1"/>
          <w:wBefore w:w="20" w:type="dxa"/>
          <w:cantSplit/>
        </w:trPr>
        <w:tc>
          <w:tcPr>
            <w:tcW w:w="3118" w:type="dxa"/>
            <w:gridSpan w:val="2"/>
          </w:tcPr>
          <w:p>
            <w:pPr>
              <w:pStyle w:val="nTable"/>
              <w:spacing w:before="52" w:after="40"/>
              <w:ind w:right="113"/>
            </w:pPr>
            <w:r>
              <w:rPr>
                <w:i/>
              </w:rPr>
              <w:t>Poisons Amendment Regulations (No. 2) 1982</w:t>
            </w:r>
          </w:p>
        </w:tc>
        <w:tc>
          <w:tcPr>
            <w:tcW w:w="1276" w:type="dxa"/>
            <w:gridSpan w:val="2"/>
          </w:tcPr>
          <w:p>
            <w:pPr>
              <w:pStyle w:val="nTable"/>
              <w:spacing w:before="52" w:after="40"/>
            </w:pPr>
            <w:r>
              <w:t>24 Dec 1982 p. 4904</w:t>
            </w:r>
          </w:p>
        </w:tc>
        <w:tc>
          <w:tcPr>
            <w:tcW w:w="2694" w:type="dxa"/>
            <w:gridSpan w:val="2"/>
          </w:tcPr>
          <w:p>
            <w:pPr>
              <w:pStyle w:val="nTable"/>
              <w:spacing w:before="52" w:after="40"/>
            </w:pPr>
            <w:r>
              <w:t>24 Dec 1982</w:t>
            </w:r>
          </w:p>
        </w:tc>
      </w:tr>
      <w:tr>
        <w:trPr>
          <w:gridBefore w:val="1"/>
          <w:wBefore w:w="20" w:type="dxa"/>
          <w:cantSplit/>
        </w:trPr>
        <w:tc>
          <w:tcPr>
            <w:tcW w:w="3118" w:type="dxa"/>
            <w:gridSpan w:val="2"/>
          </w:tcPr>
          <w:p>
            <w:pPr>
              <w:pStyle w:val="nTable"/>
              <w:spacing w:before="52" w:after="40"/>
              <w:ind w:right="113"/>
            </w:pPr>
            <w:r>
              <w:rPr>
                <w:i/>
              </w:rPr>
              <w:t>Poisons Amendment Regulations 1983</w:t>
            </w:r>
          </w:p>
        </w:tc>
        <w:tc>
          <w:tcPr>
            <w:tcW w:w="1276" w:type="dxa"/>
            <w:gridSpan w:val="2"/>
          </w:tcPr>
          <w:p>
            <w:pPr>
              <w:pStyle w:val="nTable"/>
              <w:spacing w:before="52" w:after="40"/>
            </w:pPr>
            <w:r>
              <w:t>28 Jan 1983 p. 341</w:t>
            </w:r>
          </w:p>
        </w:tc>
        <w:tc>
          <w:tcPr>
            <w:tcW w:w="2694" w:type="dxa"/>
            <w:gridSpan w:val="2"/>
          </w:tcPr>
          <w:p>
            <w:pPr>
              <w:pStyle w:val="nTable"/>
              <w:spacing w:before="52" w:after="40"/>
            </w:pPr>
            <w:r>
              <w:t>28 Jan 1983</w:t>
            </w:r>
          </w:p>
        </w:tc>
      </w:tr>
      <w:tr>
        <w:trPr>
          <w:gridBefore w:val="1"/>
          <w:wBefore w:w="20" w:type="dxa"/>
          <w:cantSplit/>
        </w:trPr>
        <w:tc>
          <w:tcPr>
            <w:tcW w:w="3118" w:type="dxa"/>
            <w:gridSpan w:val="2"/>
          </w:tcPr>
          <w:p>
            <w:pPr>
              <w:pStyle w:val="nTable"/>
              <w:spacing w:before="52" w:after="40"/>
              <w:ind w:right="113"/>
            </w:pPr>
            <w:r>
              <w:rPr>
                <w:i/>
              </w:rPr>
              <w:t>Poisons Amendment Regulations (No. 2) 1983</w:t>
            </w:r>
          </w:p>
        </w:tc>
        <w:tc>
          <w:tcPr>
            <w:tcW w:w="1276" w:type="dxa"/>
            <w:gridSpan w:val="2"/>
          </w:tcPr>
          <w:p>
            <w:pPr>
              <w:pStyle w:val="nTable"/>
              <w:spacing w:before="52" w:after="40"/>
            </w:pPr>
            <w:r>
              <w:t>23 Sep 1983 p. 3803</w:t>
            </w:r>
            <w:r>
              <w:noBreakHyphen/>
              <w:t>7</w:t>
            </w:r>
          </w:p>
        </w:tc>
        <w:tc>
          <w:tcPr>
            <w:tcW w:w="2694" w:type="dxa"/>
            <w:gridSpan w:val="2"/>
          </w:tcPr>
          <w:p>
            <w:pPr>
              <w:pStyle w:val="nTable"/>
              <w:spacing w:before="52" w:after="40"/>
            </w:pPr>
            <w:r>
              <w:t>23 Sep 1983</w:t>
            </w:r>
          </w:p>
        </w:tc>
      </w:tr>
      <w:tr>
        <w:trPr>
          <w:gridBefore w:val="1"/>
          <w:wBefore w:w="20" w:type="dxa"/>
          <w:cantSplit/>
        </w:trPr>
        <w:tc>
          <w:tcPr>
            <w:tcW w:w="3118" w:type="dxa"/>
            <w:gridSpan w:val="2"/>
          </w:tcPr>
          <w:p>
            <w:pPr>
              <w:pStyle w:val="nTable"/>
              <w:spacing w:before="52" w:after="40"/>
              <w:ind w:right="113"/>
            </w:pPr>
            <w:r>
              <w:rPr>
                <w:i/>
              </w:rPr>
              <w:t>Poisons Amendment Regulations 1984</w:t>
            </w:r>
          </w:p>
        </w:tc>
        <w:tc>
          <w:tcPr>
            <w:tcW w:w="1276" w:type="dxa"/>
            <w:gridSpan w:val="2"/>
          </w:tcPr>
          <w:p>
            <w:pPr>
              <w:pStyle w:val="nTable"/>
              <w:spacing w:before="52" w:after="40"/>
            </w:pPr>
            <w:r>
              <w:t>6 Apr 1984 p. 928 (erratum 13 Apr 1984 p. 1020)</w:t>
            </w:r>
          </w:p>
        </w:tc>
        <w:tc>
          <w:tcPr>
            <w:tcW w:w="2694" w:type="dxa"/>
            <w:gridSpan w:val="2"/>
          </w:tcPr>
          <w:p>
            <w:pPr>
              <w:pStyle w:val="nTable"/>
              <w:spacing w:before="52" w:after="40"/>
            </w:pPr>
            <w:r>
              <w:t>6 Apr 1984</w:t>
            </w:r>
          </w:p>
        </w:tc>
      </w:tr>
      <w:tr>
        <w:trPr>
          <w:gridBefore w:val="1"/>
          <w:wBefore w:w="20" w:type="dxa"/>
          <w:cantSplit/>
        </w:trPr>
        <w:tc>
          <w:tcPr>
            <w:tcW w:w="3118" w:type="dxa"/>
            <w:gridSpan w:val="2"/>
          </w:tcPr>
          <w:p>
            <w:pPr>
              <w:pStyle w:val="nTable"/>
              <w:spacing w:before="52" w:after="40"/>
              <w:ind w:right="113"/>
            </w:pPr>
            <w:r>
              <w:rPr>
                <w:i/>
              </w:rPr>
              <w:t xml:space="preserve">Health Legislation Amendment Regulations 1984 </w:t>
            </w:r>
            <w:r>
              <w:t>r. 4</w:t>
            </w:r>
          </w:p>
        </w:tc>
        <w:tc>
          <w:tcPr>
            <w:tcW w:w="1276" w:type="dxa"/>
            <w:gridSpan w:val="2"/>
          </w:tcPr>
          <w:p>
            <w:pPr>
              <w:pStyle w:val="nTable"/>
              <w:spacing w:before="52" w:after="40"/>
            </w:pPr>
            <w:r>
              <w:t>29 Jun 1984 p. 1780</w:t>
            </w:r>
            <w:r>
              <w:noBreakHyphen/>
              <w:t>4</w:t>
            </w:r>
          </w:p>
        </w:tc>
        <w:tc>
          <w:tcPr>
            <w:tcW w:w="2694" w:type="dxa"/>
            <w:gridSpan w:val="2"/>
          </w:tcPr>
          <w:p>
            <w:pPr>
              <w:pStyle w:val="nTable"/>
              <w:spacing w:before="52" w:after="40"/>
            </w:pPr>
            <w:r>
              <w:t>1 Jul 1984 (see r. 2)</w:t>
            </w:r>
          </w:p>
        </w:tc>
      </w:tr>
      <w:tr>
        <w:trPr>
          <w:gridBefore w:val="1"/>
          <w:wBefore w:w="20" w:type="dxa"/>
          <w:cantSplit/>
        </w:trPr>
        <w:tc>
          <w:tcPr>
            <w:tcW w:w="3118" w:type="dxa"/>
            <w:gridSpan w:val="2"/>
          </w:tcPr>
          <w:p>
            <w:pPr>
              <w:pStyle w:val="nTable"/>
              <w:spacing w:before="52" w:after="40"/>
              <w:ind w:right="113"/>
            </w:pPr>
            <w:r>
              <w:rPr>
                <w:i/>
              </w:rPr>
              <w:t>Poisons Amendment Regulations (No. 2) 1984</w:t>
            </w:r>
          </w:p>
        </w:tc>
        <w:tc>
          <w:tcPr>
            <w:tcW w:w="1276" w:type="dxa"/>
            <w:gridSpan w:val="2"/>
          </w:tcPr>
          <w:p>
            <w:pPr>
              <w:pStyle w:val="nTable"/>
              <w:spacing w:before="52" w:after="40"/>
            </w:pPr>
            <w:r>
              <w:t>12 Oct 1984 p. 3267</w:t>
            </w:r>
          </w:p>
        </w:tc>
        <w:tc>
          <w:tcPr>
            <w:tcW w:w="2694" w:type="dxa"/>
            <w:gridSpan w:val="2"/>
          </w:tcPr>
          <w:p>
            <w:pPr>
              <w:pStyle w:val="nTable"/>
              <w:spacing w:before="52" w:after="40"/>
            </w:pPr>
            <w:r>
              <w:t>12 Oct 1984</w:t>
            </w:r>
          </w:p>
        </w:tc>
      </w:tr>
      <w:tr>
        <w:trPr>
          <w:gridBefore w:val="1"/>
          <w:wBefore w:w="20" w:type="dxa"/>
          <w:cantSplit/>
        </w:trPr>
        <w:tc>
          <w:tcPr>
            <w:tcW w:w="3118" w:type="dxa"/>
            <w:gridSpan w:val="2"/>
          </w:tcPr>
          <w:p>
            <w:pPr>
              <w:pStyle w:val="nTable"/>
              <w:spacing w:before="52" w:after="40"/>
              <w:ind w:right="113"/>
            </w:pPr>
            <w:r>
              <w:rPr>
                <w:i/>
              </w:rPr>
              <w:t>Poisons Amendment Regulations 1985</w:t>
            </w:r>
          </w:p>
        </w:tc>
        <w:tc>
          <w:tcPr>
            <w:tcW w:w="1276" w:type="dxa"/>
            <w:gridSpan w:val="2"/>
          </w:tcPr>
          <w:p>
            <w:pPr>
              <w:pStyle w:val="nTable"/>
              <w:spacing w:before="52" w:after="40"/>
            </w:pPr>
            <w:r>
              <w:t>8 Feb 1985 p. 519</w:t>
            </w:r>
            <w:r>
              <w:noBreakHyphen/>
              <w:t>20 (erratum 19 Apr 1985 p. 1409)</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2) 1985</w:t>
            </w:r>
          </w:p>
        </w:tc>
        <w:tc>
          <w:tcPr>
            <w:tcW w:w="1276" w:type="dxa"/>
            <w:gridSpan w:val="2"/>
          </w:tcPr>
          <w:p>
            <w:pPr>
              <w:pStyle w:val="nTable"/>
              <w:spacing w:before="52" w:after="40"/>
            </w:pPr>
            <w:r>
              <w:t>8 Feb 1985 p. 520</w:t>
            </w:r>
            <w:r>
              <w:noBreakHyphen/>
              <w:t>1</w:t>
            </w:r>
          </w:p>
        </w:tc>
        <w:tc>
          <w:tcPr>
            <w:tcW w:w="2694" w:type="dxa"/>
            <w:gridSpan w:val="2"/>
          </w:tcPr>
          <w:p>
            <w:pPr>
              <w:pStyle w:val="nTable"/>
              <w:spacing w:before="52" w:after="40"/>
            </w:pPr>
            <w:r>
              <w:t>8 Feb 1985</w:t>
            </w:r>
          </w:p>
        </w:tc>
      </w:tr>
      <w:tr>
        <w:trPr>
          <w:gridBefore w:val="1"/>
          <w:wBefore w:w="20" w:type="dxa"/>
          <w:cantSplit/>
        </w:trPr>
        <w:tc>
          <w:tcPr>
            <w:tcW w:w="3118" w:type="dxa"/>
            <w:gridSpan w:val="2"/>
          </w:tcPr>
          <w:p>
            <w:pPr>
              <w:pStyle w:val="nTable"/>
              <w:spacing w:before="52" w:after="40"/>
              <w:ind w:right="113"/>
            </w:pPr>
            <w:r>
              <w:rPr>
                <w:i/>
              </w:rPr>
              <w:t>Poisons Amendment Regulations (No. 3) 1985</w:t>
            </w:r>
          </w:p>
        </w:tc>
        <w:tc>
          <w:tcPr>
            <w:tcW w:w="1276" w:type="dxa"/>
            <w:gridSpan w:val="2"/>
          </w:tcPr>
          <w:p>
            <w:pPr>
              <w:pStyle w:val="nTable"/>
              <w:spacing w:before="52" w:after="40"/>
            </w:pPr>
            <w:r>
              <w:t>15 Mar 1985 p. 941</w:t>
            </w:r>
            <w:r>
              <w:noBreakHyphen/>
              <w:t>54 (erratum 29 Mar 1985 p. 1110)</w:t>
            </w:r>
          </w:p>
        </w:tc>
        <w:tc>
          <w:tcPr>
            <w:tcW w:w="2694" w:type="dxa"/>
            <w:gridSpan w:val="2"/>
          </w:tcPr>
          <w:p>
            <w:pPr>
              <w:pStyle w:val="nTable"/>
              <w:spacing w:before="52" w:after="40"/>
            </w:pPr>
            <w:r>
              <w:t>15 Mar 1985</w:t>
            </w:r>
          </w:p>
        </w:tc>
      </w:tr>
      <w:tr>
        <w:trPr>
          <w:gridBefore w:val="1"/>
          <w:wBefore w:w="20" w:type="dxa"/>
          <w:cantSplit/>
        </w:trPr>
        <w:tc>
          <w:tcPr>
            <w:tcW w:w="3118" w:type="dxa"/>
            <w:gridSpan w:val="2"/>
          </w:tcPr>
          <w:p>
            <w:pPr>
              <w:pStyle w:val="nTable"/>
              <w:spacing w:before="52" w:after="40"/>
              <w:ind w:right="113"/>
            </w:pPr>
            <w:r>
              <w:rPr>
                <w:i/>
              </w:rPr>
              <w:t>Poisons Amendment Regulations (No. 5) 1985</w:t>
            </w:r>
          </w:p>
        </w:tc>
        <w:tc>
          <w:tcPr>
            <w:tcW w:w="1276" w:type="dxa"/>
            <w:gridSpan w:val="2"/>
          </w:tcPr>
          <w:p>
            <w:pPr>
              <w:pStyle w:val="nTable"/>
              <w:spacing w:before="52" w:after="40"/>
            </w:pPr>
            <w:r>
              <w:t>12 Apr 1985 p. 1285</w:t>
            </w:r>
            <w:r>
              <w:noBreakHyphen/>
              <w:t>6</w:t>
            </w:r>
          </w:p>
        </w:tc>
        <w:tc>
          <w:tcPr>
            <w:tcW w:w="2694" w:type="dxa"/>
            <w:gridSpan w:val="2"/>
          </w:tcPr>
          <w:p>
            <w:pPr>
              <w:pStyle w:val="nTable"/>
              <w:spacing w:before="52" w:after="40"/>
            </w:pPr>
            <w:r>
              <w:t>1 Jul 1985 (see r. 2)</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31 May 1985 p. 1882</w:t>
            </w:r>
          </w:p>
        </w:tc>
        <w:tc>
          <w:tcPr>
            <w:tcW w:w="2694" w:type="dxa"/>
            <w:gridSpan w:val="2"/>
          </w:tcPr>
          <w:p>
            <w:pPr>
              <w:pStyle w:val="nTable"/>
              <w:spacing w:before="52" w:after="40"/>
            </w:pPr>
            <w:r>
              <w:t>31 May 1985</w:t>
            </w:r>
          </w:p>
        </w:tc>
      </w:tr>
      <w:tr>
        <w:trPr>
          <w:gridBefore w:val="1"/>
          <w:wBefore w:w="20" w:type="dxa"/>
          <w:cantSplit/>
        </w:trPr>
        <w:tc>
          <w:tcPr>
            <w:tcW w:w="3118" w:type="dxa"/>
            <w:gridSpan w:val="2"/>
          </w:tcPr>
          <w:p>
            <w:pPr>
              <w:pStyle w:val="nTable"/>
              <w:spacing w:before="52" w:after="40"/>
              <w:ind w:right="113"/>
            </w:pPr>
            <w:r>
              <w:rPr>
                <w:i/>
              </w:rPr>
              <w:t>Poisons Amendment Regulations (No. 4) 1985</w:t>
            </w:r>
          </w:p>
        </w:tc>
        <w:tc>
          <w:tcPr>
            <w:tcW w:w="1276" w:type="dxa"/>
            <w:gridSpan w:val="2"/>
          </w:tcPr>
          <w:p>
            <w:pPr>
              <w:pStyle w:val="nTable"/>
              <w:spacing w:before="52" w:after="40"/>
            </w:pPr>
            <w:r>
              <w:t>7 Jun 1985 p. 1941</w:t>
            </w:r>
          </w:p>
        </w:tc>
        <w:tc>
          <w:tcPr>
            <w:tcW w:w="2694" w:type="dxa"/>
            <w:gridSpan w:val="2"/>
          </w:tcPr>
          <w:p>
            <w:pPr>
              <w:pStyle w:val="nTable"/>
              <w:spacing w:before="52" w:after="40"/>
            </w:pPr>
            <w:r>
              <w:t>7 Jun 1985</w:t>
            </w:r>
          </w:p>
        </w:tc>
      </w:tr>
      <w:tr>
        <w:trPr>
          <w:gridBefore w:val="1"/>
          <w:wBefore w:w="20" w:type="dxa"/>
          <w:cantSplit/>
        </w:trPr>
        <w:tc>
          <w:tcPr>
            <w:tcW w:w="3118" w:type="dxa"/>
            <w:gridSpan w:val="2"/>
          </w:tcPr>
          <w:p>
            <w:pPr>
              <w:pStyle w:val="nTable"/>
              <w:spacing w:before="52" w:after="40"/>
              <w:ind w:right="113"/>
            </w:pPr>
            <w:r>
              <w:rPr>
                <w:i/>
              </w:rPr>
              <w:t>Poisons Amendment Regulations (No. 6) 1985</w:t>
            </w:r>
          </w:p>
        </w:tc>
        <w:tc>
          <w:tcPr>
            <w:tcW w:w="1276" w:type="dxa"/>
            <w:gridSpan w:val="2"/>
          </w:tcPr>
          <w:p>
            <w:pPr>
              <w:pStyle w:val="nTable"/>
              <w:spacing w:before="52" w:after="40"/>
            </w:pPr>
            <w:r>
              <w:t>5 Jul 1985 p. 2392</w:t>
            </w:r>
          </w:p>
        </w:tc>
        <w:tc>
          <w:tcPr>
            <w:tcW w:w="2694" w:type="dxa"/>
            <w:gridSpan w:val="2"/>
          </w:tcPr>
          <w:p>
            <w:pPr>
              <w:pStyle w:val="nTable"/>
              <w:spacing w:before="52" w:after="40"/>
            </w:pPr>
            <w:r>
              <w:t>5 Jul 1985</w:t>
            </w:r>
          </w:p>
        </w:tc>
      </w:tr>
      <w:tr>
        <w:trPr>
          <w:gridBefore w:val="1"/>
          <w:wBefore w:w="20" w:type="dxa"/>
          <w:cantSplit/>
        </w:trPr>
        <w:tc>
          <w:tcPr>
            <w:tcW w:w="3118" w:type="dxa"/>
            <w:gridSpan w:val="2"/>
          </w:tcPr>
          <w:p>
            <w:pPr>
              <w:pStyle w:val="nTable"/>
              <w:spacing w:before="52" w:after="40"/>
              <w:ind w:right="113"/>
            </w:pPr>
            <w:r>
              <w:rPr>
                <w:i/>
              </w:rPr>
              <w:t>Poisons Amendment Regulations (No. 8) 1985</w:t>
            </w:r>
          </w:p>
        </w:tc>
        <w:tc>
          <w:tcPr>
            <w:tcW w:w="1276" w:type="dxa"/>
            <w:gridSpan w:val="2"/>
          </w:tcPr>
          <w:p>
            <w:pPr>
              <w:pStyle w:val="nTable"/>
              <w:spacing w:before="52" w:after="40"/>
            </w:pPr>
            <w:r>
              <w:t>20 Sep 1985 p. 3743</w:t>
            </w:r>
          </w:p>
        </w:tc>
        <w:tc>
          <w:tcPr>
            <w:tcW w:w="2694" w:type="dxa"/>
            <w:gridSpan w:val="2"/>
          </w:tcPr>
          <w:p>
            <w:pPr>
              <w:pStyle w:val="nTable"/>
              <w:spacing w:before="52" w:after="40"/>
            </w:pPr>
            <w:r>
              <w:t>20 Sep 1985</w:t>
            </w:r>
          </w:p>
        </w:tc>
      </w:tr>
      <w:tr>
        <w:trPr>
          <w:gridBefore w:val="1"/>
          <w:wBefore w:w="20" w:type="dxa"/>
          <w:cantSplit/>
        </w:trPr>
        <w:tc>
          <w:tcPr>
            <w:tcW w:w="3118" w:type="dxa"/>
            <w:gridSpan w:val="2"/>
          </w:tcPr>
          <w:p>
            <w:pPr>
              <w:pStyle w:val="nTable"/>
              <w:spacing w:before="52" w:after="40"/>
              <w:ind w:right="113"/>
            </w:pPr>
            <w:r>
              <w:rPr>
                <w:i/>
              </w:rPr>
              <w:t>Poisons Amendment Regulations 1986</w:t>
            </w:r>
          </w:p>
        </w:tc>
        <w:tc>
          <w:tcPr>
            <w:tcW w:w="1276" w:type="dxa"/>
            <w:gridSpan w:val="2"/>
          </w:tcPr>
          <w:p>
            <w:pPr>
              <w:pStyle w:val="nTable"/>
              <w:spacing w:before="52" w:after="40"/>
            </w:pPr>
            <w:r>
              <w:t>31 Jan 1986 p. 332</w:t>
            </w:r>
            <w:r>
              <w:noBreakHyphen/>
              <w:t>3</w:t>
            </w:r>
          </w:p>
        </w:tc>
        <w:tc>
          <w:tcPr>
            <w:tcW w:w="2694" w:type="dxa"/>
            <w:gridSpan w:val="2"/>
          </w:tcPr>
          <w:p>
            <w:pPr>
              <w:pStyle w:val="nTable"/>
              <w:spacing w:before="52" w:after="40"/>
            </w:pPr>
            <w:r>
              <w:t>31 Jan 1986</w:t>
            </w:r>
          </w:p>
        </w:tc>
      </w:tr>
      <w:tr>
        <w:trPr>
          <w:gridBefore w:val="1"/>
          <w:wBefore w:w="20" w:type="dxa"/>
          <w:cantSplit/>
        </w:trPr>
        <w:tc>
          <w:tcPr>
            <w:tcW w:w="3118" w:type="dxa"/>
            <w:gridSpan w:val="2"/>
          </w:tcPr>
          <w:p>
            <w:pPr>
              <w:pStyle w:val="nTable"/>
              <w:spacing w:before="52" w:after="40"/>
              <w:ind w:right="113"/>
            </w:pPr>
            <w:r>
              <w:rPr>
                <w:i/>
              </w:rPr>
              <w:t>Poisons Amendment Regulations (No. 2) 1986</w:t>
            </w:r>
          </w:p>
        </w:tc>
        <w:tc>
          <w:tcPr>
            <w:tcW w:w="1276" w:type="dxa"/>
            <w:gridSpan w:val="2"/>
          </w:tcPr>
          <w:p>
            <w:pPr>
              <w:pStyle w:val="nTable"/>
              <w:spacing w:before="52" w:after="40"/>
            </w:pPr>
            <w:r>
              <w:t>28 Feb 1986 p. 616</w:t>
            </w:r>
            <w:r>
              <w:noBreakHyphen/>
              <w:t>17</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3) 1986</w:t>
            </w:r>
          </w:p>
        </w:tc>
        <w:tc>
          <w:tcPr>
            <w:tcW w:w="1276" w:type="dxa"/>
            <w:gridSpan w:val="2"/>
          </w:tcPr>
          <w:p>
            <w:pPr>
              <w:pStyle w:val="nTable"/>
              <w:spacing w:before="52" w:after="40"/>
            </w:pPr>
            <w:r>
              <w:t>28 Feb 1986 p. 618</w:t>
            </w:r>
          </w:p>
        </w:tc>
        <w:tc>
          <w:tcPr>
            <w:tcW w:w="2694" w:type="dxa"/>
            <w:gridSpan w:val="2"/>
          </w:tcPr>
          <w:p>
            <w:pPr>
              <w:pStyle w:val="nTable"/>
              <w:spacing w:before="52" w:after="40"/>
            </w:pPr>
            <w:r>
              <w:t>28 Feb 1986</w:t>
            </w:r>
          </w:p>
        </w:tc>
      </w:tr>
      <w:tr>
        <w:trPr>
          <w:gridBefore w:val="1"/>
          <w:wBefore w:w="20" w:type="dxa"/>
          <w:cantSplit/>
        </w:trPr>
        <w:tc>
          <w:tcPr>
            <w:tcW w:w="3118" w:type="dxa"/>
            <w:gridSpan w:val="2"/>
          </w:tcPr>
          <w:p>
            <w:pPr>
              <w:pStyle w:val="nTable"/>
              <w:spacing w:before="52" w:after="40"/>
              <w:ind w:right="113"/>
            </w:pPr>
            <w:r>
              <w:rPr>
                <w:i/>
              </w:rPr>
              <w:t>Poisons Amendment Regulations (No. 4) 1986</w:t>
            </w:r>
          </w:p>
        </w:tc>
        <w:tc>
          <w:tcPr>
            <w:tcW w:w="1276" w:type="dxa"/>
            <w:gridSpan w:val="2"/>
          </w:tcPr>
          <w:p>
            <w:pPr>
              <w:pStyle w:val="nTable"/>
              <w:spacing w:before="52" w:after="40"/>
            </w:pPr>
            <w:r>
              <w:t>23 May 1986 p. 1716</w:t>
            </w:r>
            <w:r>
              <w:noBreakHyphen/>
              <w:t>20 (erratum 20 Jun 1986 p. 2049</w:t>
            </w:r>
            <w:r>
              <w:noBreakHyphen/>
              <w:t>54)</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5) 1986</w:t>
            </w:r>
          </w:p>
        </w:tc>
        <w:tc>
          <w:tcPr>
            <w:tcW w:w="1276" w:type="dxa"/>
            <w:gridSpan w:val="2"/>
          </w:tcPr>
          <w:p>
            <w:pPr>
              <w:pStyle w:val="nTable"/>
              <w:spacing w:before="52" w:after="40"/>
            </w:pPr>
            <w:r>
              <w:t>23 May 1986 p. 1721 (erratum 30 May 1986 p. 1769)</w:t>
            </w:r>
          </w:p>
        </w:tc>
        <w:tc>
          <w:tcPr>
            <w:tcW w:w="2694" w:type="dxa"/>
            <w:gridSpan w:val="2"/>
          </w:tcPr>
          <w:p>
            <w:pPr>
              <w:pStyle w:val="nTable"/>
              <w:spacing w:before="52" w:after="40"/>
            </w:pPr>
            <w:r>
              <w:t>23 May 1986</w:t>
            </w:r>
          </w:p>
        </w:tc>
      </w:tr>
      <w:tr>
        <w:trPr>
          <w:gridBefore w:val="1"/>
          <w:wBefore w:w="20" w:type="dxa"/>
          <w:cantSplit/>
        </w:trPr>
        <w:tc>
          <w:tcPr>
            <w:tcW w:w="3118" w:type="dxa"/>
            <w:gridSpan w:val="2"/>
          </w:tcPr>
          <w:p>
            <w:pPr>
              <w:pStyle w:val="nTable"/>
              <w:spacing w:before="52" w:after="40"/>
              <w:ind w:right="113"/>
            </w:pPr>
            <w:r>
              <w:rPr>
                <w:i/>
              </w:rPr>
              <w:t>Poisons Amendment Regulations (No. 7) 1986</w:t>
            </w:r>
          </w:p>
        </w:tc>
        <w:tc>
          <w:tcPr>
            <w:tcW w:w="1276" w:type="dxa"/>
            <w:gridSpan w:val="2"/>
          </w:tcPr>
          <w:p>
            <w:pPr>
              <w:pStyle w:val="nTable"/>
              <w:spacing w:before="52" w:after="40"/>
            </w:pPr>
            <w:r>
              <w:t>11 Jul 1986 p. 2339</w:t>
            </w:r>
            <w:r>
              <w:noBreakHyphen/>
              <w:t>40</w:t>
            </w:r>
          </w:p>
        </w:tc>
        <w:tc>
          <w:tcPr>
            <w:tcW w:w="2694" w:type="dxa"/>
            <w:gridSpan w:val="2"/>
          </w:tcPr>
          <w:p>
            <w:pPr>
              <w:pStyle w:val="nTable"/>
              <w:spacing w:before="52" w:after="40"/>
            </w:pPr>
            <w:r>
              <w:t>15 Jul 1986 (see r. 2)</w:t>
            </w:r>
          </w:p>
        </w:tc>
      </w:tr>
      <w:tr>
        <w:trPr>
          <w:gridBefore w:val="1"/>
          <w:wBefore w:w="20" w:type="dxa"/>
          <w:cantSplit/>
        </w:trPr>
        <w:tc>
          <w:tcPr>
            <w:tcW w:w="3118" w:type="dxa"/>
            <w:gridSpan w:val="2"/>
          </w:tcPr>
          <w:p>
            <w:pPr>
              <w:pStyle w:val="nTable"/>
              <w:spacing w:before="52" w:after="40"/>
              <w:ind w:right="113"/>
            </w:pPr>
            <w:r>
              <w:rPr>
                <w:i/>
              </w:rPr>
              <w:t>Poisons Amendment Regulations (No. 6) 1986</w:t>
            </w:r>
          </w:p>
        </w:tc>
        <w:tc>
          <w:tcPr>
            <w:tcW w:w="1276" w:type="dxa"/>
            <w:gridSpan w:val="2"/>
          </w:tcPr>
          <w:p>
            <w:pPr>
              <w:pStyle w:val="nTable"/>
              <w:spacing w:before="52" w:after="40"/>
            </w:pPr>
            <w:r>
              <w:t>1 Aug 1986 p. 2739</w:t>
            </w:r>
          </w:p>
        </w:tc>
        <w:tc>
          <w:tcPr>
            <w:tcW w:w="2694" w:type="dxa"/>
            <w:gridSpan w:val="2"/>
          </w:tcPr>
          <w:p>
            <w:pPr>
              <w:pStyle w:val="nTable"/>
              <w:spacing w:before="52" w:after="40"/>
            </w:pPr>
            <w:r>
              <w:t>1 Aug 1986</w:t>
            </w:r>
          </w:p>
        </w:tc>
      </w:tr>
      <w:tr>
        <w:trPr>
          <w:gridBefore w:val="1"/>
          <w:wBefore w:w="20" w:type="dxa"/>
          <w:cantSplit/>
        </w:trPr>
        <w:tc>
          <w:tcPr>
            <w:tcW w:w="3118" w:type="dxa"/>
            <w:gridSpan w:val="2"/>
          </w:tcPr>
          <w:p>
            <w:pPr>
              <w:pStyle w:val="nTable"/>
              <w:spacing w:before="52" w:after="40"/>
              <w:ind w:right="113"/>
            </w:pPr>
            <w:r>
              <w:rPr>
                <w:i/>
              </w:rPr>
              <w:t>Poisons Amendment Regulations (No. 8) 1986</w:t>
            </w:r>
          </w:p>
        </w:tc>
        <w:tc>
          <w:tcPr>
            <w:tcW w:w="1276" w:type="dxa"/>
            <w:gridSpan w:val="2"/>
          </w:tcPr>
          <w:p>
            <w:pPr>
              <w:pStyle w:val="nTable"/>
              <w:spacing w:before="52" w:after="40"/>
            </w:pPr>
            <w:r>
              <w:t>21 Nov 1986 p. 4269</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9) 1986</w:t>
            </w:r>
          </w:p>
        </w:tc>
        <w:tc>
          <w:tcPr>
            <w:tcW w:w="1276" w:type="dxa"/>
            <w:gridSpan w:val="2"/>
          </w:tcPr>
          <w:p>
            <w:pPr>
              <w:pStyle w:val="nTable"/>
              <w:spacing w:before="52" w:after="40"/>
            </w:pPr>
            <w:r>
              <w:t>21 Nov 1986 p. 4270</w:t>
            </w:r>
          </w:p>
        </w:tc>
        <w:tc>
          <w:tcPr>
            <w:tcW w:w="2694" w:type="dxa"/>
            <w:gridSpan w:val="2"/>
          </w:tcPr>
          <w:p>
            <w:pPr>
              <w:pStyle w:val="nTable"/>
              <w:spacing w:before="52" w:after="40"/>
            </w:pPr>
            <w:r>
              <w:t>21 Nov 1986</w:t>
            </w:r>
          </w:p>
        </w:tc>
      </w:tr>
      <w:tr>
        <w:trPr>
          <w:gridBefore w:val="1"/>
          <w:wBefore w:w="20" w:type="dxa"/>
          <w:cantSplit/>
        </w:trPr>
        <w:tc>
          <w:tcPr>
            <w:tcW w:w="3118" w:type="dxa"/>
            <w:gridSpan w:val="2"/>
          </w:tcPr>
          <w:p>
            <w:pPr>
              <w:pStyle w:val="nTable"/>
              <w:spacing w:before="52" w:after="40"/>
              <w:ind w:right="113"/>
            </w:pPr>
            <w:r>
              <w:rPr>
                <w:i/>
              </w:rPr>
              <w:t>Poisons Amendment Regulations (No. 10) 1986</w:t>
            </w:r>
          </w:p>
        </w:tc>
        <w:tc>
          <w:tcPr>
            <w:tcW w:w="1276" w:type="dxa"/>
            <w:gridSpan w:val="2"/>
          </w:tcPr>
          <w:p>
            <w:pPr>
              <w:pStyle w:val="nTable"/>
              <w:spacing w:before="52" w:after="40"/>
            </w:pPr>
            <w:r>
              <w:t>5 Dec 1986 p. 4466</w:t>
            </w:r>
            <w:r>
              <w:noBreakHyphen/>
              <w:t>7</w:t>
            </w:r>
          </w:p>
        </w:tc>
        <w:tc>
          <w:tcPr>
            <w:tcW w:w="2694" w:type="dxa"/>
            <w:gridSpan w:val="2"/>
          </w:tcPr>
          <w:p>
            <w:pPr>
              <w:pStyle w:val="nTable"/>
              <w:spacing w:before="52" w:after="40"/>
            </w:pPr>
            <w:r>
              <w:t>5 Dec 1986</w:t>
            </w:r>
          </w:p>
        </w:tc>
      </w:tr>
      <w:tr>
        <w:trPr>
          <w:gridBefore w:val="1"/>
          <w:wBefore w:w="20" w:type="dxa"/>
          <w:cantSplit/>
        </w:trPr>
        <w:tc>
          <w:tcPr>
            <w:tcW w:w="3118" w:type="dxa"/>
            <w:gridSpan w:val="2"/>
          </w:tcPr>
          <w:p>
            <w:pPr>
              <w:pStyle w:val="nTable"/>
              <w:spacing w:before="52" w:after="40"/>
              <w:ind w:right="113"/>
            </w:pPr>
            <w:r>
              <w:rPr>
                <w:i/>
              </w:rPr>
              <w:t>Poisons Amendment Regulations (No. 12) 1986</w:t>
            </w:r>
          </w:p>
        </w:tc>
        <w:tc>
          <w:tcPr>
            <w:tcW w:w="1276" w:type="dxa"/>
            <w:gridSpan w:val="2"/>
          </w:tcPr>
          <w:p>
            <w:pPr>
              <w:pStyle w:val="nTable"/>
              <w:spacing w:before="52" w:after="40"/>
            </w:pPr>
            <w:r>
              <w:t>19 Dec 1986 p. 4874</w:t>
            </w:r>
            <w:r>
              <w:noBreakHyphen/>
              <w:t>5</w:t>
            </w:r>
          </w:p>
        </w:tc>
        <w:tc>
          <w:tcPr>
            <w:tcW w:w="2694" w:type="dxa"/>
            <w:gridSpan w:val="2"/>
          </w:tcPr>
          <w:p>
            <w:pPr>
              <w:pStyle w:val="nTable"/>
              <w:spacing w:before="52" w:after="40"/>
            </w:pPr>
            <w:r>
              <w:t>19 Dec 1986</w:t>
            </w:r>
          </w:p>
        </w:tc>
      </w:tr>
      <w:tr>
        <w:trPr>
          <w:gridBefore w:val="1"/>
          <w:wBefore w:w="20" w:type="dxa"/>
          <w:cantSplit/>
        </w:trPr>
        <w:tc>
          <w:tcPr>
            <w:tcW w:w="3118" w:type="dxa"/>
            <w:gridSpan w:val="2"/>
          </w:tcPr>
          <w:p>
            <w:pPr>
              <w:pStyle w:val="nTable"/>
              <w:spacing w:before="52" w:after="40"/>
              <w:ind w:right="113"/>
            </w:pPr>
            <w:r>
              <w:rPr>
                <w:i/>
              </w:rPr>
              <w:t>Poisons Amendment Regulations 1987</w:t>
            </w:r>
          </w:p>
        </w:tc>
        <w:tc>
          <w:tcPr>
            <w:tcW w:w="1276" w:type="dxa"/>
            <w:gridSpan w:val="2"/>
          </w:tcPr>
          <w:p>
            <w:pPr>
              <w:pStyle w:val="nTable"/>
              <w:spacing w:before="52" w:after="40"/>
            </w:pPr>
            <w:r>
              <w:t>23 Jan 1987 p. 187</w:t>
            </w:r>
          </w:p>
        </w:tc>
        <w:tc>
          <w:tcPr>
            <w:tcW w:w="2694" w:type="dxa"/>
            <w:gridSpan w:val="2"/>
          </w:tcPr>
          <w:p>
            <w:pPr>
              <w:pStyle w:val="nTable"/>
              <w:spacing w:before="52" w:after="40"/>
            </w:pPr>
            <w:r>
              <w:t>23 Jan 1987</w:t>
            </w:r>
          </w:p>
        </w:tc>
      </w:tr>
      <w:tr>
        <w:trPr>
          <w:gridBefore w:val="1"/>
          <w:wBefore w:w="20" w:type="dxa"/>
          <w:cantSplit/>
        </w:trPr>
        <w:tc>
          <w:tcPr>
            <w:tcW w:w="3118" w:type="dxa"/>
            <w:gridSpan w:val="2"/>
          </w:tcPr>
          <w:p>
            <w:pPr>
              <w:pStyle w:val="nTable"/>
              <w:spacing w:before="52" w:after="40"/>
              <w:ind w:right="113"/>
            </w:pPr>
            <w:r>
              <w:rPr>
                <w:i/>
              </w:rPr>
              <w:t>Poisons Amendment Regulations (No. 2) 1987</w:t>
            </w:r>
          </w:p>
        </w:tc>
        <w:tc>
          <w:tcPr>
            <w:tcW w:w="1276" w:type="dxa"/>
            <w:gridSpan w:val="2"/>
          </w:tcPr>
          <w:p>
            <w:pPr>
              <w:pStyle w:val="nTable"/>
              <w:spacing w:before="52" w:after="40"/>
            </w:pPr>
            <w:r>
              <w:t>20 Mar 1987 p. 954</w:t>
            </w:r>
          </w:p>
        </w:tc>
        <w:tc>
          <w:tcPr>
            <w:tcW w:w="2694" w:type="dxa"/>
            <w:gridSpan w:val="2"/>
          </w:tcPr>
          <w:p>
            <w:pPr>
              <w:pStyle w:val="nTable"/>
              <w:spacing w:before="52" w:after="40"/>
            </w:pPr>
            <w:r>
              <w:t>20 Mar 1987</w:t>
            </w:r>
          </w:p>
        </w:tc>
      </w:tr>
      <w:tr>
        <w:trPr>
          <w:gridBefore w:val="1"/>
          <w:wBefore w:w="20" w:type="dxa"/>
          <w:cantSplit/>
        </w:trPr>
        <w:tc>
          <w:tcPr>
            <w:tcW w:w="3118" w:type="dxa"/>
            <w:gridSpan w:val="2"/>
          </w:tcPr>
          <w:p>
            <w:pPr>
              <w:pStyle w:val="nTable"/>
              <w:spacing w:before="52" w:after="40"/>
              <w:ind w:right="113"/>
            </w:pPr>
            <w:r>
              <w:rPr>
                <w:i/>
              </w:rPr>
              <w:t>Poisons Amendment Regulations (No. 3) 1987</w:t>
            </w:r>
          </w:p>
        </w:tc>
        <w:tc>
          <w:tcPr>
            <w:tcW w:w="1276" w:type="dxa"/>
            <w:gridSpan w:val="2"/>
          </w:tcPr>
          <w:p>
            <w:pPr>
              <w:pStyle w:val="nTable"/>
              <w:spacing w:before="52" w:after="40"/>
            </w:pPr>
            <w:r>
              <w:t>15 May 1987 p. 2121</w:t>
            </w:r>
          </w:p>
        </w:tc>
        <w:tc>
          <w:tcPr>
            <w:tcW w:w="2694" w:type="dxa"/>
            <w:gridSpan w:val="2"/>
          </w:tcPr>
          <w:p>
            <w:pPr>
              <w:pStyle w:val="nTable"/>
              <w:spacing w:before="52" w:after="40"/>
            </w:pPr>
            <w:r>
              <w:t>15 May 1987</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22 Jul 1987 in </w:t>
            </w:r>
            <w:r>
              <w:rPr>
                <w:b/>
                <w:i/>
              </w:rPr>
              <w:t>Gazette</w:t>
            </w:r>
            <w:r>
              <w:rPr>
                <w:b/>
              </w:rPr>
              <w:t xml:space="preserve"> 5 Aug 1987 p. 2987</w:t>
            </w:r>
            <w:r>
              <w:rPr>
                <w:b/>
              </w:rPr>
              <w:noBreakHyphen/>
              <w:t>3078</w:t>
            </w:r>
            <w:r>
              <w:t xml:space="preserve"> (includes amendments listed above)</w:t>
            </w:r>
          </w:p>
        </w:tc>
      </w:tr>
      <w:tr>
        <w:trPr>
          <w:gridBefore w:val="1"/>
          <w:wBefore w:w="20" w:type="dxa"/>
          <w:cantSplit/>
        </w:trPr>
        <w:tc>
          <w:tcPr>
            <w:tcW w:w="3118" w:type="dxa"/>
            <w:gridSpan w:val="2"/>
          </w:tcPr>
          <w:p>
            <w:pPr>
              <w:pStyle w:val="nTable"/>
              <w:spacing w:before="52" w:after="40"/>
              <w:ind w:right="113"/>
            </w:pPr>
            <w:r>
              <w:rPr>
                <w:i/>
              </w:rPr>
              <w:t>Poisons Amendment Regulations (No. 4) 1987</w:t>
            </w:r>
          </w:p>
        </w:tc>
        <w:tc>
          <w:tcPr>
            <w:tcW w:w="1276" w:type="dxa"/>
            <w:gridSpan w:val="2"/>
          </w:tcPr>
          <w:p>
            <w:pPr>
              <w:pStyle w:val="nTable"/>
              <w:spacing w:before="52" w:after="40"/>
            </w:pPr>
            <w:r>
              <w:t>7 Aug 1987 p. 3083</w:t>
            </w:r>
            <w:r>
              <w:noBreakHyphen/>
              <w:t>4</w:t>
            </w:r>
          </w:p>
        </w:tc>
        <w:tc>
          <w:tcPr>
            <w:tcW w:w="2694" w:type="dxa"/>
            <w:gridSpan w:val="2"/>
          </w:tcPr>
          <w:p>
            <w:pPr>
              <w:pStyle w:val="nTable"/>
              <w:spacing w:before="52" w:after="40"/>
            </w:pPr>
            <w:r>
              <w:t>7 Aug 1987</w:t>
            </w:r>
          </w:p>
        </w:tc>
      </w:tr>
      <w:tr>
        <w:trPr>
          <w:gridBefore w:val="1"/>
          <w:wBefore w:w="20" w:type="dxa"/>
          <w:cantSplit/>
        </w:trPr>
        <w:tc>
          <w:tcPr>
            <w:tcW w:w="3118" w:type="dxa"/>
            <w:gridSpan w:val="2"/>
          </w:tcPr>
          <w:p>
            <w:pPr>
              <w:pStyle w:val="nTable"/>
              <w:spacing w:before="52" w:after="40"/>
              <w:ind w:right="113"/>
            </w:pPr>
            <w:r>
              <w:rPr>
                <w:i/>
              </w:rPr>
              <w:t>Poisons Amendment Regulations (No. 5) 1987</w:t>
            </w:r>
          </w:p>
        </w:tc>
        <w:tc>
          <w:tcPr>
            <w:tcW w:w="1276" w:type="dxa"/>
            <w:gridSpan w:val="2"/>
          </w:tcPr>
          <w:p>
            <w:pPr>
              <w:pStyle w:val="nTable"/>
              <w:spacing w:before="52" w:after="40"/>
            </w:pPr>
            <w:r>
              <w:t>18 Sep 1987 p. 3596</w:t>
            </w:r>
          </w:p>
        </w:tc>
        <w:tc>
          <w:tcPr>
            <w:tcW w:w="2694" w:type="dxa"/>
            <w:gridSpan w:val="2"/>
          </w:tcPr>
          <w:p>
            <w:pPr>
              <w:pStyle w:val="nTable"/>
              <w:spacing w:before="52" w:after="40"/>
            </w:pPr>
            <w:r>
              <w:t>18 Sep 1987</w:t>
            </w:r>
          </w:p>
        </w:tc>
      </w:tr>
      <w:tr>
        <w:trPr>
          <w:gridBefore w:val="1"/>
          <w:wBefore w:w="20" w:type="dxa"/>
          <w:cantSplit/>
        </w:trPr>
        <w:tc>
          <w:tcPr>
            <w:tcW w:w="3118" w:type="dxa"/>
            <w:gridSpan w:val="2"/>
          </w:tcPr>
          <w:p>
            <w:pPr>
              <w:pStyle w:val="nTable"/>
              <w:spacing w:before="52" w:after="40"/>
              <w:ind w:right="113"/>
            </w:pPr>
            <w:r>
              <w:rPr>
                <w:i/>
              </w:rPr>
              <w:t>Poisons Amendment Regulations (No. 6) 1987</w:t>
            </w:r>
          </w:p>
        </w:tc>
        <w:tc>
          <w:tcPr>
            <w:tcW w:w="1276" w:type="dxa"/>
            <w:gridSpan w:val="2"/>
          </w:tcPr>
          <w:p>
            <w:pPr>
              <w:pStyle w:val="nTable"/>
              <w:spacing w:before="52" w:after="40"/>
            </w:pPr>
            <w:r>
              <w:t>2 Oct 1987 p. 3776</w:t>
            </w:r>
          </w:p>
        </w:tc>
        <w:tc>
          <w:tcPr>
            <w:tcW w:w="2694" w:type="dxa"/>
            <w:gridSpan w:val="2"/>
          </w:tcPr>
          <w:p>
            <w:pPr>
              <w:pStyle w:val="nTable"/>
              <w:spacing w:before="52" w:after="40"/>
            </w:pPr>
            <w:r>
              <w:t>2 Nov 1987 (see r. 2)</w:t>
            </w:r>
          </w:p>
        </w:tc>
      </w:tr>
      <w:tr>
        <w:trPr>
          <w:gridBefore w:val="1"/>
          <w:wBefore w:w="20" w:type="dxa"/>
          <w:cantSplit/>
        </w:trPr>
        <w:tc>
          <w:tcPr>
            <w:tcW w:w="3118" w:type="dxa"/>
            <w:gridSpan w:val="2"/>
          </w:tcPr>
          <w:p>
            <w:pPr>
              <w:pStyle w:val="nTable"/>
              <w:spacing w:before="52" w:after="40"/>
              <w:ind w:right="113"/>
            </w:pPr>
            <w:r>
              <w:rPr>
                <w:i/>
              </w:rPr>
              <w:t>Poisons Amendment Regulations (No. 2) 1988</w:t>
            </w:r>
          </w:p>
        </w:tc>
        <w:tc>
          <w:tcPr>
            <w:tcW w:w="1276" w:type="dxa"/>
            <w:gridSpan w:val="2"/>
          </w:tcPr>
          <w:p>
            <w:pPr>
              <w:pStyle w:val="nTable"/>
              <w:spacing w:before="52" w:after="40"/>
            </w:pPr>
            <w:r>
              <w:t>18 Mar 1988 p. 837</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rPr>
                <w:i/>
              </w:rPr>
            </w:pPr>
            <w:r>
              <w:rPr>
                <w:i/>
              </w:rPr>
              <w:t>Poisons Amendment Regulations 1988</w:t>
            </w:r>
          </w:p>
        </w:tc>
        <w:tc>
          <w:tcPr>
            <w:tcW w:w="1276" w:type="dxa"/>
            <w:gridSpan w:val="2"/>
          </w:tcPr>
          <w:p>
            <w:pPr>
              <w:pStyle w:val="nTable"/>
              <w:spacing w:before="52" w:after="40"/>
            </w:pPr>
            <w:r>
              <w:t>18 Mar 1988 p. 838</w:t>
            </w:r>
            <w:r>
              <w:noBreakHyphen/>
              <w:t>52</w:t>
            </w:r>
          </w:p>
        </w:tc>
        <w:tc>
          <w:tcPr>
            <w:tcW w:w="2694" w:type="dxa"/>
            <w:gridSpan w:val="2"/>
          </w:tcPr>
          <w:p>
            <w:pPr>
              <w:pStyle w:val="nTable"/>
              <w:spacing w:before="52" w:after="40"/>
            </w:pPr>
            <w:r>
              <w:t>18 Mar 1988</w:t>
            </w:r>
          </w:p>
        </w:tc>
      </w:tr>
      <w:tr>
        <w:trPr>
          <w:gridBefore w:val="1"/>
          <w:wBefore w:w="20" w:type="dxa"/>
          <w:cantSplit/>
        </w:trPr>
        <w:tc>
          <w:tcPr>
            <w:tcW w:w="3118" w:type="dxa"/>
            <w:gridSpan w:val="2"/>
          </w:tcPr>
          <w:p>
            <w:pPr>
              <w:pStyle w:val="nTable"/>
              <w:spacing w:before="52" w:after="40"/>
              <w:ind w:right="113"/>
            </w:pPr>
            <w:r>
              <w:rPr>
                <w:i/>
              </w:rPr>
              <w:t>Poisons Amendment Regulations (No. 3) 1988</w:t>
            </w:r>
          </w:p>
        </w:tc>
        <w:tc>
          <w:tcPr>
            <w:tcW w:w="1276" w:type="dxa"/>
            <w:gridSpan w:val="2"/>
          </w:tcPr>
          <w:p>
            <w:pPr>
              <w:pStyle w:val="nTable"/>
              <w:spacing w:before="52" w:after="40"/>
            </w:pPr>
            <w:r>
              <w:t>27 May 1988 p. 1769</w:t>
            </w:r>
            <w:r>
              <w:noBreakHyphen/>
              <w:t>71</w:t>
            </w:r>
          </w:p>
        </w:tc>
        <w:tc>
          <w:tcPr>
            <w:tcW w:w="2694" w:type="dxa"/>
            <w:gridSpan w:val="2"/>
          </w:tcPr>
          <w:p>
            <w:pPr>
              <w:pStyle w:val="nTable"/>
              <w:spacing w:before="52" w:after="40"/>
            </w:pPr>
            <w:r>
              <w:t>27 May 1988</w:t>
            </w:r>
          </w:p>
        </w:tc>
      </w:tr>
      <w:tr>
        <w:trPr>
          <w:gridBefore w:val="1"/>
          <w:wBefore w:w="20" w:type="dxa"/>
          <w:cantSplit/>
        </w:trPr>
        <w:tc>
          <w:tcPr>
            <w:tcW w:w="3118" w:type="dxa"/>
            <w:gridSpan w:val="2"/>
          </w:tcPr>
          <w:p>
            <w:pPr>
              <w:pStyle w:val="nTable"/>
              <w:spacing w:before="52" w:after="40"/>
              <w:ind w:right="113"/>
            </w:pPr>
            <w:r>
              <w:rPr>
                <w:i/>
              </w:rPr>
              <w:t>Poisons Amendment Regulations (No. 4) 1988</w:t>
            </w:r>
          </w:p>
        </w:tc>
        <w:tc>
          <w:tcPr>
            <w:tcW w:w="1276" w:type="dxa"/>
            <w:gridSpan w:val="2"/>
          </w:tcPr>
          <w:p>
            <w:pPr>
              <w:pStyle w:val="nTable"/>
              <w:spacing w:before="52" w:after="40"/>
            </w:pPr>
            <w:r>
              <w:t>11 Nov 1988 p. 4443</w:t>
            </w:r>
            <w:r>
              <w:noBreakHyphen/>
              <w:t>4</w:t>
            </w:r>
          </w:p>
        </w:tc>
        <w:tc>
          <w:tcPr>
            <w:tcW w:w="2694" w:type="dxa"/>
            <w:gridSpan w:val="2"/>
          </w:tcPr>
          <w:p>
            <w:pPr>
              <w:pStyle w:val="nTable"/>
              <w:spacing w:before="52" w:after="40"/>
            </w:pPr>
            <w:r>
              <w:t>11 Nov 1988</w:t>
            </w:r>
          </w:p>
        </w:tc>
      </w:tr>
      <w:tr>
        <w:trPr>
          <w:gridBefore w:val="1"/>
          <w:wBefore w:w="20" w:type="dxa"/>
          <w:cantSplit/>
        </w:trPr>
        <w:tc>
          <w:tcPr>
            <w:tcW w:w="3118" w:type="dxa"/>
            <w:gridSpan w:val="2"/>
          </w:tcPr>
          <w:p>
            <w:pPr>
              <w:pStyle w:val="nTable"/>
              <w:spacing w:before="52" w:after="40"/>
              <w:ind w:right="113"/>
            </w:pPr>
            <w:r>
              <w:rPr>
                <w:i/>
              </w:rPr>
              <w:t>Poisons Amendment Regulations (No. 5) 1988</w:t>
            </w:r>
          </w:p>
        </w:tc>
        <w:tc>
          <w:tcPr>
            <w:tcW w:w="1276" w:type="dxa"/>
            <w:gridSpan w:val="2"/>
          </w:tcPr>
          <w:p>
            <w:pPr>
              <w:pStyle w:val="nTable"/>
              <w:spacing w:before="52" w:after="40"/>
            </w:pPr>
            <w:r>
              <w:t>9 Dec 1988 p. 4825</w:t>
            </w:r>
          </w:p>
        </w:tc>
        <w:tc>
          <w:tcPr>
            <w:tcW w:w="2694" w:type="dxa"/>
            <w:gridSpan w:val="2"/>
          </w:tcPr>
          <w:p>
            <w:pPr>
              <w:pStyle w:val="nTable"/>
              <w:spacing w:before="52" w:after="40"/>
            </w:pPr>
            <w:r>
              <w:t>9 Dec 1988</w:t>
            </w:r>
          </w:p>
        </w:tc>
      </w:tr>
      <w:tr>
        <w:trPr>
          <w:gridBefore w:val="1"/>
          <w:wBefore w:w="20" w:type="dxa"/>
          <w:cantSplit/>
        </w:trPr>
        <w:tc>
          <w:tcPr>
            <w:tcW w:w="3118" w:type="dxa"/>
            <w:gridSpan w:val="2"/>
          </w:tcPr>
          <w:p>
            <w:pPr>
              <w:pStyle w:val="nTable"/>
              <w:spacing w:before="52" w:after="40"/>
              <w:ind w:right="113"/>
            </w:pPr>
            <w:r>
              <w:rPr>
                <w:i/>
              </w:rPr>
              <w:t>Poisons Amendment Regulations 1989</w:t>
            </w:r>
          </w:p>
        </w:tc>
        <w:tc>
          <w:tcPr>
            <w:tcW w:w="1276" w:type="dxa"/>
            <w:gridSpan w:val="2"/>
          </w:tcPr>
          <w:p>
            <w:pPr>
              <w:pStyle w:val="nTable"/>
              <w:spacing w:before="52" w:after="40"/>
            </w:pPr>
            <w:r>
              <w:t>2 Jun 1989 p. 1603</w:t>
            </w:r>
            <w:r>
              <w:noBreakHyphen/>
              <w:t>5</w:t>
            </w:r>
          </w:p>
        </w:tc>
        <w:tc>
          <w:tcPr>
            <w:tcW w:w="2694" w:type="dxa"/>
            <w:gridSpan w:val="2"/>
          </w:tcPr>
          <w:p>
            <w:pPr>
              <w:pStyle w:val="nTable"/>
              <w:spacing w:before="52" w:after="40"/>
            </w:pPr>
            <w:r>
              <w:t>2 Jun 1989</w:t>
            </w:r>
          </w:p>
        </w:tc>
      </w:tr>
      <w:tr>
        <w:trPr>
          <w:gridBefore w:val="1"/>
          <w:wBefore w:w="20" w:type="dxa"/>
          <w:cantSplit/>
        </w:trPr>
        <w:tc>
          <w:tcPr>
            <w:tcW w:w="3118" w:type="dxa"/>
            <w:gridSpan w:val="2"/>
          </w:tcPr>
          <w:p>
            <w:pPr>
              <w:pStyle w:val="nTable"/>
              <w:spacing w:before="52" w:after="40"/>
              <w:ind w:right="113"/>
            </w:pPr>
            <w:r>
              <w:rPr>
                <w:i/>
              </w:rPr>
              <w:t>Poisons Amendment Regulations (No. 2) 1989</w:t>
            </w:r>
          </w:p>
        </w:tc>
        <w:tc>
          <w:tcPr>
            <w:tcW w:w="1276" w:type="dxa"/>
            <w:gridSpan w:val="2"/>
          </w:tcPr>
          <w:p>
            <w:pPr>
              <w:pStyle w:val="nTable"/>
              <w:spacing w:before="52" w:after="40"/>
            </w:pPr>
            <w:r>
              <w:t>16 Jun 1989 p. 1742</w:t>
            </w:r>
          </w:p>
        </w:tc>
        <w:tc>
          <w:tcPr>
            <w:tcW w:w="2694" w:type="dxa"/>
            <w:gridSpan w:val="2"/>
          </w:tcPr>
          <w:p>
            <w:pPr>
              <w:pStyle w:val="nTable"/>
              <w:spacing w:before="52" w:after="40"/>
            </w:pPr>
            <w:r>
              <w:t>1 Jul 1989 (see r. 3)</w:t>
            </w:r>
          </w:p>
        </w:tc>
      </w:tr>
      <w:tr>
        <w:trPr>
          <w:gridBefore w:val="1"/>
          <w:wBefore w:w="20" w:type="dxa"/>
          <w:cantSplit/>
        </w:trPr>
        <w:tc>
          <w:tcPr>
            <w:tcW w:w="3118" w:type="dxa"/>
            <w:gridSpan w:val="2"/>
          </w:tcPr>
          <w:p>
            <w:pPr>
              <w:pStyle w:val="nTable"/>
              <w:spacing w:before="52" w:after="40"/>
              <w:ind w:right="113"/>
            </w:pPr>
            <w:r>
              <w:rPr>
                <w:i/>
              </w:rPr>
              <w:t>Poisons Amendment Regulations (No. 3)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4) 1989</w:t>
            </w:r>
          </w:p>
        </w:tc>
        <w:tc>
          <w:tcPr>
            <w:tcW w:w="1276" w:type="dxa"/>
            <w:gridSpan w:val="2"/>
          </w:tcPr>
          <w:p>
            <w:pPr>
              <w:pStyle w:val="nTable"/>
              <w:spacing w:before="52" w:after="40"/>
            </w:pPr>
            <w:r>
              <w:t>25 Aug 1989 p. 2842</w:t>
            </w:r>
          </w:p>
        </w:tc>
        <w:tc>
          <w:tcPr>
            <w:tcW w:w="2694" w:type="dxa"/>
            <w:gridSpan w:val="2"/>
          </w:tcPr>
          <w:p>
            <w:pPr>
              <w:pStyle w:val="nTable"/>
              <w:spacing w:before="52" w:after="40"/>
            </w:pPr>
            <w:r>
              <w:t>25 Aug 1989</w:t>
            </w:r>
          </w:p>
        </w:tc>
      </w:tr>
      <w:tr>
        <w:trPr>
          <w:gridBefore w:val="1"/>
          <w:wBefore w:w="20" w:type="dxa"/>
          <w:cantSplit/>
        </w:trPr>
        <w:tc>
          <w:tcPr>
            <w:tcW w:w="3118" w:type="dxa"/>
            <w:gridSpan w:val="2"/>
          </w:tcPr>
          <w:p>
            <w:pPr>
              <w:pStyle w:val="nTable"/>
              <w:spacing w:before="52" w:after="40"/>
              <w:ind w:right="113"/>
            </w:pPr>
            <w:r>
              <w:rPr>
                <w:i/>
              </w:rPr>
              <w:t>Poisons Amendment Regulations (No. 3) Amendment Regulations 1989</w:t>
            </w:r>
          </w:p>
        </w:tc>
        <w:tc>
          <w:tcPr>
            <w:tcW w:w="1276" w:type="dxa"/>
            <w:gridSpan w:val="2"/>
          </w:tcPr>
          <w:p>
            <w:pPr>
              <w:pStyle w:val="nTable"/>
              <w:spacing w:before="52" w:after="40"/>
            </w:pPr>
            <w:r>
              <w:t>6 Oct 1989 p. 3738</w:t>
            </w:r>
          </w:p>
        </w:tc>
        <w:tc>
          <w:tcPr>
            <w:tcW w:w="2694" w:type="dxa"/>
            <w:gridSpan w:val="2"/>
          </w:tcPr>
          <w:p>
            <w:pPr>
              <w:pStyle w:val="nTable"/>
              <w:spacing w:before="52" w:after="40"/>
            </w:pPr>
            <w:r>
              <w:t>6 Oct 1989</w:t>
            </w:r>
          </w:p>
        </w:tc>
      </w:tr>
      <w:tr>
        <w:trPr>
          <w:gridBefore w:val="1"/>
          <w:wBefore w:w="20" w:type="dxa"/>
          <w:cantSplit/>
        </w:trPr>
        <w:tc>
          <w:tcPr>
            <w:tcW w:w="3118" w:type="dxa"/>
            <w:gridSpan w:val="2"/>
          </w:tcPr>
          <w:p>
            <w:pPr>
              <w:pStyle w:val="nTable"/>
              <w:spacing w:before="52" w:after="40"/>
              <w:ind w:right="113"/>
            </w:pPr>
            <w:r>
              <w:rPr>
                <w:i/>
              </w:rPr>
              <w:t>Poisons Amendment Regulations 1990</w:t>
            </w:r>
          </w:p>
        </w:tc>
        <w:tc>
          <w:tcPr>
            <w:tcW w:w="1276" w:type="dxa"/>
            <w:gridSpan w:val="2"/>
          </w:tcPr>
          <w:p>
            <w:pPr>
              <w:pStyle w:val="nTable"/>
              <w:spacing w:before="52" w:after="40"/>
            </w:pPr>
            <w:r>
              <w:t>8 Jun 1990 p. 2626</w:t>
            </w:r>
            <w:r>
              <w:noBreakHyphen/>
              <w:t>7</w:t>
            </w:r>
          </w:p>
        </w:tc>
        <w:tc>
          <w:tcPr>
            <w:tcW w:w="2694" w:type="dxa"/>
            <w:gridSpan w:val="2"/>
          </w:tcPr>
          <w:p>
            <w:pPr>
              <w:pStyle w:val="nTable"/>
              <w:spacing w:before="52" w:after="40"/>
            </w:pPr>
            <w:r>
              <w:t>8 Jun 1990</w:t>
            </w:r>
          </w:p>
        </w:tc>
      </w:tr>
      <w:tr>
        <w:trPr>
          <w:gridBefore w:val="1"/>
          <w:wBefore w:w="20" w:type="dxa"/>
          <w:cantSplit/>
        </w:trPr>
        <w:tc>
          <w:tcPr>
            <w:tcW w:w="3118" w:type="dxa"/>
            <w:gridSpan w:val="2"/>
          </w:tcPr>
          <w:p>
            <w:pPr>
              <w:pStyle w:val="nTable"/>
              <w:spacing w:before="52" w:after="40"/>
              <w:ind w:right="113"/>
            </w:pPr>
            <w:r>
              <w:rPr>
                <w:i/>
              </w:rPr>
              <w:t>Poisons Amendment Regulations (No. 2) 1990</w:t>
            </w:r>
          </w:p>
        </w:tc>
        <w:tc>
          <w:tcPr>
            <w:tcW w:w="1276" w:type="dxa"/>
            <w:gridSpan w:val="2"/>
          </w:tcPr>
          <w:p>
            <w:pPr>
              <w:pStyle w:val="nTable"/>
              <w:spacing w:before="52" w:after="40"/>
            </w:pPr>
            <w:r>
              <w:t>22 Jun 1990 p. 3035</w:t>
            </w:r>
          </w:p>
        </w:tc>
        <w:tc>
          <w:tcPr>
            <w:tcW w:w="2694" w:type="dxa"/>
            <w:gridSpan w:val="2"/>
          </w:tcPr>
          <w:p>
            <w:pPr>
              <w:pStyle w:val="nTable"/>
              <w:spacing w:before="52" w:after="40"/>
            </w:pPr>
            <w:r>
              <w:t>22 Jun 1990</w:t>
            </w:r>
          </w:p>
        </w:tc>
      </w:tr>
      <w:tr>
        <w:trPr>
          <w:gridBefore w:val="1"/>
          <w:wBefore w:w="20" w:type="dxa"/>
          <w:cantSplit/>
        </w:trPr>
        <w:tc>
          <w:tcPr>
            <w:tcW w:w="3118" w:type="dxa"/>
            <w:gridSpan w:val="2"/>
          </w:tcPr>
          <w:p>
            <w:pPr>
              <w:pStyle w:val="nTable"/>
              <w:spacing w:before="52" w:after="40"/>
              <w:ind w:right="113"/>
            </w:pPr>
            <w:r>
              <w:rPr>
                <w:i/>
              </w:rPr>
              <w:t>Poisons Amendment Regulations (No. 3) 1990</w:t>
            </w:r>
          </w:p>
        </w:tc>
        <w:tc>
          <w:tcPr>
            <w:tcW w:w="1276" w:type="dxa"/>
            <w:gridSpan w:val="2"/>
          </w:tcPr>
          <w:p>
            <w:pPr>
              <w:pStyle w:val="nTable"/>
              <w:spacing w:before="52" w:after="40"/>
            </w:pPr>
            <w:r>
              <w:t>17 Aug 1990 p. 4080</w:t>
            </w:r>
            <w:r>
              <w:noBreakHyphen/>
              <w:t>1</w:t>
            </w:r>
          </w:p>
        </w:tc>
        <w:tc>
          <w:tcPr>
            <w:tcW w:w="2694" w:type="dxa"/>
            <w:gridSpan w:val="2"/>
          </w:tcPr>
          <w:p>
            <w:pPr>
              <w:pStyle w:val="nTable"/>
              <w:spacing w:before="52" w:after="40"/>
            </w:pPr>
            <w:r>
              <w:t>17 Aug 1990</w:t>
            </w:r>
          </w:p>
        </w:tc>
      </w:tr>
      <w:tr>
        <w:trPr>
          <w:gridBefore w:val="1"/>
          <w:wBefore w:w="20" w:type="dxa"/>
          <w:cantSplit/>
        </w:trPr>
        <w:tc>
          <w:tcPr>
            <w:tcW w:w="3118" w:type="dxa"/>
            <w:gridSpan w:val="2"/>
          </w:tcPr>
          <w:p>
            <w:pPr>
              <w:pStyle w:val="nTable"/>
              <w:spacing w:before="52" w:after="40"/>
              <w:ind w:right="113"/>
            </w:pPr>
            <w:r>
              <w:rPr>
                <w:i/>
              </w:rPr>
              <w:t>Poisons Amendment Regulations (No. 4) 1990</w:t>
            </w:r>
          </w:p>
        </w:tc>
        <w:tc>
          <w:tcPr>
            <w:tcW w:w="1276" w:type="dxa"/>
            <w:gridSpan w:val="2"/>
          </w:tcPr>
          <w:p>
            <w:pPr>
              <w:pStyle w:val="nTable"/>
              <w:spacing w:before="52" w:after="40"/>
            </w:pPr>
            <w:r>
              <w:t>23 Nov 1990 p. 5790</w:t>
            </w:r>
            <w:r>
              <w:noBreakHyphen/>
              <w:t>2</w:t>
            </w:r>
          </w:p>
        </w:tc>
        <w:tc>
          <w:tcPr>
            <w:tcW w:w="2694" w:type="dxa"/>
            <w:gridSpan w:val="2"/>
          </w:tcPr>
          <w:p>
            <w:pPr>
              <w:pStyle w:val="nTable"/>
              <w:spacing w:before="52" w:after="40"/>
            </w:pPr>
            <w:r>
              <w:t>1 Jan 1991 (see r. 2)</w:t>
            </w:r>
          </w:p>
        </w:tc>
      </w:tr>
      <w:tr>
        <w:trPr>
          <w:gridBefore w:val="1"/>
          <w:wBefore w:w="20" w:type="dxa"/>
          <w:cantSplit/>
        </w:trPr>
        <w:tc>
          <w:tcPr>
            <w:tcW w:w="3118" w:type="dxa"/>
            <w:gridSpan w:val="2"/>
          </w:tcPr>
          <w:p>
            <w:pPr>
              <w:pStyle w:val="nTable"/>
              <w:spacing w:before="52" w:after="40"/>
              <w:ind w:right="113"/>
            </w:pPr>
            <w:r>
              <w:rPr>
                <w:i/>
              </w:rPr>
              <w:t>Poisons Amendment Regulations (No. 5) 1990</w:t>
            </w:r>
          </w:p>
        </w:tc>
        <w:tc>
          <w:tcPr>
            <w:tcW w:w="1276" w:type="dxa"/>
            <w:gridSpan w:val="2"/>
          </w:tcPr>
          <w:p>
            <w:pPr>
              <w:pStyle w:val="nTable"/>
              <w:spacing w:before="52" w:after="40"/>
            </w:pPr>
            <w:r>
              <w:t>30 Nov 1990 p. 5908</w:t>
            </w:r>
          </w:p>
        </w:tc>
        <w:tc>
          <w:tcPr>
            <w:tcW w:w="2694" w:type="dxa"/>
            <w:gridSpan w:val="2"/>
          </w:tcPr>
          <w:p>
            <w:pPr>
              <w:pStyle w:val="nTable"/>
              <w:spacing w:before="52" w:after="40"/>
            </w:pPr>
            <w:r>
              <w:t>30 Nov 1990</w:t>
            </w:r>
          </w:p>
        </w:tc>
      </w:tr>
      <w:tr>
        <w:trPr>
          <w:gridBefore w:val="1"/>
          <w:wBefore w:w="20" w:type="dxa"/>
          <w:cantSplit/>
        </w:trPr>
        <w:tc>
          <w:tcPr>
            <w:tcW w:w="3118" w:type="dxa"/>
            <w:gridSpan w:val="2"/>
          </w:tcPr>
          <w:p>
            <w:pPr>
              <w:pStyle w:val="nTable"/>
              <w:spacing w:before="52" w:after="40"/>
              <w:ind w:right="113"/>
            </w:pPr>
            <w:r>
              <w:rPr>
                <w:i/>
              </w:rPr>
              <w:t>Poisons Amendment Regulations 1991</w:t>
            </w:r>
          </w:p>
        </w:tc>
        <w:tc>
          <w:tcPr>
            <w:tcW w:w="1276" w:type="dxa"/>
            <w:gridSpan w:val="2"/>
          </w:tcPr>
          <w:p>
            <w:pPr>
              <w:pStyle w:val="nTable"/>
              <w:spacing w:before="52" w:after="40"/>
            </w:pPr>
            <w:r>
              <w:t>12 Apr 1991 p. 1608</w:t>
            </w:r>
            <w:r>
              <w:noBreakHyphen/>
              <w:t>9</w:t>
            </w:r>
          </w:p>
        </w:tc>
        <w:tc>
          <w:tcPr>
            <w:tcW w:w="2694" w:type="dxa"/>
            <w:gridSpan w:val="2"/>
          </w:tcPr>
          <w:p>
            <w:pPr>
              <w:pStyle w:val="nTable"/>
              <w:spacing w:before="52" w:after="40"/>
            </w:pPr>
            <w:r>
              <w:t>12 Apr 1991</w:t>
            </w:r>
          </w:p>
        </w:tc>
      </w:tr>
      <w:tr>
        <w:trPr>
          <w:gridBefore w:val="1"/>
          <w:wBefore w:w="20" w:type="dxa"/>
          <w:cantSplit/>
        </w:trPr>
        <w:tc>
          <w:tcPr>
            <w:tcW w:w="3118" w:type="dxa"/>
            <w:gridSpan w:val="2"/>
          </w:tcPr>
          <w:p>
            <w:pPr>
              <w:pStyle w:val="nTable"/>
              <w:spacing w:before="52" w:after="40"/>
              <w:ind w:right="113"/>
            </w:pPr>
            <w:r>
              <w:rPr>
                <w:i/>
              </w:rPr>
              <w:t>Poisons Amendment Regulations (No. 2) 1991</w:t>
            </w:r>
          </w:p>
        </w:tc>
        <w:tc>
          <w:tcPr>
            <w:tcW w:w="1276" w:type="dxa"/>
            <w:gridSpan w:val="2"/>
          </w:tcPr>
          <w:p>
            <w:pPr>
              <w:pStyle w:val="nTable"/>
              <w:spacing w:before="52" w:after="40"/>
            </w:pPr>
            <w:r>
              <w:t>14 Jun 1991 p. 2879</w:t>
            </w:r>
          </w:p>
        </w:tc>
        <w:tc>
          <w:tcPr>
            <w:tcW w:w="2694" w:type="dxa"/>
            <w:gridSpan w:val="2"/>
          </w:tcPr>
          <w:p>
            <w:pPr>
              <w:pStyle w:val="nTable"/>
              <w:spacing w:before="52" w:after="40"/>
            </w:pPr>
            <w:r>
              <w:t>14 Jun 1991</w:t>
            </w:r>
          </w:p>
        </w:tc>
      </w:tr>
      <w:tr>
        <w:trPr>
          <w:gridBefore w:val="1"/>
          <w:wBefore w:w="20" w:type="dxa"/>
          <w:cantSplit/>
        </w:trPr>
        <w:tc>
          <w:tcPr>
            <w:tcW w:w="3118" w:type="dxa"/>
            <w:gridSpan w:val="2"/>
          </w:tcPr>
          <w:p>
            <w:pPr>
              <w:pStyle w:val="nTable"/>
              <w:spacing w:before="52" w:after="40"/>
              <w:ind w:right="113"/>
            </w:pPr>
            <w:r>
              <w:rPr>
                <w:i/>
              </w:rPr>
              <w:t>Poisons Amendment Regulations (No. 4) 1991</w:t>
            </w:r>
          </w:p>
        </w:tc>
        <w:tc>
          <w:tcPr>
            <w:tcW w:w="1276" w:type="dxa"/>
            <w:gridSpan w:val="2"/>
          </w:tcPr>
          <w:p>
            <w:pPr>
              <w:pStyle w:val="nTable"/>
              <w:spacing w:before="52" w:after="40"/>
            </w:pPr>
            <w:r>
              <w:t>28 Jun 1991 p. 3149</w:t>
            </w:r>
          </w:p>
        </w:tc>
        <w:tc>
          <w:tcPr>
            <w:tcW w:w="2694" w:type="dxa"/>
            <w:gridSpan w:val="2"/>
          </w:tcPr>
          <w:p>
            <w:pPr>
              <w:pStyle w:val="nTable"/>
              <w:spacing w:before="52" w:after="40"/>
            </w:pPr>
            <w:r>
              <w:t>1 Jul 1991 (see r. 2)</w:t>
            </w:r>
          </w:p>
        </w:tc>
      </w:tr>
      <w:tr>
        <w:trPr>
          <w:gridBefore w:val="1"/>
          <w:wBefore w:w="20" w:type="dxa"/>
          <w:cantSplit/>
        </w:trPr>
        <w:tc>
          <w:tcPr>
            <w:tcW w:w="3118" w:type="dxa"/>
            <w:gridSpan w:val="2"/>
          </w:tcPr>
          <w:p>
            <w:pPr>
              <w:pStyle w:val="nTable"/>
              <w:spacing w:before="52" w:after="40"/>
              <w:ind w:right="113"/>
            </w:pPr>
            <w:r>
              <w:rPr>
                <w:i/>
              </w:rPr>
              <w:t>Poisons Amendment Regulations (No. 3) 1991</w:t>
            </w:r>
          </w:p>
        </w:tc>
        <w:tc>
          <w:tcPr>
            <w:tcW w:w="1276" w:type="dxa"/>
            <w:gridSpan w:val="2"/>
          </w:tcPr>
          <w:p>
            <w:pPr>
              <w:pStyle w:val="nTable"/>
              <w:spacing w:before="52" w:after="40"/>
            </w:pPr>
            <w:r>
              <w:t>26 Jul 1991 p. 3854</w:t>
            </w:r>
            <w:r>
              <w:noBreakHyphen/>
              <w:t>5</w:t>
            </w:r>
          </w:p>
        </w:tc>
        <w:tc>
          <w:tcPr>
            <w:tcW w:w="2694" w:type="dxa"/>
            <w:gridSpan w:val="2"/>
          </w:tcPr>
          <w:p>
            <w:pPr>
              <w:pStyle w:val="nTable"/>
              <w:spacing w:before="52" w:after="40"/>
            </w:pPr>
            <w:r>
              <w:t>26 Jul 1991</w:t>
            </w:r>
          </w:p>
        </w:tc>
      </w:tr>
      <w:tr>
        <w:trPr>
          <w:gridBefore w:val="1"/>
          <w:wBefore w:w="20" w:type="dxa"/>
          <w:cantSplit/>
        </w:trPr>
        <w:tc>
          <w:tcPr>
            <w:tcW w:w="3118" w:type="dxa"/>
            <w:gridSpan w:val="2"/>
          </w:tcPr>
          <w:p>
            <w:pPr>
              <w:pStyle w:val="nTable"/>
              <w:spacing w:before="52" w:after="40"/>
              <w:ind w:right="113"/>
            </w:pPr>
            <w:r>
              <w:rPr>
                <w:i/>
              </w:rPr>
              <w:t>Poisons Amendment Regulations (No. 5) 1991</w:t>
            </w:r>
          </w:p>
        </w:tc>
        <w:tc>
          <w:tcPr>
            <w:tcW w:w="1276" w:type="dxa"/>
            <w:gridSpan w:val="2"/>
          </w:tcPr>
          <w:p>
            <w:pPr>
              <w:pStyle w:val="nTable"/>
              <w:spacing w:before="52" w:after="40"/>
            </w:pPr>
            <w:r>
              <w:t>13 Dec 1991 p. 6190</w:t>
            </w:r>
            <w:r>
              <w:noBreakHyphen/>
              <w:t>1</w:t>
            </w:r>
          </w:p>
        </w:tc>
        <w:tc>
          <w:tcPr>
            <w:tcW w:w="2694" w:type="dxa"/>
            <w:gridSpan w:val="2"/>
          </w:tcPr>
          <w:p>
            <w:pPr>
              <w:pStyle w:val="nTable"/>
              <w:spacing w:before="52" w:after="40"/>
            </w:pPr>
            <w:r>
              <w:t>13 Dec 1991</w:t>
            </w:r>
          </w:p>
        </w:tc>
      </w:tr>
      <w:tr>
        <w:trPr>
          <w:gridBefore w:val="1"/>
          <w:wBefore w:w="20" w:type="dxa"/>
          <w:cantSplit/>
        </w:trPr>
        <w:tc>
          <w:tcPr>
            <w:tcW w:w="3118" w:type="dxa"/>
            <w:gridSpan w:val="2"/>
          </w:tcPr>
          <w:p>
            <w:pPr>
              <w:pStyle w:val="nTable"/>
              <w:spacing w:before="52" w:after="40"/>
              <w:ind w:right="113"/>
            </w:pPr>
            <w:r>
              <w:rPr>
                <w:i/>
              </w:rPr>
              <w:t>Poisons Amendment Regulations 1992</w:t>
            </w:r>
          </w:p>
        </w:tc>
        <w:tc>
          <w:tcPr>
            <w:tcW w:w="1276" w:type="dxa"/>
            <w:gridSpan w:val="2"/>
          </w:tcPr>
          <w:p>
            <w:pPr>
              <w:pStyle w:val="nTable"/>
              <w:spacing w:before="52" w:after="40"/>
            </w:pPr>
            <w:r>
              <w:t>16 Apr 1992 p. 1634</w:t>
            </w:r>
            <w:r>
              <w:noBreakHyphen/>
              <w:t>5</w:t>
            </w:r>
          </w:p>
        </w:tc>
        <w:tc>
          <w:tcPr>
            <w:tcW w:w="2694" w:type="dxa"/>
            <w:gridSpan w:val="2"/>
          </w:tcPr>
          <w:p>
            <w:pPr>
              <w:pStyle w:val="nTable"/>
              <w:spacing w:before="52" w:after="40"/>
            </w:pPr>
            <w:r>
              <w:t>16 Apr 1992</w:t>
            </w:r>
          </w:p>
        </w:tc>
      </w:tr>
      <w:tr>
        <w:trPr>
          <w:gridBefore w:val="1"/>
          <w:wBefore w:w="20" w:type="dxa"/>
          <w:cantSplit/>
        </w:trPr>
        <w:tc>
          <w:tcPr>
            <w:tcW w:w="3118" w:type="dxa"/>
            <w:gridSpan w:val="2"/>
          </w:tcPr>
          <w:p>
            <w:pPr>
              <w:pStyle w:val="nTable"/>
              <w:spacing w:before="52" w:after="40"/>
              <w:ind w:right="113"/>
            </w:pPr>
            <w:r>
              <w:rPr>
                <w:i/>
              </w:rPr>
              <w:t>Poisons Amendment Regulations (No. 2) 1992</w:t>
            </w:r>
          </w:p>
        </w:tc>
        <w:tc>
          <w:tcPr>
            <w:tcW w:w="1276" w:type="dxa"/>
            <w:gridSpan w:val="2"/>
          </w:tcPr>
          <w:p>
            <w:pPr>
              <w:pStyle w:val="nTable"/>
              <w:spacing w:before="52" w:after="40"/>
            </w:pPr>
            <w:r>
              <w:t>26 Jun 1992 p. 2700</w:t>
            </w:r>
          </w:p>
        </w:tc>
        <w:tc>
          <w:tcPr>
            <w:tcW w:w="2694" w:type="dxa"/>
            <w:gridSpan w:val="2"/>
          </w:tcPr>
          <w:p>
            <w:pPr>
              <w:pStyle w:val="nTable"/>
              <w:spacing w:before="52" w:after="40"/>
            </w:pPr>
            <w:r>
              <w:t>1 Aug 1992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1992</w:t>
            </w:r>
          </w:p>
        </w:tc>
        <w:tc>
          <w:tcPr>
            <w:tcW w:w="1276" w:type="dxa"/>
            <w:gridSpan w:val="2"/>
          </w:tcPr>
          <w:p>
            <w:pPr>
              <w:pStyle w:val="nTable"/>
              <w:spacing w:before="52" w:after="40"/>
            </w:pPr>
            <w:r>
              <w:t>7 Aug 1992 p. 3864</w:t>
            </w:r>
            <w:r>
              <w:noBreakHyphen/>
              <w:t>6</w:t>
            </w:r>
          </w:p>
        </w:tc>
        <w:tc>
          <w:tcPr>
            <w:tcW w:w="2694" w:type="dxa"/>
            <w:gridSpan w:val="2"/>
          </w:tcPr>
          <w:p>
            <w:pPr>
              <w:pStyle w:val="nTable"/>
              <w:spacing w:before="52" w:after="40"/>
            </w:pPr>
            <w:r>
              <w:t>7 Aug 1992</w:t>
            </w:r>
          </w:p>
        </w:tc>
      </w:tr>
      <w:tr>
        <w:trPr>
          <w:gridBefore w:val="1"/>
          <w:wBefore w:w="20" w:type="dxa"/>
          <w:cantSplit/>
        </w:trPr>
        <w:tc>
          <w:tcPr>
            <w:tcW w:w="3118" w:type="dxa"/>
            <w:gridSpan w:val="2"/>
          </w:tcPr>
          <w:p>
            <w:pPr>
              <w:pStyle w:val="nTable"/>
              <w:spacing w:before="52" w:after="40"/>
              <w:ind w:right="113"/>
            </w:pPr>
            <w:r>
              <w:rPr>
                <w:i/>
              </w:rPr>
              <w:t>Poisons Amendment Regulations (No. 3) 1992</w:t>
            </w:r>
          </w:p>
        </w:tc>
        <w:tc>
          <w:tcPr>
            <w:tcW w:w="1276" w:type="dxa"/>
            <w:gridSpan w:val="2"/>
          </w:tcPr>
          <w:p>
            <w:pPr>
              <w:pStyle w:val="nTable"/>
              <w:spacing w:before="52" w:after="40"/>
            </w:pPr>
            <w:r>
              <w:t>7 Aug 1992 p. 3868</w:t>
            </w:r>
            <w:r>
              <w:noBreakHyphen/>
              <w:t>9</w:t>
            </w:r>
          </w:p>
        </w:tc>
        <w:tc>
          <w:tcPr>
            <w:tcW w:w="2694" w:type="dxa"/>
            <w:gridSpan w:val="2"/>
          </w:tcPr>
          <w:p>
            <w:pPr>
              <w:pStyle w:val="nTable"/>
              <w:spacing w:before="52" w:after="40"/>
            </w:pPr>
            <w:r>
              <w:t>7 Aug 1992</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7 Jan 1993</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1993</w:t>
            </w:r>
          </w:p>
        </w:tc>
        <w:tc>
          <w:tcPr>
            <w:tcW w:w="1276" w:type="dxa"/>
            <w:gridSpan w:val="2"/>
          </w:tcPr>
          <w:p>
            <w:pPr>
              <w:pStyle w:val="nTable"/>
              <w:spacing w:before="52" w:after="40"/>
            </w:pPr>
            <w:r>
              <w:t>28 May 1993 p. 2595</w:t>
            </w:r>
            <w:r>
              <w:noBreakHyphen/>
              <w:t>7</w:t>
            </w:r>
          </w:p>
        </w:tc>
        <w:tc>
          <w:tcPr>
            <w:tcW w:w="2694" w:type="dxa"/>
            <w:gridSpan w:val="2"/>
          </w:tcPr>
          <w:p>
            <w:pPr>
              <w:pStyle w:val="nTable"/>
              <w:spacing w:before="52" w:after="40"/>
            </w:pPr>
            <w:r>
              <w:t>28 May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1993</w:t>
            </w:r>
          </w:p>
        </w:tc>
        <w:tc>
          <w:tcPr>
            <w:tcW w:w="1276" w:type="dxa"/>
            <w:gridSpan w:val="2"/>
          </w:tcPr>
          <w:p>
            <w:pPr>
              <w:pStyle w:val="nTable"/>
              <w:spacing w:before="52" w:after="40"/>
            </w:pPr>
            <w:r>
              <w:t>25 Jun 1993 p. 3078</w:t>
            </w:r>
            <w:r>
              <w:noBreakHyphen/>
              <w:t>85</w:t>
            </w:r>
          </w:p>
        </w:tc>
        <w:tc>
          <w:tcPr>
            <w:tcW w:w="2694" w:type="dxa"/>
            <w:gridSpan w:val="2"/>
          </w:tcPr>
          <w:p>
            <w:pPr>
              <w:pStyle w:val="nTable"/>
              <w:spacing w:before="52" w:after="40"/>
            </w:pPr>
            <w:r>
              <w:t>25 Jun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1993</w:t>
            </w:r>
          </w:p>
        </w:tc>
        <w:tc>
          <w:tcPr>
            <w:tcW w:w="1276" w:type="dxa"/>
            <w:gridSpan w:val="2"/>
          </w:tcPr>
          <w:p>
            <w:pPr>
              <w:pStyle w:val="nTable"/>
              <w:spacing w:before="52" w:after="40"/>
            </w:pPr>
            <w:r>
              <w:t>9 Jul 1993 p. 3329</w:t>
            </w:r>
          </w:p>
        </w:tc>
        <w:tc>
          <w:tcPr>
            <w:tcW w:w="2694" w:type="dxa"/>
            <w:gridSpan w:val="2"/>
          </w:tcPr>
          <w:p>
            <w:pPr>
              <w:pStyle w:val="nTable"/>
              <w:spacing w:before="52" w:after="40"/>
            </w:pPr>
            <w:r>
              <w:t>1 Aug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1993</w:t>
            </w:r>
          </w:p>
        </w:tc>
        <w:tc>
          <w:tcPr>
            <w:tcW w:w="1276" w:type="dxa"/>
            <w:gridSpan w:val="2"/>
          </w:tcPr>
          <w:p>
            <w:pPr>
              <w:pStyle w:val="nTable"/>
              <w:spacing w:before="52" w:after="40"/>
            </w:pPr>
            <w:r>
              <w:t>1 Oct 1993 p. 5360</w:t>
            </w:r>
            <w:r>
              <w:noBreakHyphen/>
              <w:t>1</w:t>
            </w:r>
          </w:p>
        </w:tc>
        <w:tc>
          <w:tcPr>
            <w:tcW w:w="2694" w:type="dxa"/>
            <w:gridSpan w:val="2"/>
          </w:tcPr>
          <w:p>
            <w:pPr>
              <w:pStyle w:val="nTable"/>
              <w:spacing w:before="52" w:after="40"/>
            </w:pPr>
            <w:r>
              <w:t>1 Nov 1993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1993</w:t>
            </w:r>
          </w:p>
        </w:tc>
        <w:tc>
          <w:tcPr>
            <w:tcW w:w="1276" w:type="dxa"/>
            <w:gridSpan w:val="2"/>
          </w:tcPr>
          <w:p>
            <w:pPr>
              <w:pStyle w:val="nTable"/>
              <w:spacing w:before="52" w:after="40"/>
            </w:pPr>
            <w:r>
              <w:t>12 Nov 1993 p. 6146</w:t>
            </w:r>
            <w:r>
              <w:noBreakHyphen/>
              <w:t>7</w:t>
            </w:r>
          </w:p>
        </w:tc>
        <w:tc>
          <w:tcPr>
            <w:tcW w:w="2694" w:type="dxa"/>
            <w:gridSpan w:val="2"/>
          </w:tcPr>
          <w:p>
            <w:pPr>
              <w:pStyle w:val="nTable"/>
              <w:spacing w:before="52" w:after="40"/>
            </w:pPr>
            <w:r>
              <w:t>12 Nov 1993</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1993</w:t>
            </w:r>
          </w:p>
        </w:tc>
        <w:tc>
          <w:tcPr>
            <w:tcW w:w="1276" w:type="dxa"/>
            <w:gridSpan w:val="2"/>
          </w:tcPr>
          <w:p>
            <w:pPr>
              <w:pStyle w:val="nTable"/>
              <w:spacing w:before="52" w:after="40"/>
            </w:pPr>
            <w:r>
              <w:t>31 Dec 1993 p. 6883</w:t>
            </w:r>
            <w:r>
              <w:noBreakHyphen/>
              <w:t>5</w:t>
            </w:r>
          </w:p>
        </w:tc>
        <w:tc>
          <w:tcPr>
            <w:tcW w:w="2694" w:type="dxa"/>
            <w:gridSpan w:val="2"/>
          </w:tcPr>
          <w:p>
            <w:pPr>
              <w:pStyle w:val="nTable"/>
              <w:spacing w:before="52" w:after="40"/>
            </w:pPr>
            <w:r>
              <w:t>31 Dec 1993</w:t>
            </w:r>
          </w:p>
        </w:tc>
      </w:tr>
      <w:tr>
        <w:trPr>
          <w:gridBefore w:val="1"/>
          <w:wBefore w:w="20" w:type="dxa"/>
          <w:cantSplit/>
        </w:trPr>
        <w:tc>
          <w:tcPr>
            <w:tcW w:w="3118" w:type="dxa"/>
            <w:gridSpan w:val="2"/>
          </w:tcPr>
          <w:p>
            <w:pPr>
              <w:pStyle w:val="nTable"/>
              <w:spacing w:before="52" w:after="40"/>
              <w:ind w:right="113"/>
              <w:rPr>
                <w:i/>
              </w:rPr>
            </w:pPr>
            <w:r>
              <w:rPr>
                <w:i/>
              </w:rPr>
              <w:t>Poisons Amendment Regulations 1994</w:t>
            </w:r>
          </w:p>
        </w:tc>
        <w:tc>
          <w:tcPr>
            <w:tcW w:w="1276" w:type="dxa"/>
            <w:gridSpan w:val="2"/>
          </w:tcPr>
          <w:p>
            <w:pPr>
              <w:pStyle w:val="nTable"/>
              <w:spacing w:before="52" w:after="40"/>
            </w:pPr>
            <w:r>
              <w:t>26 May 1994 p. 2195</w:t>
            </w:r>
            <w:r>
              <w:noBreakHyphen/>
              <w:t>201</w:t>
            </w:r>
          </w:p>
        </w:tc>
        <w:tc>
          <w:tcPr>
            <w:tcW w:w="2694" w:type="dxa"/>
            <w:gridSpan w:val="2"/>
          </w:tcPr>
          <w:p>
            <w:pPr>
              <w:pStyle w:val="nTable"/>
              <w:spacing w:before="52" w:after="40"/>
            </w:pPr>
            <w:r>
              <w:t>26 May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1994</w:t>
            </w:r>
          </w:p>
        </w:tc>
        <w:tc>
          <w:tcPr>
            <w:tcW w:w="1276" w:type="dxa"/>
            <w:gridSpan w:val="2"/>
          </w:tcPr>
          <w:p>
            <w:pPr>
              <w:pStyle w:val="nTable"/>
              <w:spacing w:before="52" w:after="40"/>
            </w:pPr>
            <w:r>
              <w:t>24 Jun 1994 p. 2854</w:t>
            </w:r>
            <w:r>
              <w:noBreakHyphen/>
              <w:t>5</w:t>
            </w:r>
          </w:p>
        </w:tc>
        <w:tc>
          <w:tcPr>
            <w:tcW w:w="2694" w:type="dxa"/>
            <w:gridSpan w:val="2"/>
          </w:tcPr>
          <w:p>
            <w:pPr>
              <w:pStyle w:val="nTable"/>
              <w:spacing w:before="52" w:after="40"/>
            </w:pPr>
            <w:r>
              <w:t>1 Aug 1994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1994</w:t>
            </w:r>
          </w:p>
        </w:tc>
        <w:tc>
          <w:tcPr>
            <w:tcW w:w="1276" w:type="dxa"/>
            <w:gridSpan w:val="2"/>
          </w:tcPr>
          <w:p>
            <w:pPr>
              <w:pStyle w:val="nTable"/>
              <w:spacing w:before="52" w:after="40"/>
            </w:pPr>
            <w:r>
              <w:t>24 Jun 1994 p. 2864</w:t>
            </w:r>
            <w:r>
              <w:noBreakHyphen/>
              <w:t>70</w:t>
            </w:r>
          </w:p>
        </w:tc>
        <w:tc>
          <w:tcPr>
            <w:tcW w:w="2694" w:type="dxa"/>
            <w:gridSpan w:val="2"/>
          </w:tcPr>
          <w:p>
            <w:pPr>
              <w:pStyle w:val="nTable"/>
              <w:spacing w:before="52" w:after="40"/>
            </w:pPr>
            <w:r>
              <w:t>24 Jun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1994</w:t>
            </w:r>
          </w:p>
        </w:tc>
        <w:tc>
          <w:tcPr>
            <w:tcW w:w="1276" w:type="dxa"/>
            <w:gridSpan w:val="2"/>
          </w:tcPr>
          <w:p>
            <w:pPr>
              <w:pStyle w:val="nTable"/>
              <w:spacing w:before="52" w:after="40"/>
            </w:pPr>
            <w:r>
              <w:t>2 Sep 1994 p. 4532</w:t>
            </w:r>
            <w:r>
              <w:noBreakHyphen/>
              <w:t>3</w:t>
            </w:r>
          </w:p>
        </w:tc>
        <w:tc>
          <w:tcPr>
            <w:tcW w:w="2694" w:type="dxa"/>
            <w:gridSpan w:val="2"/>
          </w:tcPr>
          <w:p>
            <w:pPr>
              <w:pStyle w:val="nTable"/>
              <w:spacing w:before="52" w:after="40"/>
            </w:pPr>
            <w:r>
              <w:t>2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1994</w:t>
            </w:r>
          </w:p>
        </w:tc>
        <w:tc>
          <w:tcPr>
            <w:tcW w:w="1276" w:type="dxa"/>
            <w:gridSpan w:val="2"/>
          </w:tcPr>
          <w:p>
            <w:pPr>
              <w:pStyle w:val="nTable"/>
              <w:spacing w:before="52" w:after="40"/>
            </w:pPr>
            <w:r>
              <w:t>16 Sep 1994 p. 4748</w:t>
            </w:r>
            <w:r>
              <w:noBreakHyphen/>
              <w:t>9</w:t>
            </w:r>
          </w:p>
        </w:tc>
        <w:tc>
          <w:tcPr>
            <w:tcW w:w="2694" w:type="dxa"/>
            <w:gridSpan w:val="2"/>
          </w:tcPr>
          <w:p>
            <w:pPr>
              <w:pStyle w:val="nTable"/>
              <w:spacing w:before="52" w:after="40"/>
            </w:pPr>
            <w:r>
              <w:t>16 Sep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7) 1994</w:t>
            </w:r>
          </w:p>
        </w:tc>
        <w:tc>
          <w:tcPr>
            <w:tcW w:w="1276" w:type="dxa"/>
            <w:gridSpan w:val="2"/>
          </w:tcPr>
          <w:p>
            <w:pPr>
              <w:pStyle w:val="nTable"/>
              <w:spacing w:before="52" w:after="40"/>
            </w:pPr>
            <w:r>
              <w:t>23 Dec 1994 p. 7076</w:t>
            </w:r>
          </w:p>
        </w:tc>
        <w:tc>
          <w:tcPr>
            <w:tcW w:w="2694" w:type="dxa"/>
            <w:gridSpan w:val="2"/>
          </w:tcPr>
          <w:p>
            <w:pPr>
              <w:pStyle w:val="nTable"/>
              <w:spacing w:before="52" w:after="40"/>
            </w:pPr>
            <w:r>
              <w:t>23 Dec 1994</w:t>
            </w:r>
          </w:p>
        </w:tc>
      </w:tr>
      <w:tr>
        <w:trPr>
          <w:gridBefore w:val="1"/>
          <w:wBefore w:w="20" w:type="dxa"/>
          <w:cantSplit/>
        </w:trPr>
        <w:tc>
          <w:tcPr>
            <w:tcW w:w="3118" w:type="dxa"/>
            <w:gridSpan w:val="2"/>
          </w:tcPr>
          <w:p>
            <w:pPr>
              <w:pStyle w:val="nTable"/>
              <w:spacing w:before="52" w:after="40"/>
              <w:ind w:right="113"/>
              <w:rPr>
                <w:i/>
              </w:rPr>
            </w:pPr>
            <w:r>
              <w:rPr>
                <w:i/>
              </w:rPr>
              <w:t>Poisons Amendment Regulations (No. 9) 1994</w:t>
            </w:r>
          </w:p>
        </w:tc>
        <w:tc>
          <w:tcPr>
            <w:tcW w:w="1276" w:type="dxa"/>
            <w:gridSpan w:val="2"/>
          </w:tcPr>
          <w:p>
            <w:pPr>
              <w:pStyle w:val="nTable"/>
              <w:spacing w:before="52" w:after="40"/>
            </w:pPr>
            <w:r>
              <w:t>3 Feb 1995 p. 341</w:t>
            </w:r>
            <w:r>
              <w:noBreakHyphen/>
              <w:t>3</w:t>
            </w:r>
          </w:p>
        </w:tc>
        <w:tc>
          <w:tcPr>
            <w:tcW w:w="2694" w:type="dxa"/>
            <w:gridSpan w:val="2"/>
          </w:tcPr>
          <w:p>
            <w:pPr>
              <w:pStyle w:val="nTable"/>
              <w:spacing w:before="52" w:after="40"/>
            </w:pPr>
            <w:r>
              <w:t>3 Feb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1995</w:t>
            </w:r>
          </w:p>
        </w:tc>
        <w:tc>
          <w:tcPr>
            <w:tcW w:w="1276" w:type="dxa"/>
            <w:gridSpan w:val="2"/>
          </w:tcPr>
          <w:p>
            <w:pPr>
              <w:pStyle w:val="nTable"/>
              <w:spacing w:before="52" w:after="40"/>
            </w:pPr>
            <w:r>
              <w:t>17 Mar 1995 p. 1026</w:t>
            </w:r>
            <w:r>
              <w:noBreakHyphen/>
              <w:t>7</w:t>
            </w:r>
          </w:p>
        </w:tc>
        <w:tc>
          <w:tcPr>
            <w:tcW w:w="2694" w:type="dxa"/>
            <w:gridSpan w:val="2"/>
          </w:tcPr>
          <w:p>
            <w:pPr>
              <w:pStyle w:val="nTable"/>
              <w:spacing w:before="52" w:after="40"/>
            </w:pPr>
            <w:r>
              <w:t>17 Mar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1995</w:t>
            </w:r>
          </w:p>
        </w:tc>
        <w:tc>
          <w:tcPr>
            <w:tcW w:w="1276" w:type="dxa"/>
            <w:gridSpan w:val="2"/>
          </w:tcPr>
          <w:p>
            <w:pPr>
              <w:pStyle w:val="nTable"/>
              <w:spacing w:before="52" w:after="40"/>
            </w:pPr>
            <w:r>
              <w:t>28 Apr 1995 p. 1466</w:t>
            </w:r>
          </w:p>
        </w:tc>
        <w:tc>
          <w:tcPr>
            <w:tcW w:w="2694" w:type="dxa"/>
            <w:gridSpan w:val="2"/>
          </w:tcPr>
          <w:p>
            <w:pPr>
              <w:pStyle w:val="nTable"/>
              <w:spacing w:before="52" w:after="40"/>
            </w:pPr>
            <w:r>
              <w:t>28 Apr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3) 1995</w:t>
            </w:r>
          </w:p>
        </w:tc>
        <w:tc>
          <w:tcPr>
            <w:tcW w:w="1276" w:type="dxa"/>
            <w:gridSpan w:val="2"/>
          </w:tcPr>
          <w:p>
            <w:pPr>
              <w:pStyle w:val="nTable"/>
              <w:spacing w:before="52" w:after="40"/>
            </w:pPr>
            <w:r>
              <w:t>28 Apr 1995 p. 1466</w:t>
            </w:r>
            <w:r>
              <w:noBreakHyphen/>
              <w:t>7</w:t>
            </w:r>
          </w:p>
        </w:tc>
        <w:tc>
          <w:tcPr>
            <w:tcW w:w="2694" w:type="dxa"/>
            <w:gridSpan w:val="2"/>
          </w:tcPr>
          <w:p>
            <w:pPr>
              <w:pStyle w:val="nTable"/>
              <w:spacing w:before="52" w:after="40"/>
            </w:pPr>
            <w:r>
              <w:t>1 Jun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1995</w:t>
            </w:r>
          </w:p>
        </w:tc>
        <w:tc>
          <w:tcPr>
            <w:tcW w:w="1276" w:type="dxa"/>
            <w:gridSpan w:val="2"/>
          </w:tcPr>
          <w:p>
            <w:pPr>
              <w:pStyle w:val="nTable"/>
              <w:spacing w:before="52" w:after="40"/>
            </w:pPr>
            <w:r>
              <w:t>27 Jun 1995 p. 2550</w:t>
            </w:r>
            <w:r>
              <w:noBreakHyphen/>
              <w:t>1</w:t>
            </w:r>
          </w:p>
        </w:tc>
        <w:tc>
          <w:tcPr>
            <w:tcW w:w="2694" w:type="dxa"/>
            <w:gridSpan w:val="2"/>
          </w:tcPr>
          <w:p>
            <w:pPr>
              <w:pStyle w:val="nTable"/>
              <w:spacing w:before="52" w:after="40"/>
            </w:pPr>
            <w:r>
              <w:t>1 Jul 1995 (see r. 2)</w:t>
            </w:r>
          </w:p>
        </w:tc>
      </w:tr>
      <w:tr>
        <w:trPr>
          <w:gridBefore w:val="1"/>
          <w:wBefore w:w="20" w:type="dxa"/>
          <w:cantSplit/>
        </w:trPr>
        <w:tc>
          <w:tcPr>
            <w:tcW w:w="3118" w:type="dxa"/>
            <w:gridSpan w:val="2"/>
          </w:tcPr>
          <w:p>
            <w:pPr>
              <w:pStyle w:val="nTable"/>
              <w:spacing w:before="52" w:after="40"/>
              <w:ind w:right="113"/>
              <w:rPr>
                <w:i/>
              </w:rPr>
            </w:pPr>
            <w:r>
              <w:rPr>
                <w:i/>
              </w:rPr>
              <w:t>Poisons Amendment Regulations (No. 6) 1995</w:t>
            </w:r>
          </w:p>
        </w:tc>
        <w:tc>
          <w:tcPr>
            <w:tcW w:w="1276" w:type="dxa"/>
            <w:gridSpan w:val="2"/>
          </w:tcPr>
          <w:p>
            <w:pPr>
              <w:pStyle w:val="nTable"/>
              <w:spacing w:before="52" w:after="40"/>
            </w:pPr>
            <w:r>
              <w:t>5 Sep 1995 p. 4162</w:t>
            </w:r>
          </w:p>
        </w:tc>
        <w:tc>
          <w:tcPr>
            <w:tcW w:w="2694" w:type="dxa"/>
            <w:gridSpan w:val="2"/>
          </w:tcPr>
          <w:p>
            <w:pPr>
              <w:pStyle w:val="nTable"/>
              <w:spacing w:before="52" w:after="40"/>
            </w:pPr>
            <w:r>
              <w:t>5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1995</w:t>
            </w:r>
          </w:p>
        </w:tc>
        <w:tc>
          <w:tcPr>
            <w:tcW w:w="1276" w:type="dxa"/>
            <w:gridSpan w:val="2"/>
          </w:tcPr>
          <w:p>
            <w:pPr>
              <w:pStyle w:val="nTable"/>
              <w:spacing w:before="52" w:after="40"/>
            </w:pPr>
            <w:r>
              <w:t>19 Sep 1995 p. 4382</w:t>
            </w:r>
            <w:r>
              <w:noBreakHyphen/>
              <w:t>4</w:t>
            </w:r>
          </w:p>
        </w:tc>
        <w:tc>
          <w:tcPr>
            <w:tcW w:w="2694" w:type="dxa"/>
            <w:gridSpan w:val="2"/>
          </w:tcPr>
          <w:p>
            <w:pPr>
              <w:pStyle w:val="nTable"/>
              <w:spacing w:before="52" w:after="40"/>
            </w:pPr>
            <w:r>
              <w:t>19 Sep 1995</w:t>
            </w:r>
          </w:p>
        </w:tc>
      </w:tr>
      <w:tr>
        <w:trPr>
          <w:gridBefore w:val="1"/>
          <w:wBefore w:w="20" w:type="dxa"/>
          <w:cantSplit/>
        </w:trPr>
        <w:tc>
          <w:tcPr>
            <w:tcW w:w="3118" w:type="dxa"/>
            <w:gridSpan w:val="2"/>
          </w:tcPr>
          <w:p>
            <w:pPr>
              <w:pStyle w:val="nTable"/>
              <w:spacing w:before="52" w:after="40"/>
              <w:ind w:right="113"/>
              <w:rPr>
                <w:i/>
              </w:rPr>
            </w:pPr>
            <w:r>
              <w:rPr>
                <w:i/>
              </w:rPr>
              <w:t>Poisons Amendment Regulations 1996</w:t>
            </w:r>
          </w:p>
        </w:tc>
        <w:tc>
          <w:tcPr>
            <w:tcW w:w="1276" w:type="dxa"/>
            <w:gridSpan w:val="2"/>
          </w:tcPr>
          <w:p>
            <w:pPr>
              <w:pStyle w:val="nTable"/>
              <w:spacing w:before="52" w:after="40"/>
            </w:pPr>
            <w:r>
              <w:t>19 Jan 1996 p. 267</w:t>
            </w:r>
          </w:p>
        </w:tc>
        <w:tc>
          <w:tcPr>
            <w:tcW w:w="2694" w:type="dxa"/>
            <w:gridSpan w:val="2"/>
          </w:tcPr>
          <w:p>
            <w:pPr>
              <w:pStyle w:val="nTable"/>
              <w:spacing w:before="52" w:after="40"/>
            </w:pPr>
            <w:r>
              <w:t>19 Jan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2) 1996</w:t>
            </w:r>
          </w:p>
        </w:tc>
        <w:tc>
          <w:tcPr>
            <w:tcW w:w="1276" w:type="dxa"/>
            <w:gridSpan w:val="2"/>
          </w:tcPr>
          <w:p>
            <w:pPr>
              <w:pStyle w:val="nTable"/>
              <w:spacing w:before="52" w:after="40"/>
            </w:pPr>
            <w:r>
              <w:t>19 Mar 1996 p. 1216</w:t>
            </w:r>
            <w:r>
              <w:noBreakHyphen/>
              <w:t>39</w:t>
            </w:r>
          </w:p>
        </w:tc>
        <w:tc>
          <w:tcPr>
            <w:tcW w:w="2694" w:type="dxa"/>
            <w:gridSpan w:val="2"/>
          </w:tcPr>
          <w:p>
            <w:pPr>
              <w:pStyle w:val="nTable"/>
              <w:spacing w:before="52" w:after="40"/>
            </w:pPr>
            <w:r>
              <w:t xml:space="preserve">20 Mar 1996 (see r. 2 and </w:t>
            </w:r>
            <w:r>
              <w:rPr>
                <w:i/>
              </w:rPr>
              <w:t>Gazette</w:t>
            </w:r>
            <w:r>
              <w:t xml:space="preserve"> 19 Mar 1996 p. 1203)</w:t>
            </w:r>
          </w:p>
        </w:tc>
      </w:tr>
      <w:tr>
        <w:trPr>
          <w:gridBefore w:val="1"/>
          <w:wBefore w:w="20" w:type="dxa"/>
          <w:cantSplit/>
        </w:trPr>
        <w:tc>
          <w:tcPr>
            <w:tcW w:w="3118" w:type="dxa"/>
            <w:gridSpan w:val="2"/>
          </w:tcPr>
          <w:p>
            <w:pPr>
              <w:pStyle w:val="nTable"/>
              <w:spacing w:before="52" w:after="40"/>
              <w:ind w:right="113"/>
              <w:rPr>
                <w:i/>
              </w:rPr>
            </w:pPr>
            <w:r>
              <w:rPr>
                <w:i/>
              </w:rPr>
              <w:t>Poisons Amendment Regulations (No. 4) 1996</w:t>
            </w:r>
          </w:p>
        </w:tc>
        <w:tc>
          <w:tcPr>
            <w:tcW w:w="1276" w:type="dxa"/>
            <w:gridSpan w:val="2"/>
          </w:tcPr>
          <w:p>
            <w:pPr>
              <w:pStyle w:val="nTable"/>
              <w:spacing w:before="52" w:after="40"/>
            </w:pPr>
            <w:r>
              <w:t>23 Aug 1996 p. 4088</w:t>
            </w:r>
            <w:r>
              <w:noBreakHyphen/>
              <w:t>9</w:t>
            </w:r>
          </w:p>
        </w:tc>
        <w:tc>
          <w:tcPr>
            <w:tcW w:w="2694" w:type="dxa"/>
            <w:gridSpan w:val="2"/>
          </w:tcPr>
          <w:p>
            <w:pPr>
              <w:pStyle w:val="nTable"/>
              <w:spacing w:before="52" w:after="40"/>
            </w:pPr>
            <w:r>
              <w:t>23 Aug 1996</w:t>
            </w:r>
          </w:p>
        </w:tc>
      </w:tr>
      <w:tr>
        <w:trPr>
          <w:gridBefore w:val="1"/>
          <w:wBefore w:w="20" w:type="dxa"/>
          <w:cantSplit/>
        </w:trPr>
        <w:tc>
          <w:tcPr>
            <w:tcW w:w="3118" w:type="dxa"/>
            <w:gridSpan w:val="2"/>
          </w:tcPr>
          <w:p>
            <w:pPr>
              <w:pStyle w:val="nTable"/>
              <w:spacing w:before="52" w:after="40"/>
              <w:ind w:right="113"/>
              <w:rPr>
                <w:i/>
              </w:rPr>
            </w:pPr>
            <w:r>
              <w:rPr>
                <w:i/>
              </w:rPr>
              <w:t>Poisons Amendment Regulations (No. 5) 1996</w:t>
            </w:r>
          </w:p>
        </w:tc>
        <w:tc>
          <w:tcPr>
            <w:tcW w:w="1276" w:type="dxa"/>
            <w:gridSpan w:val="2"/>
          </w:tcPr>
          <w:p>
            <w:pPr>
              <w:pStyle w:val="nTable"/>
              <w:spacing w:before="52" w:after="40"/>
            </w:pPr>
            <w:r>
              <w:t>1 Oct 1996 p. 5088</w:t>
            </w:r>
          </w:p>
        </w:tc>
        <w:tc>
          <w:tcPr>
            <w:tcW w:w="2694" w:type="dxa"/>
            <w:gridSpan w:val="2"/>
          </w:tcPr>
          <w:p>
            <w:pPr>
              <w:pStyle w:val="nTable"/>
              <w:spacing w:before="52" w:after="40"/>
            </w:pPr>
            <w:r>
              <w:t>1 Oct 1996</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4 Nov 1996</w:t>
            </w:r>
            <w:r>
              <w:t xml:space="preserve"> (includes amendments listed above) (correction in </w:t>
            </w:r>
            <w:r>
              <w:rPr>
                <w:i/>
              </w:rPr>
              <w:t xml:space="preserve">Gazette </w:t>
            </w:r>
            <w:r>
              <w:t>29 Nov 1996 p. 6650)</w:t>
            </w:r>
          </w:p>
        </w:tc>
      </w:tr>
      <w:tr>
        <w:trPr>
          <w:gridBefore w:val="1"/>
          <w:wBefore w:w="20" w:type="dxa"/>
          <w:cantSplit/>
        </w:trPr>
        <w:tc>
          <w:tcPr>
            <w:tcW w:w="3118" w:type="dxa"/>
            <w:gridSpan w:val="2"/>
          </w:tcPr>
          <w:p>
            <w:pPr>
              <w:pStyle w:val="nTable"/>
              <w:spacing w:before="52" w:after="40"/>
              <w:ind w:right="113"/>
            </w:pPr>
            <w:r>
              <w:rPr>
                <w:i/>
              </w:rPr>
              <w:t>Poisons Amendment Regulations 1997</w:t>
            </w:r>
          </w:p>
        </w:tc>
        <w:tc>
          <w:tcPr>
            <w:tcW w:w="1276" w:type="dxa"/>
            <w:gridSpan w:val="2"/>
          </w:tcPr>
          <w:p>
            <w:pPr>
              <w:pStyle w:val="nTable"/>
              <w:spacing w:before="52" w:after="40"/>
            </w:pPr>
            <w:r>
              <w:t>11 Apr 1997 p. 1828</w:t>
            </w:r>
            <w:r>
              <w:noBreakHyphen/>
              <w:t>34</w:t>
            </w:r>
          </w:p>
        </w:tc>
        <w:tc>
          <w:tcPr>
            <w:tcW w:w="2694" w:type="dxa"/>
            <w:gridSpan w:val="2"/>
          </w:tcPr>
          <w:p>
            <w:pPr>
              <w:pStyle w:val="nTable"/>
              <w:spacing w:before="52" w:after="40"/>
            </w:pPr>
            <w:r>
              <w:t>11 Apr 1997</w:t>
            </w:r>
          </w:p>
        </w:tc>
      </w:tr>
      <w:tr>
        <w:trPr>
          <w:gridBefore w:val="1"/>
          <w:wBefore w:w="20" w:type="dxa"/>
          <w:cantSplit/>
        </w:trPr>
        <w:tc>
          <w:tcPr>
            <w:tcW w:w="3118" w:type="dxa"/>
            <w:gridSpan w:val="2"/>
          </w:tcPr>
          <w:p>
            <w:pPr>
              <w:pStyle w:val="nTable"/>
              <w:spacing w:before="52" w:after="40"/>
              <w:ind w:right="113"/>
            </w:pPr>
            <w:r>
              <w:rPr>
                <w:i/>
              </w:rPr>
              <w:t>Poisons Amendment Regulations 1998</w:t>
            </w:r>
          </w:p>
        </w:tc>
        <w:tc>
          <w:tcPr>
            <w:tcW w:w="1276" w:type="dxa"/>
            <w:gridSpan w:val="2"/>
          </w:tcPr>
          <w:p>
            <w:pPr>
              <w:pStyle w:val="nTable"/>
              <w:spacing w:before="52" w:after="40"/>
            </w:pPr>
            <w:r>
              <w:t>17 Mar 1998 p. 1417</w:t>
            </w:r>
          </w:p>
        </w:tc>
        <w:tc>
          <w:tcPr>
            <w:tcW w:w="2694" w:type="dxa"/>
            <w:gridSpan w:val="2"/>
          </w:tcPr>
          <w:p>
            <w:pPr>
              <w:pStyle w:val="nTable"/>
              <w:spacing w:before="52" w:after="40"/>
            </w:pPr>
            <w:r>
              <w:t>17 Mar 1998</w:t>
            </w:r>
          </w:p>
        </w:tc>
      </w:tr>
      <w:tr>
        <w:trPr>
          <w:gridBefore w:val="1"/>
          <w:wBefore w:w="20" w:type="dxa"/>
          <w:cantSplit/>
        </w:trPr>
        <w:tc>
          <w:tcPr>
            <w:tcW w:w="3118" w:type="dxa"/>
            <w:gridSpan w:val="2"/>
          </w:tcPr>
          <w:p>
            <w:pPr>
              <w:pStyle w:val="nTable"/>
              <w:spacing w:before="52" w:after="40"/>
              <w:ind w:right="113"/>
            </w:pPr>
            <w:r>
              <w:rPr>
                <w:i/>
              </w:rPr>
              <w:t>Poisons Amendment Regulations (No. 2) 1998</w:t>
            </w:r>
          </w:p>
        </w:tc>
        <w:tc>
          <w:tcPr>
            <w:tcW w:w="1276" w:type="dxa"/>
            <w:gridSpan w:val="2"/>
          </w:tcPr>
          <w:p>
            <w:pPr>
              <w:pStyle w:val="nTable"/>
              <w:spacing w:before="52" w:after="40"/>
            </w:pPr>
            <w:r>
              <w:t>26 May 1998 p. 2966</w:t>
            </w:r>
            <w:r>
              <w:noBreakHyphen/>
              <w:t>7</w:t>
            </w:r>
          </w:p>
        </w:tc>
        <w:tc>
          <w:tcPr>
            <w:tcW w:w="2694" w:type="dxa"/>
            <w:gridSpan w:val="2"/>
          </w:tcPr>
          <w:p>
            <w:pPr>
              <w:pStyle w:val="nTable"/>
              <w:spacing w:before="52" w:after="40"/>
            </w:pPr>
            <w:r>
              <w:t>19 Jun 1998 (see r. 2)</w:t>
            </w:r>
          </w:p>
        </w:tc>
      </w:tr>
      <w:tr>
        <w:trPr>
          <w:gridBefore w:val="1"/>
          <w:wBefore w:w="20" w:type="dxa"/>
          <w:cantSplit/>
        </w:trPr>
        <w:tc>
          <w:tcPr>
            <w:tcW w:w="3118" w:type="dxa"/>
            <w:gridSpan w:val="2"/>
          </w:tcPr>
          <w:p>
            <w:pPr>
              <w:pStyle w:val="nTable"/>
              <w:spacing w:before="52" w:after="40"/>
              <w:ind w:right="113"/>
            </w:pPr>
            <w:r>
              <w:rPr>
                <w:i/>
              </w:rPr>
              <w:t>Poisons Amendment Regulations (No. 3) 1998</w:t>
            </w:r>
          </w:p>
        </w:tc>
        <w:tc>
          <w:tcPr>
            <w:tcW w:w="1276" w:type="dxa"/>
            <w:gridSpan w:val="2"/>
          </w:tcPr>
          <w:p>
            <w:pPr>
              <w:pStyle w:val="nTable"/>
              <w:spacing w:before="52" w:after="40"/>
            </w:pPr>
            <w:r>
              <w:t>27 Nov 1998 p. 6343</w:t>
            </w:r>
            <w:r>
              <w:noBreakHyphen/>
              <w:t>4</w:t>
            </w:r>
          </w:p>
        </w:tc>
        <w:tc>
          <w:tcPr>
            <w:tcW w:w="2694" w:type="dxa"/>
            <w:gridSpan w:val="2"/>
          </w:tcPr>
          <w:p>
            <w:pPr>
              <w:pStyle w:val="nTable"/>
              <w:spacing w:before="52" w:after="40"/>
            </w:pPr>
            <w:r>
              <w:t>27 Nov 1998</w:t>
            </w:r>
          </w:p>
        </w:tc>
      </w:tr>
      <w:tr>
        <w:trPr>
          <w:gridBefore w:val="1"/>
          <w:wBefore w:w="20" w:type="dxa"/>
          <w:cantSplit/>
        </w:trPr>
        <w:tc>
          <w:tcPr>
            <w:tcW w:w="3118" w:type="dxa"/>
            <w:gridSpan w:val="2"/>
          </w:tcPr>
          <w:p>
            <w:pPr>
              <w:pStyle w:val="nTable"/>
              <w:spacing w:before="52" w:after="40"/>
              <w:ind w:right="113"/>
              <w:rPr>
                <w:i/>
              </w:rPr>
            </w:pPr>
            <w:r>
              <w:rPr>
                <w:i/>
              </w:rPr>
              <w:t>Poisons Amendment Regulations 1999</w:t>
            </w:r>
          </w:p>
        </w:tc>
        <w:tc>
          <w:tcPr>
            <w:tcW w:w="1276" w:type="dxa"/>
            <w:gridSpan w:val="2"/>
          </w:tcPr>
          <w:p>
            <w:pPr>
              <w:pStyle w:val="nTable"/>
              <w:spacing w:before="52" w:after="40"/>
            </w:pPr>
            <w:r>
              <w:t>19 Feb 1999 p. 554</w:t>
            </w:r>
            <w:r>
              <w:noBreakHyphen/>
              <w:t>6</w:t>
            </w:r>
          </w:p>
        </w:tc>
        <w:tc>
          <w:tcPr>
            <w:tcW w:w="2694" w:type="dxa"/>
            <w:gridSpan w:val="2"/>
          </w:tcPr>
          <w:p>
            <w:pPr>
              <w:pStyle w:val="nTable"/>
              <w:spacing w:before="52" w:after="40"/>
            </w:pPr>
            <w:r>
              <w:t>19 Feb 1999</w:t>
            </w:r>
          </w:p>
        </w:tc>
      </w:tr>
      <w:tr>
        <w:trPr>
          <w:gridBefore w:val="1"/>
          <w:wBefore w:w="20" w:type="dxa"/>
          <w:cantSplit/>
        </w:trPr>
        <w:tc>
          <w:tcPr>
            <w:tcW w:w="3118" w:type="dxa"/>
            <w:gridSpan w:val="2"/>
          </w:tcPr>
          <w:p>
            <w:pPr>
              <w:pStyle w:val="nTable"/>
              <w:spacing w:before="52" w:after="40"/>
              <w:ind w:right="113"/>
              <w:rPr>
                <w:i/>
              </w:rPr>
            </w:pPr>
            <w:r>
              <w:rPr>
                <w:i/>
              </w:rPr>
              <w:t>Poisons Amendment Regulations 2000</w:t>
            </w:r>
          </w:p>
        </w:tc>
        <w:tc>
          <w:tcPr>
            <w:tcW w:w="1276" w:type="dxa"/>
            <w:gridSpan w:val="2"/>
          </w:tcPr>
          <w:p>
            <w:pPr>
              <w:pStyle w:val="nTable"/>
              <w:spacing w:before="52" w:after="40"/>
            </w:pPr>
            <w:r>
              <w:t>29 Feb 2000 p. 992</w:t>
            </w:r>
            <w:r>
              <w:noBreakHyphen/>
              <w:t>5</w:t>
            </w:r>
          </w:p>
        </w:tc>
        <w:tc>
          <w:tcPr>
            <w:tcW w:w="2694" w:type="dxa"/>
            <w:gridSpan w:val="2"/>
          </w:tcPr>
          <w:p>
            <w:pPr>
              <w:pStyle w:val="nTable"/>
              <w:spacing w:before="52" w:after="40"/>
            </w:pPr>
            <w:r>
              <w:t>29 Feb 2000</w:t>
            </w:r>
          </w:p>
        </w:tc>
      </w:tr>
      <w:tr>
        <w:trPr>
          <w:gridBefore w:val="1"/>
          <w:wBefore w:w="20" w:type="dxa"/>
          <w:cantSplit/>
        </w:trPr>
        <w:tc>
          <w:tcPr>
            <w:tcW w:w="7088" w:type="dxa"/>
            <w:gridSpan w:val="6"/>
          </w:tcPr>
          <w:p>
            <w:pPr>
              <w:pStyle w:val="nTable"/>
              <w:spacing w:before="52" w:after="40"/>
            </w:pPr>
            <w:r>
              <w:rPr>
                <w:b/>
              </w:rPr>
              <w:t xml:space="preserve">Reprint of the </w:t>
            </w:r>
            <w:r>
              <w:rPr>
                <w:b/>
                <w:i/>
              </w:rPr>
              <w:t>Poisons Regulations 1965</w:t>
            </w:r>
            <w:r>
              <w:rPr>
                <w:b/>
              </w:rPr>
              <w:t xml:space="preserve"> as at 12 May 2000</w:t>
            </w:r>
            <w:r>
              <w:t xml:space="preserve"> (includes amendments listed above)</w:t>
            </w:r>
          </w:p>
        </w:tc>
      </w:tr>
      <w:tr>
        <w:trPr>
          <w:gridBefore w:val="1"/>
          <w:wBefore w:w="20" w:type="dxa"/>
          <w:cantSplit/>
        </w:trPr>
        <w:tc>
          <w:tcPr>
            <w:tcW w:w="3118" w:type="dxa"/>
            <w:gridSpan w:val="2"/>
          </w:tcPr>
          <w:p>
            <w:pPr>
              <w:pStyle w:val="nTable"/>
              <w:spacing w:before="52" w:after="40"/>
              <w:ind w:right="113"/>
              <w:rPr>
                <w:i/>
              </w:rPr>
            </w:pPr>
            <w:r>
              <w:rPr>
                <w:i/>
              </w:rPr>
              <w:t>Poisons Amendment Regulations 2001</w:t>
            </w:r>
          </w:p>
        </w:tc>
        <w:tc>
          <w:tcPr>
            <w:tcW w:w="1276" w:type="dxa"/>
            <w:gridSpan w:val="2"/>
          </w:tcPr>
          <w:p>
            <w:pPr>
              <w:pStyle w:val="nTable"/>
              <w:spacing w:before="52" w:after="40"/>
            </w:pPr>
            <w:r>
              <w:t>29 Jun 2001</w:t>
            </w:r>
            <w:r>
              <w:br/>
              <w:t>p. 3115</w:t>
            </w:r>
            <w:r>
              <w:noBreakHyphen/>
              <w:t>18</w:t>
            </w:r>
          </w:p>
        </w:tc>
        <w:tc>
          <w:tcPr>
            <w:tcW w:w="2694" w:type="dxa"/>
            <w:gridSpan w:val="2"/>
          </w:tcPr>
          <w:p>
            <w:pPr>
              <w:pStyle w:val="nTable"/>
              <w:spacing w:before="52" w:after="40"/>
            </w:pPr>
            <w:r>
              <w:t>29 Jun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2001</w:t>
            </w:r>
          </w:p>
        </w:tc>
        <w:tc>
          <w:tcPr>
            <w:tcW w:w="1276" w:type="dxa"/>
            <w:gridSpan w:val="2"/>
          </w:tcPr>
          <w:p>
            <w:pPr>
              <w:pStyle w:val="nTable"/>
              <w:spacing w:before="52" w:after="40"/>
            </w:pPr>
            <w:r>
              <w:t>14 Aug 2001 p. 4253</w:t>
            </w:r>
          </w:p>
        </w:tc>
        <w:tc>
          <w:tcPr>
            <w:tcW w:w="2694" w:type="dxa"/>
            <w:gridSpan w:val="2"/>
          </w:tcPr>
          <w:p>
            <w:pPr>
              <w:pStyle w:val="nTable"/>
              <w:spacing w:before="52" w:after="40"/>
            </w:pPr>
            <w:r>
              <w:t>14 Aug 2001</w:t>
            </w:r>
          </w:p>
        </w:tc>
      </w:tr>
      <w:tr>
        <w:trPr>
          <w:gridBefore w:val="1"/>
          <w:wBefore w:w="20" w:type="dxa"/>
          <w:cantSplit/>
        </w:trPr>
        <w:tc>
          <w:tcPr>
            <w:tcW w:w="3118" w:type="dxa"/>
            <w:gridSpan w:val="2"/>
          </w:tcPr>
          <w:p>
            <w:pPr>
              <w:pStyle w:val="nTable"/>
              <w:spacing w:before="52" w:after="40"/>
              <w:ind w:right="113"/>
              <w:rPr>
                <w:vertAlign w:val="superscript"/>
              </w:rPr>
            </w:pPr>
            <w:r>
              <w:rPr>
                <w:i/>
              </w:rPr>
              <w:t>Poisons Amendment Regulations (No. 3) 2001</w:t>
            </w:r>
            <w:r>
              <w:t xml:space="preserve"> </w:t>
            </w:r>
            <w:r>
              <w:rPr>
                <w:vertAlign w:val="superscript"/>
              </w:rPr>
              <w:t>10</w:t>
            </w:r>
          </w:p>
        </w:tc>
        <w:tc>
          <w:tcPr>
            <w:tcW w:w="1276" w:type="dxa"/>
            <w:gridSpan w:val="2"/>
          </w:tcPr>
          <w:p>
            <w:pPr>
              <w:pStyle w:val="nTable"/>
              <w:spacing w:before="52" w:after="40"/>
            </w:pPr>
            <w:r>
              <w:t>14 Sep 2001 p. 5073</w:t>
            </w:r>
            <w:r>
              <w:noBreakHyphen/>
              <w:t>7</w:t>
            </w:r>
          </w:p>
        </w:tc>
        <w:tc>
          <w:tcPr>
            <w:tcW w:w="2694" w:type="dxa"/>
            <w:gridSpan w:val="2"/>
          </w:tcPr>
          <w:p>
            <w:pPr>
              <w:pStyle w:val="nTable"/>
              <w:spacing w:before="52" w:after="40"/>
            </w:pPr>
            <w:r>
              <w:t>14 Sep 2001</w:t>
            </w:r>
          </w:p>
        </w:tc>
      </w:tr>
      <w:tr>
        <w:trPr>
          <w:gridBefore w:val="1"/>
          <w:wBefore w:w="20" w:type="dxa"/>
          <w:cantSplit/>
        </w:trPr>
        <w:tc>
          <w:tcPr>
            <w:tcW w:w="3118" w:type="dxa"/>
            <w:gridSpan w:val="2"/>
          </w:tcPr>
          <w:p>
            <w:pPr>
              <w:pStyle w:val="nTable"/>
              <w:spacing w:before="52" w:after="40"/>
              <w:ind w:right="113"/>
              <w:rPr>
                <w:i/>
              </w:rPr>
            </w:pPr>
            <w:r>
              <w:rPr>
                <w:i/>
              </w:rPr>
              <w:t>Poisons Amendment Regulations (No. 4) 2001</w:t>
            </w:r>
          </w:p>
        </w:tc>
        <w:tc>
          <w:tcPr>
            <w:tcW w:w="1276" w:type="dxa"/>
            <w:gridSpan w:val="2"/>
          </w:tcPr>
          <w:p>
            <w:pPr>
              <w:pStyle w:val="nTable"/>
              <w:spacing w:before="52" w:after="40"/>
            </w:pPr>
            <w:r>
              <w:t>16 Nov 2001 p. 5985</w:t>
            </w:r>
          </w:p>
        </w:tc>
        <w:tc>
          <w:tcPr>
            <w:tcW w:w="2694" w:type="dxa"/>
            <w:gridSpan w:val="2"/>
          </w:tcPr>
          <w:p>
            <w:pPr>
              <w:pStyle w:val="nTable"/>
              <w:spacing w:before="52" w:after="40"/>
            </w:pPr>
            <w:r>
              <w:t>16 Nov 2001</w:t>
            </w:r>
          </w:p>
        </w:tc>
      </w:tr>
      <w:tr>
        <w:trPr>
          <w:gridBefore w:val="1"/>
          <w:wBefore w:w="20" w:type="dxa"/>
          <w:cantSplit/>
        </w:trPr>
        <w:tc>
          <w:tcPr>
            <w:tcW w:w="3118" w:type="dxa"/>
            <w:gridSpan w:val="2"/>
          </w:tcPr>
          <w:p>
            <w:pPr>
              <w:pStyle w:val="nTable"/>
              <w:spacing w:before="52" w:after="40"/>
              <w:ind w:right="113"/>
              <w:rPr>
                <w:i/>
              </w:rPr>
            </w:pPr>
            <w:r>
              <w:rPr>
                <w:i/>
              </w:rPr>
              <w:t>Poisons Amendment Regulations 2002</w:t>
            </w:r>
          </w:p>
        </w:tc>
        <w:tc>
          <w:tcPr>
            <w:tcW w:w="1276" w:type="dxa"/>
            <w:gridSpan w:val="2"/>
          </w:tcPr>
          <w:p>
            <w:pPr>
              <w:pStyle w:val="nTable"/>
              <w:spacing w:before="52" w:after="40"/>
            </w:pPr>
            <w:r>
              <w:t>13 Aug 2002 p. 4181</w:t>
            </w:r>
          </w:p>
        </w:tc>
        <w:tc>
          <w:tcPr>
            <w:tcW w:w="2694" w:type="dxa"/>
            <w:gridSpan w:val="2"/>
          </w:tcPr>
          <w:p>
            <w:pPr>
              <w:pStyle w:val="nTable"/>
              <w:spacing w:before="52" w:after="40"/>
            </w:pPr>
            <w:r>
              <w:t>13 Aug 2002</w:t>
            </w:r>
          </w:p>
        </w:tc>
      </w:tr>
      <w:tr>
        <w:trPr>
          <w:gridBefore w:val="1"/>
          <w:wBefore w:w="20" w:type="dxa"/>
          <w:cantSplit/>
        </w:trPr>
        <w:tc>
          <w:tcPr>
            <w:tcW w:w="7088" w:type="dxa"/>
            <w:gridSpan w:val="6"/>
          </w:tcPr>
          <w:p>
            <w:pPr>
              <w:pStyle w:val="nTable"/>
              <w:spacing w:before="52" w:after="40"/>
            </w:pPr>
            <w:r>
              <w:rPr>
                <w:b/>
              </w:rPr>
              <w:t xml:space="preserve">Reprint 7: The </w:t>
            </w:r>
            <w:r>
              <w:rPr>
                <w:b/>
                <w:i/>
              </w:rPr>
              <w:t>Poisons Regulations 1965</w:t>
            </w:r>
            <w:r>
              <w:rPr>
                <w:b/>
              </w:rPr>
              <w:t xml:space="preserve"> as at 10 Jan 2003</w:t>
            </w:r>
            <w:r>
              <w:t xml:space="preserve"> (includes amendments listed above)</w:t>
            </w:r>
          </w:p>
        </w:tc>
      </w:tr>
      <w:tr>
        <w:trPr>
          <w:gridBefore w:val="1"/>
          <w:wBefore w:w="20" w:type="dxa"/>
          <w:cantSplit/>
        </w:trPr>
        <w:tc>
          <w:tcPr>
            <w:tcW w:w="4394" w:type="dxa"/>
            <w:gridSpan w:val="4"/>
          </w:tcPr>
          <w:p>
            <w:pPr>
              <w:pStyle w:val="nTable"/>
              <w:spacing w:before="52" w:after="40"/>
              <w:rPr>
                <w:vertAlign w:val="superscript"/>
              </w:rPr>
            </w:pPr>
            <w:r>
              <w:rPr>
                <w:i/>
              </w:rPr>
              <w:t>Nurses Amendment Act 2003</w:t>
            </w:r>
            <w:r>
              <w:t xml:space="preserve"> Pt. 3 Div. 5 assented to 9 Apr 2003 </w:t>
            </w:r>
            <w:r>
              <w:rPr>
                <w:vertAlign w:val="superscript"/>
              </w:rPr>
              <w:t>11</w:t>
            </w:r>
          </w:p>
        </w:tc>
        <w:tc>
          <w:tcPr>
            <w:tcW w:w="2694" w:type="dxa"/>
            <w:gridSpan w:val="2"/>
          </w:tcPr>
          <w:p>
            <w:pPr>
              <w:pStyle w:val="nTable"/>
              <w:spacing w:before="52" w:after="40"/>
            </w:pPr>
            <w:r>
              <w:t>9 Apr 2003 (see s. 2)</w:t>
            </w:r>
          </w:p>
        </w:tc>
      </w:tr>
      <w:tr>
        <w:trPr>
          <w:gridBefore w:val="1"/>
          <w:wBefore w:w="20" w:type="dxa"/>
          <w:cantSplit/>
        </w:trPr>
        <w:tc>
          <w:tcPr>
            <w:tcW w:w="3118" w:type="dxa"/>
            <w:gridSpan w:val="2"/>
          </w:tcPr>
          <w:p>
            <w:pPr>
              <w:pStyle w:val="nTable"/>
              <w:spacing w:before="52" w:after="40"/>
              <w:ind w:right="113"/>
              <w:rPr>
                <w:i/>
              </w:rPr>
            </w:pPr>
            <w:r>
              <w:rPr>
                <w:i/>
              </w:rPr>
              <w:t>Poisons Amendment Regulations 2003</w:t>
            </w:r>
          </w:p>
        </w:tc>
        <w:tc>
          <w:tcPr>
            <w:tcW w:w="1276" w:type="dxa"/>
            <w:gridSpan w:val="2"/>
          </w:tcPr>
          <w:p>
            <w:pPr>
              <w:pStyle w:val="nTable"/>
              <w:spacing w:before="52" w:after="40"/>
            </w:pPr>
            <w:r>
              <w:t>12 Aug 2003 p. 3658</w:t>
            </w:r>
            <w:r>
              <w:noBreakHyphen/>
              <w:t>65</w:t>
            </w:r>
          </w:p>
        </w:tc>
        <w:tc>
          <w:tcPr>
            <w:tcW w:w="2694" w:type="dxa"/>
            <w:gridSpan w:val="2"/>
          </w:tcPr>
          <w:p>
            <w:pPr>
              <w:pStyle w:val="nTable"/>
              <w:spacing w:before="52" w:after="40"/>
            </w:pPr>
            <w:r>
              <w:t>12 Aug 2003</w:t>
            </w:r>
          </w:p>
        </w:tc>
      </w:tr>
      <w:tr>
        <w:trPr>
          <w:gridBefore w:val="1"/>
          <w:wBefore w:w="20" w:type="dxa"/>
          <w:cantSplit/>
        </w:trPr>
        <w:tc>
          <w:tcPr>
            <w:tcW w:w="3118" w:type="dxa"/>
            <w:gridSpan w:val="2"/>
          </w:tcPr>
          <w:p>
            <w:pPr>
              <w:pStyle w:val="nTable"/>
              <w:spacing w:before="52" w:after="40"/>
              <w:ind w:right="113"/>
              <w:rPr>
                <w:i/>
              </w:rPr>
            </w:pPr>
            <w:r>
              <w:rPr>
                <w:i/>
              </w:rPr>
              <w:t>Poisons Amendment Regulations 2004</w:t>
            </w:r>
          </w:p>
        </w:tc>
        <w:tc>
          <w:tcPr>
            <w:tcW w:w="1276" w:type="dxa"/>
            <w:gridSpan w:val="2"/>
          </w:tcPr>
          <w:p>
            <w:pPr>
              <w:pStyle w:val="nTable"/>
              <w:spacing w:before="52" w:after="40"/>
            </w:pPr>
            <w:r>
              <w:t>5 Oct 2004 p. 4309</w:t>
            </w:r>
            <w:r>
              <w:noBreakHyphen/>
              <w:t>11</w:t>
            </w:r>
          </w:p>
        </w:tc>
        <w:tc>
          <w:tcPr>
            <w:tcW w:w="2694" w:type="dxa"/>
            <w:gridSpan w:val="2"/>
          </w:tcPr>
          <w:p>
            <w:pPr>
              <w:pStyle w:val="nTable"/>
              <w:spacing w:before="52" w:after="40"/>
            </w:pPr>
            <w:r>
              <w:t>5 Oct 2004</w:t>
            </w:r>
          </w:p>
        </w:tc>
      </w:tr>
      <w:tr>
        <w:trPr>
          <w:gridBefore w:val="1"/>
          <w:wBefore w:w="20" w:type="dxa"/>
          <w:cantSplit/>
        </w:trPr>
        <w:tc>
          <w:tcPr>
            <w:tcW w:w="3118" w:type="dxa"/>
            <w:gridSpan w:val="2"/>
          </w:tcPr>
          <w:p>
            <w:pPr>
              <w:pStyle w:val="nTable"/>
              <w:spacing w:before="52" w:after="40"/>
              <w:ind w:right="113"/>
              <w:rPr>
                <w:i/>
              </w:rPr>
            </w:pPr>
            <w:r>
              <w:rPr>
                <w:i/>
              </w:rPr>
              <w:t>Poisons Amendment Regulations (No. 3) 2004</w:t>
            </w:r>
          </w:p>
        </w:tc>
        <w:tc>
          <w:tcPr>
            <w:tcW w:w="1276" w:type="dxa"/>
            <w:gridSpan w:val="2"/>
          </w:tcPr>
          <w:p>
            <w:pPr>
              <w:pStyle w:val="nTable"/>
              <w:spacing w:before="52" w:after="40"/>
            </w:pPr>
            <w:r>
              <w:t>30 Dec 2004 p. 6943</w:t>
            </w:r>
          </w:p>
        </w:tc>
        <w:tc>
          <w:tcPr>
            <w:tcW w:w="2694" w:type="dxa"/>
            <w:gridSpan w:val="2"/>
          </w:tcPr>
          <w:p>
            <w:pPr>
              <w:pStyle w:val="nTable"/>
              <w:spacing w:before="52" w:after="40"/>
            </w:pPr>
            <w:r>
              <w:t xml:space="preserve">1 Jan 2005 (see r. 2 and </w:t>
            </w:r>
            <w:r>
              <w:rPr>
                <w:i/>
              </w:rPr>
              <w:t>Gazette</w:t>
            </w:r>
            <w:r>
              <w:t xml:space="preserve"> 31 Dec 2004 p. 7130)</w:t>
            </w:r>
          </w:p>
        </w:tc>
      </w:tr>
      <w:tr>
        <w:trPr>
          <w:gridBefore w:val="1"/>
          <w:wBefore w:w="20" w:type="dxa"/>
          <w:cantSplit/>
        </w:trPr>
        <w:tc>
          <w:tcPr>
            <w:tcW w:w="3118" w:type="dxa"/>
            <w:gridSpan w:val="2"/>
          </w:tcPr>
          <w:p>
            <w:pPr>
              <w:pStyle w:val="nTable"/>
              <w:spacing w:before="52" w:after="40"/>
              <w:ind w:right="113"/>
              <w:rPr>
                <w:i/>
              </w:rPr>
            </w:pPr>
            <w:r>
              <w:rPr>
                <w:i/>
              </w:rPr>
              <w:t>Poisons Amendment Regulations (No. 2) 2004</w:t>
            </w:r>
          </w:p>
        </w:tc>
        <w:tc>
          <w:tcPr>
            <w:tcW w:w="1276" w:type="dxa"/>
            <w:gridSpan w:val="2"/>
          </w:tcPr>
          <w:p>
            <w:pPr>
              <w:pStyle w:val="nTable"/>
              <w:spacing w:before="52" w:after="40"/>
            </w:pPr>
            <w:r>
              <w:t>4 Jan 2005 p. 3</w:t>
            </w:r>
            <w:r>
              <w:noBreakHyphen/>
              <w:t>4</w:t>
            </w:r>
          </w:p>
        </w:tc>
        <w:tc>
          <w:tcPr>
            <w:tcW w:w="2694" w:type="dxa"/>
            <w:gridSpan w:val="2"/>
          </w:tcPr>
          <w:p>
            <w:pPr>
              <w:pStyle w:val="nTable"/>
              <w:spacing w:before="52" w:after="40"/>
            </w:pPr>
            <w:r>
              <w:t>4 Jan 2005</w:t>
            </w:r>
          </w:p>
        </w:tc>
      </w:tr>
      <w:tr>
        <w:trPr>
          <w:gridBefore w:val="1"/>
          <w:wBefore w:w="20" w:type="dxa"/>
          <w:cantSplit/>
        </w:trPr>
        <w:tc>
          <w:tcPr>
            <w:tcW w:w="3118" w:type="dxa"/>
            <w:gridSpan w:val="2"/>
          </w:tcPr>
          <w:p>
            <w:pPr>
              <w:pStyle w:val="nTable"/>
              <w:spacing w:before="52" w:after="40"/>
              <w:ind w:right="113"/>
              <w:rPr>
                <w:i/>
              </w:rPr>
            </w:pPr>
            <w:r>
              <w:rPr>
                <w:i/>
              </w:rPr>
              <w:t>Poisons Amendment Regulations 2005</w:t>
            </w:r>
          </w:p>
        </w:tc>
        <w:tc>
          <w:tcPr>
            <w:tcW w:w="1276" w:type="dxa"/>
            <w:gridSpan w:val="2"/>
          </w:tcPr>
          <w:p>
            <w:pPr>
              <w:pStyle w:val="nTable"/>
              <w:spacing w:before="52" w:after="40"/>
            </w:pPr>
            <w:r>
              <w:t>15 Nov 2005 p. 5602</w:t>
            </w:r>
            <w:r>
              <w:noBreakHyphen/>
              <w:t>8</w:t>
            </w:r>
          </w:p>
        </w:tc>
        <w:tc>
          <w:tcPr>
            <w:tcW w:w="2694" w:type="dxa"/>
            <w:gridSpan w:val="2"/>
          </w:tcPr>
          <w:p>
            <w:pPr>
              <w:pStyle w:val="nTable"/>
              <w:spacing w:before="52" w:after="40"/>
            </w:pPr>
            <w:r>
              <w:t>1 Jan 2006 (see r. 2)</w:t>
            </w:r>
          </w:p>
        </w:tc>
      </w:tr>
      <w:tr>
        <w:trPr>
          <w:gridBefore w:val="1"/>
          <w:wBefore w:w="20" w:type="dxa"/>
          <w:cantSplit/>
        </w:trPr>
        <w:tc>
          <w:tcPr>
            <w:tcW w:w="3118" w:type="dxa"/>
            <w:gridSpan w:val="2"/>
          </w:tcPr>
          <w:p>
            <w:pPr>
              <w:pStyle w:val="nTable"/>
              <w:spacing w:before="52" w:after="40"/>
              <w:ind w:right="113"/>
              <w:rPr>
                <w:i/>
              </w:rPr>
            </w:pPr>
            <w:r>
              <w:rPr>
                <w:i/>
              </w:rPr>
              <w:t xml:space="preserve">Poisons Amendment Regulations 2006 </w:t>
            </w:r>
          </w:p>
        </w:tc>
        <w:tc>
          <w:tcPr>
            <w:tcW w:w="1276" w:type="dxa"/>
            <w:gridSpan w:val="2"/>
          </w:tcPr>
          <w:p>
            <w:pPr>
              <w:pStyle w:val="nTable"/>
              <w:spacing w:before="52" w:after="40"/>
            </w:pPr>
            <w:r>
              <w:t>4 Apr 2006 p. 1406</w:t>
            </w:r>
            <w:r>
              <w:noBreakHyphen/>
              <w:t>7</w:t>
            </w:r>
          </w:p>
        </w:tc>
        <w:tc>
          <w:tcPr>
            <w:tcW w:w="2694" w:type="dxa"/>
            <w:gridSpan w:val="2"/>
          </w:tcPr>
          <w:p>
            <w:pPr>
              <w:pStyle w:val="nTable"/>
              <w:spacing w:before="52" w:after="40"/>
            </w:pPr>
            <w:r>
              <w:t>4 Apr 2006</w:t>
            </w:r>
          </w:p>
        </w:tc>
      </w:tr>
      <w:tr>
        <w:trPr>
          <w:gridBefore w:val="1"/>
          <w:wBefore w:w="20" w:type="dxa"/>
          <w:cantSplit/>
        </w:trPr>
        <w:tc>
          <w:tcPr>
            <w:tcW w:w="7088" w:type="dxa"/>
            <w:gridSpan w:val="6"/>
          </w:tcPr>
          <w:p>
            <w:pPr>
              <w:pStyle w:val="nTable"/>
              <w:spacing w:before="52" w:after="40"/>
            </w:pPr>
            <w:r>
              <w:rPr>
                <w:b/>
              </w:rPr>
              <w:t xml:space="preserve">Reprint 8: The </w:t>
            </w:r>
            <w:r>
              <w:rPr>
                <w:b/>
                <w:i/>
              </w:rPr>
              <w:t>Poisons Regulations 1965</w:t>
            </w:r>
            <w:r>
              <w:rPr>
                <w:b/>
              </w:rPr>
              <w:t xml:space="preserve"> as at 5 May 2006</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2006</w:t>
            </w:r>
          </w:p>
        </w:tc>
        <w:tc>
          <w:tcPr>
            <w:tcW w:w="1276" w:type="dxa"/>
            <w:gridSpan w:val="2"/>
          </w:tcPr>
          <w:p>
            <w:pPr>
              <w:pStyle w:val="nTable"/>
              <w:spacing w:before="52" w:after="40"/>
              <w:rPr>
                <w:rFonts w:ascii="Times" w:hAnsi="Times"/>
              </w:rPr>
            </w:pPr>
            <w:r>
              <w:rPr>
                <w:rFonts w:ascii="Times" w:hAnsi="Times"/>
              </w:rPr>
              <w:t>15 Dec 2006 p. 5629</w:t>
            </w:r>
            <w:r>
              <w:rPr>
                <w:rFonts w:ascii="Times" w:hAnsi="Times"/>
              </w:rPr>
              <w:noBreakHyphen/>
              <w:t>31</w:t>
            </w:r>
          </w:p>
        </w:tc>
        <w:tc>
          <w:tcPr>
            <w:tcW w:w="2694" w:type="dxa"/>
            <w:gridSpan w:val="2"/>
          </w:tcPr>
          <w:p>
            <w:pPr>
              <w:pStyle w:val="nTable"/>
              <w:spacing w:before="52" w:after="40"/>
              <w:rPr>
                <w:rFonts w:ascii="Times" w:hAnsi="Times"/>
              </w:rPr>
            </w:pPr>
            <w:r>
              <w:rPr>
                <w:rFonts w:ascii="Times" w:hAnsi="Times"/>
              </w:rPr>
              <w:t>15 Dec 2006</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2007</w:t>
            </w:r>
          </w:p>
        </w:tc>
        <w:tc>
          <w:tcPr>
            <w:tcW w:w="1276" w:type="dxa"/>
            <w:gridSpan w:val="2"/>
          </w:tcPr>
          <w:p>
            <w:pPr>
              <w:pStyle w:val="nTable"/>
              <w:spacing w:before="52" w:after="40"/>
              <w:rPr>
                <w:rFonts w:ascii="Times" w:hAnsi="Times"/>
              </w:rPr>
            </w:pPr>
            <w:r>
              <w:rPr>
                <w:rFonts w:ascii="Times" w:hAnsi="Times"/>
              </w:rPr>
              <w:t>24 Jul 2007 p. 3663</w:t>
            </w:r>
            <w:r>
              <w:rPr>
                <w:rFonts w:ascii="Times" w:hAnsi="Times"/>
              </w:rPr>
              <w:noBreakHyphen/>
              <w:t>5</w:t>
            </w:r>
          </w:p>
        </w:tc>
        <w:tc>
          <w:tcPr>
            <w:tcW w:w="2694" w:type="dxa"/>
            <w:gridSpan w:val="2"/>
          </w:tcPr>
          <w:p>
            <w:pPr>
              <w:pStyle w:val="nTable"/>
              <w:spacing w:before="52" w:after="40"/>
              <w:rPr>
                <w:rFonts w:ascii="Times" w:hAnsi="Times"/>
              </w:rPr>
            </w:pPr>
            <w:r>
              <w:rPr>
                <w:rFonts w:ascii="Times" w:hAnsi="Times"/>
                <w:snapToGrid w:val="0"/>
              </w:rPr>
              <w:t>r. 1 and 2: 24 Jul 2007 (see r. 2(a));</w:t>
            </w:r>
            <w:r>
              <w:rPr>
                <w:rFonts w:ascii="Times" w:hAnsi="Times"/>
                <w:snapToGrid w:val="0"/>
              </w:rPr>
              <w:br/>
              <w:t>Regulations other than r. 1 and 2: 25 Jul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2007</w:t>
            </w:r>
          </w:p>
        </w:tc>
        <w:tc>
          <w:tcPr>
            <w:tcW w:w="1276" w:type="dxa"/>
            <w:gridSpan w:val="2"/>
          </w:tcPr>
          <w:p>
            <w:pPr>
              <w:pStyle w:val="nTable"/>
              <w:spacing w:before="52" w:after="40"/>
              <w:rPr>
                <w:rFonts w:ascii="Times" w:hAnsi="Times"/>
              </w:rPr>
            </w:pPr>
            <w:r>
              <w:rPr>
                <w:rFonts w:ascii="Times" w:hAnsi="Times"/>
              </w:rPr>
              <w:t>2 Oct 2007 p. 4964</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2008</w:t>
            </w:r>
          </w:p>
        </w:tc>
        <w:tc>
          <w:tcPr>
            <w:tcW w:w="1276" w:type="dxa"/>
            <w:gridSpan w:val="2"/>
          </w:tcPr>
          <w:p>
            <w:pPr>
              <w:pStyle w:val="nTable"/>
              <w:spacing w:before="52" w:after="40"/>
              <w:rPr>
                <w:rFonts w:ascii="Times" w:hAnsi="Times"/>
              </w:rPr>
            </w:pPr>
            <w:r>
              <w:rPr>
                <w:rFonts w:ascii="Times" w:hAnsi="Times"/>
              </w:rPr>
              <w:t>7 Nov 2008 p. 4805</w:t>
            </w:r>
            <w:r>
              <w:rPr>
                <w:rFonts w:ascii="Times" w:hAnsi="Times"/>
              </w:rPr>
              <w:noBreakHyphen/>
              <w:t>19</w:t>
            </w:r>
          </w:p>
        </w:tc>
        <w:tc>
          <w:tcPr>
            <w:tcW w:w="2694" w:type="dxa"/>
            <w:gridSpan w:val="2"/>
          </w:tcPr>
          <w:p>
            <w:pPr>
              <w:pStyle w:val="nTable"/>
              <w:spacing w:before="52" w:after="40"/>
              <w:rPr>
                <w:rFonts w:ascii="Times" w:hAnsi="Times"/>
              </w:rPr>
            </w:pPr>
            <w:r>
              <w:rPr>
                <w:rFonts w:ascii="Times" w:hAnsi="Times"/>
              </w:rPr>
              <w:t>r. 1 and 2: 7 Nov 2008 (see r. 2(a));</w:t>
            </w:r>
            <w:r>
              <w:rPr>
                <w:rFonts w:ascii="Times" w:hAnsi="Times"/>
              </w:rPr>
              <w:br/>
              <w:t>Regulations other than r. 1 and 2: 8 Nov 2008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2009</w:t>
            </w:r>
          </w:p>
        </w:tc>
        <w:tc>
          <w:tcPr>
            <w:tcW w:w="1276" w:type="dxa"/>
            <w:gridSpan w:val="2"/>
          </w:tcPr>
          <w:p>
            <w:pPr>
              <w:pStyle w:val="nTable"/>
              <w:spacing w:before="52" w:after="40"/>
              <w:rPr>
                <w:rFonts w:ascii="Times" w:hAnsi="Times"/>
              </w:rPr>
            </w:pPr>
            <w:r>
              <w:rPr>
                <w:rFonts w:ascii="Times" w:hAnsi="Times"/>
              </w:rPr>
              <w:t>21 Apr 2009 p. 1359</w:t>
            </w:r>
            <w:r>
              <w:rPr>
                <w:rFonts w:ascii="Times" w:hAnsi="Times"/>
              </w:rPr>
              <w:noBreakHyphen/>
              <w:t>67</w:t>
            </w:r>
          </w:p>
        </w:tc>
        <w:tc>
          <w:tcPr>
            <w:tcW w:w="2694" w:type="dxa"/>
            <w:gridSpan w:val="2"/>
          </w:tcPr>
          <w:p>
            <w:pPr>
              <w:pStyle w:val="nTable"/>
              <w:spacing w:before="52" w:after="40"/>
              <w:rPr>
                <w:rFonts w:ascii="Times" w:hAnsi="Times"/>
              </w:rPr>
            </w:pPr>
            <w:r>
              <w:rPr>
                <w:rFonts w:ascii="Times" w:hAnsi="Times"/>
                <w:snapToGrid w:val="0"/>
              </w:rPr>
              <w:t>r. 1 and 2: 21 Apr 2009 (see r. 2(a));</w:t>
            </w:r>
            <w:r>
              <w:rPr>
                <w:rFonts w:ascii="Times" w:hAnsi="Times"/>
                <w:snapToGrid w:val="0"/>
              </w:rPr>
              <w:br/>
              <w:t>Regulations other than r. 1 and 2: 22 Apr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2009</w:t>
            </w:r>
          </w:p>
        </w:tc>
        <w:tc>
          <w:tcPr>
            <w:tcW w:w="1276" w:type="dxa"/>
            <w:gridSpan w:val="2"/>
          </w:tcPr>
          <w:p>
            <w:pPr>
              <w:pStyle w:val="nTable"/>
              <w:spacing w:before="52" w:after="40"/>
              <w:rPr>
                <w:rFonts w:ascii="Times" w:hAnsi="Times"/>
              </w:rPr>
            </w:pPr>
            <w:r>
              <w:rPr>
                <w:rFonts w:ascii="Times" w:hAnsi="Times"/>
              </w:rPr>
              <w:t>12 Jun 2009 p. 2109</w:t>
            </w:r>
            <w:r>
              <w:rPr>
                <w:rFonts w:ascii="Times" w:hAnsi="Times"/>
              </w:rPr>
              <w:noBreakHyphen/>
              <w:t>14</w:t>
            </w:r>
          </w:p>
        </w:tc>
        <w:tc>
          <w:tcPr>
            <w:tcW w:w="2694" w:type="dxa"/>
            <w:gridSpan w:val="2"/>
          </w:tcPr>
          <w:p>
            <w:pPr>
              <w:pStyle w:val="nTable"/>
              <w:spacing w:before="52" w:after="40"/>
              <w:rPr>
                <w:rFonts w:ascii="Times" w:hAnsi="Times"/>
                <w:snapToGrid w:val="0"/>
              </w:rPr>
            </w:pPr>
            <w:r>
              <w:rPr>
                <w:rFonts w:ascii="Times" w:hAnsi="Times"/>
                <w:snapToGrid w:val="0"/>
              </w:rPr>
              <w:t>r. 1 and 2: 12 Jun 2009 (see r. 2(a));</w:t>
            </w:r>
            <w:r>
              <w:rPr>
                <w:rFonts w:ascii="Times" w:hAnsi="Times"/>
                <w:snapToGrid w:val="0"/>
              </w:rPr>
              <w:br/>
              <w:t>Regulations other than r. 1 and 2: 13 Jun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2009</w:t>
            </w:r>
          </w:p>
        </w:tc>
        <w:tc>
          <w:tcPr>
            <w:tcW w:w="1276" w:type="dxa"/>
            <w:gridSpan w:val="2"/>
          </w:tcPr>
          <w:p>
            <w:pPr>
              <w:pStyle w:val="nTable"/>
              <w:spacing w:before="52" w:after="40"/>
              <w:rPr>
                <w:rFonts w:ascii="Times" w:hAnsi="Times"/>
              </w:rPr>
            </w:pPr>
            <w:r>
              <w:rPr>
                <w:rFonts w:ascii="Times" w:hAnsi="Times"/>
              </w:rPr>
              <w:t>28 Jul 2009 p. 2979</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snapToGrid w:val="0"/>
              </w:rPr>
              <w:t>r. 1 and 2: 28 Jul 2009 (see r. 2(a));</w:t>
            </w:r>
            <w:r>
              <w:rPr>
                <w:rFonts w:ascii="Times" w:hAnsi="Times"/>
                <w:snapToGrid w:val="0"/>
              </w:rPr>
              <w:br/>
              <w:t>Regulations other than r. 1 and 2: 29 Jul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2009</w:t>
            </w:r>
          </w:p>
        </w:tc>
        <w:tc>
          <w:tcPr>
            <w:tcW w:w="1276" w:type="dxa"/>
            <w:gridSpan w:val="2"/>
          </w:tcPr>
          <w:p>
            <w:pPr>
              <w:pStyle w:val="nTable"/>
              <w:spacing w:before="52" w:after="40"/>
              <w:rPr>
                <w:rFonts w:ascii="Times" w:hAnsi="Times"/>
              </w:rPr>
            </w:pPr>
            <w:r>
              <w:rPr>
                <w:rFonts w:ascii="Times" w:hAnsi="Times"/>
              </w:rPr>
              <w:t>15 Sep 2009 p. 3571</w:t>
            </w:r>
            <w:r>
              <w:rPr>
                <w:rFonts w:ascii="Times" w:hAnsi="Times"/>
              </w:rPr>
              <w:noBreakHyphen/>
              <w:t>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2009</w:t>
            </w:r>
          </w:p>
        </w:tc>
        <w:tc>
          <w:tcPr>
            <w:tcW w:w="1276" w:type="dxa"/>
            <w:gridSpan w:val="2"/>
          </w:tcPr>
          <w:p>
            <w:pPr>
              <w:pStyle w:val="nTable"/>
              <w:spacing w:before="52" w:after="40"/>
              <w:rPr>
                <w:rFonts w:ascii="Times" w:hAnsi="Times"/>
              </w:rPr>
            </w:pPr>
            <w:r>
              <w:rPr>
                <w:rFonts w:ascii="Times" w:hAnsi="Times"/>
              </w:rPr>
              <w:t>15 Sep 2009 p. 3573</w:t>
            </w:r>
            <w:r>
              <w:rPr>
                <w:rFonts w:ascii="Times" w:hAnsi="Times"/>
              </w:rPr>
              <w:noBreakHyphen/>
              <w:t>82</w:t>
            </w:r>
          </w:p>
        </w:tc>
        <w:tc>
          <w:tcPr>
            <w:tcW w:w="2694" w:type="dxa"/>
            <w:gridSpan w:val="2"/>
          </w:tcPr>
          <w:p>
            <w:pPr>
              <w:pStyle w:val="nTable"/>
              <w:spacing w:before="52" w:after="40"/>
              <w:rPr>
                <w:rFonts w:ascii="Times" w:hAnsi="Times"/>
                <w:snapToGrid w:val="0"/>
              </w:rPr>
            </w:pPr>
            <w:r>
              <w:rPr>
                <w:rFonts w:ascii="Times" w:hAnsi="Times"/>
                <w:snapToGrid w:val="0"/>
              </w:rPr>
              <w:t>r. 1 and 2: 15 Sep 2009 (see r. 2(a));</w:t>
            </w:r>
            <w:r>
              <w:rPr>
                <w:rFonts w:ascii="Times" w:hAnsi="Times"/>
                <w:snapToGrid w:val="0"/>
              </w:rPr>
              <w:br/>
              <w:t>Regulations other than r. 1 and 2: 16 Sep 2009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2009</w:t>
            </w:r>
          </w:p>
        </w:tc>
        <w:tc>
          <w:tcPr>
            <w:tcW w:w="1276" w:type="dxa"/>
            <w:gridSpan w:val="2"/>
          </w:tcPr>
          <w:p>
            <w:pPr>
              <w:pStyle w:val="nTable"/>
              <w:spacing w:before="52" w:after="40"/>
              <w:rPr>
                <w:rFonts w:ascii="Times" w:hAnsi="Times"/>
              </w:rPr>
            </w:pPr>
            <w:r>
              <w:rPr>
                <w:rFonts w:ascii="Times" w:hAnsi="Times"/>
              </w:rPr>
              <w:t>25 Sep 2009 p. 3746</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25 Sep 2009 (see r. 2(a));</w:t>
            </w:r>
            <w:r>
              <w:rPr>
                <w:rFonts w:ascii="Times" w:hAnsi="Times"/>
                <w:snapToGrid w:val="0"/>
              </w:rPr>
              <w:br/>
              <w:t>Regulations other than r. 1 and 2: 26 Sep 2009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9: The </w:t>
            </w:r>
            <w:r>
              <w:rPr>
                <w:b/>
                <w:i/>
              </w:rPr>
              <w:t>Poisons Regulations 1965</w:t>
            </w:r>
            <w:r>
              <w:rPr>
                <w:b/>
              </w:rPr>
              <w:t xml:space="preserve"> as at 13 Nov 2009</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2010</w:t>
            </w:r>
          </w:p>
        </w:tc>
        <w:tc>
          <w:tcPr>
            <w:tcW w:w="1276" w:type="dxa"/>
            <w:gridSpan w:val="2"/>
          </w:tcPr>
          <w:p>
            <w:pPr>
              <w:pStyle w:val="nTable"/>
              <w:spacing w:before="52" w:after="40"/>
              <w:rPr>
                <w:rFonts w:ascii="Times" w:hAnsi="Times"/>
              </w:rPr>
            </w:pPr>
            <w:r>
              <w:rPr>
                <w:rFonts w:ascii="Times" w:hAnsi="Times"/>
              </w:rPr>
              <w:t>5 Mar 2010 p. 845</w:t>
            </w:r>
            <w:r>
              <w:rPr>
                <w:rFonts w:ascii="Times" w:hAnsi="Times"/>
              </w:rPr>
              <w:noBreakHyphen/>
              <w:t>7</w:t>
            </w:r>
          </w:p>
        </w:tc>
        <w:tc>
          <w:tcPr>
            <w:tcW w:w="2694" w:type="dxa"/>
            <w:gridSpan w:val="2"/>
          </w:tcPr>
          <w:p>
            <w:pPr>
              <w:pStyle w:val="nTable"/>
              <w:spacing w:before="52" w:after="40"/>
              <w:rPr>
                <w:rFonts w:ascii="Times" w:hAnsi="Times"/>
                <w:snapToGrid w:val="0"/>
              </w:rPr>
            </w:pPr>
            <w:r>
              <w:rPr>
                <w:rFonts w:ascii="Times" w:hAnsi="Times"/>
                <w:snapToGrid w:val="0"/>
              </w:rPr>
              <w:t>r. 1 and 2: 5 Mar 2010 (see r. 2(a));</w:t>
            </w:r>
            <w:r>
              <w:rPr>
                <w:rFonts w:ascii="Times" w:hAnsi="Times"/>
                <w:snapToGrid w:val="0"/>
              </w:rPr>
              <w:br/>
              <w:t>Regulations other than r. 1 and 2: 6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2010</w:t>
            </w:r>
          </w:p>
        </w:tc>
        <w:tc>
          <w:tcPr>
            <w:tcW w:w="1276" w:type="dxa"/>
            <w:gridSpan w:val="2"/>
          </w:tcPr>
          <w:p>
            <w:pPr>
              <w:pStyle w:val="nTable"/>
              <w:spacing w:before="52" w:after="40"/>
              <w:rPr>
                <w:rFonts w:ascii="Times" w:hAnsi="Times"/>
              </w:rPr>
            </w:pPr>
            <w:r>
              <w:rPr>
                <w:rFonts w:ascii="Times" w:hAnsi="Times"/>
              </w:rPr>
              <w:t>26 Mar 2010 p. 1145</w:t>
            </w:r>
            <w:r>
              <w:rPr>
                <w:rFonts w:ascii="Times" w:hAnsi="Times"/>
              </w:rPr>
              <w:noBreakHyphen/>
              <w:t>8</w:t>
            </w:r>
          </w:p>
        </w:tc>
        <w:tc>
          <w:tcPr>
            <w:tcW w:w="2694" w:type="dxa"/>
            <w:gridSpan w:val="2"/>
          </w:tcPr>
          <w:p>
            <w:pPr>
              <w:pStyle w:val="nTable"/>
              <w:spacing w:before="52" w:after="40"/>
              <w:rPr>
                <w:rFonts w:ascii="Times" w:hAnsi="Times"/>
                <w:snapToGrid w:val="0"/>
              </w:rPr>
            </w:pPr>
            <w:r>
              <w:rPr>
                <w:rFonts w:ascii="Times" w:hAnsi="Times"/>
                <w:snapToGrid w:val="0"/>
              </w:rPr>
              <w:t>r. 1 and 2: 26 Mar 2010 (see r. 2(a));</w:t>
            </w:r>
            <w:r>
              <w:rPr>
                <w:rFonts w:ascii="Times" w:hAnsi="Times"/>
                <w:snapToGrid w:val="0"/>
              </w:rPr>
              <w:br/>
              <w:t>Regulations other than r. 1 and 2: 27 Mar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2010</w:t>
            </w:r>
          </w:p>
        </w:tc>
        <w:tc>
          <w:tcPr>
            <w:tcW w:w="1276" w:type="dxa"/>
            <w:gridSpan w:val="2"/>
          </w:tcPr>
          <w:p>
            <w:pPr>
              <w:pStyle w:val="nTable"/>
              <w:spacing w:before="52" w:after="40"/>
              <w:rPr>
                <w:rFonts w:ascii="Times" w:hAnsi="Times"/>
              </w:rPr>
            </w:pPr>
            <w:r>
              <w:rPr>
                <w:rFonts w:ascii="Times" w:hAnsi="Times"/>
              </w:rPr>
              <w:t>27 Apr 2010 p. 1583</w:t>
            </w:r>
            <w:r>
              <w:rPr>
                <w:rFonts w:ascii="Times" w:hAnsi="Times"/>
              </w:rPr>
              <w:noBreakHyphen/>
              <w:t>4</w:t>
            </w:r>
          </w:p>
        </w:tc>
        <w:tc>
          <w:tcPr>
            <w:tcW w:w="2694" w:type="dxa"/>
            <w:gridSpan w:val="2"/>
          </w:tcPr>
          <w:p>
            <w:pPr>
              <w:pStyle w:val="nTable"/>
              <w:spacing w:before="52" w:after="40"/>
              <w:rPr>
                <w:rFonts w:ascii="Times" w:hAnsi="Times"/>
                <w:snapToGrid w:val="0"/>
              </w:rPr>
            </w:pPr>
            <w:r>
              <w:rPr>
                <w:rFonts w:ascii="Times" w:hAnsi="Times"/>
                <w:snapToGrid w:val="0"/>
              </w:rPr>
              <w:t>r. 1 and 2: 27 Apr 2010 (see r. 2(a));</w:t>
            </w:r>
            <w:r>
              <w:rPr>
                <w:rFonts w:ascii="Times" w:hAnsi="Times"/>
                <w:snapToGrid w:val="0"/>
              </w:rPr>
              <w:br/>
              <w:t>Regulations other than r. 1 and 2: 28 Apr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5) 2010</w:t>
            </w:r>
          </w:p>
        </w:tc>
        <w:tc>
          <w:tcPr>
            <w:tcW w:w="1276" w:type="dxa"/>
            <w:gridSpan w:val="2"/>
          </w:tcPr>
          <w:p>
            <w:pPr>
              <w:pStyle w:val="nTable"/>
              <w:spacing w:before="52" w:after="40"/>
              <w:rPr>
                <w:rFonts w:ascii="Times" w:hAnsi="Times"/>
              </w:rPr>
            </w:pPr>
            <w:r>
              <w:rPr>
                <w:rFonts w:ascii="Times" w:hAnsi="Times"/>
              </w:rPr>
              <w:t>1 Oct 2010 p. 5078</w:t>
            </w:r>
            <w:r>
              <w:rPr>
                <w:rFonts w:ascii="Times" w:hAnsi="Times"/>
              </w:rPr>
              <w:noBreakHyphen/>
              <w:t>80</w:t>
            </w:r>
          </w:p>
        </w:tc>
        <w:tc>
          <w:tcPr>
            <w:tcW w:w="2694" w:type="dxa"/>
            <w:gridSpan w:val="2"/>
          </w:tcPr>
          <w:p>
            <w:pPr>
              <w:pStyle w:val="nTable"/>
              <w:spacing w:before="52" w:after="40"/>
              <w:rPr>
                <w:rFonts w:ascii="Times" w:hAnsi="Times"/>
                <w:snapToGrid w:val="0"/>
              </w:rPr>
            </w:pPr>
            <w:r>
              <w:rPr>
                <w:rFonts w:ascii="Times" w:hAnsi="Times"/>
              </w:rPr>
              <w:t>r. 1 and 2: 1 Oct 2010 (see r. 2(a));</w:t>
            </w:r>
            <w:r>
              <w:rPr>
                <w:rFonts w:ascii="Times" w:hAnsi="Times"/>
              </w:rPr>
              <w:br/>
              <w:t xml:space="preserve">Regulations other than r. 1 and 2: 18 Oct 2010 (see r. 2(b) and </w:t>
            </w:r>
            <w:r>
              <w:rPr>
                <w:rFonts w:ascii="Times" w:hAnsi="Times"/>
                <w:i/>
                <w:iCs/>
              </w:rPr>
              <w:t>Gazette</w:t>
            </w:r>
            <w:r>
              <w:rPr>
                <w:rFonts w:ascii="Times" w:hAnsi="Times"/>
              </w:rPr>
              <w:t xml:space="preserve"> 1 Oct 2010 p. 5076)</w:t>
            </w:r>
          </w:p>
        </w:tc>
      </w:tr>
      <w:tr>
        <w:trPr>
          <w:gridBefore w:val="1"/>
          <w:wBefore w:w="20" w:type="dxa"/>
          <w:cantSplit/>
        </w:trPr>
        <w:tc>
          <w:tcPr>
            <w:tcW w:w="3118" w:type="dxa"/>
            <w:gridSpan w:val="2"/>
          </w:tcPr>
          <w:p>
            <w:pPr>
              <w:pStyle w:val="nTable"/>
              <w:spacing w:before="52" w:after="40"/>
              <w:ind w:right="113"/>
              <w:rPr>
                <w:rFonts w:ascii="Times" w:hAnsi="Times"/>
                <w:iCs/>
                <w:vertAlign w:val="superscript"/>
              </w:rPr>
            </w:pPr>
            <w:r>
              <w:rPr>
                <w:rFonts w:ascii="Times" w:hAnsi="Times"/>
                <w:i/>
              </w:rPr>
              <w:t>Poisons Amendment Regulations (No. 7) 2010 </w:t>
            </w:r>
            <w:r>
              <w:rPr>
                <w:rFonts w:ascii="Times" w:hAnsi="Times"/>
                <w:iCs/>
                <w:vertAlign w:val="superscript"/>
              </w:rPr>
              <w:t>12</w:t>
            </w:r>
          </w:p>
        </w:tc>
        <w:tc>
          <w:tcPr>
            <w:tcW w:w="1276" w:type="dxa"/>
            <w:gridSpan w:val="2"/>
          </w:tcPr>
          <w:p>
            <w:pPr>
              <w:pStyle w:val="nTable"/>
              <w:spacing w:before="52" w:after="40"/>
              <w:rPr>
                <w:rFonts w:ascii="Times" w:hAnsi="Times"/>
              </w:rPr>
            </w:pPr>
            <w:r>
              <w:rPr>
                <w:rFonts w:ascii="Times" w:hAnsi="Times"/>
              </w:rPr>
              <w:t>22 Oct 2010 p. 5217</w:t>
            </w:r>
            <w:r>
              <w:rPr>
                <w:rFonts w:ascii="Times" w:hAnsi="Times"/>
              </w:rPr>
              <w:noBreakHyphen/>
              <w:t>19</w:t>
            </w:r>
          </w:p>
        </w:tc>
        <w:tc>
          <w:tcPr>
            <w:tcW w:w="2694" w:type="dxa"/>
            <w:gridSpan w:val="2"/>
          </w:tcPr>
          <w:p>
            <w:pPr>
              <w:pStyle w:val="nTable"/>
              <w:spacing w:before="52" w:after="40"/>
              <w:rPr>
                <w:rFonts w:ascii="Times" w:hAnsi="Times"/>
              </w:rPr>
            </w:pPr>
            <w:r>
              <w:rPr>
                <w:rFonts w:ascii="Times" w:hAnsi="Times"/>
                <w:snapToGrid w:val="0"/>
              </w:rPr>
              <w:t>r. 1 and 2: 22 Oct 2010 (see r. 2(a));</w:t>
            </w:r>
            <w:r>
              <w:rPr>
                <w:rFonts w:ascii="Times" w:hAnsi="Times"/>
                <w:snapToGrid w:val="0"/>
              </w:rPr>
              <w:br/>
              <w:t>Regulations other than r. 1 and 2: 23 Oct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2010 </w:t>
            </w:r>
          </w:p>
        </w:tc>
        <w:tc>
          <w:tcPr>
            <w:tcW w:w="1276" w:type="dxa"/>
            <w:gridSpan w:val="2"/>
          </w:tcPr>
          <w:p>
            <w:pPr>
              <w:pStyle w:val="nTable"/>
              <w:spacing w:before="52" w:after="40"/>
              <w:rPr>
                <w:rFonts w:ascii="Times" w:hAnsi="Times"/>
              </w:rPr>
            </w:pPr>
            <w:r>
              <w:rPr>
                <w:rFonts w:ascii="Times" w:hAnsi="Times"/>
              </w:rPr>
              <w:t>19 Nov 2010 p. 5709</w:t>
            </w:r>
            <w:r>
              <w:rPr>
                <w:rFonts w:ascii="Times" w:hAnsi="Times"/>
              </w:rPr>
              <w:noBreakHyphen/>
              <w:t>10</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6) 2010</w:t>
            </w:r>
          </w:p>
        </w:tc>
        <w:tc>
          <w:tcPr>
            <w:tcW w:w="1276" w:type="dxa"/>
            <w:gridSpan w:val="2"/>
          </w:tcPr>
          <w:p>
            <w:pPr>
              <w:pStyle w:val="nTable"/>
              <w:spacing w:before="52" w:after="40"/>
              <w:rPr>
                <w:rFonts w:ascii="Times" w:hAnsi="Times"/>
              </w:rPr>
            </w:pPr>
            <w:r>
              <w:rPr>
                <w:rFonts w:ascii="Times" w:hAnsi="Times"/>
              </w:rPr>
              <w:t>19 Nov 2010 p. 5711</w:t>
            </w:r>
            <w:r>
              <w:rPr>
                <w:rFonts w:ascii="Times" w:hAnsi="Times"/>
              </w:rPr>
              <w:noBreakHyphen/>
              <w:t>15</w:t>
            </w:r>
          </w:p>
        </w:tc>
        <w:tc>
          <w:tcPr>
            <w:tcW w:w="2694" w:type="dxa"/>
            <w:gridSpan w:val="2"/>
          </w:tcPr>
          <w:p>
            <w:pPr>
              <w:pStyle w:val="nTable"/>
              <w:spacing w:before="52" w:after="40"/>
              <w:rPr>
                <w:rFonts w:ascii="Times" w:hAnsi="Times"/>
                <w:snapToGrid w:val="0"/>
              </w:rPr>
            </w:pPr>
            <w:r>
              <w:rPr>
                <w:rFonts w:ascii="Times" w:hAnsi="Times"/>
                <w:snapToGrid w:val="0"/>
              </w:rPr>
              <w:t>r. 1 and 2: 19 Nov 2010 (see r. 2(a));</w:t>
            </w:r>
            <w:r>
              <w:rPr>
                <w:rFonts w:ascii="Times" w:hAnsi="Times"/>
                <w:snapToGrid w:val="0"/>
              </w:rPr>
              <w:br/>
              <w:t>Regulations other than r. 1 and 2: 20 Nov 2010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2011</w:t>
            </w:r>
          </w:p>
        </w:tc>
        <w:tc>
          <w:tcPr>
            <w:tcW w:w="1276" w:type="dxa"/>
            <w:gridSpan w:val="2"/>
          </w:tcPr>
          <w:p>
            <w:pPr>
              <w:pStyle w:val="nTable"/>
              <w:spacing w:before="52" w:after="40"/>
              <w:rPr>
                <w:rFonts w:ascii="Times" w:hAnsi="Times"/>
              </w:rPr>
            </w:pPr>
            <w:r>
              <w:rPr>
                <w:rFonts w:ascii="Times" w:hAnsi="Times"/>
              </w:rPr>
              <w:t>1 Apr 2011 p. 1181</w:t>
            </w:r>
            <w:r>
              <w:rPr>
                <w:rFonts w:ascii="Times" w:hAnsi="Times"/>
              </w:rPr>
              <w:noBreakHyphen/>
              <w:t>3</w:t>
            </w:r>
          </w:p>
        </w:tc>
        <w:tc>
          <w:tcPr>
            <w:tcW w:w="2694" w:type="dxa"/>
            <w:gridSpan w:val="2"/>
          </w:tcPr>
          <w:p>
            <w:pPr>
              <w:pStyle w:val="nTable"/>
              <w:spacing w:before="52" w:after="40"/>
              <w:rPr>
                <w:rFonts w:ascii="Times" w:hAnsi="Times"/>
                <w:snapToGrid w:val="0"/>
              </w:rPr>
            </w:pPr>
            <w:r>
              <w:rPr>
                <w:rFonts w:ascii="Times" w:hAnsi="Times"/>
                <w:snapToGrid w:val="0"/>
              </w:rPr>
              <w:t>r. 1 and 2: 1 Apr 2011 (see r. 2(a));</w:t>
            </w:r>
            <w:r>
              <w:rPr>
                <w:rFonts w:ascii="Times" w:hAnsi="Times"/>
                <w:snapToGrid w:val="0"/>
              </w:rPr>
              <w:br/>
              <w:t>Regulations other than r. 1 and 2: 2 Apr 2011 (see r. 2(b))</w:t>
            </w:r>
          </w:p>
        </w:tc>
      </w:tr>
      <w:tr>
        <w:trPr>
          <w:gridBefore w:val="1"/>
          <w:wBefore w:w="20" w:type="dxa"/>
          <w:cantSplit/>
        </w:trPr>
        <w:tc>
          <w:tcPr>
            <w:tcW w:w="7088" w:type="dxa"/>
            <w:gridSpan w:val="6"/>
          </w:tcPr>
          <w:p>
            <w:pPr>
              <w:pStyle w:val="nTable"/>
              <w:spacing w:before="52" w:after="40"/>
              <w:rPr>
                <w:snapToGrid w:val="0"/>
                <w:spacing w:val="-2"/>
              </w:rPr>
            </w:pPr>
            <w:r>
              <w:rPr>
                <w:b/>
              </w:rPr>
              <w:t xml:space="preserve">Reprint 10: The </w:t>
            </w:r>
            <w:r>
              <w:rPr>
                <w:b/>
                <w:i/>
              </w:rPr>
              <w:t>Poisons Regulations 1965</w:t>
            </w:r>
            <w:r>
              <w:rPr>
                <w:b/>
              </w:rPr>
              <w:t xml:space="preserve"> as at 17 Jun 2011</w:t>
            </w:r>
            <w:r>
              <w:t xml:space="preserve"> (includes amendments listed above)</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2) 2012</w:t>
            </w:r>
          </w:p>
        </w:tc>
        <w:tc>
          <w:tcPr>
            <w:tcW w:w="1276" w:type="dxa"/>
            <w:gridSpan w:val="2"/>
          </w:tcPr>
          <w:p>
            <w:pPr>
              <w:pStyle w:val="nTable"/>
              <w:spacing w:before="52" w:after="40"/>
              <w:rPr>
                <w:rFonts w:ascii="Times" w:hAnsi="Times"/>
              </w:rPr>
            </w:pPr>
            <w:r>
              <w:rPr>
                <w:rFonts w:ascii="Times" w:hAnsi="Times"/>
              </w:rPr>
              <w:t>25 May 2012 p. 2207-8</w:t>
            </w:r>
          </w:p>
        </w:tc>
        <w:tc>
          <w:tcPr>
            <w:tcW w:w="2694" w:type="dxa"/>
            <w:gridSpan w:val="2"/>
          </w:tcPr>
          <w:p>
            <w:pPr>
              <w:pStyle w:val="nTable"/>
              <w:spacing w:before="52" w:after="40"/>
              <w:rPr>
                <w:rFonts w:ascii="Times" w:hAnsi="Times"/>
                <w:snapToGrid w:val="0"/>
              </w:rPr>
            </w:pPr>
            <w:r>
              <w:rPr>
                <w:rFonts w:ascii="Times" w:hAnsi="Times"/>
                <w:snapToGrid w:val="0"/>
              </w:rPr>
              <w:t>r. 1 and 2: 25 May 2012 (see r. 2(a));</w:t>
            </w:r>
            <w:r>
              <w:rPr>
                <w:rFonts w:ascii="Times" w:hAnsi="Times"/>
                <w:snapToGrid w:val="0"/>
              </w:rPr>
              <w:br/>
              <w:t>Regulations other than r. 1 and 2: 26 May 2012 (see r. 2(b))</w:t>
            </w:r>
          </w:p>
        </w:tc>
      </w:tr>
      <w:tr>
        <w:trPr>
          <w:gridBefore w:val="1"/>
          <w:wBefore w:w="20" w:type="dxa"/>
          <w:cantSplit/>
        </w:trPr>
        <w:tc>
          <w:tcPr>
            <w:tcW w:w="3118" w:type="dxa"/>
            <w:gridSpan w:val="2"/>
          </w:tcPr>
          <w:p>
            <w:pPr>
              <w:pStyle w:val="nTable"/>
              <w:spacing w:before="52" w:after="40"/>
              <w:ind w:right="113"/>
              <w:rPr>
                <w:rFonts w:ascii="Times" w:hAnsi="Times"/>
                <w:vertAlign w:val="superscript"/>
              </w:rPr>
            </w:pPr>
            <w:r>
              <w:rPr>
                <w:rFonts w:ascii="Times" w:hAnsi="Times"/>
                <w:i/>
              </w:rPr>
              <w:t>Poisons Amendment Regulations 2012</w:t>
            </w:r>
            <w:r>
              <w:rPr>
                <w:rFonts w:ascii="Times" w:hAnsi="Times"/>
              </w:rPr>
              <w:t> </w:t>
            </w:r>
            <w:r>
              <w:rPr>
                <w:rFonts w:ascii="Times" w:hAnsi="Times"/>
                <w:vertAlign w:val="superscript"/>
              </w:rPr>
              <w:t>13</w:t>
            </w:r>
          </w:p>
        </w:tc>
        <w:tc>
          <w:tcPr>
            <w:tcW w:w="1276" w:type="dxa"/>
            <w:gridSpan w:val="2"/>
          </w:tcPr>
          <w:p>
            <w:pPr>
              <w:pStyle w:val="nTable"/>
              <w:spacing w:before="52" w:after="40"/>
              <w:rPr>
                <w:rFonts w:ascii="Times" w:hAnsi="Times"/>
              </w:rPr>
            </w:pPr>
            <w:r>
              <w:rPr>
                <w:rFonts w:ascii="Times" w:hAnsi="Times"/>
              </w:rPr>
              <w:t>1 Jun 2012 p. 2305-26</w:t>
            </w:r>
          </w:p>
        </w:tc>
        <w:tc>
          <w:tcPr>
            <w:tcW w:w="2694" w:type="dxa"/>
            <w:gridSpan w:val="2"/>
          </w:tcPr>
          <w:p>
            <w:pPr>
              <w:pStyle w:val="nTable"/>
              <w:spacing w:before="52" w:after="40"/>
              <w:rPr>
                <w:rFonts w:ascii="Times" w:hAnsi="Times"/>
                <w:snapToGrid w:val="0"/>
              </w:rPr>
            </w:pPr>
            <w:r>
              <w:rPr>
                <w:rFonts w:ascii="Times" w:hAnsi="Times"/>
                <w:snapToGrid w:val="0"/>
              </w:rPr>
              <w:t>r. 1 and 2: 1 Jun 2012 (see r. 2(a));</w:t>
            </w:r>
            <w:r>
              <w:rPr>
                <w:rFonts w:ascii="Times" w:hAnsi="Times"/>
                <w:snapToGrid w:val="0"/>
              </w:rPr>
              <w:br/>
              <w:t>Regulations other than r. 1 and 2: 2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3) 2012</w:t>
            </w:r>
          </w:p>
        </w:tc>
        <w:tc>
          <w:tcPr>
            <w:tcW w:w="1276" w:type="dxa"/>
            <w:gridSpan w:val="2"/>
          </w:tcPr>
          <w:p>
            <w:pPr>
              <w:pStyle w:val="nTable"/>
              <w:spacing w:before="52" w:after="40"/>
              <w:rPr>
                <w:rFonts w:ascii="Times" w:hAnsi="Times"/>
              </w:rPr>
            </w:pPr>
            <w:r>
              <w:rPr>
                <w:rFonts w:ascii="Times" w:hAnsi="Times"/>
              </w:rPr>
              <w:t>29 Jun 2012 p. 2949-50</w:t>
            </w:r>
          </w:p>
        </w:tc>
        <w:tc>
          <w:tcPr>
            <w:tcW w:w="2694" w:type="dxa"/>
            <w:gridSpan w:val="2"/>
          </w:tcPr>
          <w:p>
            <w:pPr>
              <w:pStyle w:val="nTable"/>
              <w:spacing w:before="52"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rPr>
          <w:gridBefore w:val="1"/>
          <w:wBefore w:w="20" w:type="dxa"/>
          <w:cantSplit/>
        </w:trPr>
        <w:tc>
          <w:tcPr>
            <w:tcW w:w="3118" w:type="dxa"/>
            <w:gridSpan w:val="2"/>
          </w:tcPr>
          <w:p>
            <w:pPr>
              <w:pStyle w:val="nTable"/>
              <w:spacing w:before="52" w:after="40"/>
              <w:ind w:right="113"/>
              <w:rPr>
                <w:rFonts w:ascii="Times" w:hAnsi="Times"/>
                <w:i/>
              </w:rPr>
            </w:pPr>
            <w:r>
              <w:rPr>
                <w:rFonts w:ascii="Times" w:hAnsi="Times"/>
                <w:i/>
              </w:rPr>
              <w:t>Poisons Amendment Regulations (No. 4) 2012</w:t>
            </w:r>
          </w:p>
        </w:tc>
        <w:tc>
          <w:tcPr>
            <w:tcW w:w="1276" w:type="dxa"/>
            <w:gridSpan w:val="2"/>
          </w:tcPr>
          <w:p>
            <w:pPr>
              <w:pStyle w:val="nTable"/>
              <w:spacing w:before="52" w:after="40"/>
              <w:rPr>
                <w:rFonts w:ascii="Times" w:hAnsi="Times"/>
              </w:rPr>
            </w:pPr>
            <w:r>
              <w:rPr>
                <w:rFonts w:ascii="Times" w:hAnsi="Times"/>
              </w:rPr>
              <w:t>10 Aug 2012 p. 3803-7</w:t>
            </w:r>
          </w:p>
        </w:tc>
        <w:tc>
          <w:tcPr>
            <w:tcW w:w="2694" w:type="dxa"/>
            <w:gridSpan w:val="2"/>
          </w:tcPr>
          <w:p>
            <w:pPr>
              <w:pStyle w:val="nTable"/>
              <w:spacing w:before="52"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gridBefore w:val="1"/>
          <w:wBefore w:w="20" w:type="dxa"/>
        </w:trPr>
        <w:tc>
          <w:tcPr>
            <w:tcW w:w="4394" w:type="dxa"/>
            <w:gridSpan w:val="4"/>
          </w:tcPr>
          <w:p>
            <w:pPr>
              <w:pStyle w:val="nTable"/>
              <w:spacing w:before="52" w:after="40"/>
            </w:pPr>
            <w:r>
              <w:rPr>
                <w:i/>
              </w:rPr>
              <w:t>Mental Health Amendment (Psychiatrists) Act 2012</w:t>
            </w:r>
            <w:r>
              <w:t xml:space="preserve"> s. 7 assented to 29 Nov 2012</w:t>
            </w:r>
            <w:r>
              <w:rPr>
                <w:vertAlign w:val="superscript"/>
              </w:rPr>
              <w:t> 14</w:t>
            </w:r>
          </w:p>
        </w:tc>
        <w:tc>
          <w:tcPr>
            <w:tcW w:w="2694" w:type="dxa"/>
            <w:gridSpan w:val="2"/>
          </w:tcPr>
          <w:p>
            <w:pPr>
              <w:pStyle w:val="nTable"/>
              <w:spacing w:before="52" w:after="40"/>
            </w:pPr>
            <w:r>
              <w:t>29 Nov 2012 (see s. 2)</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2013</w:t>
            </w:r>
          </w:p>
        </w:tc>
        <w:tc>
          <w:tcPr>
            <w:tcW w:w="1276" w:type="dxa"/>
            <w:gridSpan w:val="2"/>
            <w:shd w:val="clear" w:color="auto" w:fill="auto"/>
          </w:tcPr>
          <w:p>
            <w:pPr>
              <w:pStyle w:val="nTable"/>
              <w:spacing w:before="52" w:after="40"/>
              <w:rPr>
                <w:b/>
              </w:rPr>
            </w:pPr>
            <w:r>
              <w:t>7 May 2013 p. 1905-6</w:t>
            </w:r>
          </w:p>
        </w:tc>
        <w:tc>
          <w:tcPr>
            <w:tcW w:w="2693" w:type="dxa"/>
            <w:gridSpan w:val="2"/>
            <w:shd w:val="clear" w:color="auto" w:fill="auto"/>
          </w:tcPr>
          <w:p>
            <w:pPr>
              <w:pStyle w:val="nTable"/>
              <w:spacing w:before="52" w:after="40"/>
              <w:rPr>
                <w:b/>
              </w:rPr>
            </w:pPr>
            <w:r>
              <w:rPr>
                <w:snapToGrid w:val="0"/>
              </w:rPr>
              <w:t>r. 1 and 2: 7 May 2013 (see r. 2(a));</w:t>
            </w:r>
            <w:r>
              <w:rPr>
                <w:snapToGrid w:val="0"/>
              </w:rPr>
              <w:br/>
              <w:t>Regulations other than r. 1 and 2: 1 Jul 2013 (see r. 2(b))</w:t>
            </w:r>
          </w:p>
        </w:tc>
      </w:tr>
      <w:tr>
        <w:trPr>
          <w:gridAfter w:val="1"/>
          <w:wAfter w:w="21" w:type="dxa"/>
          <w:cantSplit/>
        </w:trPr>
        <w:tc>
          <w:tcPr>
            <w:tcW w:w="7087" w:type="dxa"/>
            <w:gridSpan w:val="6"/>
            <w:shd w:val="clear" w:color="auto" w:fill="auto"/>
          </w:tcPr>
          <w:p>
            <w:pPr>
              <w:pStyle w:val="nTable"/>
              <w:spacing w:before="52" w:after="40"/>
              <w:rPr>
                <w:rFonts w:ascii="Arial" w:hAnsi="Arial"/>
                <w:b/>
                <w:snapToGrid w:val="0"/>
              </w:rPr>
            </w:pPr>
            <w:r>
              <w:rPr>
                <w:b/>
              </w:rPr>
              <w:t xml:space="preserve">Reprint 11: The </w:t>
            </w:r>
            <w:r>
              <w:rPr>
                <w:b/>
                <w:i/>
              </w:rPr>
              <w:t>Poisons Regulations 1965</w:t>
            </w:r>
            <w:r>
              <w:rPr>
                <w:b/>
              </w:rPr>
              <w:t xml:space="preserve"> as at 13 Sep 2013</w:t>
            </w:r>
            <w:r>
              <w:t xml:space="preserve"> (includes amendments listed above)</w:t>
            </w:r>
          </w:p>
        </w:tc>
      </w:tr>
      <w:tr>
        <w:trPr>
          <w:gridAfter w:val="1"/>
          <w:wAfter w:w="21" w:type="dxa"/>
          <w:cantSplit/>
        </w:trPr>
        <w:tc>
          <w:tcPr>
            <w:tcW w:w="3118" w:type="dxa"/>
            <w:gridSpan w:val="2"/>
            <w:shd w:val="clear" w:color="auto" w:fill="auto"/>
          </w:tcPr>
          <w:p>
            <w:pPr>
              <w:pStyle w:val="nTable"/>
              <w:spacing w:before="52" w:after="40"/>
              <w:ind w:right="113"/>
              <w:rPr>
                <w:b/>
              </w:rPr>
            </w:pPr>
            <w:r>
              <w:rPr>
                <w:i/>
              </w:rPr>
              <w:t>Poisons Amendment Regulations 2014</w:t>
            </w:r>
          </w:p>
        </w:tc>
        <w:tc>
          <w:tcPr>
            <w:tcW w:w="1276" w:type="dxa"/>
            <w:gridSpan w:val="2"/>
            <w:shd w:val="clear" w:color="auto" w:fill="auto"/>
          </w:tcPr>
          <w:p>
            <w:pPr>
              <w:pStyle w:val="nTable"/>
              <w:spacing w:before="52" w:after="40"/>
              <w:rPr>
                <w:b/>
              </w:rPr>
            </w:pPr>
            <w:r>
              <w:t>24 Apr 2014 p. 1146</w:t>
            </w:r>
          </w:p>
        </w:tc>
        <w:tc>
          <w:tcPr>
            <w:tcW w:w="2693" w:type="dxa"/>
            <w:gridSpan w:val="2"/>
            <w:shd w:val="clear" w:color="auto" w:fill="auto"/>
          </w:tcPr>
          <w:p>
            <w:pPr>
              <w:pStyle w:val="nTable"/>
              <w:spacing w:before="52" w:after="40"/>
              <w:rPr>
                <w:b/>
              </w:rPr>
            </w:pPr>
            <w:r>
              <w:rPr>
                <w:rFonts w:ascii="Times" w:hAnsi="Times"/>
                <w:bCs/>
                <w:snapToGrid w:val="0"/>
                <w:spacing w:val="-2"/>
              </w:rPr>
              <w:t>r. 1 and 2: 24 Apr 2014 (see r. 2(a));</w:t>
            </w:r>
            <w:r>
              <w:rPr>
                <w:rFonts w:ascii="Times" w:hAnsi="Times"/>
                <w:bCs/>
                <w:snapToGrid w:val="0"/>
                <w:spacing w:val="-2"/>
              </w:rPr>
              <w:br/>
              <w:t>Regulations other than r. 1 and 2: 25 Apr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 xml:space="preserve">Poisons Amendment Regulations (No. 2) 2014 </w:t>
            </w:r>
          </w:p>
        </w:tc>
        <w:tc>
          <w:tcPr>
            <w:tcW w:w="1276" w:type="dxa"/>
            <w:gridSpan w:val="2"/>
            <w:shd w:val="clear" w:color="auto" w:fill="auto"/>
          </w:tcPr>
          <w:p>
            <w:pPr>
              <w:pStyle w:val="nTable"/>
              <w:spacing w:before="52" w:after="40"/>
            </w:pPr>
            <w:r>
              <w:t>20 May 2014 p. 1598-9</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May 2014 (see r. 2(a));</w:t>
            </w:r>
            <w:r>
              <w:rPr>
                <w:rFonts w:ascii="Times" w:hAnsi="Times"/>
                <w:bCs/>
                <w:snapToGrid w:val="0"/>
                <w:spacing w:val="-2"/>
              </w:rPr>
              <w:br/>
              <w:t>Regulations other than r. 1 and 2: 1 Jul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5) 2014</w:t>
            </w:r>
          </w:p>
        </w:tc>
        <w:tc>
          <w:tcPr>
            <w:tcW w:w="1276" w:type="dxa"/>
            <w:gridSpan w:val="2"/>
            <w:shd w:val="clear" w:color="auto" w:fill="auto"/>
          </w:tcPr>
          <w:p>
            <w:pPr>
              <w:pStyle w:val="nTable"/>
              <w:spacing w:before="52" w:after="40"/>
            </w:pPr>
            <w:r>
              <w:t>12 Dec 2014 p. 4714</w:t>
            </w:r>
            <w:r>
              <w:noBreakHyphen/>
              <w:t>15</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12 Dec 2014 (see r. 2(a));</w:t>
            </w:r>
            <w:r>
              <w:rPr>
                <w:rFonts w:ascii="Times" w:hAnsi="Times"/>
                <w:bCs/>
                <w:snapToGrid w:val="0"/>
                <w:spacing w:val="-2"/>
              </w:rPr>
              <w:br/>
              <w:t>Regulations other than r. 1 and 2: 13 Dec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4) 2014</w:t>
            </w:r>
          </w:p>
        </w:tc>
        <w:tc>
          <w:tcPr>
            <w:tcW w:w="1276" w:type="dxa"/>
            <w:gridSpan w:val="2"/>
            <w:shd w:val="clear" w:color="auto" w:fill="auto"/>
          </w:tcPr>
          <w:p>
            <w:pPr>
              <w:pStyle w:val="nTable"/>
              <w:spacing w:before="52" w:after="40"/>
            </w:pPr>
            <w:r>
              <w:t>16 Dec 2014 p. 4759</w:t>
            </w:r>
            <w:r>
              <w:noBreakHyphen/>
              <w:t>60</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16 Dec 2014 (see r. 2(a));</w:t>
            </w:r>
            <w:r>
              <w:rPr>
                <w:rFonts w:ascii="Times" w:hAnsi="Times"/>
                <w:bCs/>
                <w:snapToGrid w:val="0"/>
                <w:spacing w:val="-2"/>
              </w:rPr>
              <w:br/>
              <w:t>Regulations other than r. 1 and 2: 17 Dec 2014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2015</w:t>
            </w:r>
          </w:p>
        </w:tc>
        <w:tc>
          <w:tcPr>
            <w:tcW w:w="1276" w:type="dxa"/>
            <w:gridSpan w:val="2"/>
            <w:shd w:val="clear" w:color="auto" w:fill="auto"/>
          </w:tcPr>
          <w:p>
            <w:pPr>
              <w:pStyle w:val="nTable"/>
              <w:spacing w:before="52" w:after="40"/>
            </w:pPr>
            <w:r>
              <w:t>20 Mar 2015 p. 906</w:t>
            </w:r>
            <w:r>
              <w:noBreakHyphen/>
              <w:t>10</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r. 1 and 2: 20 Mar 2015 (see r. 2(a));</w:t>
            </w:r>
            <w:r>
              <w:rPr>
                <w:rFonts w:ascii="Times" w:hAnsi="Times"/>
                <w:bCs/>
                <w:snapToGrid w:val="0"/>
                <w:spacing w:val="-2"/>
              </w:rPr>
              <w:br/>
              <w:t>Regulations other than r. 1 and 2: 21 Mar 2015 (see r. 2(b))</w:t>
            </w:r>
          </w:p>
        </w:tc>
      </w:tr>
      <w:tr>
        <w:trPr>
          <w:gridAfter w:val="1"/>
          <w:wAfter w:w="21" w:type="dxa"/>
          <w:cantSplit/>
        </w:trPr>
        <w:tc>
          <w:tcPr>
            <w:tcW w:w="3118" w:type="dxa"/>
            <w:gridSpan w:val="2"/>
            <w:shd w:val="clear" w:color="auto" w:fill="auto"/>
          </w:tcPr>
          <w:p>
            <w:pPr>
              <w:pStyle w:val="nTable"/>
              <w:spacing w:before="52" w:after="40"/>
              <w:ind w:right="113"/>
              <w:rPr>
                <w:i/>
              </w:rPr>
            </w:pPr>
            <w:r>
              <w:rPr>
                <w:i/>
              </w:rPr>
              <w:t>Poisons Amendment Regulations (No. 2) 2015</w:t>
            </w:r>
          </w:p>
        </w:tc>
        <w:tc>
          <w:tcPr>
            <w:tcW w:w="1276" w:type="dxa"/>
            <w:gridSpan w:val="2"/>
            <w:shd w:val="clear" w:color="auto" w:fill="auto"/>
          </w:tcPr>
          <w:p>
            <w:pPr>
              <w:pStyle w:val="nTable"/>
              <w:spacing w:before="52" w:after="40"/>
            </w:pPr>
            <w:r>
              <w:t>17 Apr 2015 p. 1376</w:t>
            </w:r>
            <w:r>
              <w:noBreakHyphen/>
              <w:t>7</w:t>
            </w:r>
          </w:p>
        </w:tc>
        <w:tc>
          <w:tcPr>
            <w:tcW w:w="2693" w:type="dxa"/>
            <w:gridSpan w:val="2"/>
            <w:shd w:val="clear" w:color="auto" w:fill="auto"/>
          </w:tcPr>
          <w:p>
            <w:pPr>
              <w:pStyle w:val="nTable"/>
              <w:spacing w:before="52" w:after="40"/>
              <w:rPr>
                <w:rFonts w:ascii="Times" w:hAnsi="Times"/>
                <w:bCs/>
                <w:snapToGrid w:val="0"/>
                <w:spacing w:val="-2"/>
              </w:rPr>
            </w:pPr>
            <w:r>
              <w:rPr>
                <w:rFonts w:ascii="Times" w:hAnsi="Times"/>
                <w:bCs/>
                <w:snapToGrid w:val="0"/>
                <w:spacing w:val="-2"/>
              </w:rPr>
              <w:t xml:space="preserve">r. 1 and 2: </w:t>
            </w:r>
            <w:r>
              <w:t>17 Apr 2015</w:t>
            </w:r>
            <w:r>
              <w:rPr>
                <w:rFonts w:ascii="Times" w:hAnsi="Times"/>
                <w:bCs/>
                <w:snapToGrid w:val="0"/>
                <w:spacing w:val="-2"/>
              </w:rPr>
              <w:t xml:space="preserve"> (see r. 2(a));</w:t>
            </w:r>
            <w:r>
              <w:rPr>
                <w:rFonts w:ascii="Times" w:hAnsi="Times"/>
                <w:bCs/>
                <w:snapToGrid w:val="0"/>
                <w:spacing w:val="-2"/>
              </w:rPr>
              <w:br/>
              <w:t xml:space="preserve">Regulations other than r. 1 and 2: </w:t>
            </w:r>
            <w:r>
              <w:t xml:space="preserve">1 Jul 2015 (see r. 2(b)(ii) and </w:t>
            </w:r>
            <w:r>
              <w:rPr>
                <w:i/>
              </w:rPr>
              <w:t>Gazette</w:t>
            </w:r>
            <w:r>
              <w:t xml:space="preserve"> 10 Apr 2015 p. 1249)</w:t>
            </w:r>
          </w:p>
        </w:tc>
      </w:tr>
      <w:tr>
        <w:trPr>
          <w:gridAfter w:val="1"/>
          <w:wAfter w:w="21" w:type="dxa"/>
          <w:cantSplit/>
        </w:trPr>
        <w:tc>
          <w:tcPr>
            <w:tcW w:w="3118" w:type="dxa"/>
            <w:gridSpan w:val="2"/>
            <w:tcBorders>
              <w:bottom w:val="single" w:sz="2" w:space="0" w:color="auto"/>
            </w:tcBorders>
            <w:shd w:val="clear" w:color="auto" w:fill="auto"/>
          </w:tcPr>
          <w:p>
            <w:pPr>
              <w:pStyle w:val="nTable"/>
              <w:spacing w:before="52" w:after="40"/>
              <w:ind w:right="113"/>
              <w:rPr>
                <w:i/>
              </w:rPr>
            </w:pPr>
            <w:r>
              <w:rPr>
                <w:i/>
              </w:rPr>
              <w:t>Poisons Amendment Regulations (No. 4) 2015</w:t>
            </w:r>
          </w:p>
        </w:tc>
        <w:tc>
          <w:tcPr>
            <w:tcW w:w="1276" w:type="dxa"/>
            <w:gridSpan w:val="2"/>
            <w:tcBorders>
              <w:bottom w:val="single" w:sz="2" w:space="0" w:color="auto"/>
            </w:tcBorders>
            <w:shd w:val="clear" w:color="auto" w:fill="auto"/>
          </w:tcPr>
          <w:p>
            <w:pPr>
              <w:pStyle w:val="nTable"/>
              <w:spacing w:before="52" w:after="40"/>
            </w:pPr>
            <w:r>
              <w:t>5 May 2015 p. 1594</w:t>
            </w:r>
            <w:r>
              <w:noBreakHyphen/>
              <w:t>5</w:t>
            </w:r>
          </w:p>
        </w:tc>
        <w:tc>
          <w:tcPr>
            <w:tcW w:w="2693" w:type="dxa"/>
            <w:gridSpan w:val="2"/>
            <w:tcBorders>
              <w:bottom w:val="single" w:sz="2" w:space="0" w:color="auto"/>
            </w:tcBorders>
            <w:shd w:val="clear" w:color="auto" w:fill="auto"/>
          </w:tcPr>
          <w:p>
            <w:pPr>
              <w:pStyle w:val="nTable"/>
              <w:spacing w:before="52" w:after="40"/>
              <w:rPr>
                <w:rFonts w:ascii="Times" w:hAnsi="Times"/>
                <w:bCs/>
                <w:snapToGrid w:val="0"/>
                <w:spacing w:val="-2"/>
              </w:rPr>
            </w:pPr>
            <w:r>
              <w:rPr>
                <w:rFonts w:ascii="Times" w:hAnsi="Times"/>
                <w:bCs/>
                <w:snapToGrid w:val="0"/>
                <w:spacing w:val="-2"/>
              </w:rPr>
              <w:t xml:space="preserve">r. 1 and 2: </w:t>
            </w:r>
            <w:r>
              <w:t>5 May 2015</w:t>
            </w:r>
            <w:r>
              <w:rPr>
                <w:rFonts w:ascii="Times" w:hAnsi="Times"/>
                <w:bCs/>
                <w:snapToGrid w:val="0"/>
                <w:spacing w:val="-2"/>
              </w:rPr>
              <w:t xml:space="preserve"> (see r. 2(a));</w:t>
            </w:r>
            <w:r>
              <w:rPr>
                <w:rFonts w:ascii="Times" w:hAnsi="Times"/>
                <w:bCs/>
                <w:snapToGrid w:val="0"/>
                <w:spacing w:val="-2"/>
              </w:rPr>
              <w:br/>
              <w:t xml:space="preserve">Regulations other than r. 1 and 2: </w:t>
            </w:r>
            <w:r>
              <w:t>1 Jul 2015 (see r. 2(b))</w:t>
            </w:r>
          </w:p>
        </w:tc>
      </w:tr>
    </w:tbl>
    <w:p>
      <w:pPr>
        <w:pStyle w:val="nSubsection"/>
        <w:spacing w:before="120"/>
        <w:rPr>
          <w:snapToGrid w:val="0"/>
        </w:rPr>
      </w:pPr>
      <w:r>
        <w:rPr>
          <w:snapToGrid w:val="0"/>
          <w:vertAlign w:val="superscript"/>
        </w:rPr>
        <w:t>2</w:t>
      </w:r>
      <w:r>
        <w:rPr>
          <w:snapToGrid w:val="0"/>
          <w:vertAlign w:val="superscript"/>
        </w:rPr>
        <w:tab/>
      </w:r>
      <w:r>
        <w:rPr>
          <w:snapToGrid w:val="0"/>
        </w:rPr>
        <w:t>Formerly referred to the</w:t>
      </w:r>
      <w:r>
        <w:rPr>
          <w:i/>
        </w:rPr>
        <w:t xml:space="preserve"> Health Services (Conciliation and Review) Act 1995</w:t>
      </w:r>
      <w:r>
        <w:t xml:space="preserve">, the short title of which was changed to the </w:t>
      </w:r>
      <w:r>
        <w:rPr>
          <w:i/>
        </w:rPr>
        <w:t xml:space="preserve">Health and Disability Services (Complaints) Act 1995 </w:t>
      </w:r>
      <w:r>
        <w:t>by the</w:t>
      </w:r>
      <w:r>
        <w:rPr>
          <w:i/>
        </w:rPr>
        <w:t xml:space="preserve"> </w:t>
      </w:r>
      <w:r>
        <w:rPr>
          <w:i/>
          <w:snapToGrid w:val="0"/>
        </w:rPr>
        <w:t xml:space="preserve">Health and Disability Services Legislation Amendment Act 2010 </w:t>
      </w:r>
      <w:r>
        <w:rPr>
          <w:snapToGrid w:val="0"/>
        </w:rPr>
        <w:t>s. 5</w:t>
      </w:r>
      <w:r>
        <w:t>.  The reference was changed under the</w:t>
      </w:r>
      <w:r>
        <w:rPr>
          <w:i/>
        </w:rPr>
        <w:t xml:space="preserve"> Reprints Act 1984 </w:t>
      </w:r>
      <w:r>
        <w:t>s. 7(3)(gb).</w:t>
      </w:r>
    </w:p>
    <w:p>
      <w:pPr>
        <w:pStyle w:val="nSubsection"/>
        <w:spacing w:before="120"/>
        <w:rPr>
          <w:snapToGrid w:val="0"/>
        </w:rPr>
      </w:pPr>
      <w:r>
        <w:rPr>
          <w:snapToGrid w:val="0"/>
          <w:vertAlign w:val="superscript"/>
        </w:rPr>
        <w:t>3</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20"/>
        <w:rPr>
          <w:rFonts w:ascii="Arial" w:hAnsi="Arial"/>
        </w:rPr>
      </w:pPr>
      <w:r>
        <w:rPr>
          <w:snapToGrid w:val="0"/>
          <w:vertAlign w:val="superscript"/>
        </w:rPr>
        <w:t>4</w:t>
      </w:r>
      <w:r>
        <w:rPr>
          <w:snapToGrid w:val="0"/>
        </w:rPr>
        <w:tab/>
      </w:r>
      <w:r>
        <w:t xml:space="preserve">Repealed by the </w:t>
      </w:r>
      <w:r>
        <w:rPr>
          <w:i/>
        </w:rPr>
        <w:t xml:space="preserve">Navigation (Consequential Amendments) Act 2012 </w:t>
      </w:r>
      <w:r>
        <w:t xml:space="preserve">Sch. 1 (Cwlth). Now see the </w:t>
      </w:r>
      <w:r>
        <w:rPr>
          <w:i/>
        </w:rPr>
        <w:t xml:space="preserve">Navigation Act 2012 </w:t>
      </w:r>
      <w:r>
        <w:t>(Cwlth).</w:t>
      </w:r>
    </w:p>
    <w:p>
      <w:pPr>
        <w:pStyle w:val="nSubsection"/>
        <w:spacing w:before="120"/>
      </w:pPr>
      <w:r>
        <w:rPr>
          <w:snapToGrid w:val="0"/>
          <w:vertAlign w:val="superscript"/>
        </w:rPr>
        <w:t>5</w:t>
      </w:r>
      <w:r>
        <w:rPr>
          <w:snapToGrid w:val="0"/>
        </w:rPr>
        <w:tab/>
      </w:r>
      <w:r>
        <w:t xml:space="preserve">Repealed by the </w:t>
      </w:r>
      <w:r>
        <w:rPr>
          <w:i/>
        </w:rPr>
        <w:t>Veterans Entitlements Act 1986</w:t>
      </w:r>
      <w:r>
        <w:t xml:space="preserve"> (Cwlth).</w:t>
      </w:r>
    </w:p>
    <w:p>
      <w:pPr>
        <w:pStyle w:val="nSubsection"/>
        <w:spacing w:before="120"/>
        <w:rPr>
          <w:snapToGrid w:val="0"/>
        </w:rPr>
      </w:pPr>
      <w:r>
        <w:rPr>
          <w:snapToGrid w:val="0"/>
          <w:vertAlign w:val="superscript"/>
        </w:rPr>
        <w:t>6</w:t>
      </w:r>
      <w:r>
        <w:rPr>
          <w:snapToGrid w:val="0"/>
        </w:rPr>
        <w:tab/>
        <w:t xml:space="preserve">Repealed by the </w:t>
      </w:r>
      <w:r>
        <w:rPr>
          <w:i/>
          <w:snapToGrid w:val="0"/>
        </w:rPr>
        <w:t>Security and Related Activities (Control) Act 1996</w:t>
      </w:r>
      <w:r>
        <w:rPr>
          <w:snapToGrid w:val="0"/>
        </w:rPr>
        <w:t>.</w:t>
      </w:r>
    </w:p>
    <w:p>
      <w:pPr>
        <w:pStyle w:val="nSubsection"/>
        <w:spacing w:before="120"/>
        <w:rPr>
          <w:rFonts w:ascii="Times" w:hAnsi="Times"/>
          <w:snapToGrid w:val="0"/>
        </w:rPr>
      </w:pPr>
      <w:r>
        <w:rPr>
          <w:snapToGrid w:val="0"/>
          <w:vertAlign w:val="superscript"/>
        </w:rPr>
        <w:t>7</w:t>
      </w:r>
      <w:r>
        <w:rPr>
          <w:snapToGrid w:val="0"/>
        </w:rPr>
        <w:tab/>
        <w:t xml:space="preserve">The Standards Association of </w:t>
      </w:r>
      <w:smartTag w:uri="urn:schemas-microsoft-com:office:smarttags" w:element="place">
        <w:smartTag w:uri="urn:schemas-microsoft-com:office:smarttags" w:element="country-region">
          <w:r>
            <w:rPr>
              <w:snapToGrid w:val="0"/>
            </w:rPr>
            <w:t>Australia</w:t>
          </w:r>
        </w:smartTag>
      </w:smartTag>
      <w:r>
        <w:rPr>
          <w:snapToGrid w:val="0"/>
        </w:rPr>
        <w:t xml:space="preserve"> has changed its corporate status and its name.  It is now Standards Australia International Limited (ACN 087 326 690).  It also trades as Standards</w:t>
      </w:r>
      <w:r>
        <w:t xml:space="preserve"> Australia.</w:t>
      </w:r>
    </w:p>
    <w:p>
      <w:pPr>
        <w:pStyle w:val="nSubsection"/>
        <w:spacing w:before="12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2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2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is a transitional provision of no further effect.</w:t>
      </w:r>
    </w:p>
    <w:p>
      <w:pPr>
        <w:pStyle w:val="nSubsection"/>
        <w:spacing w:before="120"/>
      </w:pPr>
      <w:r>
        <w:rPr>
          <w:vertAlign w:val="superscript"/>
        </w:rPr>
        <w:t>11</w:t>
      </w:r>
      <w:r>
        <w:tab/>
        <w:t xml:space="preserve">The </w:t>
      </w:r>
      <w:r>
        <w:rPr>
          <w:i/>
        </w:rPr>
        <w:t>Nurses Amendment Act 2003</w:t>
      </w:r>
      <w:r>
        <w:t xml:space="preserve"> s. 50 is a savings provision of no further effect.</w:t>
      </w:r>
    </w:p>
    <w:p>
      <w:pPr>
        <w:pStyle w:val="nSubsection"/>
        <w:spacing w:before="120"/>
      </w:pPr>
      <w:r>
        <w:rPr>
          <w:vertAlign w:val="superscript"/>
        </w:rPr>
        <w:t>12</w:t>
      </w:r>
      <w:r>
        <w:tab/>
        <w:t xml:space="preserve">The </w:t>
      </w:r>
      <w:r>
        <w:rPr>
          <w:i/>
        </w:rPr>
        <w:t>Poisons Amendment Regulations (No. 7) 2010</w:t>
      </w:r>
      <w:r>
        <w:rPr>
          <w:sz w:val="19"/>
        </w:rPr>
        <w:t> </w:t>
      </w:r>
      <w:r>
        <w:t xml:space="preserve"> r. 5 to amend r. 42(1)(d) is not included because the paragraph it sought to amend had been amended by the </w:t>
      </w:r>
      <w:r>
        <w:rPr>
          <w:i/>
          <w:iCs/>
        </w:rPr>
        <w:t>Poisons Amendment Regulations (No. 5) 2010</w:t>
      </w:r>
      <w:r>
        <w:t xml:space="preserve"> r. 8(2).</w:t>
      </w:r>
    </w:p>
    <w:p>
      <w:pPr>
        <w:pStyle w:val="nSubsection"/>
        <w:keepNext/>
        <w:spacing w:before="120"/>
      </w:pPr>
      <w:r>
        <w:rPr>
          <w:vertAlign w:val="superscript"/>
        </w:rPr>
        <w:t>13</w:t>
      </w:r>
      <w:r>
        <w:tab/>
        <w:t xml:space="preserve">The </w:t>
      </w:r>
      <w:r>
        <w:rPr>
          <w:i/>
        </w:rPr>
        <w:t>Poisons Amendment Regulations 2012</w:t>
      </w:r>
      <w:r>
        <w:t xml:space="preserve"> r. 45(2) to amend r. 56(2)(b) is not included because it was unclear where the amendment was intended to be made.  Regulation 45(2) reads as follows:</w:t>
      </w:r>
    </w:p>
    <w:p>
      <w:pPr>
        <w:pStyle w:val="BlankOpen"/>
      </w:pPr>
    </w:p>
    <w:p>
      <w:pPr>
        <w:pStyle w:val="nzHeading5"/>
        <w:spacing w:before="0"/>
      </w:pPr>
      <w:r>
        <w:rPr>
          <w:rStyle w:val="CharSectno"/>
        </w:rPr>
        <w:t>45</w:t>
      </w:r>
      <w:r>
        <w:t>.</w:t>
      </w:r>
      <w:r>
        <w:tab/>
        <w:t>Regulation 56 amended</w:t>
      </w:r>
    </w:p>
    <w:p>
      <w:pPr>
        <w:pStyle w:val="nzSubsection"/>
      </w:pPr>
      <w:r>
        <w:tab/>
        <w:t>(2)</w:t>
      </w:r>
      <w:r>
        <w:tab/>
        <w:t>In regulation 56(2)(b) delete “42(1); or” and insert:</w:t>
      </w:r>
    </w:p>
    <w:p>
      <w:pPr>
        <w:pStyle w:val="BlankOpen"/>
      </w:pPr>
    </w:p>
    <w:p>
      <w:pPr>
        <w:pStyle w:val="nzSubsection"/>
      </w:pPr>
      <w:r>
        <w:tab/>
      </w:r>
      <w:r>
        <w:tab/>
        <w:t>42(1) or (2A); or</w:t>
      </w:r>
    </w:p>
    <w:p>
      <w:pPr>
        <w:pStyle w:val="BlankClose"/>
      </w:pPr>
    </w:p>
    <w:p>
      <w:pPr>
        <w:pStyle w:val="BlankOpen"/>
      </w:pPr>
    </w:p>
    <w:p>
      <w:pPr>
        <w:pStyle w:val="nSubsection"/>
      </w:pPr>
      <w:r>
        <w:rPr>
          <w:vertAlign w:val="superscript"/>
        </w:rPr>
        <w:t>14</w:t>
      </w:r>
      <w:r>
        <w:tab/>
        <w:t xml:space="preserve">The </w:t>
      </w:r>
      <w:r>
        <w:rPr>
          <w:i/>
        </w:rPr>
        <w:t>Mental Health Amendment (Psychiatrists) Act 2012</w:t>
      </w:r>
      <w:r>
        <w:t xml:space="preserve"> s. 8 reads as follows:</w:t>
      </w:r>
    </w:p>
    <w:p>
      <w:pPr>
        <w:pStyle w:val="BlankOpen"/>
      </w:pPr>
    </w:p>
    <w:p>
      <w:pPr>
        <w:pStyle w:val="nzHeading5"/>
        <w:spacing w:before="0"/>
      </w:pPr>
      <w:r>
        <w:rPr>
          <w:rStyle w:val="CharSectno"/>
        </w:rPr>
        <w:t>8</w:t>
      </w:r>
      <w:r>
        <w:t>.</w:t>
      </w:r>
      <w:r>
        <w:tab/>
        <w:t>Power to amend or repeal unaffected</w:t>
      </w:r>
    </w:p>
    <w:p>
      <w:pPr>
        <w:pStyle w:val="nzSubsection"/>
      </w:pPr>
      <w:r>
        <w:tab/>
      </w:r>
      <w:r>
        <w:tab/>
        <w:t>The amendment of an instrument by section 6 or 7 does not prevent that instrument from being amended or repealed by subsequent instrument.</w:t>
      </w:r>
    </w:p>
    <w:p>
      <w:pPr>
        <w:pStyle w:val="BlankClose"/>
      </w:pPr>
    </w:p>
    <w:p>
      <w:bookmarkStart w:id="844" w:name="_Toc414871806"/>
      <w:bookmarkStart w:id="845" w:name="_Toc414873572"/>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847" w:name="_Toc418582615"/>
      <w:bookmarkStart w:id="848" w:name="_Toc423426662"/>
      <w:bookmarkStart w:id="849" w:name="_Toc423427063"/>
      <w:bookmarkStart w:id="850" w:name="_Toc524795978"/>
      <w:r>
        <w:rPr>
          <w:sz w:val="28"/>
        </w:rPr>
        <w:t>Defined terms</w:t>
      </w:r>
      <w:bookmarkEnd w:id="844"/>
      <w:bookmarkEnd w:id="845"/>
      <w:bookmarkEnd w:id="847"/>
      <w:bookmarkEnd w:id="848"/>
      <w:bookmarkEnd w:id="849"/>
      <w:bookmarkEnd w:id="8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 code</w:t>
      </w:r>
      <w:r>
        <w:tab/>
        <w:t>32A(1), 32F, 44C(1)</w:t>
      </w:r>
    </w:p>
    <w:p>
      <w:pPr>
        <w:pStyle w:val="DefinedTerms"/>
      </w:pPr>
      <w:r>
        <w:t>Act</w:t>
      </w:r>
      <w:r>
        <w:tab/>
        <w:t>2(1)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health practitioner</w:t>
      </w:r>
      <w:r>
        <w:tab/>
        <w:t>2(1)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book</w:t>
      </w:r>
      <w:r>
        <w:tab/>
        <w:t>35A(1A)</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colleague</w:t>
      </w:r>
      <w:r>
        <w:tab/>
        <w:t>51FH(5)</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w:t>
      </w:r>
      <w:r>
        <w:noBreakHyphen/>
        <w:t>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electronic storage and supply unit</w:t>
      </w:r>
      <w:r>
        <w:tab/>
        <w:t>32F</w:t>
      </w:r>
    </w:p>
    <w:p>
      <w:pPr>
        <w:pStyle w:val="DefinedTerms"/>
      </w:pPr>
      <w:r>
        <w:t>emergency supplies</w:t>
      </w:r>
      <w:r>
        <w:tab/>
        <w:t>36A(4)</w:t>
      </w:r>
    </w:p>
    <w:p>
      <w:pPr>
        <w:pStyle w:val="DefinedTerms"/>
      </w:pPr>
      <w:r>
        <w:t>endorsed midwife</w:t>
      </w:r>
      <w:r>
        <w:tab/>
        <w:t>2(1)</w:t>
      </w:r>
    </w:p>
    <w:p>
      <w:pPr>
        <w:pStyle w:val="DefinedTerms"/>
      </w:pPr>
      <w:r>
        <w:t>endorsed optometrist</w:t>
      </w:r>
      <w:r>
        <w:tab/>
        <w:t>2(1)</w:t>
      </w:r>
    </w:p>
    <w:p>
      <w:pPr>
        <w:pStyle w:val="DefinedTerms"/>
      </w:pPr>
      <w:r>
        <w:t>endorsed podiatrist</w:t>
      </w:r>
      <w:r>
        <w:tab/>
        <w:t>2(1)</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51FK(1)</w:t>
      </w:r>
    </w:p>
    <w:p>
      <w:pPr>
        <w:pStyle w:val="DefinedTerms"/>
      </w:pPr>
      <w:r>
        <w:t>gynaecologist</w:t>
      </w:r>
      <w:r>
        <w:tab/>
        <w:t>2(1)</w:t>
      </w:r>
    </w:p>
    <w:p>
      <w:pPr>
        <w:pStyle w:val="DefinedTerms"/>
      </w:pPr>
      <w:r>
        <w:t>HDWA Authorisation No.</w:t>
      </w:r>
      <w:r>
        <w:tab/>
        <w:t>51GB(2)</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inhaler</w:t>
      </w:r>
      <w:r>
        <w:tab/>
        <w:t>41D(1)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Medicines List</w:t>
      </w:r>
      <w:r>
        <w:tab/>
        <w:t>3F</w:t>
      </w:r>
    </w:p>
    <w:p>
      <w:pPr>
        <w:pStyle w:val="DefinedTerms"/>
      </w:pPr>
      <w:r>
        <w:t>metropolitan region</w:t>
      </w:r>
      <w:r>
        <w:tab/>
        <w:t>36AAB(1)</w:t>
      </w:r>
    </w:p>
    <w:p>
      <w:pPr>
        <w:pStyle w:val="DefinedTerms"/>
      </w:pPr>
      <w:r>
        <w:t>new manager</w:t>
      </w:r>
      <w:r>
        <w:tab/>
        <w:t>51FK(1)</w:t>
      </w:r>
    </w:p>
    <w:p>
      <w:pPr>
        <w:pStyle w:val="DefinedTerms"/>
      </w:pPr>
      <w:r>
        <w:t>new provisions</w:t>
      </w:r>
      <w:r>
        <w:tab/>
        <w:t>69</w:t>
      </w:r>
    </w:p>
    <w:p>
      <w:pPr>
        <w:pStyle w:val="DefinedTerms"/>
      </w:pPr>
      <w:r>
        <w:t>NIMC</w:t>
      </w:r>
      <w:r>
        <w:tab/>
        <w:t>38A(1), 51AAA(1)</w:t>
      </w:r>
    </w:p>
    <w:p>
      <w:pPr>
        <w:pStyle w:val="DefinedTerms"/>
      </w:pPr>
      <w:r>
        <w:t>nominated co</w:t>
      </w:r>
      <w:r>
        <w:noBreakHyphen/>
        <w:t>prescriber</w:t>
      </w:r>
      <w:r>
        <w:tab/>
        <w:t>51FA</w:t>
      </w:r>
    </w:p>
    <w:p>
      <w:pPr>
        <w:pStyle w:val="DefinedTerms"/>
      </w:pPr>
      <w:r>
        <w:t>NRMC</w:t>
      </w:r>
      <w:r>
        <w:tab/>
        <w:t>38B(1)</w:t>
      </w:r>
    </w:p>
    <w:p>
      <w:pPr>
        <w:pStyle w:val="DefinedTerms"/>
      </w:pPr>
      <w:r>
        <w:t>obstetrician</w:t>
      </w:r>
      <w:r>
        <w:tab/>
        <w:t>2(1)</w:t>
      </w:r>
    </w:p>
    <w:p>
      <w:pPr>
        <w:pStyle w:val="DefinedTerms"/>
      </w:pPr>
      <w:r>
        <w:t>old authorisation</w:t>
      </w:r>
      <w:r>
        <w:tab/>
        <w:t>67(1), 68(1)</w:t>
      </w:r>
    </w:p>
    <w:p>
      <w:pPr>
        <w:pStyle w:val="DefinedTerms"/>
      </w:pPr>
      <w:r>
        <w:t>optometrist</w:t>
      </w:r>
      <w:r>
        <w:tab/>
        <w:t>2(1)</w:t>
      </w:r>
    </w:p>
    <w:p>
      <w:pPr>
        <w:pStyle w:val="DefinedTerms"/>
      </w:pPr>
      <w:r>
        <w:t>patient</w:t>
      </w:r>
      <w:r>
        <w:tab/>
        <w:t>36(1)</w:t>
      </w:r>
    </w:p>
    <w:p>
      <w:pPr>
        <w:pStyle w:val="DefinedTerms"/>
      </w:pPr>
      <w:r>
        <w:t>permit</w:t>
      </w:r>
      <w:r>
        <w:tab/>
        <w:t>2(1)</w:t>
      </w:r>
    </w:p>
    <w:p>
      <w:pPr>
        <w:pStyle w:val="DefinedTerms"/>
      </w:pPr>
      <w:r>
        <w:t>personal supervision</w:t>
      </w:r>
      <w:r>
        <w:tab/>
        <w:t>2(1)</w:t>
      </w:r>
    </w:p>
    <w:p>
      <w:pPr>
        <w:pStyle w:val="DefinedTerms"/>
      </w:pPr>
      <w:r>
        <w:t>pharmacist’s licence</w:t>
      </w:r>
      <w:r>
        <w:tab/>
        <w:t>2(1)</w:t>
      </w:r>
    </w:p>
    <w:p>
      <w:pPr>
        <w:pStyle w:val="DefinedTerms"/>
      </w:pPr>
      <w:r>
        <w:t>pharmacotherapy</w:t>
      </w:r>
      <w:r>
        <w:tab/>
        <w:t>51A(1)</w:t>
      </w:r>
    </w:p>
    <w:p>
      <w:pPr>
        <w:pStyle w:val="DefinedTerms"/>
      </w:pPr>
      <w:r>
        <w:t>pharmacy</w:t>
      </w:r>
      <w:r>
        <w:tab/>
        <w:t>2(1)</w:t>
      </w:r>
    </w:p>
    <w:p>
      <w:pPr>
        <w:pStyle w:val="DefinedTerms"/>
      </w:pPr>
      <w:r>
        <w:t>physician</w:t>
      </w:r>
      <w:r>
        <w:tab/>
        <w:t>2(1)</w:t>
      </w:r>
    </w:p>
    <w:p>
      <w:pPr>
        <w:pStyle w:val="DefinedTerms"/>
      </w:pPr>
      <w:r>
        <w:t>podiatrist</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prescribed medicine</w:t>
      </w:r>
      <w:r>
        <w:tab/>
        <w:t>3A(2), 3D(2), 3G(2)</w:t>
      </w:r>
    </w:p>
    <w:p>
      <w:pPr>
        <w:pStyle w:val="DefinedTerms"/>
      </w:pPr>
      <w:r>
        <w:t>Prescribing Formulary</w:t>
      </w:r>
      <w:r>
        <w:tab/>
        <w:t>3C</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residential care facility</w:t>
      </w:r>
      <w:r>
        <w:tab/>
        <w:t>38B(1)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SUSMP</w:t>
      </w:r>
      <w:r>
        <w:tab/>
        <w:t>2(1)</w:t>
      </w:r>
    </w:p>
    <w:p>
      <w:pPr>
        <w:pStyle w:val="DefinedTerms"/>
      </w:pPr>
      <w:r>
        <w:t>system identifier</w:t>
      </w:r>
      <w:r>
        <w:tab/>
        <w:t>32A(1), 32F, 44C(1)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to sell</w:t>
      </w:r>
      <w:r>
        <w:tab/>
        <w:t>2(1)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11-j0-02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11-j0-02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11-j0-02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11-j0-02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707" w:name="Schedule"/>
    <w:bookmarkEnd w:id="70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A</w: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A</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48" w:type="dxa"/>
          <w:vAlign w:val="bottom"/>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 L</w:t>
          </w:r>
          <w:r>
            <w:rPr>
              <w:b/>
            </w:rPr>
            <w:fldChar w:fldCharType="end"/>
          </w:r>
        </w:p>
      </w:tc>
      <w:tc>
        <w:tcPr>
          <w:tcW w:w="5715" w:type="dxa"/>
        </w:tcPr>
        <w:p>
          <w:pPr>
            <w:pStyle w:val="Header"/>
            <w:spacing w:before="40"/>
          </w:pPr>
          <w:r>
            <w:fldChar w:fldCharType="begin"/>
          </w:r>
          <w:r>
            <w:instrText>styleref CharSchText</w:instrText>
          </w:r>
          <w:r>
            <w:fldChar w:fldCharType="separate"/>
          </w:r>
          <w:r>
            <w:t>Specified criteria for the generation of prescriptions by computer</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criteria for the generation of prescriptions by computer</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 L</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15</w:instrText>
          </w:r>
          <w:r>
            <w:rPr>
              <w:b/>
            </w:rPr>
            <w:fldChar w:fldCharType="end"/>
          </w:r>
          <w:r>
            <w:rPr>
              <w:b/>
            </w:rPr>
            <w:instrText xml:space="preserve"> </w:instrText>
          </w:r>
          <w:r>
            <w:rPr>
              <w:b/>
            </w:rPr>
            <w:fldChar w:fldCharType="separate"/>
          </w:r>
          <w:r>
            <w:rPr>
              <w:b/>
            </w:rPr>
            <w:t>Form 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846" w:name="Compilation"/>
    <w:bookmarkEnd w:id="84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Poisons Regulations 1965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Poisons Regulations 1965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51" w:name="DefinedTerms"/>
    <w:bookmarkEnd w:id="85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2" w:name="Coversheet"/>
    <w:bookmarkEnd w:id="8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lvlText w:val="%1."/>
      <w:lvlJc w:val="left"/>
      <w:pPr>
        <w:tabs>
          <w:tab w:val="num" w:pos="1492"/>
        </w:tabs>
        <w:ind w:left="1492" w:hanging="360"/>
      </w:pPr>
    </w:lvl>
  </w:abstractNum>
  <w:abstractNum w:abstractNumId="1">
    <w:nsid w:val="FFFFFF7D"/>
    <w:multiLevelType w:val="singleLevel"/>
    <w:tmpl w:val="C96E35C0"/>
    <w:lvl w:ilvl="0">
      <w:start w:val="1"/>
      <w:numFmt w:val="decimal"/>
      <w:lvlText w:val="%1."/>
      <w:lvlJc w:val="left"/>
      <w:pPr>
        <w:tabs>
          <w:tab w:val="num" w:pos="1209"/>
        </w:tabs>
        <w:ind w:left="1209" w:hanging="360"/>
      </w:pPr>
    </w:lvl>
  </w:abstractNum>
  <w:abstractNum w:abstractNumId="2">
    <w:nsid w:val="FFFFFF7E"/>
    <w:multiLevelType w:val="singleLevel"/>
    <w:tmpl w:val="64E41772"/>
    <w:lvl w:ilvl="0">
      <w:start w:val="1"/>
      <w:numFmt w:val="decimal"/>
      <w:lvlText w:val="%1."/>
      <w:lvlJc w:val="left"/>
      <w:pPr>
        <w:tabs>
          <w:tab w:val="num" w:pos="926"/>
        </w:tabs>
        <w:ind w:left="926" w:hanging="360"/>
      </w:pPr>
    </w:lvl>
  </w:abstractNum>
  <w:abstractNum w:abstractNumId="3">
    <w:nsid w:val="FFFFFF7F"/>
    <w:multiLevelType w:val="singleLevel"/>
    <w:tmpl w:val="FB268A26"/>
    <w:lvl w:ilvl="0">
      <w:start w:val="1"/>
      <w:numFmt w:val="decimal"/>
      <w:lvlText w:val="%1."/>
      <w:lvlJc w:val="left"/>
      <w:pPr>
        <w:tabs>
          <w:tab w:val="num" w:pos="643"/>
        </w:tabs>
        <w:ind w:left="643" w:hanging="360"/>
      </w:pPr>
    </w:lvl>
  </w:abstractNum>
  <w:abstractNum w:abstractNumId="4">
    <w:nsid w:val="FFFFFF80"/>
    <w:multiLevelType w:val="singleLevel"/>
    <w:tmpl w:val="67F826B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lvlText w:val="%1."/>
      <w:lvlJc w:val="left"/>
      <w:pPr>
        <w:tabs>
          <w:tab w:val="num" w:pos="360"/>
        </w:tabs>
        <w:ind w:left="360" w:hanging="360"/>
      </w:pPr>
    </w:lvl>
  </w:abstractNum>
  <w:abstractNum w:abstractNumId="9">
    <w:nsid w:val="FFFFFF89"/>
    <w:multiLevelType w:val="singleLevel"/>
    <w:tmpl w:val="D500EFA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7DC15CA"/>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33627"/>
    <w:docVar w:name="WAFER_20140113155400" w:val="RemoveTocBookmarks,RemoveUnusedBookmarks,RemoveLanguageTags,UsedStyles,ResetPageSize,UpdateArrangement"/>
    <w:docVar w:name="WAFER_20140113155400_GUID" w:val="65ea707f-fde5-4d71-8f28-31c8eb542988"/>
    <w:docVar w:name="WAFER_20140113155427" w:val="RemoveTocBookmarks,RunningHeaders"/>
    <w:docVar w:name="WAFER_20140113155427_GUID" w:val="1355c243-7a42-461a-8988-8b1dc0256a4a"/>
    <w:docVar w:name="WAFER_20140423110343" w:val="RemoveTocBookmarks,RemoveUnusedBookmarks,RemoveLanguageTags,UsedStyles,ResetPageSize,UpdateArrangement"/>
    <w:docVar w:name="WAFER_20140423110343_GUID" w:val="462de322-7c8c-475c-83d0-ee4f16f7e9e2"/>
    <w:docVar w:name="WAFER_20140423151111" w:val="RemoveTocBookmarks,RunningHeaders"/>
    <w:docVar w:name="WAFER_20140423151111_GUID" w:val="1a9eca13-bcea-4130-9c41-bcf094570b76"/>
    <w:docVar w:name="WAFER_20140519111211" w:val="RemoveTocBookmarks,RemoveUnusedBookmarks,RemoveLanguageTags,UsedStyles,ResetPageSize,UpdateArrangement"/>
    <w:docVar w:name="WAFER_20140519111211_GUID" w:val="2e984ec4-00f6-4060-a1c0-01c04ed38264"/>
    <w:docVar w:name="WAFER_20140630170740" w:val="RemoveTocBookmarks,RunningHeaders"/>
    <w:docVar w:name="WAFER_20140630170740_GUID" w:val="c79f9a1f-30b2-43dd-88e4-956c0d3baa2d"/>
    <w:docVar w:name="WAFER_20141211175532" w:val="RemoveTocBookmarks,RemoveUnusedBookmarks,RemoveLanguageTags,UsedStyles,ResetPageSize,UpdateArrangement"/>
    <w:docVar w:name="WAFER_20141211175532_GUID" w:val="6ecb4876-cd7c-4cbe-a235-23f07f57bd69"/>
    <w:docVar w:name="WAFER_20141211175544" w:val="RemoveTocBookmarks,RunningHeaders"/>
    <w:docVar w:name="WAFER_20141211175544_GUID" w:val="c536062a-e5f3-4367-a32f-5d9b41365850"/>
    <w:docVar w:name="WAFER_20150320153902" w:val="ResetPageSize,UpdateArrangement,UpdateNTable"/>
    <w:docVar w:name="WAFER_20150320153902_GUID" w:val="1529d0a9-c56f-4c64-975e-24206c7701f4"/>
    <w:docVar w:name="WAFER_20151102105603" w:val="UpdateStyles"/>
    <w:docVar w:name="WAFER_20151102105603_GUID" w:val="59d5187b-e97b-4664-b539-ed3d099195c6"/>
    <w:docVar w:name="WAFER_20151102133324" w:val="UpdateStyles"/>
    <w:docVar w:name="WAFER_20151102133324_GUID" w:val="ac55c9ff-4009-44d2-9228-9ef112f730d5"/>
    <w:docVar w:name="WAFER_20151102133627" w:val="UsedStyles"/>
    <w:docVar w:name="WAFER_20151102133627_GUID" w:val="292d003b-ffc2-4cb0-98f5-987de76392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place"/>
  <w:smartTagType w:namespaceuri="urn:schemas-microsoft-com:office:smarttags" w:name="State"/>
  <w:shapeDefaults>
    <o:shapedefaults v:ext="edit" spidmax="839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 w:val="num" w:pos="1446"/>
      </w:tabs>
      <w:ind w:left="1080" w:hanging="567"/>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212</Pages>
  <Words>50494</Words>
  <Characters>252471</Characters>
  <Application>Microsoft Office Word</Application>
  <DocSecurity>0</DocSecurity>
  <Lines>7213</Lines>
  <Paragraphs>4207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298758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1965 - 11-j0-02</dc:title>
  <dc:subject/>
  <dc:creator/>
  <cp:keywords/>
  <dc:description/>
  <cp:lastModifiedBy>svcMRProcess</cp:lastModifiedBy>
  <cp:revision>4</cp:revision>
  <cp:lastPrinted>2015-03-20T07:59:00Z</cp:lastPrinted>
  <dcterms:created xsi:type="dcterms:W3CDTF">2018-09-15T09:26:00Z</dcterms:created>
  <dcterms:modified xsi:type="dcterms:W3CDTF">2018-09-15T09:27:00Z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DocumentType">
    <vt:lpwstr>Reg</vt:lpwstr>
  </property>
  <property fmtid="{D5CDD505-2E9C-101B-9397-08002B2CF9AE}" pid="4" name="OwlsUID">
    <vt:i4>4701</vt:i4>
  </property>
  <property fmtid="{D5CDD505-2E9C-101B-9397-08002B2CF9AE}" pid="5" name="ReprintNo">
    <vt:lpwstr>11</vt:lpwstr>
  </property>
  <property fmtid="{D5CDD505-2E9C-101B-9397-08002B2CF9AE}" pid="6" name="ReprintedAsAt">
    <vt:filetime>2013-09-12T16:00:00Z</vt:filetime>
  </property>
  <property fmtid="{D5CDD505-2E9C-101B-9397-08002B2CF9AE}" pid="7" name="AsAtDate">
    <vt:lpwstr>01 Jul 2015</vt:lpwstr>
  </property>
  <property fmtid="{D5CDD505-2E9C-101B-9397-08002B2CF9AE}" pid="8" name="Suffix">
    <vt:lpwstr>11-j0-02</vt:lpwstr>
  </property>
  <property fmtid="{D5CDD505-2E9C-101B-9397-08002B2CF9AE}" pid="9" name="CommencementDate">
    <vt:lpwstr>20150701</vt:lpwstr>
  </property>
</Properties>
</file>