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_Toc423508023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_Toc423508024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Categories of events</w:t>
      </w:r>
      <w:r>
        <w:tab/>
      </w:r>
      <w:r>
        <w:fldChar w:fldCharType="begin"/>
      </w:r>
      <w:r>
        <w:instrText xml:space="preserve"> PAGEREF _Toc423508025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Approvals</w:t>
      </w:r>
      <w:r>
        <w:tab/>
      </w:r>
      <w:r>
        <w:fldChar w:fldCharType="begin"/>
      </w:r>
      <w:r>
        <w:instrText xml:space="preserve"> PAGEREF _Toc423508026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Occupier’s consent</w:t>
      </w:r>
      <w:r>
        <w:tab/>
      </w:r>
      <w:r>
        <w:fldChar w:fldCharType="begin"/>
      </w:r>
      <w:r>
        <w:instrText xml:space="preserve"> PAGEREF _Toc423508027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order</w:t>
      </w:r>
      <w:r>
        <w:tab/>
      </w:r>
      <w:r>
        <w:fldChar w:fldCharType="begin"/>
      </w:r>
      <w:r>
        <w:instrText xml:space="preserve"> PAGEREF _Toc423508028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making application</w:t>
      </w:r>
      <w:r>
        <w:tab/>
      </w:r>
      <w:r>
        <w:fldChar w:fldCharType="begin"/>
      </w:r>
      <w:r>
        <w:instrText xml:space="preserve"> PAGEREF _Toc423508029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w:t>
      </w:r>
      <w:r>
        <w:tab/>
      </w:r>
      <w:r>
        <w:fldChar w:fldCharType="begin"/>
      </w:r>
      <w:r>
        <w:instrText xml:space="preserve"> PAGEREF _Toc423508030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Erection of barriers, signs and other equipment</w:t>
      </w:r>
      <w:r>
        <w:tab/>
      </w:r>
      <w:r>
        <w:fldChar w:fldCharType="begin"/>
      </w:r>
      <w:r>
        <w:instrText xml:space="preserve"> PAGEREF _Toc423508031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_Toc423508032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_Toc423508035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3" w:name="_Toc407194575"/>
      <w:bookmarkStart w:id="4" w:name="_Toc423508023"/>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5" w:name="_Toc407194576"/>
      <w:bookmarkStart w:id="6" w:name="_Toc42350802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07194577"/>
      <w:bookmarkStart w:id="8" w:name="_Toc423508025"/>
      <w:r>
        <w:rPr>
          <w:rStyle w:val="CharSectno"/>
        </w:rPr>
        <w:t>3</w:t>
      </w:r>
      <w:r>
        <w:rPr>
          <w:snapToGrid w:val="0"/>
        </w:rPr>
        <w:t>.</w:t>
      </w:r>
      <w:r>
        <w:rPr>
          <w:snapToGrid w:val="0"/>
        </w:rPr>
        <w:tab/>
        <w:t>Categories of events</w:t>
      </w:r>
      <w:bookmarkEnd w:id="7"/>
      <w:bookmarkEnd w:id="8"/>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in Gazette 28 Nov 2006 p. 4913; 10 Jun 2008 p. 2460.]</w:t>
      </w:r>
    </w:p>
    <w:p>
      <w:pPr>
        <w:pStyle w:val="Heading5"/>
        <w:rPr>
          <w:snapToGrid w:val="0"/>
        </w:rPr>
      </w:pPr>
      <w:bookmarkStart w:id="9" w:name="_Toc407194578"/>
      <w:bookmarkStart w:id="10" w:name="_Toc423508026"/>
      <w:r>
        <w:rPr>
          <w:rStyle w:val="CharSectno"/>
        </w:rPr>
        <w:t>4</w:t>
      </w:r>
      <w:r>
        <w:rPr>
          <w:snapToGrid w:val="0"/>
        </w:rPr>
        <w:t>.</w:t>
      </w:r>
      <w:r>
        <w:rPr>
          <w:snapToGrid w:val="0"/>
        </w:rPr>
        <w:tab/>
        <w:t>Approvals</w:t>
      </w:r>
      <w:bookmarkEnd w:id="9"/>
      <w:bookmarkEnd w:id="10"/>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bookmarkStart w:id="11" w:name="_Toc407194579"/>
      <w:r>
        <w:tab/>
        <w:t>[Regulation 4 amended in Gazette 23 Dec 2014 p. 4931 and 4932.]</w:t>
      </w:r>
    </w:p>
    <w:p>
      <w:pPr>
        <w:pStyle w:val="Heading5"/>
        <w:rPr>
          <w:snapToGrid w:val="0"/>
        </w:rPr>
      </w:pPr>
      <w:bookmarkStart w:id="12" w:name="_Toc423508027"/>
      <w:r>
        <w:rPr>
          <w:rStyle w:val="CharSectno"/>
        </w:rPr>
        <w:t>5</w:t>
      </w:r>
      <w:r>
        <w:rPr>
          <w:snapToGrid w:val="0"/>
        </w:rPr>
        <w:t>.</w:t>
      </w:r>
      <w:r>
        <w:rPr>
          <w:snapToGrid w:val="0"/>
        </w:rPr>
        <w:tab/>
        <w:t>Occupier’s consent</w:t>
      </w:r>
      <w:bookmarkEnd w:id="11"/>
      <w:bookmarkEnd w:id="12"/>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3" w:name="_Toc407194580"/>
      <w:bookmarkStart w:id="14" w:name="_Toc423508028"/>
      <w:r>
        <w:rPr>
          <w:rStyle w:val="CharSectno"/>
        </w:rPr>
        <w:t>6</w:t>
      </w:r>
      <w:r>
        <w:rPr>
          <w:snapToGrid w:val="0"/>
        </w:rPr>
        <w:t>.</w:t>
      </w:r>
      <w:r>
        <w:rPr>
          <w:snapToGrid w:val="0"/>
        </w:rPr>
        <w:tab/>
        <w:t>Application for order</w:t>
      </w:r>
      <w:bookmarkEnd w:id="13"/>
      <w:bookmarkEnd w:id="14"/>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zTHeadingNAm"/>
      </w:pPr>
      <w:r>
        <w:t>Table</w:t>
      </w: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7"/>
      </w:tblGrid>
      <w:tr>
        <w:trPr>
          <w:tblHeader/>
        </w:trPr>
        <w:tc>
          <w:tcPr>
            <w:tcW w:w="2126" w:type="dxa"/>
          </w:tcPr>
          <w:p>
            <w:pPr>
              <w:pStyle w:val="TableNAm"/>
              <w:jc w:val="center"/>
            </w:pPr>
            <w:r>
              <w:rPr>
                <w:b/>
                <w:bCs/>
              </w:rPr>
              <w:t>Category event</w:t>
            </w:r>
          </w:p>
        </w:tc>
        <w:tc>
          <w:tcPr>
            <w:tcW w:w="2127" w:type="dxa"/>
          </w:tcPr>
          <w:p>
            <w:pPr>
              <w:pStyle w:val="TableNAm"/>
              <w:jc w:val="center"/>
            </w:pPr>
            <w:r>
              <w:rPr>
                <w:b/>
                <w:bCs/>
              </w:rPr>
              <w:t>Fee</w:t>
            </w:r>
            <w:r>
              <w:rPr>
                <w:b/>
                <w:bCs/>
              </w:rPr>
              <w:br/>
              <w:t>$</w:t>
            </w:r>
          </w:p>
        </w:tc>
      </w:tr>
      <w:tr>
        <w:tc>
          <w:tcPr>
            <w:tcW w:w="2126" w:type="dxa"/>
          </w:tcPr>
          <w:p>
            <w:pPr>
              <w:pStyle w:val="TableNAm"/>
            </w:pPr>
            <w:r>
              <w:t>Category 1 event</w:t>
            </w:r>
          </w:p>
        </w:tc>
        <w:tc>
          <w:tcPr>
            <w:tcW w:w="2127" w:type="dxa"/>
          </w:tcPr>
          <w:p>
            <w:pPr>
              <w:pStyle w:val="TableNAm"/>
              <w:jc w:val="center"/>
            </w:pPr>
            <w:r>
              <w:t>197.40</w:t>
            </w:r>
          </w:p>
        </w:tc>
      </w:tr>
      <w:tr>
        <w:tc>
          <w:tcPr>
            <w:tcW w:w="2126" w:type="dxa"/>
          </w:tcPr>
          <w:p>
            <w:pPr>
              <w:pStyle w:val="TableNAm"/>
            </w:pPr>
            <w:r>
              <w:t>Category 2 event</w:t>
            </w:r>
          </w:p>
        </w:tc>
        <w:tc>
          <w:tcPr>
            <w:tcW w:w="2127" w:type="dxa"/>
          </w:tcPr>
          <w:p>
            <w:pPr>
              <w:pStyle w:val="TableNAm"/>
              <w:jc w:val="center"/>
            </w:pPr>
            <w:r>
              <w:t>118.70</w:t>
            </w:r>
          </w:p>
        </w:tc>
      </w:tr>
      <w:tr>
        <w:tc>
          <w:tcPr>
            <w:tcW w:w="2126" w:type="dxa"/>
          </w:tcPr>
          <w:p>
            <w:pPr>
              <w:pStyle w:val="TableNAm"/>
            </w:pPr>
            <w:r>
              <w:t>Category 3 event</w:t>
            </w:r>
          </w:p>
        </w:tc>
        <w:tc>
          <w:tcPr>
            <w:tcW w:w="2127" w:type="dxa"/>
          </w:tcPr>
          <w:p>
            <w:pPr>
              <w:pStyle w:val="TableNAm"/>
              <w:jc w:val="center"/>
            </w:pPr>
            <w:r>
              <w:t>79.80</w:t>
            </w:r>
          </w:p>
        </w:tc>
      </w:tr>
      <w:tr>
        <w:tc>
          <w:tcPr>
            <w:tcW w:w="2126" w:type="dxa"/>
          </w:tcPr>
          <w:p>
            <w:pPr>
              <w:pStyle w:val="TableNAm"/>
            </w:pPr>
            <w:r>
              <w:t>Category 4 event</w:t>
            </w:r>
          </w:p>
        </w:tc>
        <w:tc>
          <w:tcPr>
            <w:tcW w:w="2127" w:type="dxa"/>
          </w:tcPr>
          <w:p>
            <w:pPr>
              <w:pStyle w:val="TableNAm"/>
              <w:jc w:val="center"/>
            </w:pPr>
            <w:r>
              <w:t>79.80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 23 Dec 2014 p. 4931; 2 Jun 2015 p. 1946.]</w:t>
      </w:r>
    </w:p>
    <w:p>
      <w:pPr>
        <w:pStyle w:val="Heading5"/>
        <w:rPr>
          <w:snapToGrid w:val="0"/>
        </w:rPr>
      </w:pPr>
      <w:bookmarkStart w:id="15" w:name="_Toc407194581"/>
      <w:bookmarkStart w:id="16" w:name="_Toc423508029"/>
      <w:r>
        <w:rPr>
          <w:rStyle w:val="CharSectno"/>
        </w:rPr>
        <w:t>7</w:t>
      </w:r>
      <w:r>
        <w:rPr>
          <w:snapToGrid w:val="0"/>
        </w:rPr>
        <w:t>.</w:t>
      </w:r>
      <w:r>
        <w:rPr>
          <w:snapToGrid w:val="0"/>
        </w:rPr>
        <w:tab/>
        <w:t>Time for making application</w:t>
      </w:r>
      <w:bookmarkEnd w:id="15"/>
      <w:bookmarkEnd w:id="16"/>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in Gazette 10 Jun 2008 p. 2460.]</w:t>
      </w:r>
    </w:p>
    <w:p>
      <w:pPr>
        <w:pStyle w:val="Heading5"/>
        <w:rPr>
          <w:snapToGrid w:val="0"/>
        </w:rPr>
      </w:pPr>
      <w:bookmarkStart w:id="17" w:name="_Toc407194582"/>
      <w:bookmarkStart w:id="18" w:name="_Toc423508030"/>
      <w:r>
        <w:rPr>
          <w:rStyle w:val="CharSectno"/>
        </w:rPr>
        <w:t>8</w:t>
      </w:r>
      <w:r>
        <w:rPr>
          <w:snapToGrid w:val="0"/>
        </w:rPr>
        <w:t>.</w:t>
      </w:r>
      <w:r>
        <w:rPr>
          <w:snapToGrid w:val="0"/>
        </w:rPr>
        <w:tab/>
        <w:t>Order</w:t>
      </w:r>
      <w:bookmarkEnd w:id="17"/>
      <w:bookmarkEnd w:id="18"/>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in Gazette 10 Jun 2008 p. 2460; 23 Dec 2014 p. 4932.]</w:t>
      </w:r>
    </w:p>
    <w:p>
      <w:pPr>
        <w:pStyle w:val="Heading5"/>
        <w:rPr>
          <w:snapToGrid w:val="0"/>
        </w:rPr>
      </w:pPr>
      <w:bookmarkStart w:id="19" w:name="_Toc407194583"/>
      <w:bookmarkStart w:id="20" w:name="_Toc423508031"/>
      <w:r>
        <w:rPr>
          <w:rStyle w:val="CharSectno"/>
        </w:rPr>
        <w:t>9</w:t>
      </w:r>
      <w:r>
        <w:rPr>
          <w:snapToGrid w:val="0"/>
        </w:rPr>
        <w:t>.</w:t>
      </w:r>
      <w:r>
        <w:rPr>
          <w:snapToGrid w:val="0"/>
        </w:rPr>
        <w:tab/>
        <w:t>Erection of barriers, signs and other equipment</w:t>
      </w:r>
      <w:bookmarkEnd w:id="19"/>
      <w:bookmarkEnd w:id="20"/>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in Gazette 10 Jun 2008 p. 2461; 23 Dec 2014 p. 4932.]</w:t>
      </w:r>
    </w:p>
    <w:p>
      <w:pPr>
        <w:pStyle w:val="Heading5"/>
        <w:rPr>
          <w:snapToGrid w:val="0"/>
        </w:rPr>
      </w:pPr>
      <w:bookmarkStart w:id="21" w:name="_Toc407194584"/>
      <w:bookmarkStart w:id="22" w:name="_Toc423508032"/>
      <w:r>
        <w:rPr>
          <w:rStyle w:val="CharSectno"/>
        </w:rPr>
        <w:t>10</w:t>
      </w:r>
      <w:r>
        <w:rPr>
          <w:snapToGrid w:val="0"/>
        </w:rPr>
        <w:t>.</w:t>
      </w:r>
      <w:r>
        <w:rPr>
          <w:snapToGrid w:val="0"/>
        </w:rPr>
        <w:tab/>
        <w:t>Offences</w:t>
      </w:r>
      <w:bookmarkEnd w:id="21"/>
      <w:bookmarkEnd w:id="2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3" w:name="_Toc407194585"/>
      <w:bookmarkStart w:id="24" w:name="_Toc417032787"/>
      <w:bookmarkStart w:id="25" w:name="_Toc417032805"/>
      <w:bookmarkStart w:id="26" w:name="_Toc417477724"/>
      <w:bookmarkStart w:id="27" w:name="_Toc417477763"/>
      <w:bookmarkStart w:id="28" w:name="_Toc421023274"/>
      <w:bookmarkStart w:id="29" w:name="_Toc423508033"/>
      <w:r>
        <w:rPr>
          <w:rStyle w:val="CharSchNo"/>
        </w:rPr>
        <w:t>Schedule 1</w:t>
      </w:r>
      <w:bookmarkEnd w:id="23"/>
      <w:bookmarkEnd w:id="24"/>
      <w:bookmarkEnd w:id="25"/>
      <w:bookmarkEnd w:id="26"/>
      <w:bookmarkEnd w:id="27"/>
      <w:bookmarkEnd w:id="28"/>
      <w:bookmarkEnd w:id="29"/>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in Gazette 22 Feb 1991 p. 909</w:t>
      </w:r>
      <w:r>
        <w:noBreakHyphen/>
        <w:t>11; amended in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in Gazette 23 Dec 2014 p. 4932 and 4933.]</w:t>
      </w:r>
    </w:p>
    <w:p>
      <w:pPr>
        <w:pStyle w:val="yEdnoteschedule"/>
      </w:pPr>
      <w:r>
        <w:t>[Schedule 2 deleted in Gazette 28 Nov 2006 p. 4913.]</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31" w:name="_Toc407194586"/>
      <w:bookmarkStart w:id="32" w:name="_Toc417032788"/>
      <w:bookmarkStart w:id="33" w:name="_Toc417032806"/>
      <w:bookmarkStart w:id="34" w:name="_Toc417477725"/>
      <w:bookmarkStart w:id="35" w:name="_Toc417477764"/>
      <w:bookmarkStart w:id="36" w:name="_Toc421023275"/>
      <w:bookmarkStart w:id="37" w:name="_Toc423508034"/>
      <w:r>
        <w:t>Notes</w:t>
      </w:r>
      <w:bookmarkEnd w:id="31"/>
      <w:bookmarkEnd w:id="32"/>
      <w:bookmarkEnd w:id="33"/>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 w:name="_Toc407194587"/>
      <w:bookmarkStart w:id="39" w:name="_Toc423508035"/>
      <w:r>
        <w:rPr>
          <w:snapToGrid w:val="0"/>
        </w:rPr>
        <w:t>Compilation table</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2015</w:t>
            </w:r>
          </w:p>
        </w:tc>
        <w:tc>
          <w:tcPr>
            <w:tcW w:w="1276" w:type="dxa"/>
            <w:tcBorders>
              <w:bottom w:val="single" w:sz="4" w:space="0" w:color="auto"/>
            </w:tcBorders>
          </w:tcPr>
          <w:p>
            <w:pPr>
              <w:pStyle w:val="nTable"/>
              <w:spacing w:before="80" w:after="60"/>
              <w:ind w:right="113"/>
            </w:pPr>
            <w:r>
              <w:t>2 Jun 2015 p. 1946</w:t>
            </w:r>
          </w:p>
        </w:tc>
        <w:tc>
          <w:tcPr>
            <w:tcW w:w="2693" w:type="dxa"/>
            <w:tcBorders>
              <w:bottom w:val="single" w:sz="4" w:space="0" w:color="auto"/>
            </w:tcBorders>
          </w:tcPr>
          <w:p>
            <w:pPr>
              <w:pStyle w:val="nTable"/>
              <w:spacing w:before="80" w:after="60"/>
              <w:ind w:right="113"/>
            </w:pPr>
            <w:r>
              <w:t>r. 1 and 2: 2 Jun 2015 (see r. 2(a));</w:t>
            </w:r>
            <w:r>
              <w:br/>
              <w:t>Regulations other than r. 1 and 2: 1 Jul 2015 (see r. 2(b))</w:t>
            </w:r>
          </w:p>
        </w:tc>
      </w:tr>
    </w:tbl>
    <w:p>
      <w:pPr>
        <w:keepNext/>
      </w:pPr>
    </w:p>
    <w:p>
      <w:pPr>
        <w:keepNext/>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026"/>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2902</Words>
  <Characters>21446</Characters>
  <Application>Microsoft Office Word</Application>
  <DocSecurity>0</DocSecurity>
  <Lines>510</Lines>
  <Paragraphs>347</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24001</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1991 - 02-g0-02</dc:title>
  <dc:subject/>
  <dc:creator/>
  <cp:keywords/>
  <dc:description/>
  <cp:lastModifiedBy>svcMRProcess</cp:lastModifiedBy>
  <cp:revision>4</cp:revision>
  <cp:lastPrinted>2007-02-06T00:52:00Z</cp:lastPrinted>
  <dcterms:created xsi:type="dcterms:W3CDTF">2015-12-01T04:56:00Z</dcterms:created>
  <dcterms:modified xsi:type="dcterms:W3CDTF">2015-12-01T04:56:00Z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AsAtDate">
    <vt:lpwstr>01 Jul 2015</vt:lpwstr>
  </property>
  <property fmtid="{D5CDD505-2E9C-101B-9397-08002B2CF9AE}" pid="7" name="Suffix">
    <vt:lpwstr>02-g0-02</vt:lpwstr>
  </property>
  <property fmtid="{D5CDD505-2E9C-101B-9397-08002B2CF9AE}" pid="8" name="CommencementDate">
    <vt:lpwstr>20150701</vt:lpwstr>
  </property>
</Properties>
</file>