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Liquor Control Act 1988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Act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_Toc423530418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_Toc423530419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_Toc423530420 \h </w:instrText>
      </w:r>
      <w:r>
        <w:fldChar w:fldCharType="separate"/>
      </w:r>
      <w:r>
        <w:t>2</w:t>
      </w:r>
      <w:r>
        <w:fldChar w:fldCharType="end"/>
      </w:r>
    </w:p>
    <w:p>
      <w:pPr>
        <w:pStyle w:val="TOC8"/>
        <w:rPr>
          <w:rFonts w:asciiTheme="minorHAnsi" w:eastAsiaTheme="minorEastAsia" w:hAnsiTheme="minorHAnsi" w:cstheme="minorBidi"/>
          <w:szCs w:val="22"/>
        </w:rPr>
      </w:pPr>
      <w:r>
        <w:t>3A.</w:t>
      </w:r>
      <w:r>
        <w:tab/>
        <w:t>Term used: drunk</w:t>
      </w:r>
      <w:r>
        <w:tab/>
      </w:r>
      <w:r>
        <w:fldChar w:fldCharType="begin"/>
      </w:r>
      <w:r>
        <w:instrText xml:space="preserve"> PAGEREF _Toc423530421 \h </w:instrText>
      </w:r>
      <w:r>
        <w:fldChar w:fldCharType="separate"/>
      </w:r>
      <w:r>
        <w:t>14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Storing and receiving liquor for licensed premises at other premises; records to be kept</w:t>
      </w:r>
      <w:r>
        <w:tab/>
      </w:r>
      <w:r>
        <w:fldChar w:fldCharType="begin"/>
      </w:r>
      <w:r>
        <w:instrText xml:space="preserve"> PAGEREF _Toc423530422 \h </w:instrText>
      </w:r>
      <w:r>
        <w:fldChar w:fldCharType="separate"/>
      </w:r>
      <w:r>
        <w:t>15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Objects of Act</w:t>
      </w:r>
      <w:r>
        <w:tab/>
      </w:r>
      <w:r>
        <w:fldChar w:fldCharType="begin"/>
      </w:r>
      <w:r>
        <w:instrText xml:space="preserve"> PAGEREF _Toc423530423 \h </w:instrText>
      </w:r>
      <w:r>
        <w:fldChar w:fldCharType="separate"/>
      </w:r>
      <w:r>
        <w:t>15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 not to apply in certain cases</w:t>
      </w:r>
      <w:r>
        <w:tab/>
      </w:r>
      <w:r>
        <w:fldChar w:fldCharType="begin"/>
      </w:r>
      <w:r>
        <w:instrText xml:space="preserve"> PAGEREF _Toc423530424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2 — The licensing authority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licensing authority</w:t>
      </w:r>
    </w:p>
    <w:p>
      <w:pPr>
        <w:pStyle w:val="TOC8"/>
        <w:rPr>
          <w:rFonts w:asciiTheme="minorHAnsi" w:eastAsiaTheme="minorEastAsia" w:hAnsiTheme="minorHAnsi" w:cstheme="minorBidi"/>
          <w:szCs w:val="22"/>
        </w:rPr>
      </w:pPr>
      <w:r>
        <w:t>7</w:t>
      </w:r>
      <w:r>
        <w:rPr>
          <w:snapToGrid w:val="0"/>
        </w:rPr>
        <w:t>.</w:t>
      </w:r>
      <w:r>
        <w:rPr>
          <w:snapToGrid w:val="0"/>
        </w:rPr>
        <w:tab/>
        <w:t>Constitution and jurisdiction of licensing authority</w:t>
      </w:r>
      <w:r>
        <w:tab/>
      </w:r>
      <w:r>
        <w:fldChar w:fldCharType="begin"/>
      </w:r>
      <w:r>
        <w:instrText xml:space="preserve"> PAGEREF _Toc423530427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The Liquor Commission</w:t>
      </w:r>
    </w:p>
    <w:p>
      <w:pPr>
        <w:pStyle w:val="TOC8"/>
        <w:rPr>
          <w:rFonts w:asciiTheme="minorHAnsi" w:eastAsiaTheme="minorEastAsia" w:hAnsiTheme="minorHAnsi" w:cstheme="minorBidi"/>
          <w:szCs w:val="22"/>
        </w:rPr>
      </w:pPr>
      <w:r>
        <w:t>8.</w:t>
      </w:r>
      <w:r>
        <w:tab/>
        <w:t>Commission established</w:t>
      </w:r>
      <w:r>
        <w:tab/>
      </w:r>
      <w:r>
        <w:fldChar w:fldCharType="begin"/>
      </w:r>
      <w:r>
        <w:instrText xml:space="preserve"> PAGEREF _Toc423530429 \h </w:instrText>
      </w:r>
      <w:r>
        <w:fldChar w:fldCharType="separate"/>
      </w:r>
      <w:r>
        <w:t>19</w:t>
      </w:r>
      <w:r>
        <w:fldChar w:fldCharType="end"/>
      </w:r>
    </w:p>
    <w:p>
      <w:pPr>
        <w:pStyle w:val="TOC8"/>
        <w:rPr>
          <w:rFonts w:asciiTheme="minorHAnsi" w:eastAsiaTheme="minorEastAsia" w:hAnsiTheme="minorHAnsi" w:cstheme="minorBidi"/>
          <w:szCs w:val="22"/>
        </w:rPr>
      </w:pPr>
      <w:r>
        <w:t>9.</w:t>
      </w:r>
      <w:r>
        <w:tab/>
        <w:t>Jurisdiction of Commission</w:t>
      </w:r>
      <w:r>
        <w:tab/>
      </w:r>
      <w:r>
        <w:fldChar w:fldCharType="begin"/>
      </w:r>
      <w:r>
        <w:instrText xml:space="preserve"> PAGEREF _Toc423530430 \h </w:instrText>
      </w:r>
      <w:r>
        <w:fldChar w:fldCharType="separate"/>
      </w:r>
      <w:r>
        <w:t>20</w:t>
      </w:r>
      <w:r>
        <w:fldChar w:fldCharType="end"/>
      </w:r>
    </w:p>
    <w:p>
      <w:pPr>
        <w:pStyle w:val="TOC8"/>
        <w:rPr>
          <w:rFonts w:asciiTheme="minorHAnsi" w:eastAsiaTheme="minorEastAsia" w:hAnsiTheme="minorHAnsi" w:cstheme="minorBidi"/>
          <w:szCs w:val="22"/>
        </w:rPr>
      </w:pPr>
      <w:r>
        <w:t>9A.</w:t>
      </w:r>
      <w:r>
        <w:tab/>
        <w:t>Constitution of Commission</w:t>
      </w:r>
      <w:r>
        <w:tab/>
      </w:r>
      <w:r>
        <w:fldChar w:fldCharType="begin"/>
      </w:r>
      <w:r>
        <w:instrText xml:space="preserve"> PAGEREF _Toc423530431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2A — Members of the Commission</w:t>
      </w:r>
    </w:p>
    <w:p>
      <w:pPr>
        <w:pStyle w:val="TOC8"/>
        <w:rPr>
          <w:rFonts w:asciiTheme="minorHAnsi" w:eastAsiaTheme="minorEastAsia" w:hAnsiTheme="minorHAnsi" w:cstheme="minorBidi"/>
          <w:szCs w:val="22"/>
        </w:rPr>
      </w:pPr>
      <w:r>
        <w:t>9B.</w:t>
      </w:r>
      <w:r>
        <w:tab/>
        <w:t>Commission members</w:t>
      </w:r>
      <w:r>
        <w:tab/>
      </w:r>
      <w:r>
        <w:fldChar w:fldCharType="begin"/>
      </w:r>
      <w:r>
        <w:instrText xml:space="preserve"> PAGEREF _Toc423530433 \h </w:instrText>
      </w:r>
      <w:r>
        <w:fldChar w:fldCharType="separate"/>
      </w:r>
      <w:r>
        <w:t>20</w:t>
      </w:r>
      <w:r>
        <w:fldChar w:fldCharType="end"/>
      </w:r>
    </w:p>
    <w:p>
      <w:pPr>
        <w:pStyle w:val="TOC8"/>
        <w:rPr>
          <w:rFonts w:asciiTheme="minorHAnsi" w:eastAsiaTheme="minorEastAsia" w:hAnsiTheme="minorHAnsi" w:cstheme="minorBidi"/>
          <w:szCs w:val="22"/>
        </w:rPr>
      </w:pPr>
      <w:r>
        <w:t>9C.</w:t>
      </w:r>
      <w:r>
        <w:tab/>
        <w:t>Tenure of office</w:t>
      </w:r>
      <w:r>
        <w:tab/>
      </w:r>
      <w:r>
        <w:fldChar w:fldCharType="begin"/>
      </w:r>
      <w:r>
        <w:instrText xml:space="preserve"> PAGEREF _Toc423530434 \h </w:instrText>
      </w:r>
      <w:r>
        <w:fldChar w:fldCharType="separate"/>
      </w:r>
      <w:r>
        <w:t>21</w:t>
      </w:r>
      <w:r>
        <w:fldChar w:fldCharType="end"/>
      </w:r>
    </w:p>
    <w:p>
      <w:pPr>
        <w:pStyle w:val="TOC8"/>
        <w:rPr>
          <w:rFonts w:asciiTheme="minorHAnsi" w:eastAsiaTheme="minorEastAsia" w:hAnsiTheme="minorHAnsi" w:cstheme="minorBidi"/>
          <w:szCs w:val="22"/>
        </w:rPr>
      </w:pPr>
      <w:r>
        <w:t>9D.</w:t>
      </w:r>
      <w:r>
        <w:tab/>
        <w:t>Deputy chairperson</w:t>
      </w:r>
      <w:r>
        <w:tab/>
      </w:r>
      <w:r>
        <w:fldChar w:fldCharType="begin"/>
      </w:r>
      <w:r>
        <w:instrText xml:space="preserve"> PAGEREF _Toc423530435 \h </w:instrText>
      </w:r>
      <w:r>
        <w:fldChar w:fldCharType="separate"/>
      </w:r>
      <w:r>
        <w:t>21</w:t>
      </w:r>
      <w:r>
        <w:fldChar w:fldCharType="end"/>
      </w:r>
    </w:p>
    <w:p>
      <w:pPr>
        <w:pStyle w:val="TOC8"/>
        <w:rPr>
          <w:rFonts w:asciiTheme="minorHAnsi" w:eastAsiaTheme="minorEastAsia" w:hAnsiTheme="minorHAnsi" w:cstheme="minorBidi"/>
          <w:szCs w:val="22"/>
        </w:rPr>
      </w:pPr>
      <w:r>
        <w:t>9E.</w:t>
      </w:r>
      <w:r>
        <w:tab/>
        <w:t>Removal or resignation</w:t>
      </w:r>
      <w:r>
        <w:tab/>
      </w:r>
      <w:r>
        <w:fldChar w:fldCharType="begin"/>
      </w:r>
      <w:r>
        <w:instrText xml:space="preserve"> PAGEREF _Toc423530436 \h </w:instrText>
      </w:r>
      <w:r>
        <w:fldChar w:fldCharType="separate"/>
      </w:r>
      <w:r>
        <w:t>22</w:t>
      </w:r>
      <w:r>
        <w:fldChar w:fldCharType="end"/>
      </w:r>
    </w:p>
    <w:p>
      <w:pPr>
        <w:pStyle w:val="TOC8"/>
        <w:rPr>
          <w:rFonts w:asciiTheme="minorHAnsi" w:eastAsiaTheme="minorEastAsia" w:hAnsiTheme="minorHAnsi" w:cstheme="minorBidi"/>
          <w:szCs w:val="22"/>
        </w:rPr>
      </w:pPr>
      <w:r>
        <w:t>9F.</w:t>
      </w:r>
      <w:r>
        <w:tab/>
        <w:t>Leave of absence</w:t>
      </w:r>
      <w:r>
        <w:tab/>
      </w:r>
      <w:r>
        <w:fldChar w:fldCharType="begin"/>
      </w:r>
      <w:r>
        <w:instrText xml:space="preserve"> PAGEREF _Toc423530437 \h </w:instrText>
      </w:r>
      <w:r>
        <w:fldChar w:fldCharType="separate"/>
      </w:r>
      <w:r>
        <w:t>22</w:t>
      </w:r>
      <w:r>
        <w:fldChar w:fldCharType="end"/>
      </w:r>
    </w:p>
    <w:p>
      <w:pPr>
        <w:pStyle w:val="TOC8"/>
        <w:rPr>
          <w:rFonts w:asciiTheme="minorHAnsi" w:eastAsiaTheme="minorEastAsia" w:hAnsiTheme="minorHAnsi" w:cstheme="minorBidi"/>
          <w:szCs w:val="22"/>
        </w:rPr>
      </w:pPr>
      <w:r>
        <w:t>9G.</w:t>
      </w:r>
      <w:r>
        <w:tab/>
        <w:t>Member whose term has expired may continue in office</w:t>
      </w:r>
      <w:r>
        <w:tab/>
      </w:r>
      <w:r>
        <w:fldChar w:fldCharType="begin"/>
      </w:r>
      <w:r>
        <w:instrText xml:space="preserve"> PAGEREF _Toc423530438 \h </w:instrText>
      </w:r>
      <w:r>
        <w:fldChar w:fldCharType="separate"/>
      </w:r>
      <w:r>
        <w:t>22</w:t>
      </w:r>
      <w:r>
        <w:fldChar w:fldCharType="end"/>
      </w:r>
    </w:p>
    <w:p>
      <w:pPr>
        <w:pStyle w:val="TOC8"/>
        <w:rPr>
          <w:rFonts w:asciiTheme="minorHAnsi" w:eastAsiaTheme="minorEastAsia" w:hAnsiTheme="minorHAnsi" w:cstheme="minorBidi"/>
          <w:szCs w:val="22"/>
        </w:rPr>
      </w:pPr>
      <w:r>
        <w:t>9H.</w:t>
      </w:r>
      <w:r>
        <w:tab/>
        <w:t>Remuneration and conditions of office</w:t>
      </w:r>
      <w:r>
        <w:tab/>
      </w:r>
      <w:r>
        <w:fldChar w:fldCharType="begin"/>
      </w:r>
      <w:r>
        <w:instrText xml:space="preserve"> PAGEREF _Toc423530439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2B — Other matters</w:t>
      </w:r>
    </w:p>
    <w:p>
      <w:pPr>
        <w:pStyle w:val="TOC8"/>
        <w:rPr>
          <w:rFonts w:asciiTheme="minorHAnsi" w:eastAsiaTheme="minorEastAsia" w:hAnsiTheme="minorHAnsi" w:cstheme="minorBidi"/>
          <w:szCs w:val="22"/>
        </w:rPr>
      </w:pPr>
      <w:r>
        <w:t>9I.</w:t>
      </w:r>
      <w:r>
        <w:tab/>
        <w:t>Decisions of Commission to be written etc.</w:t>
      </w:r>
      <w:r>
        <w:tab/>
      </w:r>
      <w:r>
        <w:fldChar w:fldCharType="begin"/>
      </w:r>
      <w:r>
        <w:instrText xml:space="preserve"> PAGEREF _Toc423530441 \h </w:instrText>
      </w:r>
      <w:r>
        <w:fldChar w:fldCharType="separate"/>
      </w:r>
      <w:r>
        <w:t>23</w:t>
      </w:r>
      <w:r>
        <w:fldChar w:fldCharType="end"/>
      </w:r>
    </w:p>
    <w:p>
      <w:pPr>
        <w:pStyle w:val="TOC8"/>
        <w:rPr>
          <w:rFonts w:asciiTheme="minorHAnsi" w:eastAsiaTheme="minorEastAsia" w:hAnsiTheme="minorHAnsi" w:cstheme="minorBidi"/>
          <w:szCs w:val="22"/>
        </w:rPr>
      </w:pPr>
      <w:r>
        <w:t>9J.</w:t>
      </w:r>
      <w:r>
        <w:tab/>
        <w:t>Seal of Commission</w:t>
      </w:r>
      <w:r>
        <w:tab/>
      </w:r>
      <w:r>
        <w:fldChar w:fldCharType="begin"/>
      </w:r>
      <w:r>
        <w:instrText xml:space="preserve"> PAGEREF _Toc423530442 \h </w:instrText>
      </w:r>
      <w:r>
        <w:fldChar w:fldCharType="separate"/>
      </w:r>
      <w:r>
        <w:t>23</w:t>
      </w:r>
      <w:r>
        <w:fldChar w:fldCharType="end"/>
      </w:r>
    </w:p>
    <w:p>
      <w:pPr>
        <w:pStyle w:val="TOC8"/>
        <w:rPr>
          <w:rFonts w:asciiTheme="minorHAnsi" w:eastAsiaTheme="minorEastAsia" w:hAnsiTheme="minorHAnsi" w:cstheme="minorBidi"/>
          <w:szCs w:val="22"/>
        </w:rPr>
      </w:pPr>
      <w:r>
        <w:t>9K.</w:t>
      </w:r>
      <w:r>
        <w:tab/>
        <w:t>Annual reports by Commission</w:t>
      </w:r>
      <w:r>
        <w:tab/>
      </w:r>
      <w:r>
        <w:fldChar w:fldCharType="begin"/>
      </w:r>
      <w:r>
        <w:instrText xml:space="preserve"> PAGEREF _Toc423530443 \h </w:instrText>
      </w:r>
      <w:r>
        <w:fldChar w:fldCharType="separate"/>
      </w:r>
      <w:r>
        <w:t>24</w:t>
      </w:r>
      <w:r>
        <w:fldChar w:fldCharType="end"/>
      </w:r>
    </w:p>
    <w:p>
      <w:pPr>
        <w:pStyle w:val="TOC8"/>
        <w:rPr>
          <w:rFonts w:asciiTheme="minorHAnsi" w:eastAsiaTheme="minorEastAsia" w:hAnsiTheme="minorHAnsi" w:cstheme="minorBidi"/>
          <w:szCs w:val="22"/>
        </w:rPr>
      </w:pPr>
      <w:r>
        <w:t>9L.</w:t>
      </w:r>
      <w:r>
        <w:tab/>
        <w:t>Laying annual report before House of Parliament not sitting</w:t>
      </w:r>
      <w:r>
        <w:tab/>
      </w:r>
      <w:r>
        <w:fldChar w:fldCharType="begin"/>
      </w:r>
      <w:r>
        <w:instrText xml:space="preserve"> PAGEREF _Toc423530444 \h </w:instrText>
      </w:r>
      <w:r>
        <w:fldChar w:fldCharType="separate"/>
      </w:r>
      <w:r>
        <w:t>25</w:t>
      </w:r>
      <w:r>
        <w:fldChar w:fldCharType="end"/>
      </w:r>
    </w:p>
    <w:p>
      <w:pPr>
        <w:pStyle w:val="TOC8"/>
        <w:rPr>
          <w:rFonts w:asciiTheme="minorHAnsi" w:eastAsiaTheme="minorEastAsia" w:hAnsiTheme="minorHAnsi" w:cstheme="minorBidi"/>
          <w:szCs w:val="22"/>
        </w:rPr>
      </w:pPr>
      <w:r>
        <w:t>9M.</w:t>
      </w:r>
      <w:r>
        <w:tab/>
        <w:t>Protection and immunity of members, parties etc.</w:t>
      </w:r>
      <w:r>
        <w:tab/>
      </w:r>
      <w:r>
        <w:fldChar w:fldCharType="begin"/>
      </w:r>
      <w:r>
        <w:instrText xml:space="preserve"> PAGEREF _Toc423530445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The Director of Liquor Licensing</w:t>
      </w:r>
    </w:p>
    <w:p>
      <w:pPr>
        <w:pStyle w:val="TOC8"/>
        <w:rPr>
          <w:rFonts w:asciiTheme="minorHAnsi" w:eastAsiaTheme="minorEastAsia" w:hAnsiTheme="minorHAnsi" w:cstheme="minorBidi"/>
          <w:szCs w:val="22"/>
        </w:rPr>
      </w:pPr>
      <w:r>
        <w:t>13</w:t>
      </w:r>
      <w:r>
        <w:rPr>
          <w:snapToGrid w:val="0"/>
        </w:rPr>
        <w:t>.</w:t>
      </w:r>
      <w:r>
        <w:rPr>
          <w:snapToGrid w:val="0"/>
        </w:rPr>
        <w:tab/>
        <w:t>Functions of and hearings by Director</w:t>
      </w:r>
      <w:r>
        <w:tab/>
      </w:r>
      <w:r>
        <w:fldChar w:fldCharType="begin"/>
      </w:r>
      <w:r>
        <w:instrText xml:space="preserve"> PAGEREF _Toc423530447 \h </w:instrText>
      </w:r>
      <w:r>
        <w:fldChar w:fldCharType="separate"/>
      </w:r>
      <w:r>
        <w:t>26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Inspectors etc., appointment of etc.</w:t>
      </w:r>
      <w:r>
        <w:tab/>
      </w:r>
      <w:r>
        <w:fldChar w:fldCharType="begin"/>
      </w:r>
      <w:r>
        <w:instrText xml:space="preserve"> PAGEREF _Toc423530448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Other staff of the licensing authority</w:t>
      </w:r>
    </w:p>
    <w:p>
      <w:pPr>
        <w:pStyle w:val="TOC8"/>
        <w:rPr>
          <w:rFonts w:asciiTheme="minorHAnsi" w:eastAsiaTheme="minorEastAsia" w:hAnsiTheme="minorHAnsi" w:cstheme="minorBidi"/>
          <w:szCs w:val="22"/>
        </w:rPr>
      </w:pPr>
      <w:r>
        <w:t>15</w:t>
      </w:r>
      <w:r>
        <w:rPr>
          <w:snapToGrid w:val="0"/>
        </w:rPr>
        <w:t>.</w:t>
      </w:r>
      <w:r>
        <w:rPr>
          <w:snapToGrid w:val="0"/>
        </w:rPr>
        <w:tab/>
        <w:t>Director may delegate etc.</w:t>
      </w:r>
      <w:r>
        <w:tab/>
      </w:r>
      <w:r>
        <w:fldChar w:fldCharType="begin"/>
      </w:r>
      <w:r>
        <w:instrText xml:space="preserve"> PAGEREF _Toc423530450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Proceedings before the licensing authority</w:t>
      </w:r>
    </w:p>
    <w:p>
      <w:pPr>
        <w:pStyle w:val="TOC8"/>
        <w:rPr>
          <w:rFonts w:asciiTheme="minorHAnsi" w:eastAsiaTheme="minorEastAsia" w:hAnsiTheme="minorHAnsi" w:cstheme="minorBidi"/>
          <w:szCs w:val="22"/>
        </w:rPr>
      </w:pPr>
      <w:r>
        <w:t>16</w:t>
      </w:r>
      <w:r>
        <w:rPr>
          <w:snapToGrid w:val="0"/>
        </w:rPr>
        <w:t>.</w:t>
      </w:r>
      <w:r>
        <w:rPr>
          <w:snapToGrid w:val="0"/>
        </w:rPr>
        <w:tab/>
        <w:t>Procedure, sittings, use of experts, evidentiary rules etc.</w:t>
      </w:r>
      <w:r>
        <w:tab/>
      </w:r>
      <w:r>
        <w:fldChar w:fldCharType="begin"/>
      </w:r>
      <w:r>
        <w:instrText xml:space="preserve"> PAGEREF _Toc423530452 \h </w:instrText>
      </w:r>
      <w:r>
        <w:fldChar w:fldCharType="separate"/>
      </w:r>
      <w:r>
        <w:t>29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Representation of parties</w:t>
      </w:r>
      <w:r>
        <w:tab/>
      </w:r>
      <w:r>
        <w:fldChar w:fldCharType="begin"/>
      </w:r>
      <w:r>
        <w:instrText xml:space="preserve"> PAGEREF _Toc423530453 \h </w:instrText>
      </w:r>
      <w:r>
        <w:fldChar w:fldCharType="separate"/>
      </w:r>
      <w:r>
        <w:t>33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Witnesses and evidence, powers to summon etc.</w:t>
      </w:r>
      <w:r>
        <w:tab/>
      </w:r>
      <w:r>
        <w:fldChar w:fldCharType="begin"/>
      </w:r>
      <w:r>
        <w:instrText xml:space="preserve"> PAGEREF _Toc423530454 \h </w:instrText>
      </w:r>
      <w:r>
        <w:fldChar w:fldCharType="separate"/>
      </w:r>
      <w:r>
        <w:t>33</w:t>
      </w:r>
      <w:r>
        <w:fldChar w:fldCharType="end"/>
      </w:r>
    </w:p>
    <w:p>
      <w:pPr>
        <w:pStyle w:val="TOC8"/>
        <w:rPr>
          <w:rFonts w:asciiTheme="minorHAnsi" w:eastAsiaTheme="minorEastAsia" w:hAnsiTheme="minorHAnsi" w:cstheme="minorBidi"/>
          <w:szCs w:val="22"/>
        </w:rPr>
      </w:pPr>
      <w:r>
        <w:t>18A.</w:t>
      </w:r>
      <w:r>
        <w:tab/>
        <w:t>Enforcing decisions</w:t>
      </w:r>
      <w:r>
        <w:tab/>
      </w:r>
      <w:r>
        <w:fldChar w:fldCharType="begin"/>
      </w:r>
      <w:r>
        <w:instrText xml:space="preserve"> PAGEREF _Toc423530455 \h </w:instrText>
      </w:r>
      <w:r>
        <w:fldChar w:fldCharType="separate"/>
      </w:r>
      <w:r>
        <w:t>35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Enforcing monetary penalties</w:t>
      </w:r>
      <w:r>
        <w:tab/>
      </w:r>
      <w:r>
        <w:fldChar w:fldCharType="begin"/>
      </w:r>
      <w:r>
        <w:instrText xml:space="preserve"> PAGEREF _Toc423530456 \h </w:instrText>
      </w:r>
      <w:r>
        <w:fldChar w:fldCharType="separate"/>
      </w:r>
      <w:r>
        <w:t>35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Contempt etc.</w:t>
      </w:r>
      <w:r>
        <w:tab/>
      </w:r>
      <w:r>
        <w:fldChar w:fldCharType="begin"/>
      </w:r>
      <w:r>
        <w:instrText xml:space="preserve"> PAGEREF _Toc423530457 \h </w:instrText>
      </w:r>
      <w:r>
        <w:fldChar w:fldCharType="separate"/>
      </w:r>
      <w:r>
        <w:t>36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Costs</w:t>
      </w:r>
      <w:r>
        <w:tab/>
      </w:r>
      <w:r>
        <w:fldChar w:fldCharType="begin"/>
      </w:r>
      <w:r>
        <w:instrText xml:space="preserve"> PAGEREF _Toc423530458 \h </w:instrText>
      </w:r>
      <w:r>
        <w:fldChar w:fldCharType="separate"/>
      </w:r>
      <w:r>
        <w:t>37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Rules </w:t>
      </w:r>
      <w:r>
        <w:t>of Commission</w:t>
      </w:r>
      <w:r>
        <w:tab/>
      </w:r>
      <w:r>
        <w:fldChar w:fldCharType="begin"/>
      </w:r>
      <w:r>
        <w:instrText xml:space="preserve"> PAGEREF _Toc423530459 \h </w:instrText>
      </w:r>
      <w:r>
        <w:fldChar w:fldCharType="separate"/>
      </w:r>
      <w:r>
        <w:t>38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Proof of process; protection from personal liability</w:t>
      </w:r>
      <w:r>
        <w:tab/>
      </w:r>
      <w:r>
        <w:fldChar w:fldCharType="begin"/>
      </w:r>
      <w:r>
        <w:instrText xml:space="preserve"> PAGEREF _Toc423530460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Reference to the Commission, review and appeals</w:t>
      </w:r>
    </w:p>
    <w:p>
      <w:pPr>
        <w:pStyle w:val="TOC8"/>
        <w:rPr>
          <w:rFonts w:asciiTheme="minorHAnsi" w:eastAsiaTheme="minorEastAsia" w:hAnsiTheme="minorHAnsi" w:cstheme="minorBidi"/>
          <w:szCs w:val="22"/>
        </w:rPr>
      </w:pPr>
      <w:r>
        <w:t>24</w:t>
      </w:r>
      <w:r>
        <w:rPr>
          <w:snapToGrid w:val="0"/>
        </w:rPr>
        <w:t>.</w:t>
      </w:r>
      <w:r>
        <w:rPr>
          <w:snapToGrid w:val="0"/>
        </w:rPr>
        <w:tab/>
        <w:t>Director may refer matters to Commission</w:t>
      </w:r>
      <w:r>
        <w:tab/>
      </w:r>
      <w:r>
        <w:fldChar w:fldCharType="begin"/>
      </w:r>
      <w:r>
        <w:instrText xml:space="preserve"> PAGEREF _Toc423530462 \h </w:instrText>
      </w:r>
      <w:r>
        <w:fldChar w:fldCharType="separate"/>
      </w:r>
      <w:r>
        <w:t>39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Review of Director’s decisions</w:t>
      </w:r>
      <w:r>
        <w:tab/>
      </w:r>
      <w:r>
        <w:fldChar w:fldCharType="begin"/>
      </w:r>
      <w:r>
        <w:instrText xml:space="preserve"> PAGEREF _Toc423530463 \h </w:instrText>
      </w:r>
      <w:r>
        <w:fldChar w:fldCharType="separate"/>
      </w:r>
      <w:r>
        <w:t>40</w:t>
      </w:r>
      <w:r>
        <w:fldChar w:fldCharType="end"/>
      </w:r>
    </w:p>
    <w:p>
      <w:pPr>
        <w:pStyle w:val="TOC8"/>
        <w:rPr>
          <w:rFonts w:asciiTheme="minorHAnsi" w:eastAsiaTheme="minorEastAsia" w:hAnsiTheme="minorHAnsi" w:cstheme="minorBidi"/>
          <w:szCs w:val="22"/>
        </w:rPr>
      </w:pPr>
      <w:r>
        <w:t>26.</w:t>
      </w:r>
      <w:r>
        <w:tab/>
        <w:t>Some Director’s decisions have effect despite application to review</w:t>
      </w:r>
      <w:r>
        <w:tab/>
      </w:r>
      <w:r>
        <w:fldChar w:fldCharType="begin"/>
      </w:r>
      <w:r>
        <w:instrText xml:space="preserve"> PAGEREF _Toc423530464 \h </w:instrText>
      </w:r>
      <w:r>
        <w:fldChar w:fldCharType="separate"/>
      </w:r>
      <w:r>
        <w:t>43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Question of law, Commission may state to Supreme Court</w:t>
      </w:r>
      <w:r>
        <w:tab/>
      </w:r>
      <w:r>
        <w:fldChar w:fldCharType="begin"/>
      </w:r>
      <w:r>
        <w:instrText xml:space="preserve"> PAGEREF _Toc423530465 \h </w:instrText>
      </w:r>
      <w:r>
        <w:fldChar w:fldCharType="separate"/>
      </w:r>
      <w:r>
        <w:t>43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Appeals against Commission’s decisions</w:t>
      </w:r>
      <w:r>
        <w:tab/>
      </w:r>
      <w:r>
        <w:fldChar w:fldCharType="begin"/>
      </w:r>
      <w:r>
        <w:instrText xml:space="preserve"> PAGEREF _Toc423530466 \h </w:instrText>
      </w:r>
      <w:r>
        <w:fldChar w:fldCharType="separate"/>
      </w:r>
      <w:r>
        <w:t>43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Licence or permit continues to have effect pending appeal</w:t>
      </w:r>
      <w:r>
        <w:tab/>
      </w:r>
      <w:r>
        <w:fldChar w:fldCharType="begin"/>
      </w:r>
      <w:r>
        <w:instrText xml:space="preserve"> PAGEREF _Toc423530467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7 — Confidential police information</w:t>
      </w:r>
    </w:p>
    <w:p>
      <w:pPr>
        <w:pStyle w:val="TOC8"/>
        <w:rPr>
          <w:rFonts w:asciiTheme="minorHAnsi" w:eastAsiaTheme="minorEastAsia" w:hAnsiTheme="minorHAnsi" w:cstheme="minorBidi"/>
          <w:szCs w:val="22"/>
        </w:rPr>
      </w:pPr>
      <w:r>
        <w:t>30.</w:t>
      </w:r>
      <w:r>
        <w:tab/>
        <w:t>Confidential police information, use and protection of</w:t>
      </w:r>
      <w:r>
        <w:tab/>
      </w:r>
      <w:r>
        <w:fldChar w:fldCharType="begin"/>
      </w:r>
      <w:r>
        <w:instrText xml:space="preserve"> PAGEREF _Toc423530469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3 — Licences and permits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30A</w:t>
      </w:r>
      <w:r>
        <w:rPr>
          <w:snapToGrid w:val="0"/>
        </w:rPr>
        <w:t>.</w:t>
      </w:r>
      <w:r>
        <w:rPr>
          <w:snapToGrid w:val="0"/>
        </w:rPr>
        <w:tab/>
        <w:t>Licences to sell liquor, grant and nature of</w:t>
      </w:r>
      <w:r>
        <w:tab/>
      </w:r>
      <w:r>
        <w:fldChar w:fldCharType="begin"/>
      </w:r>
      <w:r>
        <w:instrText xml:space="preserve"> PAGEREF _Toc423530472 \h </w:instrText>
      </w:r>
      <w:r>
        <w:fldChar w:fldCharType="separate"/>
      </w:r>
      <w:r>
        <w:t>49</w:t>
      </w:r>
      <w:r>
        <w:fldChar w:fldCharType="end"/>
      </w:r>
    </w:p>
    <w:p>
      <w:pPr>
        <w:pStyle w:val="TOC8"/>
        <w:rPr>
          <w:rFonts w:asciiTheme="minorHAnsi" w:eastAsiaTheme="minorEastAsia" w:hAnsiTheme="minorHAnsi" w:cstheme="minorBidi"/>
          <w:szCs w:val="22"/>
        </w:rPr>
      </w:pPr>
      <w:r>
        <w:t>30B</w:t>
      </w:r>
      <w:r>
        <w:rPr>
          <w:snapToGrid w:val="0"/>
        </w:rPr>
        <w:t>.</w:t>
      </w:r>
      <w:r>
        <w:rPr>
          <w:snapToGrid w:val="0"/>
        </w:rPr>
        <w:tab/>
        <w:t>Power of attorney does not empower donee to act for licensee under this Act</w:t>
      </w:r>
      <w:r>
        <w:tab/>
      </w:r>
      <w:r>
        <w:fldChar w:fldCharType="begin"/>
      </w:r>
      <w:r>
        <w:instrText xml:space="preserve"> PAGEREF _Toc423530473 \h </w:instrText>
      </w:r>
      <w:r>
        <w:fldChar w:fldCharType="separate"/>
      </w:r>
      <w:r>
        <w:t>49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Licences, generally</w:t>
      </w:r>
      <w:r>
        <w:tab/>
      </w:r>
      <w:r>
        <w:fldChar w:fldCharType="begin"/>
      </w:r>
      <w:r>
        <w:instrText xml:space="preserve"> PAGEREF _Toc423530474 \h </w:instrText>
      </w:r>
      <w:r>
        <w:fldChar w:fldCharType="separate"/>
      </w:r>
      <w:r>
        <w:t>49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Duration of licences</w:t>
      </w:r>
      <w:r>
        <w:tab/>
      </w:r>
      <w:r>
        <w:fldChar w:fldCharType="begin"/>
      </w:r>
      <w:r>
        <w:instrText xml:space="preserve"> PAGEREF _Toc423530475 \h </w:instrText>
      </w:r>
      <w:r>
        <w:fldChar w:fldCharType="separate"/>
      </w:r>
      <w:r>
        <w:t>51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Powers of licensing authority when deciding applications</w:t>
      </w:r>
      <w:r>
        <w:tab/>
      </w:r>
      <w:r>
        <w:fldChar w:fldCharType="begin"/>
      </w:r>
      <w:r>
        <w:instrText xml:space="preserve"> PAGEREF _Toc423530476 \h </w:instrText>
      </w:r>
      <w:r>
        <w:fldChar w:fldCharType="separate"/>
      </w:r>
      <w:r>
        <w:t>52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Certain applications not to be decided</w:t>
      </w:r>
      <w:r>
        <w:tab/>
      </w:r>
      <w:r>
        <w:fldChar w:fldCharType="begin"/>
      </w:r>
      <w:r>
        <w:instrText xml:space="preserve"> PAGEREF _Toc423530477 \h </w:instrText>
      </w:r>
      <w:r>
        <w:fldChar w:fldCharType="separate"/>
      </w:r>
      <w:r>
        <w:t>55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Persons who may hold licences</w:t>
      </w:r>
      <w:r>
        <w:tab/>
      </w:r>
      <w:r>
        <w:fldChar w:fldCharType="begin"/>
      </w:r>
      <w:r>
        <w:instrText xml:space="preserve"> PAGEREF _Toc423530478 \h </w:instrText>
      </w:r>
      <w:r>
        <w:fldChar w:fldCharType="separate"/>
      </w:r>
      <w:r>
        <w:t>57</w:t>
      </w:r>
      <w:r>
        <w:fldChar w:fldCharType="end"/>
      </w:r>
    </w:p>
    <w:p>
      <w:pPr>
        <w:pStyle w:val="TOC8"/>
        <w:rPr>
          <w:rFonts w:asciiTheme="minorHAnsi" w:eastAsiaTheme="minorEastAsia" w:hAnsiTheme="minorHAnsi" w:cstheme="minorBidi"/>
          <w:szCs w:val="22"/>
        </w:rPr>
      </w:pPr>
      <w:r>
        <w:t>35A</w:t>
      </w:r>
      <w:r>
        <w:rPr>
          <w:snapToGrid w:val="0"/>
        </w:rPr>
        <w:t>.</w:t>
      </w:r>
      <w:r>
        <w:rPr>
          <w:snapToGrid w:val="0"/>
        </w:rPr>
        <w:tab/>
        <w:t>Trustees for unincorporated bodies</w:t>
      </w:r>
      <w:r>
        <w:tab/>
      </w:r>
      <w:r>
        <w:fldChar w:fldCharType="begin"/>
      </w:r>
      <w:r>
        <w:instrText xml:space="preserve"> PAGEREF _Toc423530479 \h </w:instrText>
      </w:r>
      <w:r>
        <w:fldChar w:fldCharType="separate"/>
      </w:r>
      <w:r>
        <w:t>57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Two or more licences for same premises, restrictions on</w:t>
      </w:r>
      <w:r>
        <w:tab/>
      </w:r>
      <w:r>
        <w:fldChar w:fldCharType="begin"/>
      </w:r>
      <w:r>
        <w:instrText xml:space="preserve"> PAGEREF _Toc423530480 \h </w:instrText>
      </w:r>
      <w:r>
        <w:fldChar w:fldCharType="separate"/>
      </w:r>
      <w:r>
        <w:t>58</w:t>
      </w:r>
      <w:r>
        <w:fldChar w:fldCharType="end"/>
      </w:r>
    </w:p>
    <w:p>
      <w:pPr>
        <w:pStyle w:val="TOC8"/>
        <w:rPr>
          <w:rFonts w:asciiTheme="minorHAnsi" w:eastAsiaTheme="minorEastAsia" w:hAnsiTheme="minorHAnsi" w:cstheme="minorBidi"/>
          <w:szCs w:val="22"/>
        </w:rPr>
      </w:pPr>
      <w:r>
        <w:t>36A.</w:t>
      </w:r>
      <w:r>
        <w:tab/>
        <w:t>Petrol stations in some areas not to be granted licences</w:t>
      </w:r>
      <w:r>
        <w:tab/>
      </w:r>
      <w:r>
        <w:fldChar w:fldCharType="begin"/>
      </w:r>
      <w:r>
        <w:instrText xml:space="preserve"> PAGEREF _Toc423530481 \h </w:instrText>
      </w:r>
      <w:r>
        <w:fldChar w:fldCharType="separate"/>
      </w:r>
      <w:r>
        <w:t>58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Pre-requisites for grants of licences etc.; conditions on licences</w:t>
      </w:r>
      <w:r>
        <w:tab/>
      </w:r>
      <w:r>
        <w:fldChar w:fldCharType="begin"/>
      </w:r>
      <w:r>
        <w:instrText xml:space="preserve"> PAGEREF _Toc423530482 \h </w:instrText>
      </w:r>
      <w:r>
        <w:fldChar w:fldCharType="separate"/>
      </w:r>
      <w:r>
        <w:t>59</w:t>
      </w:r>
      <w:r>
        <w:fldChar w:fldCharType="end"/>
      </w:r>
    </w:p>
    <w:p>
      <w:pPr>
        <w:pStyle w:val="TOC8"/>
        <w:rPr>
          <w:rFonts w:asciiTheme="minorHAnsi" w:eastAsiaTheme="minorEastAsia" w:hAnsiTheme="minorHAnsi" w:cstheme="minorBidi"/>
          <w:szCs w:val="22"/>
        </w:rPr>
      </w:pPr>
      <w:r>
        <w:t>37A</w:t>
      </w:r>
      <w:r>
        <w:rPr>
          <w:snapToGrid w:val="0"/>
        </w:rPr>
        <w:t>.</w:t>
      </w:r>
      <w:r>
        <w:rPr>
          <w:snapToGrid w:val="0"/>
        </w:rPr>
        <w:tab/>
        <w:t>Conviction of licensee etc., duty to inform Director</w:t>
      </w:r>
      <w:r>
        <w:tab/>
      </w:r>
      <w:r>
        <w:fldChar w:fldCharType="begin"/>
      </w:r>
      <w:r>
        <w:instrText xml:space="preserve"> PAGEREF _Toc423530483 \h </w:instrText>
      </w:r>
      <w:r>
        <w:fldChar w:fldCharType="separate"/>
      </w:r>
      <w:r>
        <w:t>62</w:t>
      </w:r>
      <w:r>
        <w:fldChar w:fldCharType="end"/>
      </w:r>
    </w:p>
    <w:p>
      <w:pPr>
        <w:pStyle w:val="TOC8"/>
        <w:rPr>
          <w:rFonts w:asciiTheme="minorHAnsi" w:eastAsiaTheme="minorEastAsia" w:hAnsiTheme="minorHAnsi" w:cstheme="minorBidi"/>
          <w:szCs w:val="22"/>
        </w:rPr>
      </w:pPr>
      <w:r>
        <w:t>37B.</w:t>
      </w:r>
      <w:r>
        <w:tab/>
        <w:t>Fingerprints etc., licensing authority’s powers to obtain</w:t>
      </w:r>
      <w:r>
        <w:tab/>
      </w:r>
      <w:r>
        <w:fldChar w:fldCharType="begin"/>
      </w:r>
      <w:r>
        <w:instrText xml:space="preserve"> PAGEREF _Toc423530484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2 — Licences</w:t>
      </w:r>
    </w:p>
    <w:p>
      <w:pPr>
        <w:pStyle w:val="TOC8"/>
        <w:rPr>
          <w:rFonts w:asciiTheme="minorHAnsi" w:eastAsiaTheme="minorEastAsia" w:hAnsiTheme="minorHAnsi" w:cstheme="minorBidi"/>
          <w:szCs w:val="22"/>
        </w:rPr>
      </w:pPr>
      <w:r>
        <w:t>38.</w:t>
      </w:r>
      <w:r>
        <w:tab/>
        <w:t>Some applications not to be granted unless in the public interest</w:t>
      </w:r>
      <w:r>
        <w:tab/>
      </w:r>
      <w:r>
        <w:fldChar w:fldCharType="begin"/>
      </w:r>
      <w:r>
        <w:instrText xml:space="preserve"> PAGEREF _Toc423530486 \h </w:instrText>
      </w:r>
      <w:r>
        <w:fldChar w:fldCharType="separate"/>
      </w:r>
      <w:r>
        <w:t>64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Certificate of local government as to whether premises comply with laws</w:t>
      </w:r>
      <w:r>
        <w:tab/>
      </w:r>
      <w:r>
        <w:fldChar w:fldCharType="begin"/>
      </w:r>
      <w:r>
        <w:instrText xml:space="preserve"> PAGEREF _Toc423530487 \h </w:instrText>
      </w:r>
      <w:r>
        <w:fldChar w:fldCharType="separate"/>
      </w:r>
      <w:r>
        <w:t>66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Certificate of planning authority as to whether use of premises complies with planning laws</w:t>
      </w:r>
      <w:r>
        <w:tab/>
      </w:r>
      <w:r>
        <w:fldChar w:fldCharType="begin"/>
      </w:r>
      <w:r>
        <w:instrText xml:space="preserve"> PAGEREF _Toc423530488 \h </w:instrText>
      </w:r>
      <w:r>
        <w:fldChar w:fldCharType="separate"/>
      </w:r>
      <w:r>
        <w:t>67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Hotel licence, kinds, conditions and effect of</w:t>
      </w:r>
      <w:r>
        <w:tab/>
      </w:r>
      <w:r>
        <w:fldChar w:fldCharType="begin"/>
      </w:r>
      <w:r>
        <w:instrText xml:space="preserve"> PAGEREF _Toc423530489 \h </w:instrText>
      </w:r>
      <w:r>
        <w:fldChar w:fldCharType="separate"/>
      </w:r>
      <w:r>
        <w:t>67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Nightclub licence, effect and conditions of</w:t>
      </w:r>
      <w:r>
        <w:tab/>
      </w:r>
      <w:r>
        <w:fldChar w:fldCharType="begin"/>
      </w:r>
      <w:r>
        <w:instrText xml:space="preserve"> PAGEREF _Toc423530490 \h </w:instrText>
      </w:r>
      <w:r>
        <w:fldChar w:fldCharType="separate"/>
      </w:r>
      <w:r>
        <w:t>70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w:t>
      </w:r>
      <w:r>
        <w:t xml:space="preserve">ightclub </w:t>
      </w:r>
      <w:r>
        <w:rPr>
          <w:snapToGrid w:val="0"/>
        </w:rPr>
        <w:t>licence, pre-requisites for grant of</w:t>
      </w:r>
      <w:r>
        <w:tab/>
      </w:r>
      <w:r>
        <w:fldChar w:fldCharType="begin"/>
      </w:r>
      <w:r>
        <w:instrText xml:space="preserve"> PAGEREF _Toc423530491 \h </w:instrText>
      </w:r>
      <w:r>
        <w:fldChar w:fldCharType="separate"/>
      </w:r>
      <w:r>
        <w:t>71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Casino liquor licence, effect and conditions of</w:t>
      </w:r>
      <w:r>
        <w:tab/>
      </w:r>
      <w:r>
        <w:fldChar w:fldCharType="begin"/>
      </w:r>
      <w:r>
        <w:instrText xml:space="preserve"> PAGEREF _Toc423530492 \h </w:instrText>
      </w:r>
      <w:r>
        <w:fldChar w:fldCharType="separate"/>
      </w:r>
      <w:r>
        <w:t>71</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Casino liquor licence, pre-requisites for grant of</w:t>
      </w:r>
      <w:r>
        <w:tab/>
      </w:r>
      <w:r>
        <w:fldChar w:fldCharType="begin"/>
      </w:r>
      <w:r>
        <w:instrText xml:space="preserve"> PAGEREF _Toc423530493 \h </w:instrText>
      </w:r>
      <w:r>
        <w:fldChar w:fldCharType="separate"/>
      </w:r>
      <w:r>
        <w:t>72</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Special facility licence, pre-requisites for grant of</w:t>
      </w:r>
      <w:r>
        <w:tab/>
      </w:r>
      <w:r>
        <w:fldChar w:fldCharType="begin"/>
      </w:r>
      <w:r>
        <w:instrText xml:space="preserve"> PAGEREF _Toc423530494 \h </w:instrText>
      </w:r>
      <w:r>
        <w:fldChar w:fldCharType="separate"/>
      </w:r>
      <w:r>
        <w:t>73</w:t>
      </w:r>
      <w:r>
        <w:fldChar w:fldCharType="end"/>
      </w:r>
    </w:p>
    <w:p>
      <w:pPr>
        <w:pStyle w:val="TOC8"/>
        <w:rPr>
          <w:rFonts w:asciiTheme="minorHAnsi" w:eastAsiaTheme="minorEastAsia" w:hAnsiTheme="minorHAnsi" w:cstheme="minorBidi"/>
          <w:szCs w:val="22"/>
        </w:rPr>
      </w:pPr>
      <w:r>
        <w:t>46A.</w:t>
      </w:r>
      <w:r>
        <w:tab/>
        <w:t>Special facility licence, restrictions on varying</w:t>
      </w:r>
      <w:r>
        <w:tab/>
      </w:r>
      <w:r>
        <w:fldChar w:fldCharType="begin"/>
      </w:r>
      <w:r>
        <w:instrText xml:space="preserve"> PAGEREF _Toc423530495 \h </w:instrText>
      </w:r>
      <w:r>
        <w:fldChar w:fldCharType="separate"/>
      </w:r>
      <w:r>
        <w:t>75</w:t>
      </w:r>
      <w:r>
        <w:fldChar w:fldCharType="end"/>
      </w:r>
    </w:p>
    <w:p>
      <w:pPr>
        <w:pStyle w:val="TOC8"/>
        <w:rPr>
          <w:rFonts w:asciiTheme="minorHAnsi" w:eastAsiaTheme="minorEastAsia" w:hAnsiTheme="minorHAnsi" w:cstheme="minorBidi"/>
          <w:szCs w:val="22"/>
        </w:rPr>
      </w:pPr>
      <w:r>
        <w:t>46B.</w:t>
      </w:r>
      <w:r>
        <w:tab/>
        <w:t>Alternatives to granting or varying special facility licences</w:t>
      </w:r>
      <w:r>
        <w:tab/>
      </w:r>
      <w:r>
        <w:fldChar w:fldCharType="begin"/>
      </w:r>
      <w:r>
        <w:instrText xml:space="preserve"> PAGEREF _Toc423530496 \h </w:instrText>
      </w:r>
      <w:r>
        <w:fldChar w:fldCharType="separate"/>
      </w:r>
      <w:r>
        <w:t>75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Liquor store licence, effect of</w:t>
      </w:r>
      <w:r>
        <w:tab/>
      </w:r>
      <w:r>
        <w:fldChar w:fldCharType="begin"/>
      </w:r>
      <w:r>
        <w:instrText xml:space="preserve"> PAGEREF _Toc423530497 \h </w:instrText>
      </w:r>
      <w:r>
        <w:fldChar w:fldCharType="separate"/>
      </w:r>
      <w:r>
        <w:t>76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Club licence, kinds, conditions and effect of</w:t>
      </w:r>
      <w:r>
        <w:tab/>
      </w:r>
      <w:r>
        <w:fldChar w:fldCharType="begin"/>
      </w:r>
      <w:r>
        <w:instrText xml:space="preserve"> PAGEREF _Toc423530498 \h </w:instrText>
      </w:r>
      <w:r>
        <w:fldChar w:fldCharType="separate"/>
      </w:r>
      <w:r>
        <w:t>77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Club licence, pre-requisites for grant of</w:t>
      </w:r>
      <w:r>
        <w:tab/>
      </w:r>
      <w:r>
        <w:fldChar w:fldCharType="begin"/>
      </w:r>
      <w:r>
        <w:instrText xml:space="preserve"> PAGEREF _Toc423530499 \h </w:instrText>
      </w:r>
      <w:r>
        <w:fldChar w:fldCharType="separate"/>
      </w:r>
      <w:r>
        <w:t>80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Restaurant licence, effect and conditions of</w:t>
      </w:r>
      <w:r>
        <w:tab/>
      </w:r>
      <w:r>
        <w:fldChar w:fldCharType="begin"/>
      </w:r>
      <w:r>
        <w:instrText xml:space="preserve"> PAGEREF _Toc423530500 \h </w:instrText>
      </w:r>
      <w:r>
        <w:fldChar w:fldCharType="separate"/>
      </w:r>
      <w:r>
        <w:t>83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Unlicensed restaurants, supply of liquor in</w:t>
      </w:r>
      <w:r>
        <w:tab/>
      </w:r>
      <w:r>
        <w:fldChar w:fldCharType="begin"/>
      </w:r>
      <w:r>
        <w:instrText xml:space="preserve"> PAGEREF _Toc423530501 \h </w:instrText>
      </w:r>
      <w:r>
        <w:fldChar w:fldCharType="separate"/>
      </w:r>
      <w:r>
        <w:t>84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Liquor sold or consumed with meals, effect of extended trading permit which authorises; evidentiary provisions</w:t>
      </w:r>
      <w:r>
        <w:tab/>
      </w:r>
      <w:r>
        <w:fldChar w:fldCharType="begin"/>
      </w:r>
      <w:r>
        <w:instrText xml:space="preserve"> PAGEREF _Toc423530502 \h </w:instrText>
      </w:r>
      <w:r>
        <w:fldChar w:fldCharType="separate"/>
      </w:r>
      <w:r>
        <w:t>85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Restaurant licence and extended trading permit, effect of may be restricted as to selling liquor with meals</w:t>
      </w:r>
      <w:r>
        <w:tab/>
      </w:r>
      <w:r>
        <w:fldChar w:fldCharType="begin"/>
      </w:r>
      <w:r>
        <w:instrText xml:space="preserve"> PAGEREF _Toc423530503 \h </w:instrText>
      </w:r>
      <w:r>
        <w:fldChar w:fldCharType="separate"/>
      </w:r>
      <w:r>
        <w:t>86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Producer’s licence, effect of</w:t>
      </w:r>
      <w:r>
        <w:tab/>
      </w:r>
      <w:r>
        <w:fldChar w:fldCharType="begin"/>
      </w:r>
      <w:r>
        <w:instrText xml:space="preserve"> PAGEREF _Toc423530504 \h </w:instrText>
      </w:r>
      <w:r>
        <w:fldChar w:fldCharType="separate"/>
      </w:r>
      <w:r>
        <w:t>87</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Production of liquor by person, presumption of</w:t>
      </w:r>
      <w:r>
        <w:tab/>
      </w:r>
      <w:r>
        <w:fldChar w:fldCharType="begin"/>
      </w:r>
      <w:r>
        <w:instrText xml:space="preserve"> PAGEREF _Toc423530505 \h </w:instrText>
      </w:r>
      <w:r>
        <w:fldChar w:fldCharType="separate"/>
      </w:r>
      <w:r>
        <w:t>88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Producer’s licence, pre-requisites for grant of</w:t>
      </w:r>
      <w:r>
        <w:tab/>
      </w:r>
      <w:r>
        <w:fldChar w:fldCharType="begin"/>
      </w:r>
      <w:r>
        <w:instrText xml:space="preserve"> PAGEREF _Toc423530506 \h </w:instrText>
      </w:r>
      <w:r>
        <w:fldChar w:fldCharType="separate"/>
      </w:r>
      <w:r>
        <w:t>88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Wholesaler’s licence, effect and conditions of</w:t>
      </w:r>
      <w:r>
        <w:tab/>
      </w:r>
      <w:r>
        <w:fldChar w:fldCharType="begin"/>
      </w:r>
      <w:r>
        <w:instrText xml:space="preserve"> PAGEREF _Toc423530507 \h </w:instrText>
      </w:r>
      <w:r>
        <w:fldChar w:fldCharType="separate"/>
      </w:r>
      <w:r>
        <w:t>89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Occasional licence, effect, conditions and pre-requisites for grant of</w:t>
      </w:r>
      <w:r>
        <w:tab/>
      </w:r>
      <w:r>
        <w:fldChar w:fldCharType="begin"/>
      </w:r>
      <w:r>
        <w:instrText xml:space="preserve"> PAGEREF _Toc423530508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Permits</w:t>
      </w:r>
    </w:p>
    <w:p>
      <w:pPr>
        <w:pStyle w:val="TOC8"/>
        <w:rPr>
          <w:rFonts w:asciiTheme="minorHAnsi" w:eastAsiaTheme="minorEastAsia" w:hAnsiTheme="minorHAnsi" w:cstheme="minorBidi"/>
          <w:szCs w:val="22"/>
        </w:rPr>
      </w:pPr>
      <w:r>
        <w:t>60</w:t>
      </w:r>
      <w:r>
        <w:rPr>
          <w:snapToGrid w:val="0"/>
        </w:rPr>
        <w:t>.</w:t>
      </w:r>
      <w:r>
        <w:rPr>
          <w:snapToGrid w:val="0"/>
        </w:rPr>
        <w:tab/>
        <w:t>Extended trading permit, purposes, effect and conditions of</w:t>
      </w:r>
      <w:r>
        <w:tab/>
      </w:r>
      <w:r>
        <w:fldChar w:fldCharType="begin"/>
      </w:r>
      <w:r>
        <w:instrText xml:space="preserve"> PAGEREF _Toc423530510 \h </w:instrText>
      </w:r>
      <w:r>
        <w:fldChar w:fldCharType="separate"/>
      </w:r>
      <w:r>
        <w:t>94</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Extended trading permit for extended area (s. 60(4)(h)), pre</w:t>
      </w:r>
      <w:r>
        <w:rPr>
          <w:snapToGrid w:val="0"/>
        </w:rPr>
        <w:noBreakHyphen/>
        <w:t>requisites for grant of</w:t>
      </w:r>
      <w:r>
        <w:tab/>
      </w:r>
      <w:r>
        <w:fldChar w:fldCharType="begin"/>
      </w:r>
      <w:r>
        <w:instrText xml:space="preserve"> PAGEREF _Toc423530511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Conditional grants or approvals</w:t>
      </w:r>
    </w:p>
    <w:p>
      <w:pPr>
        <w:pStyle w:val="TOC8"/>
        <w:rPr>
          <w:rFonts w:asciiTheme="minorHAnsi" w:eastAsiaTheme="minorEastAsia" w:hAnsiTheme="minorHAnsi" w:cstheme="minorBidi"/>
          <w:szCs w:val="22"/>
        </w:rPr>
      </w:pPr>
      <w:r>
        <w:t>62</w:t>
      </w:r>
      <w:r>
        <w:rPr>
          <w:snapToGrid w:val="0"/>
        </w:rPr>
        <w:t>.</w:t>
      </w:r>
      <w:r>
        <w:rPr>
          <w:snapToGrid w:val="0"/>
        </w:rPr>
        <w:tab/>
        <w:t>Uncompleted premises, conditional grant or removal in case of</w:t>
      </w:r>
      <w:r>
        <w:tab/>
      </w:r>
      <w:r>
        <w:fldChar w:fldCharType="begin"/>
      </w:r>
      <w:r>
        <w:instrText xml:space="preserve"> PAGEREF _Toc423530513 \h </w:instrText>
      </w:r>
      <w:r>
        <w:fldChar w:fldCharType="separate"/>
      </w:r>
      <w:r>
        <w:t>100</w:t>
      </w:r>
      <w:r>
        <w:fldChar w:fldCharType="end"/>
      </w:r>
    </w:p>
    <w:p>
      <w:pPr>
        <w:pStyle w:val="TOC8"/>
        <w:rPr>
          <w:rFonts w:asciiTheme="minorHAnsi" w:eastAsiaTheme="minorEastAsia" w:hAnsiTheme="minorHAnsi" w:cstheme="minorBidi"/>
          <w:szCs w:val="22"/>
        </w:rPr>
      </w:pPr>
      <w:r>
        <w:t>62A</w:t>
      </w:r>
      <w:r>
        <w:rPr>
          <w:snapToGrid w:val="0"/>
        </w:rPr>
        <w:t>.</w:t>
      </w:r>
      <w:r>
        <w:rPr>
          <w:snapToGrid w:val="0"/>
        </w:rPr>
        <w:tab/>
        <w:t>Pending certificate (s. 39 or 40) etc., conditional grant in case of</w:t>
      </w:r>
      <w:r>
        <w:tab/>
      </w:r>
      <w:r>
        <w:fldChar w:fldCharType="begin"/>
      </w:r>
      <w:r>
        <w:instrText xml:space="preserve"> PAGEREF _Toc423530514 \h </w:instrText>
      </w:r>
      <w:r>
        <w:fldChar w:fldCharType="separate"/>
      </w:r>
      <w:r>
        <w:t>103</w:t>
      </w:r>
      <w:r>
        <w:fldChar w:fldCharType="end"/>
      </w:r>
    </w:p>
    <w:p>
      <w:pPr>
        <w:pStyle w:val="TOC8"/>
        <w:rPr>
          <w:rFonts w:asciiTheme="minorHAnsi" w:eastAsiaTheme="minorEastAsia" w:hAnsiTheme="minorHAnsi" w:cstheme="minorBidi"/>
          <w:szCs w:val="22"/>
        </w:rPr>
      </w:pPr>
      <w:r>
        <w:t>62B</w:t>
      </w:r>
      <w:r>
        <w:rPr>
          <w:snapToGrid w:val="0"/>
        </w:rPr>
        <w:t>.</w:t>
      </w:r>
      <w:r>
        <w:rPr>
          <w:snapToGrid w:val="0"/>
        </w:rPr>
        <w:tab/>
        <w:t>Pending approval etc. (s. 77(5)), conditional approval of alteration etc. in case of</w:t>
      </w:r>
      <w:r>
        <w:tab/>
      </w:r>
      <w:r>
        <w:fldChar w:fldCharType="begin"/>
      </w:r>
      <w:r>
        <w:instrText xml:space="preserve"> PAGEREF _Toc423530515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Conditions, generally</w:t>
      </w:r>
    </w:p>
    <w:p>
      <w:pPr>
        <w:pStyle w:val="TOC8"/>
        <w:rPr>
          <w:rFonts w:asciiTheme="minorHAnsi" w:eastAsiaTheme="minorEastAsia" w:hAnsiTheme="minorHAnsi" w:cstheme="minorBidi"/>
          <w:szCs w:val="22"/>
        </w:rPr>
      </w:pPr>
      <w:r>
        <w:t>63</w:t>
      </w:r>
      <w:r>
        <w:rPr>
          <w:snapToGrid w:val="0"/>
        </w:rPr>
        <w:t>.</w:t>
      </w:r>
      <w:r>
        <w:rPr>
          <w:snapToGrid w:val="0"/>
        </w:rPr>
        <w:tab/>
        <w:t>Terms fixed and conditions imposed by Act, only some can be varied etc.</w:t>
      </w:r>
      <w:r>
        <w:tab/>
      </w:r>
      <w:r>
        <w:fldChar w:fldCharType="begin"/>
      </w:r>
      <w:r>
        <w:instrText xml:space="preserve"> PAGEREF _Toc423530517 \h </w:instrText>
      </w:r>
      <w:r>
        <w:fldChar w:fldCharType="separate"/>
      </w:r>
      <w:r>
        <w:t>104</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Imposing, varying and cancelling conditions</w:t>
      </w:r>
      <w:r>
        <w:tab/>
      </w:r>
      <w:r>
        <w:fldChar w:fldCharType="begin"/>
      </w:r>
      <w:r>
        <w:instrText xml:space="preserve"> PAGEREF _Toc423530518 \h </w:instrText>
      </w:r>
      <w:r>
        <w:fldChar w:fldCharType="separate"/>
      </w:r>
      <w:r>
        <w:t>105</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Packaged liquor, conditions relating to sale of for consumption off licensed premises</w:t>
      </w:r>
      <w:r>
        <w:tab/>
      </w:r>
      <w:r>
        <w:fldChar w:fldCharType="begin"/>
      </w:r>
      <w:r>
        <w:instrText xml:space="preserve"> PAGEREF _Toc423530519 \h </w:instrText>
      </w:r>
      <w:r>
        <w:fldChar w:fldCharType="separate"/>
      </w:r>
      <w:r>
        <w:t>110</w:t>
      </w:r>
      <w:r>
        <w:fldChar w:fldCharType="end"/>
      </w:r>
    </w:p>
    <w:p>
      <w:pPr>
        <w:pStyle w:val="TOC8"/>
        <w:rPr>
          <w:rFonts w:asciiTheme="minorHAnsi" w:eastAsiaTheme="minorEastAsia" w:hAnsiTheme="minorHAnsi" w:cstheme="minorBidi"/>
          <w:szCs w:val="22"/>
        </w:rPr>
      </w:pPr>
      <w:r>
        <w:t>65A.</w:t>
      </w:r>
      <w:r>
        <w:tab/>
        <w:t>Petrol station not to be established on premises from which packaged liquor is sold</w:t>
      </w:r>
      <w:r>
        <w:tab/>
      </w:r>
      <w:r>
        <w:fldChar w:fldCharType="begin"/>
      </w:r>
      <w:r>
        <w:instrText xml:space="preserve"> PAGEREF _Toc423530520 \h </w:instrText>
      </w:r>
      <w:r>
        <w:fldChar w:fldCharType="separate"/>
      </w:r>
      <w:r>
        <w:t>111</w:t>
      </w:r>
      <w:r>
        <w:fldChar w:fldCharType="end"/>
      </w:r>
    </w:p>
    <w:p>
      <w:pPr>
        <w:pStyle w:val="TOC8"/>
        <w:rPr>
          <w:rFonts w:asciiTheme="minorHAnsi" w:eastAsiaTheme="minorEastAsia" w:hAnsiTheme="minorHAnsi" w:cstheme="minorBidi"/>
          <w:szCs w:val="22"/>
        </w:rPr>
      </w:pPr>
      <w:r>
        <w:t>65B.</w:t>
      </w:r>
      <w:r>
        <w:tab/>
        <w:t>Promoting liquor, regulations may prescribe conditions about</w:t>
      </w:r>
      <w:r>
        <w:tab/>
      </w:r>
      <w:r>
        <w:fldChar w:fldCharType="begin"/>
      </w:r>
      <w:r>
        <w:instrText xml:space="preserve"> PAGEREF _Toc423530521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Applications</w:t>
      </w:r>
    </w:p>
    <w:p>
      <w:pPr>
        <w:pStyle w:val="TOC8"/>
        <w:rPr>
          <w:rFonts w:asciiTheme="minorHAnsi" w:eastAsiaTheme="minorEastAsia" w:hAnsiTheme="minorHAnsi" w:cstheme="minorBidi"/>
          <w:szCs w:val="22"/>
        </w:rPr>
      </w:pPr>
      <w:r>
        <w:t>66</w:t>
      </w:r>
      <w:r>
        <w:rPr>
          <w:snapToGrid w:val="0"/>
        </w:rPr>
        <w:t>.</w:t>
      </w:r>
      <w:r>
        <w:rPr>
          <w:snapToGrid w:val="0"/>
        </w:rPr>
        <w:tab/>
        <w:t>Plans and specifications of premises, requirements as to</w:t>
      </w:r>
      <w:r>
        <w:tab/>
      </w:r>
      <w:r>
        <w:fldChar w:fldCharType="begin"/>
      </w:r>
      <w:r>
        <w:instrText xml:space="preserve"> PAGEREF _Toc423530523 \h </w:instrText>
      </w:r>
      <w:r>
        <w:fldChar w:fldCharType="separate"/>
      </w:r>
      <w:r>
        <w:t>112</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Advertisement of applications</w:t>
      </w:r>
      <w:r>
        <w:tab/>
      </w:r>
      <w:r>
        <w:fldChar w:fldCharType="begin"/>
      </w:r>
      <w:r>
        <w:instrText xml:space="preserve"> PAGEREF _Toc423530524 \h </w:instrText>
      </w:r>
      <w:r>
        <w:fldChar w:fldCharType="separate"/>
      </w:r>
      <w:r>
        <w:t>113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Form, manner, notice and public inspection of applications</w:t>
      </w:r>
      <w:r>
        <w:tab/>
      </w:r>
      <w:r>
        <w:fldChar w:fldCharType="begin"/>
      </w:r>
      <w:r>
        <w:instrText xml:space="preserve"> PAGEREF _Toc423530525 \h </w:instrText>
      </w:r>
      <w:r>
        <w:fldChar w:fldCharType="separate"/>
      </w:r>
      <w:r>
        <w:t>114</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Advertising, referring, investigating and intervening in applications</w:t>
      </w:r>
      <w:r>
        <w:tab/>
      </w:r>
      <w:r>
        <w:fldChar w:fldCharType="begin"/>
      </w:r>
      <w:r>
        <w:instrText xml:space="preserve"> PAGEREF _Toc423530526 \h </w:instrText>
      </w:r>
      <w:r>
        <w:fldChar w:fldCharType="separate"/>
      </w:r>
      <w:r>
        <w:t>115</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Club licence applications, intervening in</w:t>
      </w:r>
      <w:r>
        <w:tab/>
      </w:r>
      <w:r>
        <w:fldChar w:fldCharType="begin"/>
      </w:r>
      <w:r>
        <w:instrText xml:space="preserve"> PAGEREF _Toc423530527 \h </w:instrText>
      </w:r>
      <w:r>
        <w:fldChar w:fldCharType="separate"/>
      </w:r>
      <w:r>
        <w:t>120</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Owner etc. of premises, when consent of required; right of owner, lessee etc. to object</w:t>
      </w:r>
      <w:r>
        <w:tab/>
      </w:r>
      <w:r>
        <w:fldChar w:fldCharType="begin"/>
      </w:r>
      <w:r>
        <w:instrText xml:space="preserve"> PAGEREF _Toc423530528 \h </w:instrText>
      </w:r>
      <w:r>
        <w:fldChar w:fldCharType="separate"/>
      </w:r>
      <w:r>
        <w:t>120</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Objecting to applications, general right and rules as to</w:t>
      </w:r>
      <w:r>
        <w:tab/>
      </w:r>
      <w:r>
        <w:fldChar w:fldCharType="begin"/>
      </w:r>
      <w:r>
        <w:instrText xml:space="preserve"> PAGEREF _Toc423530529 \h </w:instrText>
      </w:r>
      <w:r>
        <w:fldChar w:fldCharType="separate"/>
      </w:r>
      <w:r>
        <w:t>121</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Objecting to applications, grounds for etc.</w:t>
      </w:r>
      <w:r>
        <w:tab/>
      </w:r>
      <w:r>
        <w:fldChar w:fldCharType="begin"/>
      </w:r>
      <w:r>
        <w:instrText xml:space="preserve"> PAGEREF _Toc423530530 \h </w:instrText>
      </w:r>
      <w:r>
        <w:fldChar w:fldCharType="separate"/>
      </w:r>
      <w:r>
        <w:t>123</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Occasional licence, applications for</w:t>
      </w:r>
      <w:r>
        <w:tab/>
      </w:r>
      <w:r>
        <w:fldChar w:fldCharType="begin"/>
      </w:r>
      <w:r>
        <w:instrText xml:space="preserve"> PAGEREF _Toc423530531 \h </w:instrText>
      </w:r>
      <w:r>
        <w:fldChar w:fldCharType="separate"/>
      </w:r>
      <w:r>
        <w:t>125</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Extended trading permit, applications for</w:t>
      </w:r>
      <w:r>
        <w:tab/>
      </w:r>
      <w:r>
        <w:fldChar w:fldCharType="begin"/>
      </w:r>
      <w:r>
        <w:instrText xml:space="preserve"> PAGEREF _Toc423530532 \h </w:instrText>
      </w:r>
      <w:r>
        <w:fldChar w:fldCharType="separate"/>
      </w:r>
      <w:r>
        <w:t>126</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No alteration of licensed premises without approval; application for approvals of alterations or redefinition of premises</w:t>
      </w:r>
      <w:r>
        <w:tab/>
      </w:r>
      <w:r>
        <w:fldChar w:fldCharType="begin"/>
      </w:r>
      <w:r>
        <w:instrText xml:space="preserve"> PAGEREF _Toc423530533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Removals</w:t>
      </w:r>
    </w:p>
    <w:p>
      <w:pPr>
        <w:pStyle w:val="TOC8"/>
        <w:rPr>
          <w:rFonts w:asciiTheme="minorHAnsi" w:eastAsiaTheme="minorEastAsia" w:hAnsiTheme="minorHAnsi" w:cstheme="minorBidi"/>
          <w:szCs w:val="22"/>
        </w:rPr>
      </w:pPr>
      <w:r>
        <w:t>78</w:t>
      </w:r>
      <w:r>
        <w:rPr>
          <w:snapToGrid w:val="0"/>
        </w:rPr>
        <w:t>.</w:t>
      </w:r>
      <w:r>
        <w:rPr>
          <w:snapToGrid w:val="0"/>
        </w:rPr>
        <w:tab/>
        <w:t>Casino liquor licence not removable without authority</w:t>
      </w:r>
      <w:r>
        <w:tab/>
      </w:r>
      <w:r>
        <w:fldChar w:fldCharType="begin"/>
      </w:r>
      <w:r>
        <w:instrText xml:space="preserve"> PAGEREF _Toc423530535 \h </w:instrText>
      </w:r>
      <w:r>
        <w:fldChar w:fldCharType="separate"/>
      </w:r>
      <w:r>
        <w:t>129</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Licence relating to transport, when removable</w:t>
      </w:r>
      <w:r>
        <w:tab/>
      </w:r>
      <w:r>
        <w:fldChar w:fldCharType="begin"/>
      </w:r>
      <w:r>
        <w:instrText xml:space="preserve"> PAGEREF _Toc423530536 \h </w:instrText>
      </w:r>
      <w:r>
        <w:fldChar w:fldCharType="separate"/>
      </w:r>
      <w:r>
        <w:t>129</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Temporary removal or redefinition of licence</w:t>
      </w:r>
      <w:r>
        <w:tab/>
      </w:r>
      <w:r>
        <w:fldChar w:fldCharType="begin"/>
      </w:r>
      <w:r>
        <w:instrText xml:space="preserve"> PAGEREF _Toc423530537 \h </w:instrText>
      </w:r>
      <w:r>
        <w:fldChar w:fldCharType="separate"/>
      </w:r>
      <w:r>
        <w:t>129</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Applications for removal of licence</w:t>
      </w:r>
      <w:r>
        <w:tab/>
      </w:r>
      <w:r>
        <w:fldChar w:fldCharType="begin"/>
      </w:r>
      <w:r>
        <w:instrText xml:space="preserve"> PAGEREF _Toc423530538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Transfers</w:t>
      </w:r>
    </w:p>
    <w:p>
      <w:pPr>
        <w:pStyle w:val="TOC8"/>
        <w:rPr>
          <w:rFonts w:asciiTheme="minorHAnsi" w:eastAsiaTheme="minorEastAsia" w:hAnsiTheme="minorHAnsi" w:cstheme="minorBidi"/>
          <w:szCs w:val="22"/>
        </w:rPr>
      </w:pPr>
      <w:r>
        <w:t>82</w:t>
      </w:r>
      <w:r>
        <w:rPr>
          <w:snapToGrid w:val="0"/>
        </w:rPr>
        <w:t>.</w:t>
      </w:r>
      <w:r>
        <w:rPr>
          <w:snapToGrid w:val="0"/>
        </w:rPr>
        <w:tab/>
        <w:t>Applications for transfer of licences</w:t>
      </w:r>
      <w:r>
        <w:tab/>
      </w:r>
      <w:r>
        <w:fldChar w:fldCharType="begin"/>
      </w:r>
      <w:r>
        <w:instrText xml:space="preserve"> PAGEREF _Toc423530540 \h </w:instrText>
      </w:r>
      <w:r>
        <w:fldChar w:fldCharType="separate"/>
      </w:r>
      <w:r>
        <w:t>132</w:t>
      </w:r>
      <w:r>
        <w:fldChar w:fldCharType="end"/>
      </w:r>
    </w:p>
    <w:p>
      <w:pPr>
        <w:pStyle w:val="TOC8"/>
        <w:rPr>
          <w:rFonts w:asciiTheme="minorHAnsi" w:eastAsiaTheme="minorEastAsia" w:hAnsiTheme="minorHAnsi" w:cstheme="minorBidi"/>
          <w:szCs w:val="22"/>
        </w:rPr>
      </w:pPr>
      <w:r>
        <w:t>82A</w:t>
      </w:r>
      <w:r>
        <w:rPr>
          <w:snapToGrid w:val="0"/>
        </w:rPr>
        <w:t>.</w:t>
      </w:r>
      <w:r>
        <w:rPr>
          <w:snapToGrid w:val="0"/>
        </w:rPr>
        <w:tab/>
        <w:t>Transfer of licence between licence holders</w:t>
      </w:r>
      <w:r>
        <w:tab/>
      </w:r>
      <w:r>
        <w:fldChar w:fldCharType="begin"/>
      </w:r>
      <w:r>
        <w:instrText xml:space="preserve"> PAGEREF _Toc423530541 \h </w:instrText>
      </w:r>
      <w:r>
        <w:fldChar w:fldCharType="separate"/>
      </w:r>
      <w:r>
        <w:t>132</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Certain licences not transferable</w:t>
      </w:r>
      <w:r>
        <w:tab/>
      </w:r>
      <w:r>
        <w:fldChar w:fldCharType="begin"/>
      </w:r>
      <w:r>
        <w:instrText xml:space="preserve"> PAGEREF _Toc423530542 \h </w:instrText>
      </w:r>
      <w:r>
        <w:fldChar w:fldCharType="separate"/>
      </w:r>
      <w:r>
        <w:t>133</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Pre-requisites for transfer of licence</w:t>
      </w:r>
      <w:r>
        <w:tab/>
      </w:r>
      <w:r>
        <w:fldChar w:fldCharType="begin"/>
      </w:r>
      <w:r>
        <w:instrText xml:space="preserve"> PAGEREF _Toc423530543 \h </w:instrText>
      </w:r>
      <w:r>
        <w:fldChar w:fldCharType="separate"/>
      </w:r>
      <w:r>
        <w:t>133</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Transferee to succeed to certain of transferor’s liabilities and rights</w:t>
      </w:r>
      <w:r>
        <w:tab/>
      </w:r>
      <w:r>
        <w:fldChar w:fldCharType="begin"/>
      </w:r>
      <w:r>
        <w:instrText xml:space="preserve"> PAGEREF _Toc423530544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szCs w:val="22"/>
        </w:rPr>
      </w:pPr>
      <w:r>
        <w:t>Division 10</w:t>
      </w:r>
      <w:r>
        <w:rPr>
          <w:snapToGrid w:val="0"/>
        </w:rPr>
        <w:t> — </w:t>
      </w:r>
      <w:r>
        <w:t>Interim authorisations and protection orders</w:t>
      </w:r>
    </w:p>
    <w:p>
      <w:pPr>
        <w:pStyle w:val="TOC8"/>
        <w:rPr>
          <w:rFonts w:asciiTheme="minorHAnsi" w:eastAsiaTheme="minorEastAsia" w:hAnsiTheme="minorHAnsi" w:cstheme="minorBidi"/>
          <w:szCs w:val="22"/>
        </w:rPr>
      </w:pPr>
      <w:r>
        <w:t>86</w:t>
      </w:r>
      <w:r>
        <w:rPr>
          <w:snapToGrid w:val="0"/>
        </w:rPr>
        <w:t>.</w:t>
      </w:r>
      <w:r>
        <w:rPr>
          <w:snapToGrid w:val="0"/>
        </w:rPr>
        <w:tab/>
        <w:t>Interim authorisations to carry on business under licence</w:t>
      </w:r>
      <w:r>
        <w:tab/>
      </w:r>
      <w:r>
        <w:fldChar w:fldCharType="begin"/>
      </w:r>
      <w:r>
        <w:instrText xml:space="preserve"> PAGEREF _Toc423530546 \h </w:instrText>
      </w:r>
      <w:r>
        <w:fldChar w:fldCharType="separate"/>
      </w:r>
      <w:r>
        <w:t>136</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Protection orders, grant and term of etc.</w:t>
      </w:r>
      <w:r>
        <w:tab/>
      </w:r>
      <w:r>
        <w:fldChar w:fldCharType="begin"/>
      </w:r>
      <w:r>
        <w:instrText xml:space="preserve"> PAGEREF _Toc423530547 \h </w:instrText>
      </w:r>
      <w:r>
        <w:fldChar w:fldCharType="separate"/>
      </w:r>
      <w:r>
        <w:t>139</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Protection order, effect of</w:t>
      </w:r>
      <w:r>
        <w:tab/>
      </w:r>
      <w:r>
        <w:fldChar w:fldCharType="begin"/>
      </w:r>
      <w:r>
        <w:instrText xml:space="preserve"> PAGEREF _Toc423530548 \h </w:instrText>
      </w:r>
      <w:r>
        <w:fldChar w:fldCharType="separate"/>
      </w:r>
      <w:r>
        <w:t>142</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Dispute as to terms of lease, Director’s powers in case of</w:t>
      </w:r>
      <w:r>
        <w:tab/>
      </w:r>
      <w:r>
        <w:fldChar w:fldCharType="begin"/>
      </w:r>
      <w:r>
        <w:instrText xml:space="preserve"> PAGEREF _Toc423530549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11</w:t>
      </w:r>
      <w:r>
        <w:rPr>
          <w:snapToGrid w:val="0"/>
        </w:rPr>
        <w:t> — </w:t>
      </w:r>
      <w:r>
        <w:t>Suspensions</w:t>
      </w:r>
    </w:p>
    <w:p>
      <w:pPr>
        <w:pStyle w:val="TOC8"/>
        <w:rPr>
          <w:rFonts w:asciiTheme="minorHAnsi" w:eastAsiaTheme="minorEastAsia" w:hAnsiTheme="minorHAnsi" w:cstheme="minorBidi"/>
          <w:szCs w:val="22"/>
        </w:rPr>
      </w:pPr>
      <w:r>
        <w:t>91</w:t>
      </w:r>
      <w:r>
        <w:rPr>
          <w:snapToGrid w:val="0"/>
        </w:rPr>
        <w:t>.</w:t>
      </w:r>
      <w:r>
        <w:rPr>
          <w:snapToGrid w:val="0"/>
        </w:rPr>
        <w:tab/>
        <w:t>Suspension of licence or permit in the public interest</w:t>
      </w:r>
      <w:r>
        <w:tab/>
      </w:r>
      <w:r>
        <w:fldChar w:fldCharType="begin"/>
      </w:r>
      <w:r>
        <w:instrText xml:space="preserve"> PAGEREF _Toc423530551 \h </w:instrText>
      </w:r>
      <w:r>
        <w:fldChar w:fldCharType="separate"/>
      </w:r>
      <w:r>
        <w:t>144</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Suspension because business has ceased etc.</w:t>
      </w:r>
      <w:r>
        <w:tab/>
      </w:r>
      <w:r>
        <w:fldChar w:fldCharType="begin"/>
      </w:r>
      <w:r>
        <w:instrText xml:space="preserve"> PAGEREF _Toc423530552 \h </w:instrText>
      </w:r>
      <w:r>
        <w:fldChar w:fldCharType="separate"/>
      </w:r>
      <w:r>
        <w:t>144</w:t>
      </w:r>
      <w:r>
        <w:fldChar w:fldCharType="end"/>
      </w:r>
    </w:p>
    <w:p>
      <w:pPr>
        <w:pStyle w:val="TOC8"/>
        <w:rPr>
          <w:rFonts w:asciiTheme="minorHAnsi" w:eastAsiaTheme="minorEastAsia" w:hAnsiTheme="minorHAnsi" w:cstheme="minorBidi"/>
          <w:szCs w:val="22"/>
        </w:rPr>
      </w:pPr>
      <w:r>
        <w:t>92A</w:t>
      </w:r>
      <w:r>
        <w:rPr>
          <w:snapToGrid w:val="0"/>
        </w:rPr>
        <w:t>.</w:t>
      </w:r>
      <w:r>
        <w:rPr>
          <w:snapToGrid w:val="0"/>
        </w:rPr>
        <w:tab/>
        <w:t>Cancellation of suspension</w:t>
      </w:r>
      <w:r>
        <w:tab/>
      </w:r>
      <w:r>
        <w:fldChar w:fldCharType="begin"/>
      </w:r>
      <w:r>
        <w:instrText xml:space="preserve"> PAGEREF _Toc423530553 \h </w:instrText>
      </w:r>
      <w:r>
        <w:fldChar w:fldCharType="separate"/>
      </w:r>
      <w:r>
        <w:t>145</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Cancellation of suspended licences</w:t>
      </w:r>
      <w:r>
        <w:tab/>
      </w:r>
      <w:r>
        <w:fldChar w:fldCharType="begin"/>
      </w:r>
      <w:r>
        <w:instrText xml:space="preserve"> PAGEREF _Toc423530554 \h </w:instrText>
      </w:r>
      <w:r>
        <w:fldChar w:fldCharType="separate"/>
      </w:r>
      <w:r>
        <w:t>145</w:t>
      </w:r>
      <w:r>
        <w:fldChar w:fldCharType="end"/>
      </w:r>
    </w:p>
    <w:p>
      <w:pPr>
        <w:pStyle w:val="TOC4"/>
        <w:tabs>
          <w:tab w:val="right" w:leader="dot" w:pos="7077"/>
        </w:tabs>
        <w:rPr>
          <w:rFonts w:asciiTheme="minorHAnsi" w:eastAsiaTheme="minorEastAsia" w:hAnsiTheme="minorHAnsi" w:cstheme="minorBidi"/>
          <w:b w:val="0"/>
          <w:szCs w:val="22"/>
        </w:rPr>
      </w:pPr>
      <w:r>
        <w:t>Division 12</w:t>
      </w:r>
      <w:r>
        <w:rPr>
          <w:snapToGrid w:val="0"/>
        </w:rPr>
        <w:t> — </w:t>
      </w:r>
      <w:r>
        <w:t>Surrenders</w:t>
      </w:r>
    </w:p>
    <w:p>
      <w:pPr>
        <w:pStyle w:val="TOC8"/>
        <w:rPr>
          <w:rFonts w:asciiTheme="minorHAnsi" w:eastAsiaTheme="minorEastAsia" w:hAnsiTheme="minorHAnsi" w:cstheme="minorBidi"/>
          <w:szCs w:val="22"/>
        </w:rPr>
      </w:pPr>
      <w:r>
        <w:t>94</w:t>
      </w:r>
      <w:r>
        <w:rPr>
          <w:snapToGrid w:val="0"/>
        </w:rPr>
        <w:t>.</w:t>
      </w:r>
      <w:r>
        <w:rPr>
          <w:snapToGrid w:val="0"/>
        </w:rPr>
        <w:tab/>
        <w:t>Surrendering licences</w:t>
      </w:r>
      <w:r>
        <w:tab/>
      </w:r>
      <w:r>
        <w:fldChar w:fldCharType="begin"/>
      </w:r>
      <w:r>
        <w:instrText xml:space="preserve"> PAGEREF _Toc423530556 \h </w:instrText>
      </w:r>
      <w:r>
        <w:fldChar w:fldCharType="separate"/>
      </w:r>
      <w:r>
        <w:t>145</w:t>
      </w:r>
      <w:r>
        <w:fldChar w:fldCharType="end"/>
      </w:r>
    </w:p>
    <w:p>
      <w:pPr>
        <w:pStyle w:val="TOC4"/>
        <w:tabs>
          <w:tab w:val="right" w:leader="dot" w:pos="7077"/>
        </w:tabs>
        <w:rPr>
          <w:rFonts w:asciiTheme="minorHAnsi" w:eastAsiaTheme="minorEastAsia" w:hAnsiTheme="minorHAnsi" w:cstheme="minorBidi"/>
          <w:b w:val="0"/>
          <w:szCs w:val="22"/>
        </w:rPr>
      </w:pPr>
      <w:r>
        <w:t>Division 13</w:t>
      </w:r>
      <w:r>
        <w:rPr>
          <w:snapToGrid w:val="0"/>
        </w:rPr>
        <w:t> — </w:t>
      </w:r>
      <w:r>
        <w:t>Disciplinary matters</w:t>
      </w:r>
    </w:p>
    <w:p>
      <w:pPr>
        <w:pStyle w:val="TOC8"/>
        <w:rPr>
          <w:rFonts w:asciiTheme="minorHAnsi" w:eastAsiaTheme="minorEastAsia" w:hAnsiTheme="minorHAnsi" w:cstheme="minorBidi"/>
          <w:szCs w:val="22"/>
        </w:rPr>
      </w:pPr>
      <w:r>
        <w:t>95</w:t>
      </w:r>
      <w:r>
        <w:rPr>
          <w:snapToGrid w:val="0"/>
        </w:rPr>
        <w:t>.</w:t>
      </w:r>
      <w:r>
        <w:rPr>
          <w:snapToGrid w:val="0"/>
        </w:rPr>
        <w:tab/>
        <w:t>Disciplinary action against licensees, grounds and procedure for</w:t>
      </w:r>
      <w:r>
        <w:tab/>
      </w:r>
      <w:r>
        <w:fldChar w:fldCharType="begin"/>
      </w:r>
      <w:r>
        <w:instrText xml:space="preserve"> PAGEREF _Toc423530558 \h </w:instrText>
      </w:r>
      <w:r>
        <w:fldChar w:fldCharType="separate"/>
      </w:r>
      <w:r>
        <w:t>147</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Disciplinary action, powers to take</w:t>
      </w:r>
      <w:r>
        <w:tab/>
      </w:r>
      <w:r>
        <w:fldChar w:fldCharType="begin"/>
      </w:r>
      <w:r>
        <w:instrText xml:space="preserve"> PAGEREF _Toc423530559 \h </w:instrText>
      </w:r>
      <w:r>
        <w:fldChar w:fldCharType="separate"/>
      </w:r>
      <w:r>
        <w:t>151</w:t>
      </w:r>
      <w:r>
        <w:fldChar w:fldCharType="end"/>
      </w:r>
    </w:p>
    <w:p>
      <w:pPr>
        <w:pStyle w:val="TOC2"/>
        <w:tabs>
          <w:tab w:val="right" w:leader="dot" w:pos="7077"/>
        </w:tabs>
        <w:rPr>
          <w:rFonts w:asciiTheme="minorHAnsi" w:eastAsiaTheme="minorEastAsia" w:hAnsiTheme="minorHAnsi" w:cstheme="minorBidi"/>
          <w:b w:val="0"/>
          <w:sz w:val="22"/>
          <w:szCs w:val="22"/>
        </w:rPr>
      </w:pPr>
      <w:r>
        <w:t>Part 4 — The conduct of business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Hours of trading</w:t>
      </w:r>
    </w:p>
    <w:p>
      <w:pPr>
        <w:pStyle w:val="TOC8"/>
        <w:rPr>
          <w:rFonts w:asciiTheme="minorHAnsi" w:eastAsiaTheme="minorEastAsia" w:hAnsiTheme="minorHAnsi" w:cstheme="minorBidi"/>
          <w:szCs w:val="22"/>
        </w:rPr>
      </w:pPr>
      <w:r>
        <w:t>97</w:t>
      </w:r>
      <w:r>
        <w:rPr>
          <w:snapToGrid w:val="0"/>
        </w:rPr>
        <w:t>.</w:t>
      </w:r>
      <w:r>
        <w:rPr>
          <w:snapToGrid w:val="0"/>
        </w:rPr>
        <w:tab/>
        <w:t>Permitted hours generally</w:t>
      </w:r>
      <w:r>
        <w:tab/>
      </w:r>
      <w:r>
        <w:fldChar w:fldCharType="begin"/>
      </w:r>
      <w:r>
        <w:instrText xml:space="preserve"> PAGEREF _Toc423530562 \h </w:instrText>
      </w:r>
      <w:r>
        <w:fldChar w:fldCharType="separate"/>
      </w:r>
      <w:r>
        <w:t>155</w:t>
      </w:r>
      <w:r>
        <w:fldChar w:fldCharType="end"/>
      </w:r>
    </w:p>
    <w:p>
      <w:pPr>
        <w:pStyle w:val="TOC8"/>
        <w:rPr>
          <w:rFonts w:asciiTheme="minorHAnsi" w:eastAsiaTheme="minorEastAsia" w:hAnsiTheme="minorHAnsi" w:cstheme="minorBidi"/>
          <w:szCs w:val="22"/>
        </w:rPr>
      </w:pPr>
      <w:r>
        <w:t>98.</w:t>
      </w:r>
      <w:r>
        <w:tab/>
        <w:t>Hotel licence, permitted hours under</w:t>
      </w:r>
      <w:r>
        <w:tab/>
      </w:r>
      <w:r>
        <w:fldChar w:fldCharType="begin"/>
      </w:r>
      <w:r>
        <w:instrText xml:space="preserve"> PAGEREF _Toc423530563 \h </w:instrText>
      </w:r>
      <w:r>
        <w:fldChar w:fldCharType="separate"/>
      </w:r>
      <w:r>
        <w:t>155</w:t>
      </w:r>
      <w:r>
        <w:fldChar w:fldCharType="end"/>
      </w:r>
    </w:p>
    <w:p>
      <w:pPr>
        <w:pStyle w:val="TOC8"/>
        <w:rPr>
          <w:rFonts w:asciiTheme="minorHAnsi" w:eastAsiaTheme="minorEastAsia" w:hAnsiTheme="minorHAnsi" w:cstheme="minorBidi"/>
          <w:szCs w:val="22"/>
        </w:rPr>
      </w:pPr>
      <w:r>
        <w:t>98A.</w:t>
      </w:r>
      <w:r>
        <w:tab/>
        <w:t>Nightclub licence, permitted hours under</w:t>
      </w:r>
      <w:r>
        <w:tab/>
      </w:r>
      <w:r>
        <w:fldChar w:fldCharType="begin"/>
      </w:r>
      <w:r>
        <w:instrText xml:space="preserve"> PAGEREF _Toc423530564 \h </w:instrText>
      </w:r>
      <w:r>
        <w:fldChar w:fldCharType="separate"/>
      </w:r>
      <w:r>
        <w:t>156</w:t>
      </w:r>
      <w:r>
        <w:fldChar w:fldCharType="end"/>
      </w:r>
    </w:p>
    <w:p>
      <w:pPr>
        <w:pStyle w:val="TOC8"/>
        <w:rPr>
          <w:rFonts w:asciiTheme="minorHAnsi" w:eastAsiaTheme="minorEastAsia" w:hAnsiTheme="minorHAnsi" w:cstheme="minorBidi"/>
          <w:szCs w:val="22"/>
        </w:rPr>
      </w:pPr>
      <w:r>
        <w:t>98B.</w:t>
      </w:r>
      <w:r>
        <w:tab/>
        <w:t>Casino liquor licence, permitted hours under</w:t>
      </w:r>
      <w:r>
        <w:tab/>
      </w:r>
      <w:r>
        <w:fldChar w:fldCharType="begin"/>
      </w:r>
      <w:r>
        <w:instrText xml:space="preserve"> PAGEREF _Toc423530565 \h </w:instrText>
      </w:r>
      <w:r>
        <w:fldChar w:fldCharType="separate"/>
      </w:r>
      <w:r>
        <w:t>157</w:t>
      </w:r>
      <w:r>
        <w:fldChar w:fldCharType="end"/>
      </w:r>
    </w:p>
    <w:p>
      <w:pPr>
        <w:pStyle w:val="TOC8"/>
        <w:rPr>
          <w:rFonts w:asciiTheme="minorHAnsi" w:eastAsiaTheme="minorEastAsia" w:hAnsiTheme="minorHAnsi" w:cstheme="minorBidi"/>
          <w:szCs w:val="22"/>
        </w:rPr>
      </w:pPr>
      <w:r>
        <w:t>98C.</w:t>
      </w:r>
      <w:r>
        <w:tab/>
        <w:t>Special facility licence, permitted hours under</w:t>
      </w:r>
      <w:r>
        <w:tab/>
      </w:r>
      <w:r>
        <w:fldChar w:fldCharType="begin"/>
      </w:r>
      <w:r>
        <w:instrText xml:space="preserve"> PAGEREF _Toc423530566 \h </w:instrText>
      </w:r>
      <w:r>
        <w:fldChar w:fldCharType="separate"/>
      </w:r>
      <w:r>
        <w:t>157</w:t>
      </w:r>
      <w:r>
        <w:fldChar w:fldCharType="end"/>
      </w:r>
    </w:p>
    <w:p>
      <w:pPr>
        <w:pStyle w:val="TOC8"/>
        <w:rPr>
          <w:rFonts w:asciiTheme="minorHAnsi" w:eastAsiaTheme="minorEastAsia" w:hAnsiTheme="minorHAnsi" w:cstheme="minorBidi"/>
          <w:szCs w:val="22"/>
        </w:rPr>
      </w:pPr>
      <w:r>
        <w:t>98D.</w:t>
      </w:r>
      <w:r>
        <w:tab/>
        <w:t>Liquor store licence, permitted hours under</w:t>
      </w:r>
      <w:r>
        <w:tab/>
      </w:r>
      <w:r>
        <w:fldChar w:fldCharType="begin"/>
      </w:r>
      <w:r>
        <w:instrText xml:space="preserve"> PAGEREF _Toc423530567 \h </w:instrText>
      </w:r>
      <w:r>
        <w:fldChar w:fldCharType="separate"/>
      </w:r>
      <w:r>
        <w:t>157</w:t>
      </w:r>
      <w:r>
        <w:fldChar w:fldCharType="end"/>
      </w:r>
    </w:p>
    <w:p>
      <w:pPr>
        <w:pStyle w:val="TOC8"/>
        <w:rPr>
          <w:rFonts w:asciiTheme="minorHAnsi" w:eastAsiaTheme="minorEastAsia" w:hAnsiTheme="minorHAnsi" w:cstheme="minorBidi"/>
          <w:szCs w:val="22"/>
        </w:rPr>
      </w:pPr>
      <w:r>
        <w:t>98E.</w:t>
      </w:r>
      <w:r>
        <w:tab/>
        <w:t>Club licence and club restricted licence, permitted hours under</w:t>
      </w:r>
      <w:r>
        <w:tab/>
      </w:r>
      <w:r>
        <w:fldChar w:fldCharType="begin"/>
      </w:r>
      <w:r>
        <w:instrText xml:space="preserve"> PAGEREF _Toc423530568 \h </w:instrText>
      </w:r>
      <w:r>
        <w:fldChar w:fldCharType="separate"/>
      </w:r>
      <w:r>
        <w:t>158</w:t>
      </w:r>
      <w:r>
        <w:fldChar w:fldCharType="end"/>
      </w:r>
    </w:p>
    <w:p>
      <w:pPr>
        <w:pStyle w:val="TOC8"/>
        <w:rPr>
          <w:rFonts w:asciiTheme="minorHAnsi" w:eastAsiaTheme="minorEastAsia" w:hAnsiTheme="minorHAnsi" w:cstheme="minorBidi"/>
          <w:szCs w:val="22"/>
        </w:rPr>
      </w:pPr>
      <w:r>
        <w:t>98F.</w:t>
      </w:r>
      <w:r>
        <w:tab/>
        <w:t>Restaurant licence, permitted hours under</w:t>
      </w:r>
      <w:r>
        <w:tab/>
      </w:r>
      <w:r>
        <w:fldChar w:fldCharType="begin"/>
      </w:r>
      <w:r>
        <w:instrText xml:space="preserve"> PAGEREF _Toc423530569 \h </w:instrText>
      </w:r>
      <w:r>
        <w:fldChar w:fldCharType="separate"/>
      </w:r>
      <w:r>
        <w:t>159</w:t>
      </w:r>
      <w:r>
        <w:fldChar w:fldCharType="end"/>
      </w:r>
    </w:p>
    <w:p>
      <w:pPr>
        <w:pStyle w:val="TOC8"/>
        <w:rPr>
          <w:rFonts w:asciiTheme="minorHAnsi" w:eastAsiaTheme="minorEastAsia" w:hAnsiTheme="minorHAnsi" w:cstheme="minorBidi"/>
          <w:szCs w:val="22"/>
        </w:rPr>
      </w:pPr>
      <w:r>
        <w:t>98G.</w:t>
      </w:r>
      <w:r>
        <w:tab/>
        <w:t>Producer’s licence, permitted hours under</w:t>
      </w:r>
      <w:r>
        <w:tab/>
      </w:r>
      <w:r>
        <w:fldChar w:fldCharType="begin"/>
      </w:r>
      <w:r>
        <w:instrText xml:space="preserve"> PAGEREF _Toc423530570 \h </w:instrText>
      </w:r>
      <w:r>
        <w:fldChar w:fldCharType="separate"/>
      </w:r>
      <w:r>
        <w:t>159</w:t>
      </w:r>
      <w:r>
        <w:fldChar w:fldCharType="end"/>
      </w:r>
    </w:p>
    <w:p>
      <w:pPr>
        <w:pStyle w:val="TOC8"/>
        <w:rPr>
          <w:rFonts w:asciiTheme="minorHAnsi" w:eastAsiaTheme="minorEastAsia" w:hAnsiTheme="minorHAnsi" w:cstheme="minorBidi"/>
          <w:szCs w:val="22"/>
        </w:rPr>
      </w:pPr>
      <w:r>
        <w:t>98H.</w:t>
      </w:r>
      <w:r>
        <w:tab/>
        <w:t>Wholesaler’s licence, permitted hours under</w:t>
      </w:r>
      <w:r>
        <w:tab/>
      </w:r>
      <w:r>
        <w:fldChar w:fldCharType="begin"/>
      </w:r>
      <w:r>
        <w:instrText xml:space="preserve"> PAGEREF _Toc423530571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Maintenance of the premises</w:t>
      </w:r>
    </w:p>
    <w:p>
      <w:pPr>
        <w:pStyle w:val="TOC8"/>
        <w:rPr>
          <w:rFonts w:asciiTheme="minorHAnsi" w:eastAsiaTheme="minorEastAsia" w:hAnsiTheme="minorHAnsi" w:cstheme="minorBidi"/>
          <w:szCs w:val="22"/>
        </w:rPr>
      </w:pPr>
      <w:r>
        <w:t>99</w:t>
      </w:r>
      <w:r>
        <w:rPr>
          <w:snapToGrid w:val="0"/>
        </w:rPr>
        <w:t>.</w:t>
      </w:r>
      <w:r>
        <w:rPr>
          <w:snapToGrid w:val="0"/>
        </w:rPr>
        <w:tab/>
        <w:t>Duty to keep premises clean and in good repair; powers to enforce duty and require alterations</w:t>
      </w:r>
      <w:r>
        <w:tab/>
      </w:r>
      <w:r>
        <w:fldChar w:fldCharType="begin"/>
      </w:r>
      <w:r>
        <w:instrText xml:space="preserve"> PAGEREF _Toc423530573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Supervision and management</w:t>
      </w:r>
    </w:p>
    <w:p>
      <w:pPr>
        <w:pStyle w:val="TOC6"/>
        <w:tabs>
          <w:tab w:val="right" w:leader="dot" w:pos="7077"/>
        </w:tabs>
        <w:rPr>
          <w:rFonts w:asciiTheme="minorHAnsi" w:eastAsiaTheme="minorEastAsia" w:hAnsiTheme="minorHAnsi" w:cstheme="minorBidi"/>
          <w:b w:val="0"/>
          <w:sz w:val="22"/>
          <w:szCs w:val="22"/>
        </w:rPr>
      </w:pPr>
      <w:r>
        <w:t>Subdivision 1 — Licensed premises to be supervised and managed</w:t>
      </w:r>
    </w:p>
    <w:p>
      <w:pPr>
        <w:pStyle w:val="TOC8"/>
        <w:rPr>
          <w:rFonts w:asciiTheme="minorHAnsi" w:eastAsiaTheme="minorEastAsia" w:hAnsiTheme="minorHAnsi" w:cstheme="minorBidi"/>
          <w:szCs w:val="22"/>
        </w:rPr>
      </w:pPr>
      <w:r>
        <w:t>100</w:t>
      </w:r>
      <w:r>
        <w:rPr>
          <w:snapToGrid w:val="0"/>
        </w:rPr>
        <w:t>.</w:t>
      </w:r>
      <w:r>
        <w:rPr>
          <w:snapToGrid w:val="0"/>
        </w:rPr>
        <w:tab/>
        <w:t>Licensee’s duties</w:t>
      </w:r>
      <w:r>
        <w:tab/>
      </w:r>
      <w:r>
        <w:fldChar w:fldCharType="begin"/>
      </w:r>
      <w:r>
        <w:instrText xml:space="preserve"> PAGEREF _Toc423530576 \h </w:instrText>
      </w:r>
      <w:r>
        <w:fldChar w:fldCharType="separate"/>
      </w:r>
      <w:r>
        <w:t>162</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Managers etc., liabilities of</w:t>
      </w:r>
      <w:r>
        <w:tab/>
      </w:r>
      <w:r>
        <w:fldChar w:fldCharType="begin"/>
      </w:r>
      <w:r>
        <w:instrText xml:space="preserve"> PAGEREF _Toc423530577 \h </w:instrText>
      </w:r>
      <w:r>
        <w:fldChar w:fldCharType="separate"/>
      </w:r>
      <w:r>
        <w:t>164</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Approval of managers</w:t>
      </w:r>
    </w:p>
    <w:p>
      <w:pPr>
        <w:pStyle w:val="TOC8"/>
        <w:rPr>
          <w:rFonts w:asciiTheme="minorHAnsi" w:eastAsiaTheme="minorEastAsia" w:hAnsiTheme="minorHAnsi" w:cstheme="minorBidi"/>
          <w:szCs w:val="22"/>
        </w:rPr>
      </w:pPr>
      <w:r>
        <w:t>102A.</w:t>
      </w:r>
      <w:r>
        <w:tab/>
        <w:t>Terms used</w:t>
      </w:r>
      <w:r>
        <w:tab/>
      </w:r>
      <w:r>
        <w:fldChar w:fldCharType="begin"/>
      </w:r>
      <w:r>
        <w:instrText xml:space="preserve"> PAGEREF _Toc423530579 \h </w:instrText>
      </w:r>
      <w:r>
        <w:fldChar w:fldCharType="separate"/>
      </w:r>
      <w:r>
        <w:t>165</w:t>
      </w:r>
      <w:r>
        <w:fldChar w:fldCharType="end"/>
      </w:r>
    </w:p>
    <w:p>
      <w:pPr>
        <w:pStyle w:val="TOC8"/>
        <w:rPr>
          <w:rFonts w:asciiTheme="minorHAnsi" w:eastAsiaTheme="minorEastAsia" w:hAnsiTheme="minorHAnsi" w:cstheme="minorBidi"/>
          <w:szCs w:val="22"/>
        </w:rPr>
      </w:pPr>
      <w:r>
        <w:t>102B.</w:t>
      </w:r>
      <w:r>
        <w:tab/>
        <w:t>Applications for and granting approvals</w:t>
      </w:r>
      <w:r>
        <w:tab/>
      </w:r>
      <w:r>
        <w:fldChar w:fldCharType="begin"/>
      </w:r>
      <w:r>
        <w:instrText xml:space="preserve"> PAGEREF _Toc423530580 \h </w:instrText>
      </w:r>
      <w:r>
        <w:fldChar w:fldCharType="separate"/>
      </w:r>
      <w:r>
        <w:t>165</w:t>
      </w:r>
      <w:r>
        <w:fldChar w:fldCharType="end"/>
      </w:r>
    </w:p>
    <w:p>
      <w:pPr>
        <w:pStyle w:val="TOC8"/>
        <w:rPr>
          <w:rFonts w:asciiTheme="minorHAnsi" w:eastAsiaTheme="minorEastAsia" w:hAnsiTheme="minorHAnsi" w:cstheme="minorBidi"/>
          <w:szCs w:val="22"/>
        </w:rPr>
      </w:pPr>
      <w:r>
        <w:t>102C.</w:t>
      </w:r>
      <w:r>
        <w:tab/>
        <w:t>Conditions on manager’s approval</w:t>
      </w:r>
      <w:r>
        <w:tab/>
      </w:r>
      <w:r>
        <w:fldChar w:fldCharType="begin"/>
      </w:r>
      <w:r>
        <w:instrText xml:space="preserve"> PAGEREF _Toc423530581 \h </w:instrText>
      </w:r>
      <w:r>
        <w:fldChar w:fldCharType="separate"/>
      </w:r>
      <w:r>
        <w:t>166</w:t>
      </w:r>
      <w:r>
        <w:fldChar w:fldCharType="end"/>
      </w:r>
    </w:p>
    <w:p>
      <w:pPr>
        <w:pStyle w:val="TOC8"/>
        <w:rPr>
          <w:rFonts w:asciiTheme="minorHAnsi" w:eastAsiaTheme="minorEastAsia" w:hAnsiTheme="minorHAnsi" w:cstheme="minorBidi"/>
          <w:szCs w:val="22"/>
        </w:rPr>
      </w:pPr>
      <w:r>
        <w:t>102D.</w:t>
      </w:r>
      <w:r>
        <w:tab/>
        <w:t>Duration of manager’s approval</w:t>
      </w:r>
      <w:r>
        <w:tab/>
      </w:r>
      <w:r>
        <w:fldChar w:fldCharType="begin"/>
      </w:r>
      <w:r>
        <w:instrText xml:space="preserve"> PAGEREF _Toc423530582 \h </w:instrText>
      </w:r>
      <w:r>
        <w:fldChar w:fldCharType="separate"/>
      </w:r>
      <w:r>
        <w:t>166</w:t>
      </w:r>
      <w:r>
        <w:fldChar w:fldCharType="end"/>
      </w:r>
    </w:p>
    <w:p>
      <w:pPr>
        <w:pStyle w:val="TOC8"/>
        <w:rPr>
          <w:rFonts w:asciiTheme="minorHAnsi" w:eastAsiaTheme="minorEastAsia" w:hAnsiTheme="minorHAnsi" w:cstheme="minorBidi"/>
          <w:szCs w:val="22"/>
        </w:rPr>
      </w:pPr>
      <w:r>
        <w:t>102E.</w:t>
      </w:r>
      <w:r>
        <w:tab/>
        <w:t>Renewal of manager’s approval</w:t>
      </w:r>
      <w:r>
        <w:tab/>
      </w:r>
      <w:r>
        <w:fldChar w:fldCharType="begin"/>
      </w:r>
      <w:r>
        <w:instrText xml:space="preserve"> PAGEREF _Toc423530583 \h </w:instrText>
      </w:r>
      <w:r>
        <w:fldChar w:fldCharType="separate"/>
      </w:r>
      <w:r>
        <w:t>166</w:t>
      </w:r>
      <w:r>
        <w:fldChar w:fldCharType="end"/>
      </w:r>
    </w:p>
    <w:p>
      <w:pPr>
        <w:pStyle w:val="TOC8"/>
        <w:rPr>
          <w:rFonts w:asciiTheme="minorHAnsi" w:eastAsiaTheme="minorEastAsia" w:hAnsiTheme="minorHAnsi" w:cstheme="minorBidi"/>
          <w:szCs w:val="22"/>
        </w:rPr>
      </w:pPr>
      <w:r>
        <w:t>102F.</w:t>
      </w:r>
      <w:r>
        <w:tab/>
        <w:t>Disciplinary action against approved managers</w:t>
      </w:r>
      <w:r>
        <w:tab/>
      </w:r>
      <w:r>
        <w:fldChar w:fldCharType="begin"/>
      </w:r>
      <w:r>
        <w:instrText xml:space="preserve"> PAGEREF _Toc423530584 \h </w:instrText>
      </w:r>
      <w:r>
        <w:fldChar w:fldCharType="separate"/>
      </w:r>
      <w:r>
        <w:t>167</w:t>
      </w:r>
      <w:r>
        <w:fldChar w:fldCharType="end"/>
      </w:r>
    </w:p>
    <w:p>
      <w:pPr>
        <w:pStyle w:val="TOC8"/>
        <w:rPr>
          <w:rFonts w:asciiTheme="minorHAnsi" w:eastAsiaTheme="minorEastAsia" w:hAnsiTheme="minorHAnsi" w:cstheme="minorBidi"/>
          <w:szCs w:val="22"/>
        </w:rPr>
      </w:pPr>
      <w:r>
        <w:t>102G.</w:t>
      </w:r>
      <w:r>
        <w:tab/>
        <w:t>Approval may be cancelled on request</w:t>
      </w:r>
      <w:r>
        <w:tab/>
      </w:r>
      <w:r>
        <w:fldChar w:fldCharType="begin"/>
      </w:r>
      <w:r>
        <w:instrText xml:space="preserve"> PAGEREF _Toc423530585 \h </w:instrText>
      </w:r>
      <w:r>
        <w:fldChar w:fldCharType="separate"/>
      </w:r>
      <w:r>
        <w:t>168</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matters</w:t>
      </w:r>
    </w:p>
    <w:p>
      <w:pPr>
        <w:pStyle w:val="TOC8"/>
        <w:rPr>
          <w:rFonts w:asciiTheme="minorHAnsi" w:eastAsiaTheme="minorEastAsia" w:hAnsiTheme="minorHAnsi" w:cstheme="minorBidi"/>
          <w:szCs w:val="22"/>
        </w:rPr>
      </w:pPr>
      <w:r>
        <w:t>102</w:t>
      </w:r>
      <w:r>
        <w:rPr>
          <w:snapToGrid w:val="0"/>
        </w:rPr>
        <w:t>.</w:t>
      </w:r>
      <w:r>
        <w:rPr>
          <w:snapToGrid w:val="0"/>
        </w:rPr>
        <w:tab/>
        <w:t>Management and control of incorporated licensees, approvals required</w:t>
      </w:r>
      <w:r>
        <w:tab/>
      </w:r>
      <w:r>
        <w:fldChar w:fldCharType="begin"/>
      </w:r>
      <w:r>
        <w:instrText xml:space="preserve"> PAGEREF _Toc423530587 \h </w:instrText>
      </w:r>
      <w:r>
        <w:fldChar w:fldCharType="separate"/>
      </w:r>
      <w:r>
        <w:t>168</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Owners of licensed premises to notify Director of certain matters</w:t>
      </w:r>
      <w:r>
        <w:tab/>
      </w:r>
      <w:r>
        <w:fldChar w:fldCharType="begin"/>
      </w:r>
      <w:r>
        <w:instrText xml:space="preserve"> PAGEREF _Toc423530588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Division 3A — Responsible practices in selling, supplying and serving liquor</w:t>
      </w:r>
    </w:p>
    <w:p>
      <w:pPr>
        <w:pStyle w:val="TOC8"/>
        <w:rPr>
          <w:rFonts w:asciiTheme="minorHAnsi" w:eastAsiaTheme="minorEastAsia" w:hAnsiTheme="minorHAnsi" w:cstheme="minorBidi"/>
          <w:szCs w:val="22"/>
        </w:rPr>
      </w:pPr>
      <w:r>
        <w:t>103A.</w:t>
      </w:r>
      <w:r>
        <w:tab/>
        <w:t>Regulations about training people in responsible practices</w:t>
      </w:r>
      <w:r>
        <w:tab/>
      </w:r>
      <w:r>
        <w:fldChar w:fldCharType="begin"/>
      </w:r>
      <w:r>
        <w:instrText xml:space="preserve"> PAGEREF _Toc423530590 \h </w:instrText>
      </w:r>
      <w:r>
        <w:fldChar w:fldCharType="separate"/>
      </w:r>
      <w:r>
        <w:t>170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Profit sharing</w:t>
      </w:r>
    </w:p>
    <w:p>
      <w:pPr>
        <w:pStyle w:val="TOC8"/>
        <w:rPr>
          <w:rFonts w:asciiTheme="minorHAnsi" w:eastAsiaTheme="minorEastAsia" w:hAnsiTheme="minorHAnsi" w:cstheme="minorBidi"/>
          <w:szCs w:val="22"/>
        </w:rPr>
      </w:pPr>
      <w:r>
        <w:t>104</w:t>
      </w:r>
      <w:r>
        <w:rPr>
          <w:snapToGrid w:val="0"/>
        </w:rPr>
        <w:t>.</w:t>
      </w:r>
      <w:r>
        <w:rPr>
          <w:snapToGrid w:val="0"/>
        </w:rPr>
        <w:tab/>
        <w:t>Profit sharing etc. prohibited without approval</w:t>
      </w:r>
      <w:r>
        <w:tab/>
      </w:r>
      <w:r>
        <w:fldChar w:fldCharType="begin"/>
      </w:r>
      <w:r>
        <w:instrText xml:space="preserve"> PAGEREF _Toc423530592 \h </w:instrText>
      </w:r>
      <w:r>
        <w:fldChar w:fldCharType="separate"/>
      </w:r>
      <w:r>
        <w:t>171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Lodgers</w:t>
      </w:r>
    </w:p>
    <w:p>
      <w:pPr>
        <w:pStyle w:val="TOC8"/>
        <w:rPr>
          <w:rFonts w:asciiTheme="minorHAnsi" w:eastAsiaTheme="minorEastAsia" w:hAnsiTheme="minorHAnsi" w:cstheme="minorBidi"/>
          <w:szCs w:val="22"/>
        </w:rPr>
      </w:pPr>
      <w:r>
        <w:t>105</w:t>
      </w:r>
      <w:r>
        <w:rPr>
          <w:snapToGrid w:val="0"/>
        </w:rPr>
        <w:t>.</w:t>
      </w:r>
      <w:r>
        <w:rPr>
          <w:snapToGrid w:val="0"/>
        </w:rPr>
        <w:tab/>
        <w:t>Persons deemed lodgers of licensed premises in some cases</w:t>
      </w:r>
      <w:r>
        <w:tab/>
      </w:r>
      <w:r>
        <w:fldChar w:fldCharType="begin"/>
      </w:r>
      <w:r>
        <w:instrText xml:space="preserve"> PAGEREF _Toc423530594 \h </w:instrText>
      </w:r>
      <w:r>
        <w:fldChar w:fldCharType="separate"/>
      </w:r>
      <w:r>
        <w:t>173</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Liquor supplied to lodgers etc., conditions applying to</w:t>
      </w:r>
      <w:r>
        <w:tab/>
      </w:r>
      <w:r>
        <w:fldChar w:fldCharType="begin"/>
      </w:r>
      <w:r>
        <w:instrText xml:space="preserve"> PAGEREF _Toc423530595 \h </w:instrText>
      </w:r>
      <w:r>
        <w:fldChar w:fldCharType="separate"/>
      </w:r>
      <w:r>
        <w:t>173</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Loss of lodger’s property, licensee’s liability for</w:t>
      </w:r>
      <w:r>
        <w:tab/>
      </w:r>
      <w:r>
        <w:fldChar w:fldCharType="begin"/>
      </w:r>
      <w:r>
        <w:instrText xml:space="preserve"> PAGEREF _Toc423530596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The sale and consumption of liquor, etc.</w:t>
      </w:r>
    </w:p>
    <w:p>
      <w:pPr>
        <w:pStyle w:val="TOC8"/>
        <w:rPr>
          <w:rFonts w:asciiTheme="minorHAnsi" w:eastAsiaTheme="minorEastAsia" w:hAnsiTheme="minorHAnsi" w:cstheme="minorBidi"/>
          <w:szCs w:val="22"/>
        </w:rPr>
      </w:pPr>
      <w:r>
        <w:t>108.</w:t>
      </w:r>
      <w:r>
        <w:tab/>
        <w:t>Certain licensees to exhibit charges for meals and liquor</w:t>
      </w:r>
      <w:r>
        <w:tab/>
      </w:r>
      <w:r>
        <w:fldChar w:fldCharType="begin"/>
      </w:r>
      <w:r>
        <w:instrText xml:space="preserve"> PAGEREF _Toc423530598 \h </w:instrText>
      </w:r>
      <w:r>
        <w:fldChar w:fldCharType="separate"/>
      </w:r>
      <w:r>
        <w:t>175</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Sale of liquor, offences as to</w:t>
      </w:r>
      <w:r>
        <w:tab/>
      </w:r>
      <w:r>
        <w:fldChar w:fldCharType="begin"/>
      </w:r>
      <w:r>
        <w:instrText xml:space="preserve"> PAGEREF _Toc423530599 \h </w:instrText>
      </w:r>
      <w:r>
        <w:fldChar w:fldCharType="separate"/>
      </w:r>
      <w:r>
        <w:t>175</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Licensed premises and sports arenas, offences as to</w:t>
      </w:r>
      <w:r>
        <w:tab/>
      </w:r>
      <w:r>
        <w:fldChar w:fldCharType="begin"/>
      </w:r>
      <w:r>
        <w:instrText xml:space="preserve"> PAGEREF _Toc423530600 \h </w:instrText>
      </w:r>
      <w:r>
        <w:fldChar w:fldCharType="separate"/>
      </w:r>
      <w:r>
        <w:t>178</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Trading outside permitted hours, offences as to</w:t>
      </w:r>
      <w:r>
        <w:tab/>
      </w:r>
      <w:r>
        <w:fldChar w:fldCharType="begin"/>
      </w:r>
      <w:r>
        <w:instrText xml:space="preserve"> PAGEREF _Toc423530601 \h </w:instrText>
      </w:r>
      <w:r>
        <w:fldChar w:fldCharType="separate"/>
      </w:r>
      <w:r>
        <w:t>181</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Exceptions to s. 109, 110 and 111</w:t>
      </w:r>
      <w:r>
        <w:tab/>
      </w:r>
      <w:r>
        <w:fldChar w:fldCharType="begin"/>
      </w:r>
      <w:r>
        <w:instrText xml:space="preserve"> PAGEREF _Toc423530602 \h </w:instrText>
      </w:r>
      <w:r>
        <w:fldChar w:fldCharType="separate"/>
      </w:r>
      <w:r>
        <w:t>182</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Offence under s. 109, 110 or 111, finding as to unlawful dealing in liquor; forfeiture of liquor</w:t>
      </w:r>
      <w:r>
        <w:tab/>
      </w:r>
      <w:r>
        <w:fldChar w:fldCharType="begin"/>
      </w:r>
      <w:r>
        <w:instrText xml:space="preserve"> PAGEREF _Toc423530603 \h </w:instrText>
      </w:r>
      <w:r>
        <w:fldChar w:fldCharType="separate"/>
      </w:r>
      <w:r>
        <w:t>184</w:t>
      </w:r>
      <w:r>
        <w:fldChar w:fldCharType="end"/>
      </w:r>
    </w:p>
    <w:p>
      <w:pPr>
        <w:pStyle w:val="TOC8"/>
        <w:rPr>
          <w:rFonts w:asciiTheme="minorHAnsi" w:eastAsiaTheme="minorEastAsia" w:hAnsiTheme="minorHAnsi" w:cstheme="minorBidi"/>
          <w:szCs w:val="22"/>
        </w:rPr>
      </w:pPr>
      <w:r>
        <w:t>113A.</w:t>
      </w:r>
      <w:r>
        <w:tab/>
        <w:t>Websites of some licensees, information to be displayed on</w:t>
      </w:r>
      <w:r>
        <w:tab/>
      </w:r>
      <w:r>
        <w:fldChar w:fldCharType="begin"/>
      </w:r>
      <w:r>
        <w:instrText xml:space="preserve"> PAGEREF _Toc423530604 \h </w:instrText>
      </w:r>
      <w:r>
        <w:fldChar w:fldCharType="separate"/>
      </w:r>
      <w:r>
        <w:t>184</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Closure of licensed premises, police powers as to</w:t>
      </w:r>
      <w:r>
        <w:tab/>
      </w:r>
      <w:r>
        <w:fldChar w:fldCharType="begin"/>
      </w:r>
      <w:r>
        <w:instrText xml:space="preserve"> PAGEREF _Toc423530605 \h </w:instrText>
      </w:r>
      <w:r>
        <w:fldChar w:fldCharType="separate"/>
      </w:r>
      <w:r>
        <w:t>185</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Drunk etc. people, offences as to, refusal of entry to etc.</w:t>
      </w:r>
      <w:r>
        <w:tab/>
      </w:r>
      <w:r>
        <w:fldChar w:fldCharType="begin"/>
      </w:r>
      <w:r>
        <w:instrText xml:space="preserve"> PAGEREF _Toc423530606 \h </w:instrText>
      </w:r>
      <w:r>
        <w:fldChar w:fldCharType="separate"/>
      </w:r>
      <w:r>
        <w:t>186</w:t>
      </w:r>
      <w:r>
        <w:fldChar w:fldCharType="end"/>
      </w:r>
    </w:p>
    <w:p>
      <w:pPr>
        <w:pStyle w:val="TOC8"/>
        <w:rPr>
          <w:rFonts w:asciiTheme="minorHAnsi" w:eastAsiaTheme="minorEastAsia" w:hAnsiTheme="minorHAnsi" w:cstheme="minorBidi"/>
          <w:szCs w:val="22"/>
        </w:rPr>
      </w:pPr>
      <w:r>
        <w:t>115AA.</w:t>
      </w:r>
      <w:r>
        <w:tab/>
        <w:t>Banning people from licensed premises, Commissioner of Police’s power for</w:t>
      </w:r>
      <w:r>
        <w:tab/>
      </w:r>
      <w:r>
        <w:fldChar w:fldCharType="begin"/>
      </w:r>
      <w:r>
        <w:instrText xml:space="preserve"> PAGEREF _Toc423530607 \h </w:instrText>
      </w:r>
      <w:r>
        <w:fldChar w:fldCharType="separate"/>
      </w:r>
      <w:r>
        <w:t>190</w:t>
      </w:r>
      <w:r>
        <w:fldChar w:fldCharType="end"/>
      </w:r>
    </w:p>
    <w:p>
      <w:pPr>
        <w:pStyle w:val="TOC8"/>
        <w:rPr>
          <w:rFonts w:asciiTheme="minorHAnsi" w:eastAsiaTheme="minorEastAsia" w:hAnsiTheme="minorHAnsi" w:cstheme="minorBidi"/>
          <w:szCs w:val="22"/>
        </w:rPr>
      </w:pPr>
      <w:r>
        <w:t>115AB.</w:t>
      </w:r>
      <w:r>
        <w:tab/>
        <w:t>Delegation by Commissioner of Police</w:t>
      </w:r>
      <w:r>
        <w:tab/>
      </w:r>
      <w:r>
        <w:fldChar w:fldCharType="begin"/>
      </w:r>
      <w:r>
        <w:instrText xml:space="preserve"> PAGEREF _Toc423530608 \h </w:instrText>
      </w:r>
      <w:r>
        <w:fldChar w:fldCharType="separate"/>
      </w:r>
      <w:r>
        <w:t>191</w:t>
      </w:r>
      <w:r>
        <w:fldChar w:fldCharType="end"/>
      </w:r>
    </w:p>
    <w:p>
      <w:pPr>
        <w:pStyle w:val="TOC8"/>
        <w:rPr>
          <w:rFonts w:asciiTheme="minorHAnsi" w:eastAsiaTheme="minorEastAsia" w:hAnsiTheme="minorHAnsi" w:cstheme="minorBidi"/>
          <w:szCs w:val="22"/>
        </w:rPr>
      </w:pPr>
      <w:r>
        <w:t>115AC.</w:t>
      </w:r>
      <w:r>
        <w:tab/>
        <w:t>Publication of details of people banned under s. 115AA</w:t>
      </w:r>
      <w:r>
        <w:tab/>
      </w:r>
      <w:r>
        <w:fldChar w:fldCharType="begin"/>
      </w:r>
      <w:r>
        <w:instrText xml:space="preserve"> PAGEREF _Toc423530609 \h </w:instrText>
      </w:r>
      <w:r>
        <w:fldChar w:fldCharType="separate"/>
      </w:r>
      <w:r>
        <w:t>192</w:t>
      </w:r>
      <w:r>
        <w:fldChar w:fldCharType="end"/>
      </w:r>
    </w:p>
    <w:p>
      <w:pPr>
        <w:pStyle w:val="TOC8"/>
        <w:rPr>
          <w:rFonts w:asciiTheme="minorHAnsi" w:eastAsiaTheme="minorEastAsia" w:hAnsiTheme="minorHAnsi" w:cstheme="minorBidi"/>
          <w:szCs w:val="22"/>
        </w:rPr>
      </w:pPr>
      <w:r>
        <w:t>115AD.</w:t>
      </w:r>
      <w:r>
        <w:tab/>
        <w:t>Review of s. 115AA notices</w:t>
      </w:r>
      <w:r>
        <w:tab/>
      </w:r>
      <w:r>
        <w:fldChar w:fldCharType="begin"/>
      </w:r>
      <w:r>
        <w:instrText xml:space="preserve"> PAGEREF _Toc423530610 \h </w:instrText>
      </w:r>
      <w:r>
        <w:fldChar w:fldCharType="separate"/>
      </w:r>
      <w:r>
        <w:t>193</w:t>
      </w:r>
      <w:r>
        <w:fldChar w:fldCharType="end"/>
      </w:r>
    </w:p>
    <w:p>
      <w:pPr>
        <w:pStyle w:val="TOC8"/>
        <w:rPr>
          <w:rFonts w:asciiTheme="minorHAnsi" w:eastAsiaTheme="minorEastAsia" w:hAnsiTheme="minorHAnsi" w:cstheme="minorBidi"/>
          <w:szCs w:val="22"/>
        </w:rPr>
      </w:pPr>
      <w:r>
        <w:t>115AE.</w:t>
      </w:r>
      <w:r>
        <w:tab/>
        <w:t>Permitting entry to premises contrary to s. 115AA notice</w:t>
      </w:r>
      <w:r>
        <w:tab/>
      </w:r>
      <w:r>
        <w:fldChar w:fldCharType="begin"/>
      </w:r>
      <w:r>
        <w:instrText xml:space="preserve"> PAGEREF _Toc423530611 \h </w:instrText>
      </w:r>
      <w:r>
        <w:fldChar w:fldCharType="separate"/>
      </w:r>
      <w:r>
        <w:t>194</w:t>
      </w:r>
      <w:r>
        <w:fldChar w:fldCharType="end"/>
      </w:r>
    </w:p>
    <w:p>
      <w:pPr>
        <w:pStyle w:val="TOC8"/>
        <w:rPr>
          <w:rFonts w:asciiTheme="minorHAnsi" w:eastAsiaTheme="minorEastAsia" w:hAnsiTheme="minorHAnsi" w:cstheme="minorBidi"/>
          <w:szCs w:val="22"/>
        </w:rPr>
      </w:pPr>
      <w:r>
        <w:t>115A.</w:t>
      </w:r>
      <w:r>
        <w:tab/>
        <w:t>Drinking water to be provided free at certain licensed premises</w:t>
      </w:r>
      <w:r>
        <w:tab/>
      </w:r>
      <w:r>
        <w:fldChar w:fldCharType="begin"/>
      </w:r>
      <w:r>
        <w:instrText xml:space="preserve"> PAGEREF _Toc423530612 \h </w:instrText>
      </w:r>
      <w:r>
        <w:fldChar w:fldCharType="separate"/>
      </w:r>
      <w:r>
        <w:t>195</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Documents to be displayed etc. at premises and produced</w:t>
      </w:r>
      <w:r>
        <w:tab/>
      </w:r>
      <w:r>
        <w:fldChar w:fldCharType="begin"/>
      </w:r>
      <w:r>
        <w:instrText xml:space="preserve"> PAGEREF _Toc423530613 \h </w:instrText>
      </w:r>
      <w:r>
        <w:fldChar w:fldCharType="separate"/>
      </w:r>
      <w:r>
        <w:t>195</w:t>
      </w:r>
      <w:r>
        <w:fldChar w:fldCharType="end"/>
      </w:r>
    </w:p>
    <w:p>
      <w:pPr>
        <w:pStyle w:val="TOC8"/>
        <w:rPr>
          <w:rFonts w:asciiTheme="minorHAnsi" w:eastAsiaTheme="minorEastAsia" w:hAnsiTheme="minorHAnsi" w:cstheme="minorBidi"/>
          <w:szCs w:val="22"/>
        </w:rPr>
      </w:pPr>
      <w:r>
        <w:t>116A.</w:t>
      </w:r>
      <w:r>
        <w:tab/>
        <w:t>Register of incidents at licensed premises to be maintained</w:t>
      </w:r>
      <w:r>
        <w:tab/>
      </w:r>
      <w:r>
        <w:fldChar w:fldCharType="begin"/>
      </w:r>
      <w:r>
        <w:instrText xml:space="preserve"> PAGEREF _Toc423530614 \h </w:instrText>
      </w:r>
      <w:r>
        <w:fldChar w:fldCharType="separate"/>
      </w:r>
      <w:r>
        <w:t>197</w:t>
      </w:r>
      <w:r>
        <w:fldChar w:fldCharType="end"/>
      </w:r>
    </w:p>
    <w:p>
      <w:pPr>
        <w:pStyle w:val="TOC4"/>
        <w:tabs>
          <w:tab w:val="right" w:leader="dot" w:pos="7077"/>
        </w:tabs>
        <w:rPr>
          <w:rFonts w:asciiTheme="minorHAnsi" w:eastAsiaTheme="minorEastAsia" w:hAnsiTheme="minorHAnsi" w:cstheme="minorBidi"/>
          <w:b w:val="0"/>
          <w:szCs w:val="22"/>
        </w:rPr>
      </w:pPr>
      <w:r>
        <w:t>Division 7 — Complaints to Director</w:t>
      </w:r>
    </w:p>
    <w:p>
      <w:pPr>
        <w:pStyle w:val="TOC8"/>
        <w:rPr>
          <w:rFonts w:asciiTheme="minorHAnsi" w:eastAsiaTheme="minorEastAsia" w:hAnsiTheme="minorHAnsi" w:cstheme="minorBidi"/>
          <w:szCs w:val="22"/>
        </w:rPr>
      </w:pPr>
      <w:r>
        <w:t>117</w:t>
      </w:r>
      <w:r>
        <w:rPr>
          <w:snapToGrid w:val="0"/>
        </w:rPr>
        <w:t>.</w:t>
      </w:r>
      <w:r>
        <w:rPr>
          <w:snapToGrid w:val="0"/>
        </w:rPr>
        <w:tab/>
        <w:t>Noise or behaviour related to licensed premises, complaints about</w:t>
      </w:r>
      <w:r>
        <w:tab/>
      </w:r>
      <w:r>
        <w:fldChar w:fldCharType="begin"/>
      </w:r>
      <w:r>
        <w:instrText xml:space="preserve"> PAGEREF _Toc423530616 \h </w:instrText>
      </w:r>
      <w:r>
        <w:fldChar w:fldCharType="separate"/>
      </w:r>
      <w:r>
        <w:t>197</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Liquor on unlicensed premises</w:t>
      </w:r>
    </w:p>
    <w:p>
      <w:pPr>
        <w:pStyle w:val="TOC8"/>
        <w:rPr>
          <w:rFonts w:asciiTheme="minorHAnsi" w:eastAsiaTheme="minorEastAsia" w:hAnsiTheme="minorHAnsi" w:cstheme="minorBidi"/>
          <w:szCs w:val="22"/>
        </w:rPr>
      </w:pPr>
      <w:r>
        <w:t>118</w:t>
      </w:r>
      <w:r>
        <w:rPr>
          <w:snapToGrid w:val="0"/>
        </w:rPr>
        <w:t>.</w:t>
      </w:r>
      <w:r>
        <w:rPr>
          <w:snapToGrid w:val="0"/>
        </w:rPr>
        <w:tab/>
        <w:t>Persons purporting to be a licensee</w:t>
      </w:r>
      <w:r>
        <w:tab/>
      </w:r>
      <w:r>
        <w:fldChar w:fldCharType="begin"/>
      </w:r>
      <w:r>
        <w:instrText xml:space="preserve"> PAGEREF _Toc423530618 \h </w:instrText>
      </w:r>
      <w:r>
        <w:fldChar w:fldCharType="separate"/>
      </w:r>
      <w:r>
        <w:t>202</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Unlicensed premises etc., offences as to</w:t>
      </w:r>
      <w:r>
        <w:tab/>
      </w:r>
      <w:r>
        <w:fldChar w:fldCharType="begin"/>
      </w:r>
      <w:r>
        <w:instrText xml:space="preserve"> PAGEREF _Toc423530619 \h </w:instrText>
      </w:r>
      <w:r>
        <w:fldChar w:fldCharType="separate"/>
      </w:r>
      <w:r>
        <w:t>203</w:t>
      </w:r>
      <w:r>
        <w:fldChar w:fldCharType="end"/>
      </w:r>
    </w:p>
    <w:p>
      <w:pPr>
        <w:pStyle w:val="TOC4"/>
        <w:tabs>
          <w:tab w:val="right" w:leader="dot" w:pos="7077"/>
        </w:tabs>
        <w:rPr>
          <w:rFonts w:asciiTheme="minorHAnsi" w:eastAsiaTheme="minorEastAsia" w:hAnsiTheme="minorHAnsi" w:cstheme="minorBidi"/>
          <w:b w:val="0"/>
          <w:szCs w:val="22"/>
        </w:rPr>
      </w:pPr>
      <w:r>
        <w:t>Division 8A — Conduct of unapproved businesses on or from licensed premises</w:t>
      </w:r>
    </w:p>
    <w:p>
      <w:pPr>
        <w:pStyle w:val="TOC8"/>
        <w:rPr>
          <w:rFonts w:asciiTheme="minorHAnsi" w:eastAsiaTheme="minorEastAsia" w:hAnsiTheme="minorHAnsi" w:cstheme="minorBidi"/>
          <w:szCs w:val="22"/>
        </w:rPr>
      </w:pPr>
      <w:r>
        <w:t>119A.</w:t>
      </w:r>
      <w:r>
        <w:tab/>
        <w:t>Non-liquor businesses on licensed premises, conduct of requires approval</w:t>
      </w:r>
      <w:r>
        <w:tab/>
      </w:r>
      <w:r>
        <w:fldChar w:fldCharType="begin"/>
      </w:r>
      <w:r>
        <w:instrText xml:space="preserve"> PAGEREF _Toc423530621 \h </w:instrText>
      </w:r>
      <w:r>
        <w:fldChar w:fldCharType="separate"/>
      </w:r>
      <w:r>
        <w:t>206</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Juveniles</w:t>
      </w:r>
    </w:p>
    <w:p>
      <w:pPr>
        <w:pStyle w:val="TOC8"/>
        <w:rPr>
          <w:rFonts w:asciiTheme="minorHAnsi" w:eastAsiaTheme="minorEastAsia" w:hAnsiTheme="minorHAnsi" w:cstheme="minorBidi"/>
          <w:szCs w:val="22"/>
        </w:rPr>
      </w:pPr>
      <w:r>
        <w:t>120</w:t>
      </w:r>
      <w:r>
        <w:rPr>
          <w:snapToGrid w:val="0"/>
        </w:rPr>
        <w:t>.</w:t>
      </w:r>
      <w:r>
        <w:rPr>
          <w:snapToGrid w:val="0"/>
        </w:rPr>
        <w:tab/>
        <w:t>When juveniles permitted on licensed premises</w:t>
      </w:r>
      <w:r>
        <w:tab/>
      </w:r>
      <w:r>
        <w:fldChar w:fldCharType="begin"/>
      </w:r>
      <w:r>
        <w:instrText xml:space="preserve"> PAGEREF _Toc423530623 \h </w:instrText>
      </w:r>
      <w:r>
        <w:fldChar w:fldCharType="separate"/>
      </w:r>
      <w:r>
        <w:t>207</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Licensed premises, offences as to juveniles</w:t>
      </w:r>
      <w:r>
        <w:tab/>
      </w:r>
      <w:r>
        <w:fldChar w:fldCharType="begin"/>
      </w:r>
      <w:r>
        <w:instrText xml:space="preserve"> PAGEREF _Toc423530624 \h </w:instrText>
      </w:r>
      <w:r>
        <w:fldChar w:fldCharType="separate"/>
      </w:r>
      <w:r>
        <w:t>209</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Regulated premises, offences as to juveniles</w:t>
      </w:r>
      <w:r>
        <w:tab/>
      </w:r>
      <w:r>
        <w:fldChar w:fldCharType="begin"/>
      </w:r>
      <w:r>
        <w:instrText xml:space="preserve"> PAGEREF _Toc423530625 \h </w:instrText>
      </w:r>
      <w:r>
        <w:fldChar w:fldCharType="separate"/>
      </w:r>
      <w:r>
        <w:t>213</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Possession etc. of liquor, offences by juveniles</w:t>
      </w:r>
      <w:r>
        <w:tab/>
      </w:r>
      <w:r>
        <w:fldChar w:fldCharType="begin"/>
      </w:r>
      <w:r>
        <w:instrText xml:space="preserve"> PAGEREF _Toc423530626 \h </w:instrText>
      </w:r>
      <w:r>
        <w:fldChar w:fldCharType="separate"/>
      </w:r>
      <w:r>
        <w:t>215</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Sending juveniles to obtain liquor, offence</w:t>
      </w:r>
      <w:r>
        <w:tab/>
      </w:r>
      <w:r>
        <w:fldChar w:fldCharType="begin"/>
      </w:r>
      <w:r>
        <w:instrText xml:space="preserve"> PAGEREF _Toc423530627 \h </w:instrText>
      </w:r>
      <w:r>
        <w:fldChar w:fldCharType="separate"/>
      </w:r>
      <w:r>
        <w:t>216</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Defences to offences under this Division</w:t>
      </w:r>
      <w:r>
        <w:tab/>
      </w:r>
      <w:r>
        <w:fldChar w:fldCharType="begin"/>
      </w:r>
      <w:r>
        <w:instrText xml:space="preserve"> PAGEREF _Toc423530628 \h </w:instrText>
      </w:r>
      <w:r>
        <w:fldChar w:fldCharType="separate"/>
      </w:r>
      <w:r>
        <w:t>216</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Suspected juveniles, authorised persons’ powers as to, offences by</w:t>
      </w:r>
      <w:r>
        <w:tab/>
      </w:r>
      <w:r>
        <w:fldChar w:fldCharType="begin"/>
      </w:r>
      <w:r>
        <w:instrText xml:space="preserve"> PAGEREF _Toc423530629 \h </w:instrText>
      </w:r>
      <w:r>
        <w:fldChar w:fldCharType="separate"/>
      </w:r>
      <w:r>
        <w:t>218</w:t>
      </w:r>
      <w:r>
        <w:fldChar w:fldCharType="end"/>
      </w:r>
    </w:p>
    <w:p>
      <w:pPr>
        <w:pStyle w:val="TOC8"/>
        <w:rPr>
          <w:rFonts w:asciiTheme="minorHAnsi" w:eastAsiaTheme="minorEastAsia" w:hAnsiTheme="minorHAnsi" w:cstheme="minorBidi"/>
          <w:szCs w:val="22"/>
        </w:rPr>
      </w:pPr>
      <w:r>
        <w:t>126A.</w:t>
      </w:r>
      <w:r>
        <w:tab/>
        <w:t>Entertainment for juveniles on licensed premises, application for approval of</w:t>
      </w:r>
      <w:r>
        <w:tab/>
      </w:r>
      <w:r>
        <w:fldChar w:fldCharType="begin"/>
      </w:r>
      <w:r>
        <w:instrText xml:space="preserve"> PAGEREF _Toc423530630 \h </w:instrText>
      </w:r>
      <w:r>
        <w:fldChar w:fldCharType="separate"/>
      </w:r>
      <w:r>
        <w:t>220</w:t>
      </w:r>
      <w:r>
        <w:fldChar w:fldCharType="end"/>
      </w:r>
    </w:p>
    <w:p>
      <w:pPr>
        <w:pStyle w:val="TOC8"/>
        <w:rPr>
          <w:rFonts w:asciiTheme="minorHAnsi" w:eastAsiaTheme="minorEastAsia" w:hAnsiTheme="minorHAnsi" w:cstheme="minorBidi"/>
          <w:szCs w:val="22"/>
        </w:rPr>
      </w:pPr>
      <w:r>
        <w:t>126B.</w:t>
      </w:r>
      <w:r>
        <w:tab/>
        <w:t>Entertainment for juveniles on licensed premises, approval of</w:t>
      </w:r>
      <w:r>
        <w:tab/>
      </w:r>
      <w:r>
        <w:fldChar w:fldCharType="begin"/>
      </w:r>
      <w:r>
        <w:instrText xml:space="preserve"> PAGEREF _Toc423530631 \h </w:instrText>
      </w:r>
      <w:r>
        <w:fldChar w:fldCharType="separate"/>
      </w:r>
      <w:r>
        <w:t>220</w:t>
      </w:r>
      <w:r>
        <w:fldChar w:fldCharType="end"/>
      </w:r>
    </w:p>
    <w:p>
      <w:pPr>
        <w:pStyle w:val="TOC4"/>
        <w:tabs>
          <w:tab w:val="right" w:leader="dot" w:pos="7077"/>
        </w:tabs>
        <w:rPr>
          <w:rFonts w:asciiTheme="minorHAnsi" w:eastAsiaTheme="minorEastAsia" w:hAnsiTheme="minorHAnsi" w:cstheme="minorBidi"/>
          <w:b w:val="0"/>
          <w:szCs w:val="22"/>
        </w:rPr>
      </w:pPr>
      <w:r>
        <w:t>Division 10 — Miscellaneous</w:t>
      </w:r>
    </w:p>
    <w:p>
      <w:pPr>
        <w:pStyle w:val="TOC8"/>
        <w:rPr>
          <w:rFonts w:asciiTheme="minorHAnsi" w:eastAsiaTheme="minorEastAsia" w:hAnsiTheme="minorHAnsi" w:cstheme="minorBidi"/>
          <w:szCs w:val="22"/>
        </w:rPr>
      </w:pPr>
      <w:r>
        <w:t>126C.</w:t>
      </w:r>
      <w:r>
        <w:tab/>
        <w:t>Crowd controllers to be authorised when exercising powers of removal</w:t>
      </w:r>
      <w:r>
        <w:tab/>
      </w:r>
      <w:r>
        <w:fldChar w:fldCharType="begin"/>
      </w:r>
      <w:r>
        <w:instrText xml:space="preserve"> PAGEREF _Toc423530633 \h </w:instrText>
      </w:r>
      <w:r>
        <w:fldChar w:fldCharType="separate"/>
      </w:r>
      <w:r>
        <w:t>221</w:t>
      </w:r>
      <w:r>
        <w:fldChar w:fldCharType="end"/>
      </w:r>
    </w:p>
    <w:p>
      <w:pPr>
        <w:pStyle w:val="TOC8"/>
        <w:rPr>
          <w:rFonts w:asciiTheme="minorHAnsi" w:eastAsiaTheme="minorEastAsia" w:hAnsiTheme="minorHAnsi" w:cstheme="minorBidi"/>
          <w:szCs w:val="22"/>
        </w:rPr>
      </w:pPr>
      <w:r>
        <w:t>126D.</w:t>
      </w:r>
      <w:r>
        <w:tab/>
        <w:t>Undesirable liquor products, declaration of and offence as to</w:t>
      </w:r>
      <w:r>
        <w:tab/>
      </w:r>
      <w:r>
        <w:fldChar w:fldCharType="begin"/>
      </w:r>
      <w:r>
        <w:instrText xml:space="preserve"> PAGEREF _Toc423530634 \h </w:instrText>
      </w:r>
      <w:r>
        <w:fldChar w:fldCharType="separate"/>
      </w:r>
      <w:r>
        <w:t>222</w:t>
      </w:r>
      <w:r>
        <w:fldChar w:fldCharType="end"/>
      </w:r>
    </w:p>
    <w:p>
      <w:pPr>
        <w:pStyle w:val="TOC8"/>
        <w:rPr>
          <w:rFonts w:asciiTheme="minorHAnsi" w:eastAsiaTheme="minorEastAsia" w:hAnsiTheme="minorHAnsi" w:cstheme="minorBidi"/>
          <w:szCs w:val="22"/>
        </w:rPr>
      </w:pPr>
      <w:r>
        <w:t>126E.</w:t>
      </w:r>
      <w:r>
        <w:tab/>
        <w:t>Special events, operation of Act may be modified for</w:t>
      </w:r>
      <w:r>
        <w:tab/>
      </w:r>
      <w:r>
        <w:fldChar w:fldCharType="begin"/>
      </w:r>
      <w:r>
        <w:instrText xml:space="preserve"> PAGEREF _Toc423530635 \h </w:instrText>
      </w:r>
      <w:r>
        <w:fldChar w:fldCharType="separate"/>
      </w:r>
      <w:r>
        <w:t>223</w:t>
      </w:r>
      <w:r>
        <w:fldChar w:fldCharType="end"/>
      </w:r>
    </w:p>
    <w:p>
      <w:pPr>
        <w:pStyle w:val="TOC2"/>
        <w:tabs>
          <w:tab w:val="right" w:leader="dot" w:pos="7077"/>
        </w:tabs>
        <w:rPr>
          <w:rFonts w:asciiTheme="minorHAnsi" w:eastAsiaTheme="minorEastAsia" w:hAnsiTheme="minorHAnsi" w:cstheme="minorBidi"/>
          <w:b w:val="0"/>
          <w:sz w:val="22"/>
          <w:szCs w:val="22"/>
        </w:rPr>
      </w:pPr>
      <w:r>
        <w:t>Part 5 — Financial provisions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Licence fees</w:t>
      </w:r>
    </w:p>
    <w:p>
      <w:pPr>
        <w:pStyle w:val="TOC8"/>
        <w:rPr>
          <w:rFonts w:asciiTheme="minorHAnsi" w:eastAsiaTheme="minorEastAsia" w:hAnsiTheme="minorHAnsi" w:cstheme="minorBidi"/>
          <w:szCs w:val="22"/>
        </w:rPr>
      </w:pPr>
      <w:r>
        <w:t>127</w:t>
      </w:r>
      <w:r>
        <w:rPr>
          <w:snapToGrid w:val="0"/>
        </w:rPr>
        <w:t>.</w:t>
      </w:r>
      <w:r>
        <w:rPr>
          <w:snapToGrid w:val="0"/>
        </w:rPr>
        <w:tab/>
        <w:t>Payment of licence fees</w:t>
      </w:r>
      <w:r>
        <w:tab/>
      </w:r>
      <w:r>
        <w:fldChar w:fldCharType="begin"/>
      </w:r>
      <w:r>
        <w:instrText xml:space="preserve"> PAGEREF _Toc423530638 \h </w:instrText>
      </w:r>
      <w:r>
        <w:fldChar w:fldCharType="separate"/>
      </w:r>
      <w:r>
        <w:t>225</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Regulations about licence fees</w:t>
      </w:r>
      <w:r>
        <w:tab/>
      </w:r>
      <w:r>
        <w:fldChar w:fldCharType="begin"/>
      </w:r>
      <w:r>
        <w:instrText xml:space="preserve"> PAGEREF _Toc423530639 \h </w:instrText>
      </w:r>
      <w:r>
        <w:fldChar w:fldCharType="separate"/>
      </w:r>
      <w:r>
        <w:t>225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Subsidies</w:t>
      </w:r>
    </w:p>
    <w:p>
      <w:pPr>
        <w:pStyle w:val="TOC8"/>
        <w:rPr>
          <w:rFonts w:asciiTheme="minorHAnsi" w:eastAsiaTheme="minorEastAsia" w:hAnsiTheme="minorHAnsi" w:cstheme="minorBidi"/>
          <w:szCs w:val="22"/>
        </w:rPr>
      </w:pPr>
      <w:r>
        <w:t>129</w:t>
      </w:r>
      <w:r>
        <w:rPr>
          <w:snapToGrid w:val="0"/>
        </w:rPr>
        <w:t>.</w:t>
      </w:r>
      <w:r>
        <w:rPr>
          <w:snapToGrid w:val="0"/>
        </w:rPr>
        <w:tab/>
        <w:t>Terms used</w:t>
      </w:r>
      <w:r>
        <w:tab/>
      </w:r>
      <w:r>
        <w:fldChar w:fldCharType="begin"/>
      </w:r>
      <w:r>
        <w:instrText xml:space="preserve"> PAGEREF _Toc423530641 \h </w:instrText>
      </w:r>
      <w:r>
        <w:fldChar w:fldCharType="separate"/>
      </w:r>
      <w:r>
        <w:t>226</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Subsidies for wholesalers and producers</w:t>
      </w:r>
      <w:r>
        <w:tab/>
      </w:r>
      <w:r>
        <w:fldChar w:fldCharType="begin"/>
      </w:r>
      <w:r>
        <w:instrText xml:space="preserve"> PAGEREF _Toc423530642 \h </w:instrText>
      </w:r>
      <w:r>
        <w:fldChar w:fldCharType="separate"/>
      </w:r>
      <w:r>
        <w:t>226</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Application for a subsidy</w:t>
      </w:r>
      <w:r>
        <w:tab/>
      </w:r>
      <w:r>
        <w:fldChar w:fldCharType="begin"/>
      </w:r>
      <w:r>
        <w:instrText xml:space="preserve"> PAGEREF _Toc423530643 \h </w:instrText>
      </w:r>
      <w:r>
        <w:fldChar w:fldCharType="separate"/>
      </w:r>
      <w:r>
        <w:t>227</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Director to pay subsidies</w:t>
      </w:r>
      <w:r>
        <w:tab/>
      </w:r>
      <w:r>
        <w:fldChar w:fldCharType="begin"/>
      </w:r>
      <w:r>
        <w:instrText xml:space="preserve"> PAGEREF _Toc423530644 \h </w:instrText>
      </w:r>
      <w:r>
        <w:fldChar w:fldCharType="separate"/>
      </w:r>
      <w:r>
        <w:t>227</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Consolidated Account appropriated</w:t>
      </w:r>
      <w:r>
        <w:tab/>
      </w:r>
      <w:r>
        <w:fldChar w:fldCharType="begin"/>
      </w:r>
      <w:r>
        <w:instrText xml:space="preserve"> PAGEREF _Toc423530645 \h </w:instrText>
      </w:r>
      <w:r>
        <w:fldChar w:fldCharType="separate"/>
      </w:r>
      <w:r>
        <w:t>228</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Correcting incorrect subsidy payments</w:t>
      </w:r>
      <w:r>
        <w:tab/>
      </w:r>
      <w:r>
        <w:fldChar w:fldCharType="begin"/>
      </w:r>
      <w:r>
        <w:instrText xml:space="preserve"> PAGEREF _Toc423530646 \h </w:instrText>
      </w:r>
      <w:r>
        <w:fldChar w:fldCharType="separate"/>
      </w:r>
      <w:r>
        <w:t>228</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Failure to correct incorrect subsidy application</w:t>
      </w:r>
      <w:r>
        <w:tab/>
      </w:r>
      <w:r>
        <w:fldChar w:fldCharType="begin"/>
      </w:r>
      <w:r>
        <w:instrText xml:space="preserve"> PAGEREF _Toc423530647 \h </w:instrText>
      </w:r>
      <w:r>
        <w:fldChar w:fldCharType="separate"/>
      </w:r>
      <w:r>
        <w:t>228</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Minister may order subsidies to cease</w:t>
      </w:r>
      <w:r>
        <w:tab/>
      </w:r>
      <w:r>
        <w:fldChar w:fldCharType="begin"/>
      </w:r>
      <w:r>
        <w:instrText xml:space="preserve"> PAGEREF _Toc423530648 \h </w:instrText>
      </w:r>
      <w:r>
        <w:fldChar w:fldCharType="separate"/>
      </w:r>
      <w:r>
        <w:t>229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Power of Commission with respect to moneys due</w:t>
      </w:r>
    </w:p>
    <w:p>
      <w:pPr>
        <w:pStyle w:val="TOC8"/>
        <w:rPr>
          <w:rFonts w:asciiTheme="minorHAnsi" w:eastAsiaTheme="minorEastAsia" w:hAnsiTheme="minorHAnsi" w:cstheme="minorBidi"/>
          <w:szCs w:val="22"/>
        </w:rPr>
      </w:pPr>
      <w:r>
        <w:t>143</w:t>
      </w:r>
      <w:r>
        <w:rPr>
          <w:snapToGrid w:val="0"/>
        </w:rPr>
        <w:t>.</w:t>
      </w:r>
      <w:r>
        <w:rPr>
          <w:snapToGrid w:val="0"/>
        </w:rPr>
        <w:tab/>
        <w:t>Order for payment of money</w:t>
      </w:r>
      <w:r>
        <w:tab/>
      </w:r>
      <w:r>
        <w:fldChar w:fldCharType="begin"/>
      </w:r>
      <w:r>
        <w:instrText xml:space="preserve"> PAGEREF _Toc423530650 \h </w:instrText>
      </w:r>
      <w:r>
        <w:fldChar w:fldCharType="separate"/>
      </w:r>
      <w:r>
        <w:t>230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Records and returns</w:t>
      </w:r>
    </w:p>
    <w:p>
      <w:pPr>
        <w:pStyle w:val="TOC8"/>
        <w:rPr>
          <w:rFonts w:asciiTheme="minorHAnsi" w:eastAsiaTheme="minorEastAsia" w:hAnsiTheme="minorHAnsi" w:cstheme="minorBidi"/>
          <w:szCs w:val="22"/>
        </w:rPr>
      </w:pPr>
      <w:r>
        <w:t>145</w:t>
      </w:r>
      <w:r>
        <w:rPr>
          <w:snapToGrid w:val="0"/>
        </w:rPr>
        <w:t>.</w:t>
      </w:r>
      <w:r>
        <w:rPr>
          <w:snapToGrid w:val="0"/>
        </w:rPr>
        <w:tab/>
        <w:t>Records of liquor transactions to be kept by licensees etc.</w:t>
      </w:r>
      <w:r>
        <w:tab/>
      </w:r>
      <w:r>
        <w:fldChar w:fldCharType="begin"/>
      </w:r>
      <w:r>
        <w:instrText xml:space="preserve"> PAGEREF _Toc423530652 \h </w:instrText>
      </w:r>
      <w:r>
        <w:fldChar w:fldCharType="separate"/>
      </w:r>
      <w:r>
        <w:t>231</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Information to be given to Director in returns</w:t>
      </w:r>
      <w:r>
        <w:tab/>
      </w:r>
      <w:r>
        <w:fldChar w:fldCharType="begin"/>
      </w:r>
      <w:r>
        <w:instrText xml:space="preserve"> PAGEREF _Toc423530653 \h </w:instrText>
      </w:r>
      <w:r>
        <w:fldChar w:fldCharType="separate"/>
      </w:r>
      <w:r>
        <w:t>232</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Recovery of illegal gains</w:t>
      </w:r>
    </w:p>
    <w:p>
      <w:pPr>
        <w:pStyle w:val="TOC8"/>
        <w:rPr>
          <w:rFonts w:asciiTheme="minorHAnsi" w:eastAsiaTheme="minorEastAsia" w:hAnsiTheme="minorHAnsi" w:cstheme="minorBidi"/>
          <w:szCs w:val="22"/>
        </w:rPr>
      </w:pPr>
      <w:r>
        <w:t>147</w:t>
      </w:r>
      <w:r>
        <w:rPr>
          <w:snapToGrid w:val="0"/>
        </w:rPr>
        <w:t>.</w:t>
      </w:r>
      <w:r>
        <w:rPr>
          <w:snapToGrid w:val="0"/>
        </w:rPr>
        <w:tab/>
        <w:t>Illegal gains, estimation and recovery of</w:t>
      </w:r>
      <w:r>
        <w:tab/>
      </w:r>
      <w:r>
        <w:fldChar w:fldCharType="begin"/>
      </w:r>
      <w:r>
        <w:instrText xml:space="preserve"> PAGEREF _Toc423530655 \h </w:instrText>
      </w:r>
      <w:r>
        <w:fldChar w:fldCharType="separate"/>
      </w:r>
      <w:r>
        <w:t>233</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Information</w:t>
      </w:r>
    </w:p>
    <w:p>
      <w:pPr>
        <w:pStyle w:val="TOC8"/>
        <w:rPr>
          <w:rFonts w:asciiTheme="minorHAnsi" w:eastAsiaTheme="minorEastAsia" w:hAnsiTheme="minorHAnsi" w:cstheme="minorBidi"/>
          <w:szCs w:val="22"/>
        </w:rPr>
      </w:pPr>
      <w:r>
        <w:t>148</w:t>
      </w:r>
      <w:r>
        <w:rPr>
          <w:snapToGrid w:val="0"/>
        </w:rPr>
        <w:t>.</w:t>
      </w:r>
      <w:r>
        <w:rPr>
          <w:snapToGrid w:val="0"/>
        </w:rPr>
        <w:tab/>
        <w:t>Information etc., Director’s powers to obtain</w:t>
      </w:r>
      <w:r>
        <w:tab/>
      </w:r>
      <w:r>
        <w:fldChar w:fldCharType="begin"/>
      </w:r>
      <w:r>
        <w:instrText xml:space="preserve"> PAGEREF _Toc423530657 \h </w:instrText>
      </w:r>
      <w:r>
        <w:fldChar w:fldCharType="separate"/>
      </w:r>
      <w:r>
        <w:t>234</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Use of information, Director’s powers as to</w:t>
      </w:r>
      <w:r>
        <w:tab/>
      </w:r>
      <w:r>
        <w:fldChar w:fldCharType="begin"/>
      </w:r>
      <w:r>
        <w:instrText xml:space="preserve"> PAGEREF _Toc423530658 \h </w:instrText>
      </w:r>
      <w:r>
        <w:fldChar w:fldCharType="separate"/>
      </w:r>
      <w:r>
        <w:t>234</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Premises and records, Director’s right of access to etc.</w:t>
      </w:r>
      <w:r>
        <w:tab/>
      </w:r>
      <w:r>
        <w:fldChar w:fldCharType="begin"/>
      </w:r>
      <w:r>
        <w:instrText xml:space="preserve"> PAGEREF _Toc423530659 \h </w:instrText>
      </w:r>
      <w:r>
        <w:fldChar w:fldCharType="separate"/>
      </w:r>
      <w:r>
        <w:t>234</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Licensing authority may assist other authorities</w:t>
      </w:r>
      <w:r>
        <w:tab/>
      </w:r>
      <w:r>
        <w:fldChar w:fldCharType="begin"/>
      </w:r>
      <w:r>
        <w:instrText xml:space="preserve"> PAGEREF _Toc423530660 \h </w:instrText>
      </w:r>
      <w:r>
        <w:fldChar w:fldCharType="separate"/>
      </w:r>
      <w:r>
        <w:t>235</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Disclosure of information by officials</w:t>
      </w:r>
      <w:r>
        <w:tab/>
      </w:r>
      <w:r>
        <w:fldChar w:fldCharType="begin"/>
      </w:r>
      <w:r>
        <w:instrText xml:space="preserve"> PAGEREF _Toc423530661 \h </w:instrText>
      </w:r>
      <w:r>
        <w:fldChar w:fldCharType="separate"/>
      </w:r>
      <w:r>
        <w:t>235</w:t>
      </w:r>
      <w:r>
        <w:fldChar w:fldCharType="end"/>
      </w:r>
    </w:p>
    <w:p>
      <w:pPr>
        <w:pStyle w:val="TOC2"/>
        <w:tabs>
          <w:tab w:val="right" w:leader="dot" w:pos="7077"/>
        </w:tabs>
        <w:rPr>
          <w:rFonts w:asciiTheme="minorHAnsi" w:eastAsiaTheme="minorEastAsia" w:hAnsiTheme="minorHAnsi" w:cstheme="minorBidi"/>
          <w:b w:val="0"/>
          <w:sz w:val="22"/>
          <w:szCs w:val="22"/>
        </w:rPr>
      </w:pPr>
      <w:r>
        <w:t>Part 5A — Prohibition orders</w:t>
      </w:r>
    </w:p>
    <w:p>
      <w:pPr>
        <w:pStyle w:val="TOC8"/>
        <w:rPr>
          <w:rFonts w:asciiTheme="minorHAnsi" w:eastAsiaTheme="minorEastAsia" w:hAnsiTheme="minorHAnsi" w:cstheme="minorBidi"/>
          <w:szCs w:val="22"/>
        </w:rPr>
      </w:pPr>
      <w:r>
        <w:t>152A.</w:t>
      </w:r>
      <w:r>
        <w:tab/>
        <w:t>Terms used</w:t>
      </w:r>
      <w:r>
        <w:tab/>
      </w:r>
      <w:r>
        <w:fldChar w:fldCharType="begin"/>
      </w:r>
      <w:r>
        <w:instrText xml:space="preserve"> PAGEREF _Toc423530663 \h </w:instrText>
      </w:r>
      <w:r>
        <w:fldChar w:fldCharType="separate"/>
      </w:r>
      <w:r>
        <w:t>237</w:t>
      </w:r>
      <w:r>
        <w:fldChar w:fldCharType="end"/>
      </w:r>
    </w:p>
    <w:p>
      <w:pPr>
        <w:pStyle w:val="TOC8"/>
        <w:rPr>
          <w:rFonts w:asciiTheme="minorHAnsi" w:eastAsiaTheme="minorEastAsia" w:hAnsiTheme="minorHAnsi" w:cstheme="minorBidi"/>
          <w:szCs w:val="22"/>
        </w:rPr>
      </w:pPr>
      <w:r>
        <w:t>152B.</w:t>
      </w:r>
      <w:r>
        <w:tab/>
        <w:t>Commissioner of Police may apply for prohibition orders</w:t>
      </w:r>
      <w:r>
        <w:tab/>
      </w:r>
      <w:r>
        <w:fldChar w:fldCharType="begin"/>
      </w:r>
      <w:r>
        <w:instrText xml:space="preserve"> PAGEREF _Toc423530664 \h </w:instrText>
      </w:r>
      <w:r>
        <w:fldChar w:fldCharType="separate"/>
      </w:r>
      <w:r>
        <w:t>237</w:t>
      </w:r>
      <w:r>
        <w:fldChar w:fldCharType="end"/>
      </w:r>
    </w:p>
    <w:p>
      <w:pPr>
        <w:pStyle w:val="TOC8"/>
        <w:rPr>
          <w:rFonts w:asciiTheme="minorHAnsi" w:eastAsiaTheme="minorEastAsia" w:hAnsiTheme="minorHAnsi" w:cstheme="minorBidi"/>
          <w:szCs w:val="22"/>
        </w:rPr>
      </w:pPr>
      <w:r>
        <w:t>152C.</w:t>
      </w:r>
      <w:r>
        <w:tab/>
        <w:t>Evidence in support of s. 152B application</w:t>
      </w:r>
      <w:r>
        <w:tab/>
      </w:r>
      <w:r>
        <w:fldChar w:fldCharType="begin"/>
      </w:r>
      <w:r>
        <w:instrText xml:space="preserve"> PAGEREF _Toc423530665 \h </w:instrText>
      </w:r>
      <w:r>
        <w:fldChar w:fldCharType="separate"/>
      </w:r>
      <w:r>
        <w:t>238</w:t>
      </w:r>
      <w:r>
        <w:fldChar w:fldCharType="end"/>
      </w:r>
    </w:p>
    <w:p>
      <w:pPr>
        <w:pStyle w:val="TOC8"/>
        <w:rPr>
          <w:rFonts w:asciiTheme="minorHAnsi" w:eastAsiaTheme="minorEastAsia" w:hAnsiTheme="minorHAnsi" w:cstheme="minorBidi"/>
          <w:szCs w:val="22"/>
        </w:rPr>
      </w:pPr>
      <w:r>
        <w:t>152D.</w:t>
      </w:r>
      <w:r>
        <w:tab/>
        <w:t>Notice of s. 152B application etc. to be given to relevant person</w:t>
      </w:r>
      <w:r>
        <w:tab/>
      </w:r>
      <w:r>
        <w:fldChar w:fldCharType="begin"/>
      </w:r>
      <w:r>
        <w:instrText xml:space="preserve"> PAGEREF _Toc423530666 \h </w:instrText>
      </w:r>
      <w:r>
        <w:fldChar w:fldCharType="separate"/>
      </w:r>
      <w:r>
        <w:t>238</w:t>
      </w:r>
      <w:r>
        <w:fldChar w:fldCharType="end"/>
      </w:r>
    </w:p>
    <w:p>
      <w:pPr>
        <w:pStyle w:val="TOC8"/>
        <w:rPr>
          <w:rFonts w:asciiTheme="minorHAnsi" w:eastAsiaTheme="minorEastAsia" w:hAnsiTheme="minorHAnsi" w:cstheme="minorBidi"/>
          <w:szCs w:val="22"/>
        </w:rPr>
      </w:pPr>
      <w:r>
        <w:t>152E.</w:t>
      </w:r>
      <w:r>
        <w:tab/>
        <w:t>Director may make prohibition orders</w:t>
      </w:r>
      <w:r>
        <w:tab/>
      </w:r>
      <w:r>
        <w:fldChar w:fldCharType="begin"/>
      </w:r>
      <w:r>
        <w:instrText xml:space="preserve"> PAGEREF _Toc423530667 \h </w:instrText>
      </w:r>
      <w:r>
        <w:fldChar w:fldCharType="separate"/>
      </w:r>
      <w:r>
        <w:t>239</w:t>
      </w:r>
      <w:r>
        <w:fldChar w:fldCharType="end"/>
      </w:r>
    </w:p>
    <w:p>
      <w:pPr>
        <w:pStyle w:val="TOC8"/>
        <w:rPr>
          <w:rFonts w:asciiTheme="minorHAnsi" w:eastAsiaTheme="minorEastAsia" w:hAnsiTheme="minorHAnsi" w:cstheme="minorBidi"/>
          <w:szCs w:val="22"/>
        </w:rPr>
      </w:pPr>
      <w:r>
        <w:t>152F.</w:t>
      </w:r>
      <w:r>
        <w:tab/>
        <w:t>Term of prohibition orders</w:t>
      </w:r>
      <w:r>
        <w:tab/>
      </w:r>
      <w:r>
        <w:fldChar w:fldCharType="begin"/>
      </w:r>
      <w:r>
        <w:instrText xml:space="preserve"> PAGEREF _Toc423530668 \h </w:instrText>
      </w:r>
      <w:r>
        <w:fldChar w:fldCharType="separate"/>
      </w:r>
      <w:r>
        <w:t>240</w:t>
      </w:r>
      <w:r>
        <w:fldChar w:fldCharType="end"/>
      </w:r>
    </w:p>
    <w:p>
      <w:pPr>
        <w:pStyle w:val="TOC8"/>
        <w:rPr>
          <w:rFonts w:asciiTheme="minorHAnsi" w:eastAsiaTheme="minorEastAsia" w:hAnsiTheme="minorHAnsi" w:cstheme="minorBidi"/>
          <w:szCs w:val="22"/>
        </w:rPr>
      </w:pPr>
      <w:r>
        <w:t>152G.</w:t>
      </w:r>
      <w:r>
        <w:tab/>
        <w:t>Applications to vary or revoke prohibition orders</w:t>
      </w:r>
      <w:r>
        <w:tab/>
      </w:r>
      <w:r>
        <w:fldChar w:fldCharType="begin"/>
      </w:r>
      <w:r>
        <w:instrText xml:space="preserve"> PAGEREF _Toc423530669 \h </w:instrText>
      </w:r>
      <w:r>
        <w:fldChar w:fldCharType="separate"/>
      </w:r>
      <w:r>
        <w:t>240</w:t>
      </w:r>
      <w:r>
        <w:fldChar w:fldCharType="end"/>
      </w:r>
    </w:p>
    <w:p>
      <w:pPr>
        <w:pStyle w:val="TOC8"/>
        <w:rPr>
          <w:rFonts w:asciiTheme="minorHAnsi" w:eastAsiaTheme="minorEastAsia" w:hAnsiTheme="minorHAnsi" w:cstheme="minorBidi"/>
          <w:szCs w:val="22"/>
        </w:rPr>
      </w:pPr>
      <w:r>
        <w:t>152H.</w:t>
      </w:r>
      <w:r>
        <w:tab/>
        <w:t>Evidence in support of s. 152G application</w:t>
      </w:r>
      <w:r>
        <w:tab/>
      </w:r>
      <w:r>
        <w:fldChar w:fldCharType="begin"/>
      </w:r>
      <w:r>
        <w:instrText xml:space="preserve"> PAGEREF _Toc423530670 \h </w:instrText>
      </w:r>
      <w:r>
        <w:fldChar w:fldCharType="separate"/>
      </w:r>
      <w:r>
        <w:t>240</w:t>
      </w:r>
      <w:r>
        <w:fldChar w:fldCharType="end"/>
      </w:r>
    </w:p>
    <w:p>
      <w:pPr>
        <w:pStyle w:val="TOC8"/>
        <w:rPr>
          <w:rFonts w:asciiTheme="minorHAnsi" w:eastAsiaTheme="minorEastAsia" w:hAnsiTheme="minorHAnsi" w:cstheme="minorBidi"/>
          <w:szCs w:val="22"/>
        </w:rPr>
      </w:pPr>
      <w:r>
        <w:t>152I.</w:t>
      </w:r>
      <w:r>
        <w:tab/>
        <w:t>Notice of s. 152G application etc. to be given to respondent</w:t>
      </w:r>
      <w:r>
        <w:tab/>
      </w:r>
      <w:r>
        <w:fldChar w:fldCharType="begin"/>
      </w:r>
      <w:r>
        <w:instrText xml:space="preserve"> PAGEREF _Toc423530671 \h </w:instrText>
      </w:r>
      <w:r>
        <w:fldChar w:fldCharType="separate"/>
      </w:r>
      <w:r>
        <w:t>240</w:t>
      </w:r>
      <w:r>
        <w:fldChar w:fldCharType="end"/>
      </w:r>
    </w:p>
    <w:p>
      <w:pPr>
        <w:pStyle w:val="TOC8"/>
        <w:rPr>
          <w:rFonts w:asciiTheme="minorHAnsi" w:eastAsiaTheme="minorEastAsia" w:hAnsiTheme="minorHAnsi" w:cstheme="minorBidi"/>
          <w:szCs w:val="22"/>
        </w:rPr>
      </w:pPr>
      <w:r>
        <w:t>152J.</w:t>
      </w:r>
      <w:r>
        <w:tab/>
        <w:t>Director may vary or revoke prohibition orders</w:t>
      </w:r>
      <w:r>
        <w:tab/>
      </w:r>
      <w:r>
        <w:fldChar w:fldCharType="begin"/>
      </w:r>
      <w:r>
        <w:instrText xml:space="preserve"> PAGEREF _Toc423530672 \h </w:instrText>
      </w:r>
      <w:r>
        <w:fldChar w:fldCharType="separate"/>
      </w:r>
      <w:r>
        <w:t>241</w:t>
      </w:r>
      <w:r>
        <w:fldChar w:fldCharType="end"/>
      </w:r>
    </w:p>
    <w:p>
      <w:pPr>
        <w:pStyle w:val="TOC8"/>
        <w:rPr>
          <w:rFonts w:asciiTheme="minorHAnsi" w:eastAsiaTheme="minorEastAsia" w:hAnsiTheme="minorHAnsi" w:cstheme="minorBidi"/>
          <w:szCs w:val="22"/>
        </w:rPr>
      </w:pPr>
      <w:r>
        <w:t>152K.</w:t>
      </w:r>
      <w:r>
        <w:tab/>
        <w:t>Service and publication of prohibition orders</w:t>
      </w:r>
      <w:r>
        <w:tab/>
      </w:r>
      <w:r>
        <w:fldChar w:fldCharType="begin"/>
      </w:r>
      <w:r>
        <w:instrText xml:space="preserve"> PAGEREF _Toc423530673 \h </w:instrText>
      </w:r>
      <w:r>
        <w:fldChar w:fldCharType="separate"/>
      </w:r>
      <w:r>
        <w:t>241</w:t>
      </w:r>
      <w:r>
        <w:fldChar w:fldCharType="end"/>
      </w:r>
    </w:p>
    <w:p>
      <w:pPr>
        <w:pStyle w:val="TOC8"/>
        <w:rPr>
          <w:rFonts w:asciiTheme="minorHAnsi" w:eastAsiaTheme="minorEastAsia" w:hAnsiTheme="minorHAnsi" w:cstheme="minorBidi"/>
          <w:szCs w:val="22"/>
        </w:rPr>
      </w:pPr>
      <w:r>
        <w:t>152L.</w:t>
      </w:r>
      <w:r>
        <w:tab/>
        <w:t>Failing to comply with prohibition orders</w:t>
      </w:r>
      <w:r>
        <w:tab/>
      </w:r>
      <w:r>
        <w:fldChar w:fldCharType="begin"/>
      </w:r>
      <w:r>
        <w:instrText xml:space="preserve"> PAGEREF _Toc423530674 \h </w:instrText>
      </w:r>
      <w:r>
        <w:fldChar w:fldCharType="separate"/>
      </w:r>
      <w:r>
        <w:t>242</w:t>
      </w:r>
      <w:r>
        <w:fldChar w:fldCharType="end"/>
      </w:r>
    </w:p>
    <w:p>
      <w:pPr>
        <w:pStyle w:val="TOC8"/>
        <w:rPr>
          <w:rFonts w:asciiTheme="minorHAnsi" w:eastAsiaTheme="minorEastAsia" w:hAnsiTheme="minorHAnsi" w:cstheme="minorBidi"/>
          <w:szCs w:val="22"/>
        </w:rPr>
      </w:pPr>
      <w:r>
        <w:t>152M.</w:t>
      </w:r>
      <w:r>
        <w:tab/>
        <w:t>Permitting entry to premises contrary to prohibition order</w:t>
      </w:r>
      <w:r>
        <w:tab/>
      </w:r>
      <w:r>
        <w:fldChar w:fldCharType="begin"/>
      </w:r>
      <w:r>
        <w:instrText xml:space="preserve"> PAGEREF _Toc423530675 \h </w:instrText>
      </w:r>
      <w:r>
        <w:fldChar w:fldCharType="separate"/>
      </w:r>
      <w:r>
        <w:t>243</w:t>
      </w:r>
      <w:r>
        <w:fldChar w:fldCharType="end"/>
      </w:r>
    </w:p>
    <w:p>
      <w:pPr>
        <w:pStyle w:val="TOC8"/>
        <w:rPr>
          <w:rFonts w:asciiTheme="minorHAnsi" w:eastAsiaTheme="minorEastAsia" w:hAnsiTheme="minorHAnsi" w:cstheme="minorBidi"/>
          <w:szCs w:val="22"/>
        </w:rPr>
      </w:pPr>
      <w:r>
        <w:t>152NA.</w:t>
      </w:r>
      <w:r>
        <w:tab/>
        <w:t xml:space="preserve">Relationship with </w:t>
      </w:r>
      <w:r>
        <w:rPr>
          <w:i/>
        </w:rPr>
        <w:t>Criminal Organisations Control Act 2012</w:t>
      </w:r>
      <w:r>
        <w:tab/>
      </w:r>
      <w:r>
        <w:fldChar w:fldCharType="begin"/>
      </w:r>
      <w:r>
        <w:instrText xml:space="preserve"> PAGEREF _Toc423530676 \h </w:instrText>
      </w:r>
      <w:r>
        <w:fldChar w:fldCharType="separate"/>
      </w:r>
      <w:r>
        <w:t>243</w:t>
      </w:r>
      <w:r>
        <w:fldChar w:fldCharType="end"/>
      </w:r>
    </w:p>
    <w:p>
      <w:pPr>
        <w:pStyle w:val="TOC2"/>
        <w:tabs>
          <w:tab w:val="right" w:leader="dot" w:pos="7077"/>
        </w:tabs>
        <w:rPr>
          <w:rFonts w:asciiTheme="minorHAnsi" w:eastAsiaTheme="minorEastAsia" w:hAnsiTheme="minorHAnsi" w:cstheme="minorBidi"/>
          <w:b w:val="0"/>
          <w:sz w:val="22"/>
          <w:szCs w:val="22"/>
        </w:rPr>
      </w:pPr>
      <w:r>
        <w:t>Part 5B — Liquor restricted premises</w:t>
      </w:r>
    </w:p>
    <w:p>
      <w:pPr>
        <w:pStyle w:val="TOC8"/>
        <w:rPr>
          <w:rFonts w:asciiTheme="minorHAnsi" w:eastAsiaTheme="minorEastAsia" w:hAnsiTheme="minorHAnsi" w:cstheme="minorBidi"/>
          <w:szCs w:val="22"/>
        </w:rPr>
      </w:pPr>
      <w:r>
        <w:t>152N.</w:t>
      </w:r>
      <w:r>
        <w:tab/>
        <w:t>Terms used</w:t>
      </w:r>
      <w:r>
        <w:tab/>
      </w:r>
      <w:r>
        <w:fldChar w:fldCharType="begin"/>
      </w:r>
      <w:r>
        <w:instrText xml:space="preserve"> PAGEREF _Toc423530678 \h </w:instrText>
      </w:r>
      <w:r>
        <w:fldChar w:fldCharType="separate"/>
      </w:r>
      <w:r>
        <w:t>244</w:t>
      </w:r>
      <w:r>
        <w:fldChar w:fldCharType="end"/>
      </w:r>
    </w:p>
    <w:p>
      <w:pPr>
        <w:pStyle w:val="TOC8"/>
        <w:rPr>
          <w:rFonts w:asciiTheme="minorHAnsi" w:eastAsiaTheme="minorEastAsia" w:hAnsiTheme="minorHAnsi" w:cstheme="minorBidi"/>
          <w:szCs w:val="22"/>
        </w:rPr>
      </w:pPr>
      <w:r>
        <w:t>152O.</w:t>
      </w:r>
      <w:r>
        <w:tab/>
        <w:t>Liquor on liquor restricted premises, offences as to</w:t>
      </w:r>
      <w:r>
        <w:tab/>
      </w:r>
      <w:r>
        <w:fldChar w:fldCharType="begin"/>
      </w:r>
      <w:r>
        <w:instrText xml:space="preserve"> PAGEREF _Toc423530679 \h </w:instrText>
      </w:r>
      <w:r>
        <w:fldChar w:fldCharType="separate"/>
      </w:r>
      <w:r>
        <w:t>244</w:t>
      </w:r>
      <w:r>
        <w:fldChar w:fldCharType="end"/>
      </w:r>
    </w:p>
    <w:p>
      <w:pPr>
        <w:pStyle w:val="TOC8"/>
        <w:rPr>
          <w:rFonts w:asciiTheme="minorHAnsi" w:eastAsiaTheme="minorEastAsia" w:hAnsiTheme="minorHAnsi" w:cstheme="minorBidi"/>
          <w:szCs w:val="22"/>
        </w:rPr>
      </w:pPr>
      <w:r>
        <w:t>152P.</w:t>
      </w:r>
      <w:r>
        <w:tab/>
        <w:t>Declaration of liquor restricted premises</w:t>
      </w:r>
      <w:r>
        <w:tab/>
      </w:r>
      <w:r>
        <w:fldChar w:fldCharType="begin"/>
      </w:r>
      <w:r>
        <w:instrText xml:space="preserve"> PAGEREF _Toc423530680 \h </w:instrText>
      </w:r>
      <w:r>
        <w:fldChar w:fldCharType="separate"/>
      </w:r>
      <w:r>
        <w:t>245</w:t>
      </w:r>
      <w:r>
        <w:fldChar w:fldCharType="end"/>
      </w:r>
    </w:p>
    <w:p>
      <w:pPr>
        <w:pStyle w:val="TOC8"/>
        <w:rPr>
          <w:rFonts w:asciiTheme="minorHAnsi" w:eastAsiaTheme="minorEastAsia" w:hAnsiTheme="minorHAnsi" w:cstheme="minorBidi"/>
          <w:szCs w:val="22"/>
        </w:rPr>
      </w:pPr>
      <w:r>
        <w:t>152Q.</w:t>
      </w:r>
      <w:r>
        <w:tab/>
        <w:t>Liquor restriction declarations, power to make</w:t>
      </w:r>
      <w:r>
        <w:tab/>
      </w:r>
      <w:r>
        <w:fldChar w:fldCharType="begin"/>
      </w:r>
      <w:r>
        <w:instrText xml:space="preserve"> PAGEREF _Toc423530681 \h </w:instrText>
      </w:r>
      <w:r>
        <w:fldChar w:fldCharType="separate"/>
      </w:r>
      <w:r>
        <w:t>246</w:t>
      </w:r>
      <w:r>
        <w:fldChar w:fldCharType="end"/>
      </w:r>
    </w:p>
    <w:p>
      <w:pPr>
        <w:pStyle w:val="TOC8"/>
        <w:rPr>
          <w:rFonts w:asciiTheme="minorHAnsi" w:eastAsiaTheme="minorEastAsia" w:hAnsiTheme="minorHAnsi" w:cstheme="minorBidi"/>
          <w:szCs w:val="22"/>
        </w:rPr>
      </w:pPr>
      <w:r>
        <w:t>152R.</w:t>
      </w:r>
      <w:r>
        <w:tab/>
        <w:t>Service etc. of liquor restriction declarations</w:t>
      </w:r>
      <w:r>
        <w:tab/>
      </w:r>
      <w:r>
        <w:fldChar w:fldCharType="begin"/>
      </w:r>
      <w:r>
        <w:instrText xml:space="preserve"> PAGEREF _Toc423530682 \h </w:instrText>
      </w:r>
      <w:r>
        <w:fldChar w:fldCharType="separate"/>
      </w:r>
      <w:r>
        <w:t>247</w:t>
      </w:r>
      <w:r>
        <w:fldChar w:fldCharType="end"/>
      </w:r>
    </w:p>
    <w:p>
      <w:pPr>
        <w:pStyle w:val="TOC8"/>
        <w:rPr>
          <w:rFonts w:asciiTheme="minorHAnsi" w:eastAsiaTheme="minorEastAsia" w:hAnsiTheme="minorHAnsi" w:cstheme="minorBidi"/>
          <w:szCs w:val="22"/>
        </w:rPr>
      </w:pPr>
      <w:r>
        <w:t>152S.</w:t>
      </w:r>
      <w:r>
        <w:tab/>
        <w:t>Notice of liquor restriction declaration to be displayed at premises</w:t>
      </w:r>
      <w:r>
        <w:tab/>
      </w:r>
      <w:r>
        <w:fldChar w:fldCharType="begin"/>
      </w:r>
      <w:r>
        <w:instrText xml:space="preserve"> PAGEREF _Toc423530683 \h </w:instrText>
      </w:r>
      <w:r>
        <w:fldChar w:fldCharType="separate"/>
      </w:r>
      <w:r>
        <w:t>248</w:t>
      </w:r>
      <w:r>
        <w:fldChar w:fldCharType="end"/>
      </w:r>
    </w:p>
    <w:p>
      <w:pPr>
        <w:pStyle w:val="TOC8"/>
        <w:rPr>
          <w:rFonts w:asciiTheme="minorHAnsi" w:eastAsiaTheme="minorEastAsia" w:hAnsiTheme="minorHAnsi" w:cstheme="minorBidi"/>
          <w:szCs w:val="22"/>
        </w:rPr>
      </w:pPr>
      <w:r>
        <w:t>152T.</w:t>
      </w:r>
      <w:r>
        <w:tab/>
        <w:t>Duration of liquor restriction declarations</w:t>
      </w:r>
      <w:r>
        <w:tab/>
      </w:r>
      <w:r>
        <w:fldChar w:fldCharType="begin"/>
      </w:r>
      <w:r>
        <w:instrText xml:space="preserve"> PAGEREF _Toc423530684 \h </w:instrText>
      </w:r>
      <w:r>
        <w:fldChar w:fldCharType="separate"/>
      </w:r>
      <w:r>
        <w:t>249</w:t>
      </w:r>
      <w:r>
        <w:fldChar w:fldCharType="end"/>
      </w:r>
    </w:p>
    <w:p>
      <w:pPr>
        <w:pStyle w:val="TOC8"/>
        <w:rPr>
          <w:rFonts w:asciiTheme="minorHAnsi" w:eastAsiaTheme="minorEastAsia" w:hAnsiTheme="minorHAnsi" w:cstheme="minorBidi"/>
          <w:szCs w:val="22"/>
        </w:rPr>
      </w:pPr>
      <w:r>
        <w:t>152U.</w:t>
      </w:r>
      <w:r>
        <w:tab/>
        <w:t>Varying liquor restriction declarations</w:t>
      </w:r>
      <w:r>
        <w:tab/>
      </w:r>
      <w:r>
        <w:fldChar w:fldCharType="begin"/>
      </w:r>
      <w:r>
        <w:instrText xml:space="preserve"> PAGEREF _Toc423530685 \h </w:instrText>
      </w:r>
      <w:r>
        <w:fldChar w:fldCharType="separate"/>
      </w:r>
      <w:r>
        <w:t>249</w:t>
      </w:r>
      <w:r>
        <w:fldChar w:fldCharType="end"/>
      </w:r>
    </w:p>
    <w:p>
      <w:pPr>
        <w:pStyle w:val="TOC8"/>
        <w:rPr>
          <w:rFonts w:asciiTheme="minorHAnsi" w:eastAsiaTheme="minorEastAsia" w:hAnsiTheme="minorHAnsi" w:cstheme="minorBidi"/>
          <w:szCs w:val="22"/>
        </w:rPr>
      </w:pPr>
      <w:r>
        <w:t>152V.</w:t>
      </w:r>
      <w:r>
        <w:tab/>
        <w:t>Revoking liquor restriction declarations</w:t>
      </w:r>
      <w:r>
        <w:tab/>
      </w:r>
      <w:r>
        <w:fldChar w:fldCharType="begin"/>
      </w:r>
      <w:r>
        <w:instrText xml:space="preserve"> PAGEREF _Toc423530686 \h </w:instrText>
      </w:r>
      <w:r>
        <w:fldChar w:fldCharType="separate"/>
      </w:r>
      <w:r>
        <w:t>250</w:t>
      </w:r>
      <w:r>
        <w:fldChar w:fldCharType="end"/>
      </w:r>
    </w:p>
    <w:p>
      <w:pPr>
        <w:pStyle w:val="TOC8"/>
        <w:rPr>
          <w:rFonts w:asciiTheme="minorHAnsi" w:eastAsiaTheme="minorEastAsia" w:hAnsiTheme="minorHAnsi" w:cstheme="minorBidi"/>
          <w:szCs w:val="22"/>
        </w:rPr>
      </w:pPr>
      <w:r>
        <w:t>152W.</w:t>
      </w:r>
      <w:r>
        <w:tab/>
        <w:t>Applications generally</w:t>
      </w:r>
      <w:r>
        <w:tab/>
      </w:r>
      <w:r>
        <w:fldChar w:fldCharType="begin"/>
      </w:r>
      <w:r>
        <w:instrText xml:space="preserve"> PAGEREF _Toc423530687 \h </w:instrText>
      </w:r>
      <w:r>
        <w:fldChar w:fldCharType="separate"/>
      </w:r>
      <w:r>
        <w:t>251</w:t>
      </w:r>
      <w:r>
        <w:fldChar w:fldCharType="end"/>
      </w:r>
    </w:p>
    <w:p>
      <w:pPr>
        <w:pStyle w:val="TOC8"/>
        <w:rPr>
          <w:rFonts w:asciiTheme="minorHAnsi" w:eastAsiaTheme="minorEastAsia" w:hAnsiTheme="minorHAnsi" w:cstheme="minorBidi"/>
          <w:szCs w:val="22"/>
        </w:rPr>
      </w:pPr>
      <w:r>
        <w:t>152X.</w:t>
      </w:r>
      <w:r>
        <w:tab/>
        <w:t>Decisions under Part 5B not subject to review under s. 25</w:t>
      </w:r>
      <w:r>
        <w:tab/>
      </w:r>
      <w:r>
        <w:fldChar w:fldCharType="begin"/>
      </w:r>
      <w:r>
        <w:instrText xml:space="preserve"> PAGEREF _Toc423530688 \h </w:instrText>
      </w:r>
      <w:r>
        <w:fldChar w:fldCharType="separate"/>
      </w:r>
      <w:r>
        <w:t>252</w:t>
      </w:r>
      <w:r>
        <w:fldChar w:fldCharType="end"/>
      </w:r>
    </w:p>
    <w:p>
      <w:pPr>
        <w:pStyle w:val="TOC2"/>
        <w:tabs>
          <w:tab w:val="right" w:leader="dot" w:pos="7077"/>
        </w:tabs>
        <w:rPr>
          <w:rFonts w:asciiTheme="minorHAnsi" w:eastAsiaTheme="minorEastAsia" w:hAnsiTheme="minorHAnsi" w:cstheme="minorBidi"/>
          <w:b w:val="0"/>
          <w:sz w:val="22"/>
          <w:szCs w:val="22"/>
        </w:rPr>
      </w:pPr>
      <w:r>
        <w:t>Part 6 — Enforcement</w:t>
      </w:r>
    </w:p>
    <w:p>
      <w:pPr>
        <w:pStyle w:val="TOC8"/>
        <w:rPr>
          <w:rFonts w:asciiTheme="minorHAnsi" w:eastAsiaTheme="minorEastAsia" w:hAnsiTheme="minorHAnsi" w:cstheme="minorBidi"/>
          <w:szCs w:val="22"/>
        </w:rPr>
      </w:pPr>
      <w:r>
        <w:t>153</w:t>
      </w:r>
      <w:r>
        <w:rPr>
          <w:snapToGrid w:val="0"/>
        </w:rPr>
        <w:t>.</w:t>
      </w:r>
      <w:r>
        <w:rPr>
          <w:snapToGrid w:val="0"/>
        </w:rPr>
        <w:tab/>
        <w:t>Authorised officers etc., functions and reports of</w:t>
      </w:r>
      <w:r>
        <w:tab/>
      </w:r>
      <w:r>
        <w:fldChar w:fldCharType="begin"/>
      </w:r>
      <w:r>
        <w:instrText xml:space="preserve"> PAGEREF _Toc423530690 \h </w:instrText>
      </w:r>
      <w:r>
        <w:fldChar w:fldCharType="separate"/>
      </w:r>
      <w:r>
        <w:t>253</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Authorised officers, powers of entry etc., offences as to</w:t>
      </w:r>
      <w:r>
        <w:tab/>
      </w:r>
      <w:r>
        <w:fldChar w:fldCharType="begin"/>
      </w:r>
      <w:r>
        <w:instrText xml:space="preserve"> PAGEREF _Toc423530691 \h </w:instrText>
      </w:r>
      <w:r>
        <w:fldChar w:fldCharType="separate"/>
      </w:r>
      <w:r>
        <w:t>254</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Police, powers of to enter, seize liquor etc.</w:t>
      </w:r>
      <w:r>
        <w:tab/>
      </w:r>
      <w:r>
        <w:fldChar w:fldCharType="begin"/>
      </w:r>
      <w:r>
        <w:instrText xml:space="preserve"> PAGEREF _Toc423530692 \h </w:instrText>
      </w:r>
      <w:r>
        <w:fldChar w:fldCharType="separate"/>
      </w:r>
      <w:r>
        <w:t>256</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Local governments, functions of</w:t>
      </w:r>
      <w:r>
        <w:tab/>
      </w:r>
      <w:r>
        <w:fldChar w:fldCharType="begin"/>
      </w:r>
      <w:r>
        <w:instrText xml:space="preserve"> PAGEREF _Toc423530693 \h </w:instrText>
      </w:r>
      <w:r>
        <w:fldChar w:fldCharType="separate"/>
      </w:r>
      <w:r>
        <w:t>258</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Evasion of fees due etc., offence</w:t>
      </w:r>
      <w:r>
        <w:tab/>
      </w:r>
      <w:r>
        <w:fldChar w:fldCharType="begin"/>
      </w:r>
      <w:r>
        <w:instrText xml:space="preserve"> PAGEREF _Toc423530694 \h </w:instrText>
      </w:r>
      <w:r>
        <w:fldChar w:fldCharType="separate"/>
      </w:r>
      <w:r>
        <w:t>259</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Failing to comply with licensing authority’s requirements etc., offence</w:t>
      </w:r>
      <w:r>
        <w:tab/>
      </w:r>
      <w:r>
        <w:fldChar w:fldCharType="begin"/>
      </w:r>
      <w:r>
        <w:instrText xml:space="preserve"> PAGEREF _Toc423530695 \h </w:instrText>
      </w:r>
      <w:r>
        <w:fldChar w:fldCharType="separate"/>
      </w:r>
      <w:r>
        <w:t>259</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False or misleading statements and records, offence</w:t>
      </w:r>
      <w:r>
        <w:tab/>
      </w:r>
      <w:r>
        <w:fldChar w:fldCharType="begin"/>
      </w:r>
      <w:r>
        <w:instrText xml:space="preserve"> PAGEREF _Toc423530696 \h </w:instrText>
      </w:r>
      <w:r>
        <w:fldChar w:fldCharType="separate"/>
      </w:r>
      <w:r>
        <w:t>260</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Information about offences, power to obtain</w:t>
      </w:r>
      <w:r>
        <w:tab/>
      </w:r>
      <w:r>
        <w:fldChar w:fldCharType="begin"/>
      </w:r>
      <w:r>
        <w:instrText xml:space="preserve"> PAGEREF _Toc423530697 \h </w:instrText>
      </w:r>
      <w:r>
        <w:fldChar w:fldCharType="separate"/>
      </w:r>
      <w:r>
        <w:t>261</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Search warrants, issue and execution of</w:t>
      </w:r>
      <w:r>
        <w:tab/>
      </w:r>
      <w:r>
        <w:fldChar w:fldCharType="begin"/>
      </w:r>
      <w:r>
        <w:instrText xml:space="preserve"> PAGEREF _Toc423530698 \h </w:instrText>
      </w:r>
      <w:r>
        <w:fldChar w:fldCharType="separate"/>
      </w:r>
      <w:r>
        <w:t>262</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Separate offences and continuing offences</w:t>
      </w:r>
      <w:r>
        <w:tab/>
      </w:r>
      <w:r>
        <w:fldChar w:fldCharType="begin"/>
      </w:r>
      <w:r>
        <w:instrText xml:space="preserve"> PAGEREF _Toc423530699 \h </w:instrText>
      </w:r>
      <w:r>
        <w:fldChar w:fldCharType="separate"/>
      </w:r>
      <w:r>
        <w:t>264</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Sale of liquor, presumption of in some cases</w:t>
      </w:r>
      <w:r>
        <w:tab/>
      </w:r>
      <w:r>
        <w:fldChar w:fldCharType="begin"/>
      </w:r>
      <w:r>
        <w:instrText xml:space="preserve"> PAGEREF _Toc423530700 \h </w:instrText>
      </w:r>
      <w:r>
        <w:fldChar w:fldCharType="separate"/>
      </w:r>
      <w:r>
        <w:t>265</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Bodies corporate and partnerships, offences by</w:t>
      </w:r>
      <w:r>
        <w:tab/>
      </w:r>
      <w:r>
        <w:fldChar w:fldCharType="begin"/>
      </w:r>
      <w:r>
        <w:instrText xml:space="preserve"> PAGEREF _Toc423530701 \h </w:instrText>
      </w:r>
      <w:r>
        <w:fldChar w:fldCharType="separate"/>
      </w:r>
      <w:r>
        <w:t>265</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Licensee liable for act of employee etc.</w:t>
      </w:r>
      <w:r>
        <w:tab/>
      </w:r>
      <w:r>
        <w:fldChar w:fldCharType="begin"/>
      </w:r>
      <w:r>
        <w:instrText xml:space="preserve"> PAGEREF _Toc423530702 \h </w:instrText>
      </w:r>
      <w:r>
        <w:fldChar w:fldCharType="separate"/>
      </w:r>
      <w:r>
        <w:t>268</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General penalty</w:t>
      </w:r>
      <w:r>
        <w:tab/>
      </w:r>
      <w:r>
        <w:fldChar w:fldCharType="begin"/>
      </w:r>
      <w:r>
        <w:instrText xml:space="preserve"> PAGEREF _Toc423530703 \h </w:instrText>
      </w:r>
      <w:r>
        <w:fldChar w:fldCharType="separate"/>
      </w:r>
      <w:r>
        <w:t>268</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Infringement notices</w:t>
      </w:r>
      <w:r>
        <w:tab/>
      </w:r>
      <w:r>
        <w:fldChar w:fldCharType="begin"/>
      </w:r>
      <w:r>
        <w:instrText xml:space="preserve"> PAGEREF _Toc423530704 \h </w:instrText>
      </w:r>
      <w:r>
        <w:fldChar w:fldCharType="separate"/>
      </w:r>
      <w:r>
        <w:t>269</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Prosecutions, institution of</w:t>
      </w:r>
      <w:r>
        <w:tab/>
      </w:r>
      <w:r>
        <w:fldChar w:fldCharType="begin"/>
      </w:r>
      <w:r>
        <w:instrText xml:space="preserve"> PAGEREF _Toc423530705 \h </w:instrText>
      </w:r>
      <w:r>
        <w:fldChar w:fldCharType="separate"/>
      </w:r>
      <w:r>
        <w:t>271</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Prosecutions, hearing of and limitation periods for</w:t>
      </w:r>
      <w:r>
        <w:tab/>
      </w:r>
      <w:r>
        <w:fldChar w:fldCharType="begin"/>
      </w:r>
      <w:r>
        <w:instrText xml:space="preserve"> PAGEREF _Toc423530706 \h </w:instrText>
      </w:r>
      <w:r>
        <w:fldChar w:fldCharType="separate"/>
      </w:r>
      <w:r>
        <w:t>271</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Evidentiary provisions as to proof of certain facts</w:t>
      </w:r>
      <w:r>
        <w:tab/>
      </w:r>
      <w:r>
        <w:fldChar w:fldCharType="begin"/>
      </w:r>
      <w:r>
        <w:instrText xml:space="preserve"> PAGEREF _Toc423530707 \h </w:instrText>
      </w:r>
      <w:r>
        <w:fldChar w:fldCharType="separate"/>
      </w:r>
      <w:r>
        <w:t>272</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Accomplices, who are not, evidence of</w:t>
      </w:r>
      <w:r>
        <w:tab/>
      </w:r>
      <w:r>
        <w:fldChar w:fldCharType="begin"/>
      </w:r>
      <w:r>
        <w:instrText xml:space="preserve"> PAGEREF _Toc423530708 \h </w:instrText>
      </w:r>
      <w:r>
        <w:fldChar w:fldCharType="separate"/>
      </w:r>
      <w:r>
        <w:t>273</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Averments in charges, proof of certain documents and facts</w:t>
      </w:r>
      <w:r>
        <w:tab/>
      </w:r>
      <w:r>
        <w:fldChar w:fldCharType="begin"/>
      </w:r>
      <w:r>
        <w:instrText xml:space="preserve"> PAGEREF _Toc423530709 \h </w:instrText>
      </w:r>
      <w:r>
        <w:fldChar w:fldCharType="separate"/>
      </w:r>
      <w:r>
        <w:t>274</w:t>
      </w:r>
      <w:r>
        <w:fldChar w:fldCharType="end"/>
      </w:r>
    </w:p>
    <w:p>
      <w:pPr>
        <w:pStyle w:val="TOC8"/>
        <w:rPr>
          <w:rFonts w:asciiTheme="minorHAnsi" w:eastAsiaTheme="minorEastAsia" w:hAnsiTheme="minorHAnsi" w:cstheme="minorBidi"/>
          <w:szCs w:val="22"/>
        </w:rPr>
      </w:pPr>
      <w:r>
        <w:t>172A.</w:t>
      </w:r>
      <w:r>
        <w:tab/>
        <w:t>Forfeiture of liquor etc. on conviction or payment of modified penalty</w:t>
      </w:r>
      <w:r>
        <w:tab/>
      </w:r>
      <w:r>
        <w:fldChar w:fldCharType="begin"/>
      </w:r>
      <w:r>
        <w:instrText xml:space="preserve"> PAGEREF _Toc423530710 \h </w:instrText>
      </w:r>
      <w:r>
        <w:fldChar w:fldCharType="separate"/>
      </w:r>
      <w:r>
        <w:t>280</w:t>
      </w:r>
      <w:r>
        <w:fldChar w:fldCharType="end"/>
      </w:r>
    </w:p>
    <w:p>
      <w:pPr>
        <w:pStyle w:val="TOC2"/>
        <w:tabs>
          <w:tab w:val="right" w:leader="dot" w:pos="7077"/>
        </w:tabs>
        <w:rPr>
          <w:rFonts w:asciiTheme="minorHAnsi" w:eastAsiaTheme="minorEastAsia" w:hAnsiTheme="minorHAnsi" w:cstheme="minorBidi"/>
          <w:b w:val="0"/>
          <w:sz w:val="22"/>
          <w:szCs w:val="22"/>
        </w:rPr>
      </w:pPr>
      <w:r>
        <w:t>Part 7 — General</w:t>
      </w:r>
    </w:p>
    <w:p>
      <w:pPr>
        <w:pStyle w:val="TOC8"/>
        <w:rPr>
          <w:rFonts w:asciiTheme="minorHAnsi" w:eastAsiaTheme="minorEastAsia" w:hAnsiTheme="minorHAnsi" w:cstheme="minorBidi"/>
          <w:szCs w:val="22"/>
        </w:rPr>
      </w:pPr>
      <w:r>
        <w:t>173</w:t>
      </w:r>
      <w:r>
        <w:rPr>
          <w:snapToGrid w:val="0"/>
        </w:rPr>
        <w:t>.</w:t>
      </w:r>
      <w:r>
        <w:rPr>
          <w:snapToGrid w:val="0"/>
        </w:rPr>
        <w:tab/>
        <w:t>Pending review etc. not to affect liability</w:t>
      </w:r>
      <w:r>
        <w:tab/>
      </w:r>
      <w:r>
        <w:fldChar w:fldCharType="begin"/>
      </w:r>
      <w:r>
        <w:instrText xml:space="preserve"> PAGEREF _Toc423530712 \h </w:instrText>
      </w:r>
      <w:r>
        <w:fldChar w:fldCharType="separate"/>
      </w:r>
      <w:r>
        <w:t>282</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Service of documents</w:t>
      </w:r>
      <w:r>
        <w:tab/>
      </w:r>
      <w:r>
        <w:fldChar w:fldCharType="begin"/>
      </w:r>
      <w:r>
        <w:instrText xml:space="preserve"> PAGEREF _Toc423530713 \h </w:instrText>
      </w:r>
      <w:r>
        <w:fldChar w:fldCharType="separate"/>
      </w:r>
      <w:r>
        <w:t>282</w:t>
      </w:r>
      <w:r>
        <w:fldChar w:fldCharType="end"/>
      </w:r>
    </w:p>
    <w:p>
      <w:pPr>
        <w:pStyle w:val="TOC8"/>
        <w:rPr>
          <w:rFonts w:asciiTheme="minorHAnsi" w:eastAsiaTheme="minorEastAsia" w:hAnsiTheme="minorHAnsi" w:cstheme="minorBidi"/>
          <w:szCs w:val="22"/>
        </w:rPr>
      </w:pPr>
      <w:r>
        <w:t>174A.</w:t>
      </w:r>
      <w:r>
        <w:tab/>
      </w:r>
      <w:r>
        <w:rPr>
          <w:i/>
          <w:iCs/>
        </w:rPr>
        <w:t>Criminal and Found Property Disposal Act 2006</w:t>
      </w:r>
      <w:r>
        <w:rPr>
          <w:iCs/>
        </w:rPr>
        <w:t xml:space="preserve">, </w:t>
      </w:r>
      <w:r>
        <w:t>application of</w:t>
      </w:r>
      <w:r>
        <w:tab/>
      </w:r>
      <w:r>
        <w:fldChar w:fldCharType="begin"/>
      </w:r>
      <w:r>
        <w:instrText xml:space="preserve"> PAGEREF _Toc423530714 \h </w:instrText>
      </w:r>
      <w:r>
        <w:fldChar w:fldCharType="separate"/>
      </w:r>
      <w:r>
        <w:t>283</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Regulations</w:t>
      </w:r>
      <w:r>
        <w:tab/>
      </w:r>
      <w:r>
        <w:fldChar w:fldCharType="begin"/>
      </w:r>
      <w:r>
        <w:instrText xml:space="preserve"> PAGEREF _Toc423530715 \h </w:instrText>
      </w:r>
      <w:r>
        <w:fldChar w:fldCharType="separate"/>
      </w:r>
      <w:r>
        <w:t>283</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Transitional provisions (Sch. 1)</w:t>
      </w:r>
      <w:r>
        <w:tab/>
      </w:r>
      <w:r>
        <w:fldChar w:fldCharType="begin"/>
      </w:r>
      <w:r>
        <w:instrText xml:space="preserve"> PAGEREF _Toc423530716 \h </w:instrText>
      </w:r>
      <w:r>
        <w:fldChar w:fldCharType="separate"/>
      </w:r>
      <w:r>
        <w:t>285</w:t>
      </w:r>
      <w:r>
        <w:fldChar w:fldCharType="end"/>
      </w:r>
    </w:p>
    <w:p>
      <w:pPr>
        <w:pStyle w:val="TOC8"/>
        <w:rPr>
          <w:rFonts w:asciiTheme="minorHAnsi" w:eastAsiaTheme="minorEastAsia" w:hAnsiTheme="minorHAnsi" w:cstheme="minorBidi"/>
          <w:szCs w:val="22"/>
        </w:rPr>
      </w:pPr>
      <w:r>
        <w:t>177A.</w:t>
      </w:r>
      <w:r>
        <w:tab/>
        <w:t xml:space="preserve">Transitional provisions for </w:t>
      </w:r>
      <w:r>
        <w:rPr>
          <w:i/>
        </w:rPr>
        <w:t>Liquor and Gaming Legislation Amendment Act 2006</w:t>
      </w:r>
      <w:r>
        <w:t xml:space="preserve"> </w:t>
      </w:r>
      <w:r>
        <w:rPr>
          <w:snapToGrid w:val="0"/>
        </w:rPr>
        <w:t>(Sch. 1A)</w:t>
      </w:r>
      <w:r>
        <w:tab/>
      </w:r>
      <w:r>
        <w:fldChar w:fldCharType="begin"/>
      </w:r>
      <w:r>
        <w:instrText xml:space="preserve"> PAGEREF _Toc423530717 \h </w:instrText>
      </w:r>
      <w:r>
        <w:fldChar w:fldCharType="separate"/>
      </w:r>
      <w:r>
        <w:t>285</w:t>
      </w:r>
      <w:r>
        <w:fldChar w:fldCharType="end"/>
      </w:r>
    </w:p>
    <w:p>
      <w:pPr>
        <w:pStyle w:val="TOC8"/>
        <w:rPr>
          <w:rFonts w:asciiTheme="minorHAnsi" w:eastAsiaTheme="minorEastAsia" w:hAnsiTheme="minorHAnsi" w:cstheme="minorBidi"/>
          <w:szCs w:val="22"/>
        </w:rPr>
      </w:pPr>
      <w:r>
        <w:t>177B.</w:t>
      </w:r>
      <w:r>
        <w:tab/>
        <w:t xml:space="preserve">Transitional provisions for </w:t>
      </w:r>
      <w:r>
        <w:rPr>
          <w:i/>
          <w:iCs/>
        </w:rPr>
        <w:t>Liquor Control Amendment Act 2010</w:t>
      </w:r>
      <w:r>
        <w:rPr>
          <w:iCs/>
        </w:rPr>
        <w:t xml:space="preserve"> </w:t>
      </w:r>
      <w:r>
        <w:rPr>
          <w:snapToGrid w:val="0"/>
        </w:rPr>
        <w:t>(Sch. 1B)</w:t>
      </w:r>
      <w:r>
        <w:tab/>
      </w:r>
      <w:r>
        <w:fldChar w:fldCharType="begin"/>
      </w:r>
      <w:r>
        <w:instrText xml:space="preserve"> PAGEREF _Toc423530718 \h </w:instrText>
      </w:r>
      <w:r>
        <w:fldChar w:fldCharType="separate"/>
      </w:r>
      <w:r>
        <w:t>286</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Review of Act</w:t>
      </w:r>
      <w:r>
        <w:tab/>
      </w:r>
      <w:r>
        <w:fldChar w:fldCharType="begin"/>
      </w:r>
      <w:r>
        <w:instrText xml:space="preserve"> PAGEREF _Toc423530719 \h </w:instrText>
      </w:r>
      <w:r>
        <w:fldChar w:fldCharType="separate"/>
      </w:r>
      <w:r>
        <w:t>286</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_Toc423530721 \h </w:instrText>
      </w:r>
      <w:r>
        <w:fldChar w:fldCharType="separate"/>
      </w:r>
      <w:r>
        <w:t>287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Continuing effect of convictions, forfeitures etc.</w:t>
      </w:r>
      <w:r>
        <w:tab/>
      </w:r>
      <w:r>
        <w:fldChar w:fldCharType="begin"/>
      </w:r>
      <w:r>
        <w:instrText xml:space="preserve"> PAGEREF _Toc423530722 \h </w:instrText>
      </w:r>
      <w:r>
        <w:fldChar w:fldCharType="separate"/>
      </w:r>
      <w:r>
        <w:t>288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Proceedings part heard, rules of court, and appointments under repealed Act</w:t>
      </w:r>
      <w:r>
        <w:tab/>
      </w:r>
      <w:r>
        <w:fldChar w:fldCharType="begin"/>
      </w:r>
      <w:r>
        <w:instrText xml:space="preserve"> PAGEREF _Toc423530723 \h </w:instrText>
      </w:r>
      <w:r>
        <w:fldChar w:fldCharType="separate"/>
      </w:r>
      <w:r>
        <w:t>288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Fees</w:t>
      </w:r>
      <w:r>
        <w:tab/>
      </w:r>
      <w:r>
        <w:fldChar w:fldCharType="begin"/>
      </w:r>
      <w:r>
        <w:instrText xml:space="preserve"> PAGEREF _Toc423530724 \h </w:instrText>
      </w:r>
      <w:r>
        <w:fldChar w:fldCharType="separate"/>
      </w:r>
      <w:r>
        <w:t>290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Continuing effect of conditions, delineated or designated areas, approvals etc.</w:t>
      </w:r>
      <w:r>
        <w:tab/>
      </w:r>
      <w:r>
        <w:fldChar w:fldCharType="begin"/>
      </w:r>
      <w:r>
        <w:instrText xml:space="preserve"> PAGEREF _Toc423530725 \h </w:instrText>
      </w:r>
      <w:r>
        <w:fldChar w:fldCharType="separate"/>
      </w:r>
      <w:r>
        <w:t>291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Conversion of licences generally</w:t>
      </w:r>
      <w:r>
        <w:tab/>
      </w:r>
      <w:r>
        <w:fldChar w:fldCharType="begin"/>
      </w:r>
      <w:r>
        <w:instrText xml:space="preserve"> PAGEREF _Toc423530726 \h </w:instrText>
      </w:r>
      <w:r>
        <w:fldChar w:fldCharType="separate"/>
      </w:r>
      <w:r>
        <w:t>292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Hotel licences</w:t>
      </w:r>
      <w:r>
        <w:tab/>
      </w:r>
      <w:r>
        <w:fldChar w:fldCharType="begin"/>
      </w:r>
      <w:r>
        <w:instrText xml:space="preserve"> PAGEREF _Toc423530727 \h </w:instrText>
      </w:r>
      <w:r>
        <w:fldChar w:fldCharType="separate"/>
      </w:r>
      <w:r>
        <w:t>294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Limited hotel licences</w:t>
      </w:r>
      <w:r>
        <w:tab/>
      </w:r>
      <w:r>
        <w:fldChar w:fldCharType="begin"/>
      </w:r>
      <w:r>
        <w:instrText xml:space="preserve"> PAGEREF _Toc423530728 \h </w:instrText>
      </w:r>
      <w:r>
        <w:fldChar w:fldCharType="separate"/>
      </w:r>
      <w:r>
        <w:t>294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Tavern licences</w:t>
      </w:r>
      <w:r>
        <w:tab/>
      </w:r>
      <w:r>
        <w:fldChar w:fldCharType="begin"/>
      </w:r>
      <w:r>
        <w:instrText xml:space="preserve"> PAGEREF _Toc423530729 \h </w:instrText>
      </w:r>
      <w:r>
        <w:fldChar w:fldCharType="separate"/>
      </w:r>
      <w:r>
        <w:t>294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Obligatory trading hours relating to hotel licences</w:t>
      </w:r>
      <w:r>
        <w:tab/>
      </w:r>
      <w:r>
        <w:fldChar w:fldCharType="begin"/>
      </w:r>
      <w:r>
        <w:instrText xml:space="preserve"> PAGEREF _Toc423530730 \h </w:instrText>
      </w:r>
      <w:r>
        <w:fldChar w:fldCharType="separate"/>
      </w:r>
      <w:r>
        <w:t>294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Winehouse licences and Australian wine licences</w:t>
      </w:r>
      <w:r>
        <w:tab/>
      </w:r>
      <w:r>
        <w:fldChar w:fldCharType="begin"/>
      </w:r>
      <w:r>
        <w:instrText xml:space="preserve"> PAGEREF _Toc423530731 \h </w:instrText>
      </w:r>
      <w:r>
        <w:fldChar w:fldCharType="separate"/>
      </w:r>
      <w:r>
        <w:t>295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Casino liquor licences</w:t>
      </w:r>
      <w:r>
        <w:tab/>
      </w:r>
      <w:r>
        <w:fldChar w:fldCharType="begin"/>
      </w:r>
      <w:r>
        <w:instrText xml:space="preserve"> PAGEREF _Toc423530732 \h </w:instrText>
      </w:r>
      <w:r>
        <w:fldChar w:fldCharType="separate"/>
      </w:r>
      <w:r>
        <w:t>296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Cabaret licences</w:t>
      </w:r>
      <w:r>
        <w:tab/>
      </w:r>
      <w:r>
        <w:fldChar w:fldCharType="begin"/>
      </w:r>
      <w:r>
        <w:instrText xml:space="preserve"> PAGEREF _Toc423530733 \h </w:instrText>
      </w:r>
      <w:r>
        <w:fldChar w:fldCharType="separate"/>
      </w:r>
      <w:r>
        <w:t>296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Restaurant licences</w:t>
      </w:r>
      <w:r>
        <w:tab/>
      </w:r>
      <w:r>
        <w:fldChar w:fldCharType="begin"/>
      </w:r>
      <w:r>
        <w:instrText xml:space="preserve"> PAGEREF _Toc423530734 \h </w:instrText>
      </w:r>
      <w:r>
        <w:fldChar w:fldCharType="separate"/>
      </w:r>
      <w:r>
        <w:t>296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Restaurant facilities on premises formerly licensed as a hotel, tavern, limited hotel, or winehouse</w:t>
      </w:r>
      <w:r>
        <w:tab/>
      </w:r>
      <w:r>
        <w:fldChar w:fldCharType="begin"/>
      </w:r>
      <w:r>
        <w:instrText xml:space="preserve"> PAGEREF _Toc423530735 \h </w:instrText>
      </w:r>
      <w:r>
        <w:fldChar w:fldCharType="separate"/>
      </w:r>
      <w:r>
        <w:t>296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Store licences</w:t>
      </w:r>
      <w:r>
        <w:tab/>
      </w:r>
      <w:r>
        <w:fldChar w:fldCharType="begin"/>
      </w:r>
      <w:r>
        <w:instrText xml:space="preserve"> PAGEREF _Toc423530736 \h </w:instrText>
      </w:r>
      <w:r>
        <w:fldChar w:fldCharType="separate"/>
      </w:r>
      <w:r>
        <w:t>297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Vigneron’s licences and brewer’s licences</w:t>
      </w:r>
      <w:r>
        <w:tab/>
      </w:r>
      <w:r>
        <w:fldChar w:fldCharType="begin"/>
      </w:r>
      <w:r>
        <w:instrText xml:space="preserve"> PAGEREF _Toc423530737 \h </w:instrText>
      </w:r>
      <w:r>
        <w:fldChar w:fldCharType="separate"/>
      </w:r>
      <w:r>
        <w:t>298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Wholesale licences</w:t>
      </w:r>
      <w:r>
        <w:tab/>
      </w:r>
      <w:r>
        <w:fldChar w:fldCharType="begin"/>
      </w:r>
      <w:r>
        <w:instrText xml:space="preserve"> PAGEREF _Toc423530738 \h </w:instrText>
      </w:r>
      <w:r>
        <w:fldChar w:fldCharType="separate"/>
      </w:r>
      <w:r>
        <w:t>298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Club licences and unlicensed club permits</w:t>
      </w:r>
      <w:r>
        <w:tab/>
      </w:r>
      <w:r>
        <w:fldChar w:fldCharType="begin"/>
      </w:r>
      <w:r>
        <w:instrText xml:space="preserve"> PAGEREF _Toc423530739 \h </w:instrText>
      </w:r>
      <w:r>
        <w:fldChar w:fldCharType="separate"/>
      </w:r>
      <w:r>
        <w:t>299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Certain licences to become special facility licences</w:t>
      </w:r>
      <w:r>
        <w:tab/>
      </w:r>
      <w:r>
        <w:fldChar w:fldCharType="begin"/>
      </w:r>
      <w:r>
        <w:instrText xml:space="preserve"> PAGEREF _Toc423530740 \h </w:instrText>
      </w:r>
      <w:r>
        <w:fldChar w:fldCharType="separate"/>
      </w:r>
      <w:r>
        <w:t>300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Caterer’s permit</w:t>
      </w:r>
      <w:r>
        <w:tab/>
      </w:r>
      <w:r>
        <w:fldChar w:fldCharType="begin"/>
      </w:r>
      <w:r>
        <w:instrText xml:space="preserve"> PAGEREF _Toc423530741 \h </w:instrText>
      </w:r>
      <w:r>
        <w:fldChar w:fldCharType="separate"/>
      </w:r>
      <w:r>
        <w:t>302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Exempted producers etc.</w:t>
      </w:r>
      <w:r>
        <w:tab/>
      </w:r>
      <w:r>
        <w:fldChar w:fldCharType="begin"/>
      </w:r>
      <w:r>
        <w:instrText xml:space="preserve"> PAGEREF _Toc423530742 \h </w:instrText>
      </w:r>
      <w:r>
        <w:fldChar w:fldCharType="separate"/>
      </w:r>
      <w:r>
        <w:t>302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Certain licences may become special facility licences</w:t>
      </w:r>
      <w:r>
        <w:tab/>
      </w:r>
      <w:r>
        <w:fldChar w:fldCharType="begin"/>
      </w:r>
      <w:r>
        <w:instrText xml:space="preserve"> PAGEREF _Toc423530743 \h </w:instrText>
      </w:r>
      <w:r>
        <w:fldChar w:fldCharType="separate"/>
      </w:r>
      <w:r>
        <w:t>302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References in other written laws</w:t>
      </w:r>
      <w:r>
        <w:tab/>
      </w:r>
      <w:r>
        <w:fldChar w:fldCharType="begin"/>
      </w:r>
      <w:r>
        <w:instrText xml:space="preserve"> PAGEREF _Toc423530744 \h </w:instrText>
      </w:r>
      <w:r>
        <w:fldChar w:fldCharType="separate"/>
      </w:r>
      <w:r>
        <w:t>303</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1A — Transitional provisions relating to the </w:t>
      </w:r>
      <w:r>
        <w:rPr>
          <w:i/>
        </w:rPr>
        <w:t>Liquor and Gaming Legislation Amendment Act 2006</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_Toc423530746 \h </w:instrText>
      </w:r>
      <w:r>
        <w:fldChar w:fldCharType="separate"/>
      </w:r>
      <w:r>
        <w:t>304</w:t>
      </w:r>
      <w:r>
        <w:fldChar w:fldCharType="end"/>
      </w:r>
    </w:p>
    <w:p>
      <w:pPr>
        <w:pStyle w:val="TOC8"/>
        <w:rPr>
          <w:rFonts w:asciiTheme="minorHAnsi" w:eastAsiaTheme="minorEastAsia" w:hAnsiTheme="minorHAnsi" w:cstheme="minorBidi"/>
          <w:szCs w:val="22"/>
        </w:rPr>
      </w:pPr>
      <w:r>
        <w:t>2.</w:t>
      </w:r>
      <w:r>
        <w:tab/>
        <w:t>Liquor Licensing Court</w:t>
      </w:r>
      <w:r>
        <w:tab/>
      </w:r>
      <w:r>
        <w:fldChar w:fldCharType="begin"/>
      </w:r>
      <w:r>
        <w:instrText xml:space="preserve"> PAGEREF _Toc423530747 \h </w:instrText>
      </w:r>
      <w:r>
        <w:fldChar w:fldCharType="separate"/>
      </w:r>
      <w:r>
        <w:t>304</w:t>
      </w:r>
      <w:r>
        <w:fldChar w:fldCharType="end"/>
      </w:r>
    </w:p>
    <w:p>
      <w:pPr>
        <w:pStyle w:val="TOC8"/>
        <w:rPr>
          <w:rFonts w:asciiTheme="minorHAnsi" w:eastAsiaTheme="minorEastAsia" w:hAnsiTheme="minorHAnsi" w:cstheme="minorBidi"/>
          <w:szCs w:val="22"/>
        </w:rPr>
      </w:pPr>
      <w:r>
        <w:t>3.</w:t>
      </w:r>
      <w:r>
        <w:tab/>
        <w:t>Liquor Licensing Court judge</w:t>
      </w:r>
      <w:r>
        <w:tab/>
      </w:r>
      <w:r>
        <w:fldChar w:fldCharType="begin"/>
      </w:r>
      <w:r>
        <w:instrText xml:space="preserve"> PAGEREF _Toc423530748 \h </w:instrText>
      </w:r>
      <w:r>
        <w:fldChar w:fldCharType="separate"/>
      </w:r>
      <w:r>
        <w:t>304</w:t>
      </w:r>
      <w:r>
        <w:fldChar w:fldCharType="end"/>
      </w:r>
    </w:p>
    <w:p>
      <w:pPr>
        <w:pStyle w:val="TOC8"/>
        <w:rPr>
          <w:rFonts w:asciiTheme="minorHAnsi" w:eastAsiaTheme="minorEastAsia" w:hAnsiTheme="minorHAnsi" w:cstheme="minorBidi"/>
          <w:szCs w:val="22"/>
        </w:rPr>
      </w:pPr>
      <w:r>
        <w:t>4.</w:t>
      </w:r>
      <w:r>
        <w:tab/>
        <w:t>Pending cases stated and appeals to Supreme Court</w:t>
      </w:r>
      <w:r>
        <w:tab/>
      </w:r>
      <w:r>
        <w:fldChar w:fldCharType="begin"/>
      </w:r>
      <w:r>
        <w:instrText xml:space="preserve"> PAGEREF _Toc423530749 \h </w:instrText>
      </w:r>
      <w:r>
        <w:fldChar w:fldCharType="separate"/>
      </w:r>
      <w:r>
        <w:t>305</w:t>
      </w:r>
      <w:r>
        <w:fldChar w:fldCharType="end"/>
      </w:r>
    </w:p>
    <w:p>
      <w:pPr>
        <w:pStyle w:val="TOC8"/>
        <w:rPr>
          <w:rFonts w:asciiTheme="minorHAnsi" w:eastAsiaTheme="minorEastAsia" w:hAnsiTheme="minorHAnsi" w:cstheme="minorBidi"/>
          <w:szCs w:val="22"/>
        </w:rPr>
      </w:pPr>
      <w:r>
        <w:t>5.</w:t>
      </w:r>
      <w:r>
        <w:tab/>
        <w:t>Pending applications and matters</w:t>
      </w:r>
      <w:r>
        <w:tab/>
      </w:r>
      <w:r>
        <w:fldChar w:fldCharType="begin"/>
      </w:r>
      <w:r>
        <w:instrText xml:space="preserve"> PAGEREF _Toc423530750 \h </w:instrText>
      </w:r>
      <w:r>
        <w:fldChar w:fldCharType="separate"/>
      </w:r>
      <w:r>
        <w:t>305</w:t>
      </w:r>
      <w:r>
        <w:fldChar w:fldCharType="end"/>
      </w:r>
    </w:p>
    <w:p>
      <w:pPr>
        <w:pStyle w:val="TOC8"/>
        <w:rPr>
          <w:rFonts w:asciiTheme="minorHAnsi" w:eastAsiaTheme="minorEastAsia" w:hAnsiTheme="minorHAnsi" w:cstheme="minorBidi"/>
          <w:szCs w:val="22"/>
        </w:rPr>
      </w:pPr>
      <w:r>
        <w:t>6.</w:t>
      </w:r>
      <w:r>
        <w:tab/>
        <w:t>Licences granted and permits issued by Liquor Licensing Court</w:t>
      </w:r>
      <w:r>
        <w:tab/>
      </w:r>
      <w:r>
        <w:fldChar w:fldCharType="begin"/>
      </w:r>
      <w:r>
        <w:instrText xml:space="preserve"> PAGEREF _Toc423530751 \h </w:instrText>
      </w:r>
      <w:r>
        <w:fldChar w:fldCharType="separate"/>
      </w:r>
      <w:r>
        <w:t>306</w:t>
      </w:r>
      <w:r>
        <w:fldChar w:fldCharType="end"/>
      </w:r>
    </w:p>
    <w:p>
      <w:pPr>
        <w:pStyle w:val="TOC8"/>
        <w:rPr>
          <w:rFonts w:asciiTheme="minorHAnsi" w:eastAsiaTheme="minorEastAsia" w:hAnsiTheme="minorHAnsi" w:cstheme="minorBidi"/>
          <w:szCs w:val="22"/>
        </w:rPr>
      </w:pPr>
      <w:r>
        <w:t>7.</w:t>
      </w:r>
      <w:r>
        <w:tab/>
        <w:t>Cabaret licences</w:t>
      </w:r>
      <w:r>
        <w:tab/>
      </w:r>
      <w:r>
        <w:fldChar w:fldCharType="begin"/>
      </w:r>
      <w:r>
        <w:instrText xml:space="preserve"> PAGEREF _Toc423530752 \h </w:instrText>
      </w:r>
      <w:r>
        <w:fldChar w:fldCharType="separate"/>
      </w:r>
      <w:r>
        <w:t>306</w:t>
      </w:r>
      <w:r>
        <w:fldChar w:fldCharType="end"/>
      </w:r>
    </w:p>
    <w:p>
      <w:pPr>
        <w:pStyle w:val="TOC8"/>
        <w:rPr>
          <w:rFonts w:asciiTheme="minorHAnsi" w:eastAsiaTheme="minorEastAsia" w:hAnsiTheme="minorHAnsi" w:cstheme="minorBidi"/>
          <w:szCs w:val="22"/>
        </w:rPr>
      </w:pPr>
      <w:r>
        <w:t>8.</w:t>
      </w:r>
      <w:r>
        <w:tab/>
        <w:t>Courses of training and assessments</w:t>
      </w:r>
      <w:r>
        <w:tab/>
      </w:r>
      <w:r>
        <w:fldChar w:fldCharType="begin"/>
      </w:r>
      <w:r>
        <w:instrText xml:space="preserve"> PAGEREF _Toc423530753 \h </w:instrText>
      </w:r>
      <w:r>
        <w:fldChar w:fldCharType="separate"/>
      </w:r>
      <w:r>
        <w:t>306</w:t>
      </w:r>
      <w:r>
        <w:fldChar w:fldCharType="end"/>
      </w:r>
    </w:p>
    <w:p>
      <w:pPr>
        <w:pStyle w:val="TOC8"/>
        <w:rPr>
          <w:rFonts w:asciiTheme="minorHAnsi" w:eastAsiaTheme="minorEastAsia" w:hAnsiTheme="minorHAnsi" w:cstheme="minorBidi"/>
          <w:szCs w:val="22"/>
        </w:rPr>
      </w:pPr>
      <w:r>
        <w:t>9.</w:t>
      </w:r>
      <w:r>
        <w:tab/>
        <w:t>References to Liquor Licensing Court and Liquor Licensing Court judge</w:t>
      </w:r>
      <w:r>
        <w:tab/>
      </w:r>
      <w:r>
        <w:fldChar w:fldCharType="begin"/>
      </w:r>
      <w:r>
        <w:instrText xml:space="preserve"> PAGEREF _Toc423530754 \h </w:instrText>
      </w:r>
      <w:r>
        <w:fldChar w:fldCharType="separate"/>
      </w:r>
      <w:r>
        <w:t>307</w:t>
      </w:r>
      <w:r>
        <w:fldChar w:fldCharType="end"/>
      </w:r>
    </w:p>
    <w:p>
      <w:pPr>
        <w:pStyle w:val="TOC8"/>
        <w:rPr>
          <w:rFonts w:asciiTheme="minorHAnsi" w:eastAsiaTheme="minorEastAsia" w:hAnsiTheme="minorHAnsi" w:cstheme="minorBidi"/>
          <w:szCs w:val="22"/>
        </w:rPr>
      </w:pPr>
      <w:r>
        <w:t>10.</w:t>
      </w:r>
      <w:r>
        <w:tab/>
        <w:t>Transitional regulations</w:t>
      </w:r>
      <w:r>
        <w:tab/>
      </w:r>
      <w:r>
        <w:fldChar w:fldCharType="begin"/>
      </w:r>
      <w:r>
        <w:instrText xml:space="preserve"> PAGEREF _Toc423530755 \h </w:instrText>
      </w:r>
      <w:r>
        <w:fldChar w:fldCharType="separate"/>
      </w:r>
      <w:r>
        <w:t>307</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1B — Transitional provisions relating to the </w:t>
      </w:r>
      <w:r>
        <w:rPr>
          <w:i/>
        </w:rPr>
        <w:t>Liquor Control Amendment Act 2010</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_Toc423530757 \h </w:instrText>
      </w:r>
      <w:r>
        <w:fldChar w:fldCharType="separate"/>
      </w:r>
      <w:r>
        <w:t>308</w:t>
      </w:r>
      <w:r>
        <w:fldChar w:fldCharType="end"/>
      </w:r>
    </w:p>
    <w:p>
      <w:pPr>
        <w:pStyle w:val="TOC8"/>
        <w:rPr>
          <w:rFonts w:asciiTheme="minorHAnsi" w:eastAsiaTheme="minorEastAsia" w:hAnsiTheme="minorHAnsi" w:cstheme="minorBidi"/>
          <w:szCs w:val="22"/>
        </w:rPr>
      </w:pPr>
      <w:r>
        <w:t>2.</w:t>
      </w:r>
      <w:r>
        <w:tab/>
        <w:t>Current managers taken to be licensed</w:t>
      </w:r>
      <w:r>
        <w:tab/>
      </w:r>
      <w:r>
        <w:fldChar w:fldCharType="begin"/>
      </w:r>
      <w:r>
        <w:instrText xml:space="preserve"> PAGEREF _Toc423530758 \h </w:instrText>
      </w:r>
      <w:r>
        <w:fldChar w:fldCharType="separate"/>
      </w:r>
      <w:r>
        <w:t>308</w:t>
      </w:r>
      <w:r>
        <w:fldChar w:fldCharType="end"/>
      </w:r>
    </w:p>
    <w:p>
      <w:pPr>
        <w:pStyle w:val="TOC8"/>
        <w:rPr>
          <w:rFonts w:asciiTheme="minorHAnsi" w:eastAsiaTheme="minorEastAsia" w:hAnsiTheme="minorHAnsi" w:cstheme="minorBidi"/>
          <w:szCs w:val="22"/>
        </w:rPr>
      </w:pPr>
      <w:r>
        <w:t>3.</w:t>
      </w:r>
      <w:r>
        <w:tab/>
        <w:t>Duration of transitioned approvals</w:t>
      </w:r>
      <w:r>
        <w:tab/>
      </w:r>
      <w:r>
        <w:fldChar w:fldCharType="begin"/>
      </w:r>
      <w:r>
        <w:instrText xml:space="preserve"> PAGEREF _Toc423530759 \h </w:instrText>
      </w:r>
      <w:r>
        <w:fldChar w:fldCharType="separate"/>
      </w:r>
      <w:r>
        <w:t>308</w:t>
      </w:r>
      <w:r>
        <w:fldChar w:fldCharType="end"/>
      </w:r>
    </w:p>
    <w:p>
      <w:pPr>
        <w:pStyle w:val="TOC8"/>
        <w:rPr>
          <w:rFonts w:asciiTheme="minorHAnsi" w:eastAsiaTheme="minorEastAsia" w:hAnsiTheme="minorHAnsi" w:cstheme="minorBidi"/>
          <w:szCs w:val="22"/>
        </w:rPr>
      </w:pPr>
      <w:r>
        <w:t>4.</w:t>
      </w:r>
      <w:r>
        <w:tab/>
        <w:t>Current applications</w:t>
      </w:r>
      <w:r>
        <w:tab/>
      </w:r>
      <w:r>
        <w:fldChar w:fldCharType="begin"/>
      </w:r>
      <w:r>
        <w:instrText xml:space="preserve"> PAGEREF _Toc423530760 \h </w:instrText>
      </w:r>
      <w:r>
        <w:fldChar w:fldCharType="separate"/>
      </w:r>
      <w:r>
        <w:t>309</w:t>
      </w:r>
      <w:r>
        <w:fldChar w:fldCharType="end"/>
      </w:r>
    </w:p>
    <w:p>
      <w:pPr>
        <w:pStyle w:val="TOC2"/>
        <w:tabs>
          <w:tab w:val="right" w:leader="dot" w:pos="7077"/>
        </w:tabs>
        <w:rPr>
          <w:rFonts w:asciiTheme="minorHAnsi" w:eastAsiaTheme="minorEastAsia" w:hAnsiTheme="minorHAnsi" w:cstheme="minorBidi"/>
          <w:b w:val="0"/>
          <w:sz w:val="22"/>
          <w:szCs w:val="22"/>
        </w:rPr>
      </w:pPr>
      <w:r>
        <w:t>Schedule 2 — Unincorporated clubs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Anzac Club</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_Toc423530763 \h </w:instrText>
      </w:r>
      <w:r>
        <w:fldChar w:fldCharType="separate"/>
      </w:r>
      <w:r>
        <w:t>310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Anzac Club</w:t>
      </w:r>
      <w:r>
        <w:tab/>
      </w:r>
      <w:r>
        <w:fldChar w:fldCharType="begin"/>
      </w:r>
      <w:r>
        <w:instrText xml:space="preserve"> PAGEREF _Toc423530764 \h </w:instrText>
      </w:r>
      <w:r>
        <w:fldChar w:fldCharType="separate"/>
      </w:r>
      <w:r>
        <w:t>310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The Air Force Association Club</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_Toc423530766 \h </w:instrText>
      </w:r>
      <w:r>
        <w:fldChar w:fldCharType="separate"/>
      </w:r>
      <w:r>
        <w:t>312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Air Force Association (Western Australia Division) Club</w:t>
      </w:r>
      <w:r>
        <w:tab/>
      </w:r>
      <w:r>
        <w:fldChar w:fldCharType="begin"/>
      </w:r>
      <w:r>
        <w:instrText xml:space="preserve"> PAGEREF _Toc423530767 \h </w:instrText>
      </w:r>
      <w:r>
        <w:fldChar w:fldCharType="separate"/>
      </w:r>
      <w:r>
        <w:t>312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_Toc423530769 \h </w:instrText>
      </w:r>
      <w:r>
        <w:fldChar w:fldCharType="separate"/>
      </w:r>
      <w:r>
        <w:t>314</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_Toc423530770 \h </w:instrText>
      </w:r>
      <w:r>
        <w:fldChar w:fldCharType="separate"/>
      </w:r>
      <w:r>
        <w:t>318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after="840"/>
      </w:pPr>
      <w:r>
        <w:t>Liquor Control Act 1988</w:t>
      </w:r>
    </w:p>
    <w:p>
      <w:pPr>
        <w:pStyle w:val="LongTitle"/>
        <w:rPr>
          <w:snapToGrid w:val="0"/>
        </w:rPr>
      </w:pPr>
      <w:r>
        <w:rPr>
          <w:snapToGrid w:val="0"/>
        </w:rPr>
        <w:t>An Act to regulate the sale, supply and consumption of liquor, the use of premises on which liquor is sold, and the services and facilities provided in conjunction with or ancillary to the sale of liquor, to minimise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2</w:t>
      </w:r>
      <w:r>
        <w:rPr>
          <w:snapToGrid w:val="0"/>
        </w:rPr>
        <w:t>, and for related matters.</w:t>
      </w:r>
    </w:p>
    <w:p>
      <w:pPr>
        <w:pStyle w:val="Footnotelongtitle"/>
      </w:pPr>
      <w:r>
        <w:tab/>
        <w:t xml:space="preserve">[Long title amended by No. 12 of 1998 s. 4 (correction in Gazette 31 Jul 1998 p. 3942); No. 73 of 2006 s. 4.] </w:t>
      </w:r>
    </w:p>
    <w:p>
      <w:pPr>
        <w:pStyle w:val="Heading2"/>
      </w:pPr>
      <w:bookmarkStart w:id="3" w:name="_Toc377388777"/>
      <w:bookmarkStart w:id="4" w:name="_Toc406079988"/>
      <w:bookmarkStart w:id="5" w:name="_Toc416875975"/>
      <w:bookmarkStart w:id="6" w:name="_Toc416876329"/>
      <w:bookmarkStart w:id="7" w:name="_Toc417973011"/>
      <w:bookmarkStart w:id="8" w:name="_Toc423530417"/>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r>
        <w:rPr>
          <w:rStyle w:val="CharPartText"/>
        </w:rPr>
        <w:t xml:space="preserve"> </w:t>
      </w:r>
    </w:p>
    <w:p>
      <w:pPr>
        <w:pStyle w:val="Heading5"/>
        <w:rPr>
          <w:snapToGrid w:val="0"/>
        </w:rPr>
      </w:pPr>
      <w:bookmarkStart w:id="9" w:name="_Toc406079989"/>
      <w:bookmarkStart w:id="10" w:name="_Toc423530418"/>
      <w:r>
        <w:rPr>
          <w:rStyle w:val="CharSectno"/>
        </w:rPr>
        <w:t>1</w:t>
      </w:r>
      <w:r>
        <w:rPr>
          <w:snapToGrid w:val="0"/>
        </w:rPr>
        <w:t>.</w:t>
      </w:r>
      <w:r>
        <w:rPr>
          <w:snapToGrid w:val="0"/>
        </w:rPr>
        <w:tab/>
        <w:t>Short title</w:t>
      </w:r>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 xml:space="preserve"> </w:t>
      </w:r>
      <w:r>
        <w:rPr>
          <w:snapToGrid w:val="0"/>
          <w:vertAlign w:val="superscript"/>
        </w:rPr>
        <w:t>1</w:t>
      </w:r>
      <w:r>
        <w:rPr>
          <w:snapToGrid w:val="0"/>
        </w:rPr>
        <w:t>.</w:t>
      </w:r>
    </w:p>
    <w:p>
      <w:pPr>
        <w:pStyle w:val="Footnotesection"/>
      </w:pPr>
      <w:r>
        <w:tab/>
        <w:t>[Section 1 amended by No. 73 of 2006 s. 5.]</w:t>
      </w:r>
    </w:p>
    <w:p>
      <w:pPr>
        <w:pStyle w:val="Heading5"/>
        <w:rPr>
          <w:snapToGrid w:val="0"/>
        </w:rPr>
      </w:pPr>
      <w:bookmarkStart w:id="11" w:name="_Toc406079990"/>
      <w:bookmarkStart w:id="12" w:name="_Toc423530419"/>
      <w:r>
        <w:rPr>
          <w:rStyle w:val="CharSectno"/>
        </w:rPr>
        <w:t>2</w:t>
      </w:r>
      <w:r>
        <w:rPr>
          <w:snapToGrid w:val="0"/>
        </w:rPr>
        <w:t>.</w:t>
      </w:r>
      <w:r>
        <w:rPr>
          <w:snapToGrid w:val="0"/>
        </w:rPr>
        <w:tab/>
        <w:t>Commencement</w:t>
      </w:r>
      <w:bookmarkEnd w:id="11"/>
      <w:bookmarkEnd w:id="12"/>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13" w:name="_Toc406079991"/>
      <w:bookmarkStart w:id="14" w:name="_Toc423530420"/>
      <w:r>
        <w:rPr>
          <w:rStyle w:val="CharSectno"/>
        </w:rPr>
        <w:t>3</w:t>
      </w:r>
      <w:r>
        <w:rPr>
          <w:snapToGrid w:val="0"/>
        </w:rPr>
        <w:t>.</w:t>
      </w:r>
      <w:r>
        <w:rPr>
          <w:snapToGrid w:val="0"/>
        </w:rPr>
        <w:tab/>
        <w:t>Terms used</w:t>
      </w:r>
      <w:bookmarkEnd w:id="13"/>
      <w:bookmarkEnd w:id="1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approved restricted manager</w:t>
      </w:r>
      <w:r>
        <w:t xml:space="preserve"> means a person approved under section 102B(1)(b);</w:t>
      </w:r>
    </w:p>
    <w:p>
      <w:pPr>
        <w:pStyle w:val="Defstart"/>
      </w:pPr>
      <w:r>
        <w:tab/>
      </w:r>
      <w:r>
        <w:rPr>
          <w:rStyle w:val="CharDefText"/>
        </w:rPr>
        <w:t>approved unrestricted manager</w:t>
      </w:r>
      <w:r>
        <w:t xml:space="preserve"> means a person approved under section 102B(1)(a);</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 or</w:t>
      </w:r>
    </w:p>
    <w:p>
      <w:pPr>
        <w:pStyle w:val="Defpara"/>
      </w:pPr>
      <w:r>
        <w:tab/>
        <w:t>(b)</w:t>
      </w:r>
      <w:r>
        <w:tab/>
        <w:t>an inspector appointed under section 14(1)(a); or</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closing time</w:t>
      </w:r>
      <w:r>
        <w:t>, in relation to any part of licensed premises, means the latest time at which liquor is authorised to be sold in that part in any period of permitted hours, to a person other than a lodger;</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in relation to a body corporate, includes — </w:t>
      </w:r>
    </w:p>
    <w:p>
      <w:pPr>
        <w:pStyle w:val="Defpara"/>
      </w:pPr>
      <w:r>
        <w:tab/>
        <w:t>(a)</w:t>
      </w:r>
      <w:r>
        <w:tab/>
        <w:t>a member of the board or committee of management of the body corporate; and</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rPr>
          <w:b/>
        </w:rPr>
      </w:pPr>
      <w:r>
        <w:tab/>
        <w:t>(c)</w:t>
      </w:r>
      <w:r>
        <w:tab/>
        <w:t>any person in accordance with whose directions or instructions directors of the body corporate are accustomed to act;</w:t>
      </w:r>
    </w:p>
    <w:p>
      <w:pPr>
        <w:pStyle w:val="Defstart"/>
      </w:pPr>
      <w:r>
        <w:tab/>
      </w:r>
      <w:r>
        <w:rPr>
          <w:rStyle w:val="CharDefText"/>
        </w:rPr>
        <w:t>Director</w:t>
      </w:r>
      <w:r>
        <w:t xml:space="preserve"> or </w:t>
      </w:r>
      <w:r>
        <w:rPr>
          <w:rStyle w:val="CharDefText"/>
        </w:rPr>
        <w:t>Director of Liquor Licensing</w:t>
      </w:r>
      <w:r>
        <w:t xml:space="preserve"> means the chief executive officer of the department of the Public Service principally assisting in the administration of this Act;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function</w:t>
      </w:r>
      <w:r>
        <w:t xml:space="preserve"> means a gathering, occasion or event (including a sporting contest, show, exhibition, trade or other fair, or reception) at which it is proposed that liquor be sold or supplied to those present;</w:t>
      </w:r>
    </w:p>
    <w:p>
      <w:pPr>
        <w:pStyle w:val="Defstart"/>
      </w:pPr>
      <w: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tavern restricted licence or as a small bar licence;</w:t>
      </w:r>
    </w:p>
    <w:p>
      <w:pPr>
        <w:pStyle w:val="Defstart"/>
      </w:pPr>
      <w:r>
        <w:rPr>
          <w:b/>
        </w:rPr>
        <w:tab/>
      </w:r>
      <w:r>
        <w:rPr>
          <w:rStyle w:val="CharDefText"/>
        </w:rPr>
        <w:t>hotel restricted licence</w:t>
      </w:r>
      <w:r>
        <w:t xml:space="preserve"> means a hotel licence of the kind referred to in section 41(1)(b);</w:t>
      </w:r>
    </w:p>
    <w:p>
      <w:pPr>
        <w:pStyle w:val="Defstart"/>
      </w:pPr>
      <w:r>
        <w:rPr>
          <w:b/>
        </w:rPr>
        <w:tab/>
      </w:r>
      <w:r>
        <w:rPr>
          <w:rStyle w:val="CharDefText"/>
        </w:rPr>
        <w:t>inspector</w:t>
      </w:r>
      <w:r>
        <w:t xml:space="preserve"> means an inspector of licensed premises appointed pursuant to section 14;</w:t>
      </w:r>
    </w:p>
    <w:p>
      <w:pPr>
        <w:pStyle w:val="Defstart"/>
      </w:pPr>
      <w:r>
        <w:rPr>
          <w:b/>
        </w:rPr>
        <w:tab/>
      </w:r>
      <w:r>
        <w:rPr>
          <w:rStyle w:val="CharDefText"/>
        </w:rPr>
        <w:t>interest of the community</w:t>
      </w:r>
      <w:r>
        <w:t>, in relation to an area, includes the interest of the community in the protection of the amenity of the area;</w:t>
      </w:r>
    </w:p>
    <w:p>
      <w:pPr>
        <w:pStyle w:val="Defstart"/>
      </w:pPr>
      <w:r>
        <w:rPr>
          <w:b/>
        </w:rPr>
        <w:tab/>
      </w:r>
      <w:r>
        <w:rPr>
          <w:rStyle w:val="CharDefText"/>
        </w:rPr>
        <w:t>juvenile</w:t>
      </w:r>
      <w:r>
        <w:t xml:space="preserve"> means a person under the age of 18 years;</w:t>
      </w:r>
    </w:p>
    <w:p>
      <w:pPr>
        <w:pStyle w:val="Defstart"/>
      </w:pPr>
      <w:r>
        <w:tab/>
      </w:r>
      <w:r>
        <w:rPr>
          <w:rStyle w:val="CharDefText"/>
        </w:rPr>
        <w:t>kind</w:t>
      </w:r>
      <w:r>
        <w:t>,</w:t>
      </w:r>
      <w:r>
        <w:rPr>
          <w:b/>
          <w:i/>
        </w:rPr>
        <w:t xml:space="preserve"> </w:t>
      </w:r>
      <w:r>
        <w:t>in relation to liquor, means one of the following kinds — </w:t>
      </w:r>
    </w:p>
    <w:p>
      <w:pPr>
        <w:pStyle w:val="Defpara"/>
      </w:pPr>
      <w:r>
        <w:tab/>
        <w:t>(a)</w:t>
      </w:r>
      <w:r>
        <w:tab/>
        <w:t>wine made from grapes; or</w:t>
      </w:r>
    </w:p>
    <w:p>
      <w:pPr>
        <w:pStyle w:val="Defpara"/>
      </w:pPr>
      <w:r>
        <w:tab/>
        <w:t>(b)</w:t>
      </w:r>
      <w:r>
        <w:tab/>
        <w:t>wine not made from grapes; or</w:t>
      </w:r>
    </w:p>
    <w:p>
      <w:pPr>
        <w:pStyle w:val="Defpara"/>
      </w:pPr>
      <w:r>
        <w:tab/>
        <w:t>(c)</w:t>
      </w:r>
      <w:r>
        <w:tab/>
        <w:t>spirits; or</w:t>
      </w:r>
    </w:p>
    <w:p>
      <w:pPr>
        <w:pStyle w:val="Defpara"/>
      </w:pPr>
      <w:r>
        <w:tab/>
        <w:t>(d)</w:t>
      </w:r>
      <w:r>
        <w:tab/>
        <w:t>beer; or</w:t>
      </w:r>
    </w:p>
    <w:p>
      <w:pPr>
        <w:pStyle w:val="Defpara"/>
      </w:pPr>
      <w:r>
        <w:tab/>
        <w:t>(e)</w:t>
      </w:r>
      <w:r>
        <w:tab/>
        <w:t>any other kind prescribed;</w:t>
      </w:r>
    </w:p>
    <w:p>
      <w:pPr>
        <w:pStyle w:val="Defstart"/>
      </w:pPr>
      <w:r>
        <w:rPr>
          <w:i/>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keepNex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keepNex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 and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rPr>
          <w:b/>
        </w:rPr>
        <w:tab/>
      </w:r>
      <w:r>
        <w:rPr>
          <w:rStyle w:val="CharDefText"/>
        </w:rPr>
        <w:t>low alcohol liquor</w:t>
      </w:r>
      <w:r>
        <w:t xml:space="preserve"> means liquor in which the concentration of ethanol does not exceed a prescribed level;</w:t>
      </w:r>
    </w:p>
    <w:p>
      <w:pPr>
        <w:pStyle w:val="Defstart"/>
      </w:pPr>
      <w:r>
        <w:tab/>
      </w:r>
      <w:r>
        <w:rPr>
          <w:rStyle w:val="CharDefText"/>
        </w:rPr>
        <w:t>manager</w:t>
      </w:r>
      <w:r>
        <w:t>, in relation to licensed premises, means —</w:t>
      </w:r>
    </w:p>
    <w:p>
      <w:pPr>
        <w:pStyle w:val="Defpara"/>
      </w:pPr>
      <w:r>
        <w:tab/>
        <w:t>(a)</w:t>
      </w:r>
      <w:r>
        <w:tab/>
        <w:t>an approved unrestricted manager or approved restricted manager appointed by the licensee of the premises to supervise and manage the premises; or</w:t>
      </w:r>
    </w:p>
    <w:p>
      <w:pPr>
        <w:pStyle w:val="Defpara"/>
      </w:pPr>
      <w:r>
        <w:tab/>
        <w:t>(b)</w:t>
      </w:r>
      <w:r>
        <w:tab/>
        <w:t>a person appointed by the licensee of the premises in accordance with section 100(3) to act as a temporary manager of the premises;</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not to be a meal;</w:t>
      </w:r>
    </w:p>
    <w:p>
      <w:pPr>
        <w:pStyle w:val="Defstart"/>
      </w:pPr>
      <w:r>
        <w:rPr>
          <w:b/>
        </w:rPr>
        <w:tab/>
      </w:r>
      <w:r>
        <w:rPr>
          <w:rStyle w:val="CharDefText"/>
        </w:rPr>
        <w:t>member</w:t>
      </w:r>
      <w:r>
        <w:t>, in relation to a club, includes a person who is a member of the club by reason of reciprocal arrangements with another club made in accordance with regulations referred to in section 49(3)(c)(iv) and rules approved, or deemed to have been approved, by the Director;</w:t>
      </w:r>
    </w:p>
    <w:p>
      <w:pPr>
        <w:pStyle w:val="Defstart"/>
      </w:pPr>
      <w:r>
        <w:rPr>
          <w:b/>
        </w:rPr>
        <w:tab/>
      </w:r>
      <w:r>
        <w:rPr>
          <w:rStyle w:val="CharDefText"/>
        </w:rPr>
        <w:t>member</w:t>
      </w:r>
      <w:r>
        <w:t>, in relation to the Commission,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part of the State that was, as at 1 June 1988, described in the Third Schedule to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3</w:t>
      </w:r>
      <w:r>
        <w:t>;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 or</w:t>
      </w:r>
    </w:p>
    <w:p>
      <w:pPr>
        <w:pStyle w:val="Defpara"/>
      </w:pPr>
      <w:r>
        <w:tab/>
        <w:t>(b)</w:t>
      </w:r>
      <w:r>
        <w:tab/>
        <w:t>who would be so entitled if the premises were let at a rent; or</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keepLines/>
      </w:pPr>
      <w:r>
        <w:rPr>
          <w:b/>
        </w:rPr>
        <w:tab/>
      </w:r>
      <w:r>
        <w:rPr>
          <w:rStyle w:val="CharDefText"/>
        </w:rPr>
        <w:t>party to proceedings</w:t>
      </w:r>
      <w:r>
        <w:t xml:space="preserve"> includes an objector and, except in relation to any review of a determination made by the Director or any appeal in which that person is not a respondent, an intervenor;</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keepNext/>
      </w:pPr>
      <w:r>
        <w:rPr>
          <w:b/>
        </w:rPr>
        <w:tab/>
      </w:r>
      <w:r>
        <w:rPr>
          <w:rStyle w:val="CharDefText"/>
        </w:rPr>
        <w:t>person authorised to sell liquor</w:t>
      </w:r>
      <w:r>
        <w:t xml:space="preserve"> means — </w:t>
      </w:r>
    </w:p>
    <w:p>
      <w:pPr>
        <w:pStyle w:val="Defpara"/>
      </w:pPr>
      <w:r>
        <w:tab/>
        <w:t>(a)</w:t>
      </w:r>
      <w:r>
        <w:tab/>
        <w:t>a licensee; or</w:t>
      </w:r>
    </w:p>
    <w:p>
      <w:pPr>
        <w:pStyle w:val="Defpara"/>
        <w:keepNext/>
      </w:pPr>
      <w:r>
        <w:tab/>
        <w:t>(b)</w:t>
      </w:r>
      <w:r>
        <w:tab/>
        <w:t>a person authorised under — </w:t>
      </w:r>
    </w:p>
    <w:p>
      <w:pPr>
        <w:pStyle w:val="Defsubpara"/>
      </w:pPr>
      <w:r>
        <w:tab/>
        <w:t>(i)</w:t>
      </w:r>
      <w:r>
        <w:tab/>
        <w:t>any other law of the State; or</w:t>
      </w:r>
    </w:p>
    <w:p>
      <w:pPr>
        <w:pStyle w:val="Defsubpara"/>
      </w:pPr>
      <w:r>
        <w:tab/>
        <w:t>(ii)</w:t>
      </w:r>
      <w:r>
        <w:tab/>
        <w:t>the law of another State, or of a Territory or of the Commonwealth,</w:t>
      </w:r>
    </w:p>
    <w:p>
      <w:pPr>
        <w:pStyle w:val="Defpara"/>
      </w:pPr>
      <w:r>
        <w:tab/>
      </w:r>
      <w:r>
        <w:tab/>
        <w:t>to sell liquor;</w:t>
      </w:r>
    </w:p>
    <w:p>
      <w:pPr>
        <w:pStyle w:val="Defstart"/>
      </w:pPr>
      <w:r>
        <w:rPr>
          <w:b/>
        </w:rPr>
        <w:tab/>
      </w:r>
      <w:r>
        <w:rPr>
          <w:rStyle w:val="CharDefText"/>
        </w:rPr>
        <w:t>premises</w:t>
      </w:r>
      <w:r>
        <w:t xml:space="preserve"> includes — </w:t>
      </w:r>
    </w:p>
    <w:p>
      <w:pPr>
        <w:pStyle w:val="Defpara"/>
      </w:pPr>
      <w:r>
        <w:tab/>
        <w:t>(a)</w:t>
      </w:r>
      <w:r>
        <w:tab/>
        <w:t>land; or</w:t>
      </w:r>
    </w:p>
    <w:p>
      <w:pPr>
        <w:pStyle w:val="Defpara"/>
      </w:pPr>
      <w:r>
        <w:tab/>
        <w:t>(b)</w:t>
      </w:r>
      <w:r>
        <w:tab/>
        <w:t>a vehicle; or</w:t>
      </w:r>
    </w:p>
    <w:p>
      <w:pPr>
        <w:pStyle w:val="Defpara"/>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tab/>
      </w:r>
      <w:r>
        <w:rPr>
          <w:rStyle w:val="CharDefText"/>
        </w:rPr>
        <w:t>prescribed</w:t>
      </w:r>
      <w:r>
        <w:t xml:space="preserve"> means prescribed in regulations under section 175;</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protection order</w:t>
      </w:r>
      <w:r>
        <w:t xml:space="preserve"> means an order made under section 87 or 89;</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 and</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r>
      <w:r>
        <w:rPr>
          <w:rStyle w:val="CharDefText"/>
        </w:rPr>
        <w:t>regulated premises</w:t>
      </w:r>
      <w:r>
        <w:t xml:space="preserve"> means premises to which section 122 applies;</w:t>
      </w:r>
    </w:p>
    <w:p>
      <w:pPr>
        <w:pStyle w:val="Defstart"/>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relative</w:t>
      </w:r>
      <w:r>
        <w:t>, in relation to a licensee, includes a de facto partner of the licensee;</w:t>
      </w:r>
    </w:p>
    <w:p>
      <w:pPr>
        <w:pStyle w:val="Defstart"/>
      </w:pPr>
      <w:r>
        <w:rPr>
          <w:b/>
        </w:rPr>
        <w:tab/>
      </w:r>
      <w:r>
        <w:rPr>
          <w:rStyle w:val="CharDefText"/>
        </w:rPr>
        <w:t>removal</w:t>
      </w:r>
      <w:r>
        <w:t>, in relation to a licence, has the meaning assigned by section 31(1)(b);</w:t>
      </w:r>
    </w:p>
    <w:p>
      <w:pPr>
        <w:pStyle w:val="Defstart"/>
      </w:pPr>
      <w:r>
        <w:tab/>
      </w:r>
      <w:r>
        <w:rPr>
          <w:rStyle w:val="CharDefText"/>
        </w:rPr>
        <w:t>responsible person</w:t>
      </w:r>
      <w:r>
        <w:t>, in relation to licensed premises, means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w:t>
      </w:r>
    </w:p>
    <w:p>
      <w:pPr>
        <w:pStyle w:val="Defstart"/>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pPr>
      <w:r>
        <w:rPr>
          <w:b/>
        </w:rPr>
        <w:tab/>
      </w:r>
      <w:r>
        <w:rPr>
          <w:rStyle w:val="CharDefText"/>
        </w:rPr>
        <w:t>restaurant licence</w:t>
      </w:r>
      <w:r>
        <w:t xml:space="preserve"> means a licence granted under section 50;</w:t>
      </w:r>
    </w:p>
    <w:p>
      <w:pPr>
        <w:pStyle w:val="Defstart"/>
      </w:pPr>
      <w:r>
        <w:rPr>
          <w:b/>
        </w:rPr>
        <w:tab/>
      </w:r>
      <w:r>
        <w:rPr>
          <w:rStyle w:val="CharDefText"/>
        </w:rPr>
        <w:t>sample</w:t>
      </w:r>
      <w:r>
        <w:t>, in relation to a type of liquor, means the prescribed quantity of that type of liquor;</w:t>
      </w:r>
    </w:p>
    <w:p>
      <w:pPr>
        <w:pStyle w:val="Defstart"/>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pPr>
      <w:r>
        <w:rPr>
          <w:b/>
        </w:rPr>
        <w:tab/>
      </w:r>
      <w:r>
        <w:rPr>
          <w:rStyle w:val="CharDefText"/>
        </w:rPr>
        <w:t>sell</w:t>
      </w:r>
      <w:r>
        <w:t>, in relation to liquor, includes — </w:t>
      </w:r>
    </w:p>
    <w:p>
      <w:pPr>
        <w:pStyle w:val="Defpara"/>
      </w:pPr>
      <w:r>
        <w:tab/>
        <w:t>(a)</w:t>
      </w:r>
      <w:r>
        <w:tab/>
        <w:t>agree or attempt to sell; or</w:t>
      </w:r>
    </w:p>
    <w:p>
      <w:pPr>
        <w:pStyle w:val="Defpara"/>
      </w:pPr>
      <w:r>
        <w:tab/>
        <w:t>(b)</w:t>
      </w:r>
      <w:r>
        <w:tab/>
        <w:t>offer or expose for the purpose of selling; or</w:t>
      </w:r>
    </w:p>
    <w:p>
      <w:pPr>
        <w:pStyle w:val="Defpara"/>
      </w:pPr>
      <w:r>
        <w:tab/>
        <w:t>(c)</w:t>
      </w:r>
      <w:r>
        <w:tab/>
        <w:t>send, forward or deliver for sale or on sale; or</w:t>
      </w:r>
    </w:p>
    <w:p>
      <w:pPr>
        <w:pStyle w:val="Defpara"/>
        <w:keepNext/>
      </w:pPr>
      <w:r>
        <w:tab/>
        <w:t>(d)</w:t>
      </w:r>
      <w:r>
        <w:tab/>
        <w:t>barter or exchange; or</w:t>
      </w:r>
    </w:p>
    <w:p>
      <w:pPr>
        <w:pStyle w:val="Defpara"/>
      </w:pPr>
      <w:r>
        <w:tab/>
        <w:t>(e)</w:t>
      </w:r>
      <w:r>
        <w:tab/>
        <w:t>dispose, by lot or chance or by auction; or</w:t>
      </w:r>
    </w:p>
    <w:p>
      <w:pPr>
        <w:pStyle w:val="Defpara"/>
        <w:keepNext/>
      </w:pPr>
      <w:r>
        <w:tab/>
        <w:t>(f)</w:t>
      </w:r>
      <w:r>
        <w:tab/>
        <w:t>supply, or offer, agree or attempt to supply — </w:t>
      </w:r>
    </w:p>
    <w:p>
      <w:pPr>
        <w:pStyle w:val="Defsubpara"/>
      </w:pPr>
      <w:r>
        <w:tab/>
        <w:t>(i)</w:t>
      </w:r>
      <w:r>
        <w:tab/>
        <w:t>in circumstances in which the supplier derives, or would be likely to derive, a direct or indirect pecuniary benefit; or</w:t>
      </w:r>
    </w:p>
    <w:p>
      <w:pPr>
        <w:pStyle w:val="Defsubpara"/>
      </w:pPr>
      <w:r>
        <w:tab/>
        <w:t>(ii)</w:t>
      </w:r>
      <w: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rPr>
          <w:b/>
        </w:rPr>
        <w:tab/>
      </w:r>
      <w:r>
        <w:rPr>
          <w:rStyle w:val="CharDefText"/>
        </w:rPr>
        <w:t>small bar licence</w:t>
      </w:r>
      <w:r>
        <w:t xml:space="preserve"> means a hotel licence of the kind referred to in section 41(1aa);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r>
        <w:rPr>
          <w:b/>
          <w:bCs/>
          <w:i/>
          <w:iCs/>
        </w:rPr>
        <w:t>liquor</w:t>
      </w:r>
      <w:r>
        <w:t>, includes a vapour;</w:t>
      </w:r>
    </w:p>
    <w:p>
      <w:pPr>
        <w:pStyle w:val="Defstart"/>
      </w:pPr>
      <w:r>
        <w:rPr>
          <w:b/>
        </w:rPr>
        <w:tab/>
      </w:r>
      <w:r>
        <w:rPr>
          <w:rStyle w:val="CharDefText"/>
        </w:rPr>
        <w:t>tavern licence</w:t>
      </w:r>
      <w:r>
        <w:t xml:space="preserve"> means a hotel licence of the kind referred to in section 41(1)(a);</w:t>
      </w:r>
    </w:p>
    <w:p>
      <w:pPr>
        <w:pStyle w:val="Defstart"/>
      </w:pPr>
      <w:r>
        <w:tab/>
      </w:r>
      <w:r>
        <w:rPr>
          <w:rStyle w:val="CharDefText"/>
        </w:rPr>
        <w:t>tavern restricted licence</w:t>
      </w:r>
      <w:r>
        <w:t xml:space="preserve"> means a hotel licence of the kind referred to in section 41(1)(c);</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keepNex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pPr>
      <w:r>
        <w:rPr>
          <w:b/>
        </w:rPr>
        <w:tab/>
      </w:r>
      <w:r>
        <w:rPr>
          <w:rStyle w:val="CharDefText"/>
        </w:rPr>
        <w:t>wine</w:t>
      </w:r>
      <w:r>
        <w:t xml:space="preserve"> includes — </w:t>
      </w:r>
    </w:p>
    <w:p>
      <w:pPr>
        <w:pStyle w:val="Defpara"/>
      </w:pPr>
      <w:r>
        <w:tab/>
        <w:t>(a)</w:t>
      </w:r>
      <w:r>
        <w:tab/>
        <w:t>liquor of the type known as mead, cider, cyser, or perry; or</w:t>
      </w:r>
    </w:p>
    <w:p>
      <w:pPr>
        <w:pStyle w:val="Defpara"/>
      </w:pPr>
      <w:r>
        <w:tab/>
        <w:t>(b)</w:t>
      </w:r>
      <w:r>
        <w:tab/>
        <w:t>liquor obtained from the alcoholic fermentation of grapes or the must of grapes; or</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 or</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tab/>
        <w:t>(d)</w:t>
      </w:r>
      <w:r>
        <w:tab/>
        <w:t>occupies a position, in relation to the body corporate, prescribed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keepNext/>
        <w:keepLines/>
      </w:pPr>
      <w:r>
        <w:tab/>
        <w:t>(7)</w:t>
      </w:r>
      <w:r>
        <w:tab/>
        <w:t xml:space="preserve">In the definitions of </w:t>
      </w:r>
      <w:r>
        <w:rPr>
          <w:b/>
          <w:i/>
        </w:rPr>
        <w:t>authorised person</w:t>
      </w:r>
      <w:r>
        <w:t xml:space="preserve"> and </w:t>
      </w:r>
      <w:r>
        <w:rPr>
          <w:b/>
          <w:i/>
        </w:rPr>
        <w:t>responsible person</w:t>
      </w:r>
      <w:r>
        <w:t xml:space="preserve"> in subsection (1) — </w:t>
      </w:r>
    </w:p>
    <w:p>
      <w:pPr>
        <w:pStyle w:val="Defstart"/>
        <w:keepNext/>
      </w:pPr>
      <w:r>
        <w:rPr>
          <w:b/>
        </w:rPr>
        <w:tab/>
      </w:r>
      <w:r>
        <w:rPr>
          <w:rStyle w:val="CharDefText"/>
        </w:rPr>
        <w:t>employee</w:t>
      </w:r>
      <w:r>
        <w:t xml:space="preserve"> includes — </w:t>
      </w:r>
    </w:p>
    <w:p>
      <w:pPr>
        <w:pStyle w:val="Defpara"/>
      </w:pPr>
      <w:r>
        <w:tab/>
        <w:t>(a)</w:t>
      </w:r>
      <w:r>
        <w:tab/>
        <w:t>a person engaged under a contract for services by the licensee or occupier or a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ind w:left="890" w:hanging="890"/>
      </w:pPr>
      <w:r>
        <w:tab/>
        <w:t>[Section 3 amended by No. 56 of 1997 s. 26(1), (2) and (3); No. 12 of 1998 s. 5 and 70(5); No. 23 of 2000 s. 4; No. 27 of 2000 s. 9; No. 10 of 2001 s. 220; No. 28 of 2003 s. 105; No. 35 of 2003 s. 173(2); No. 73 of 2006 s. 6 and 106; No. 21 of 2008 s. 675(2); No. 56 of 2010 s. 4, 25, 27 and 35</w:t>
      </w:r>
      <w:r>
        <w:rPr>
          <w:spacing w:val="-4"/>
        </w:rPr>
        <w:t>; No. 47 of 2011 s. 27</w:t>
      </w:r>
      <w:r>
        <w:t xml:space="preserve">.] </w:t>
      </w:r>
    </w:p>
    <w:p>
      <w:pPr>
        <w:pStyle w:val="Heading5"/>
      </w:pPr>
      <w:bookmarkStart w:id="15" w:name="_Toc406079992"/>
      <w:bookmarkStart w:id="16" w:name="_Toc423530421"/>
      <w:r>
        <w:rPr>
          <w:rStyle w:val="CharSectno"/>
        </w:rPr>
        <w:t>3A</w:t>
      </w:r>
      <w:r>
        <w:t>.</w:t>
      </w:r>
      <w:r>
        <w:tab/>
        <w:t>Term used: drunk</w:t>
      </w:r>
      <w:bookmarkEnd w:id="15"/>
      <w:bookmarkEnd w:id="16"/>
    </w:p>
    <w:p>
      <w:pPr>
        <w:pStyle w:val="Subsection"/>
        <w:spacing w:before="18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80"/>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by No. 73 of 2006 s. 7.]</w:t>
      </w:r>
    </w:p>
    <w:p>
      <w:pPr>
        <w:pStyle w:val="Heading5"/>
        <w:spacing w:before="240"/>
        <w:rPr>
          <w:snapToGrid w:val="0"/>
        </w:rPr>
      </w:pPr>
      <w:bookmarkStart w:id="17" w:name="_Toc406079993"/>
      <w:bookmarkStart w:id="18" w:name="_Toc423530422"/>
      <w:r>
        <w:rPr>
          <w:rStyle w:val="CharSectno"/>
        </w:rPr>
        <w:t>4</w:t>
      </w:r>
      <w:r>
        <w:rPr>
          <w:snapToGrid w:val="0"/>
        </w:rPr>
        <w:t>.</w:t>
      </w:r>
      <w:r>
        <w:rPr>
          <w:snapToGrid w:val="0"/>
        </w:rPr>
        <w:tab/>
        <w:t>Storing and receiving liquor for licensed premises at other premises; records to be kept</w:t>
      </w:r>
      <w:bookmarkEnd w:id="17"/>
      <w:bookmarkEnd w:id="18"/>
    </w:p>
    <w:p>
      <w:pPr>
        <w:pStyle w:val="Ednotesubsection"/>
        <w:keepNext/>
        <w:keepLines/>
        <w:spacing w:before="180"/>
      </w:pPr>
      <w:r>
        <w:tab/>
        <w:t>[(1)</w:t>
      </w:r>
      <w:r>
        <w:noBreakHyphen/>
        <w:t>(4)</w:t>
      </w:r>
      <w:r>
        <w:tab/>
        <w:t>deleted]</w:t>
      </w:r>
    </w:p>
    <w:p>
      <w:pPr>
        <w:pStyle w:val="Subsection"/>
        <w:spacing w:before="18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spacing w:before="60"/>
        <w:rPr>
          <w:snapToGrid w:val="0"/>
        </w:rPr>
      </w:pPr>
      <w:r>
        <w:rPr>
          <w:snapToGrid w:val="0"/>
        </w:rPr>
        <w:tab/>
        <w:t>(a)</w:t>
      </w:r>
      <w:r>
        <w:rPr>
          <w:snapToGrid w:val="0"/>
        </w:rPr>
        <w:tab/>
        <w:t>whenever a delivery of liquor by the licensee was effected otherwise than at the licensed premises; and</w:t>
      </w:r>
    </w:p>
    <w:p>
      <w:pPr>
        <w:pStyle w:val="Indenta"/>
        <w:spacing w:before="60"/>
        <w:rPr>
          <w:snapToGrid w:val="0"/>
        </w:rPr>
      </w:pPr>
      <w:r>
        <w:rPr>
          <w:snapToGrid w:val="0"/>
        </w:rPr>
        <w:tab/>
        <w:t>(b)</w:t>
      </w:r>
      <w:r>
        <w:rPr>
          <w:snapToGrid w:val="0"/>
        </w:rPr>
        <w:tab/>
        <w:t>the place at which it was delivered.</w:t>
      </w:r>
    </w:p>
    <w:p>
      <w:pPr>
        <w:pStyle w:val="Footnotesection"/>
        <w:ind w:left="890" w:hanging="890"/>
      </w:pPr>
      <w:r>
        <w:tab/>
        <w:t xml:space="preserve">[Section 4 amended by No. 56 of 1997 s. 27; No. 12 of 1998 s. 6; No. 73 of 2006 s. 8.] </w:t>
      </w:r>
    </w:p>
    <w:p>
      <w:pPr>
        <w:pStyle w:val="Heading5"/>
        <w:rPr>
          <w:snapToGrid w:val="0"/>
        </w:rPr>
      </w:pPr>
      <w:bookmarkStart w:id="19" w:name="_Toc406079994"/>
      <w:bookmarkStart w:id="20" w:name="_Toc423530423"/>
      <w:r>
        <w:rPr>
          <w:rStyle w:val="CharSectno"/>
        </w:rPr>
        <w:t>5</w:t>
      </w:r>
      <w:r>
        <w:rPr>
          <w:snapToGrid w:val="0"/>
        </w:rPr>
        <w:t>.</w:t>
      </w:r>
      <w:r>
        <w:rPr>
          <w:snapToGrid w:val="0"/>
        </w:rPr>
        <w:tab/>
        <w:t>Objects of Act</w:t>
      </w:r>
      <w:bookmarkEnd w:id="19"/>
      <w:bookmarkEnd w:id="20"/>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spacing w:before="60"/>
        <w:rPr>
          <w:snapToGrid w:val="0"/>
        </w:rPr>
      </w:pPr>
      <w:r>
        <w:rPr>
          <w:snapToGrid w:val="0"/>
        </w:rPr>
        <w:tab/>
        <w:t>(a)</w:t>
      </w:r>
      <w:r>
        <w:rPr>
          <w:snapToGrid w:val="0"/>
        </w:rPr>
        <w:tab/>
        <w:t>to regulate the sale, supply and consumption of liquor; and</w:t>
      </w:r>
    </w:p>
    <w:p>
      <w:pPr>
        <w:pStyle w:val="Indenta"/>
        <w:spacing w:before="60"/>
      </w:pPr>
      <w:r>
        <w:rPr>
          <w:snapToGrid w:val="0"/>
        </w:rPr>
        <w:tab/>
        <w:t>(b)</w:t>
      </w:r>
      <w:r>
        <w:rPr>
          <w:snapToGrid w:val="0"/>
        </w:rPr>
        <w:tab/>
        <w:t>to minimise harm or ill</w:t>
      </w:r>
      <w:r>
        <w:rPr>
          <w:snapToGrid w:val="0"/>
        </w:rPr>
        <w:noBreakHyphen/>
        <w:t>health caused to people, or any group of people, due to the use of liquor</w:t>
      </w:r>
      <w:r>
        <w:t>; and</w:t>
      </w:r>
    </w:p>
    <w:p>
      <w:pPr>
        <w:pStyle w:val="Indenta"/>
        <w:spacing w:before="60"/>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by No. 12 of 1998 s. 7; No. 73 of 2006 s. 9.] </w:t>
      </w:r>
    </w:p>
    <w:p>
      <w:pPr>
        <w:pStyle w:val="Heading5"/>
        <w:rPr>
          <w:snapToGrid w:val="0"/>
        </w:rPr>
      </w:pPr>
      <w:bookmarkStart w:id="21" w:name="_Toc406079995"/>
      <w:bookmarkStart w:id="22" w:name="_Toc423530424"/>
      <w:r>
        <w:rPr>
          <w:rStyle w:val="CharSectno"/>
        </w:rPr>
        <w:t>6</w:t>
      </w:r>
      <w:r>
        <w:rPr>
          <w:snapToGrid w:val="0"/>
        </w:rPr>
        <w:t>.</w:t>
      </w:r>
      <w:r>
        <w:rPr>
          <w:snapToGrid w:val="0"/>
        </w:rPr>
        <w:tab/>
        <w:t>Act not to apply in certain cases</w:t>
      </w:r>
      <w:bookmarkEnd w:id="21"/>
      <w:bookmarkEnd w:id="22"/>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 or</w:t>
      </w:r>
    </w:p>
    <w:p>
      <w:pPr>
        <w:pStyle w:val="Indenta"/>
      </w:pPr>
      <w:r>
        <w:tab/>
        <w:t>(b)</w:t>
      </w:r>
      <w:r>
        <w:tab/>
        <w:t xml:space="preserve">where liquor is sold or administered for medicinal purposes — </w:t>
      </w:r>
    </w:p>
    <w:p>
      <w:pPr>
        <w:pStyle w:val="Indenti"/>
      </w:pPr>
      <w:r>
        <w:tab/>
        <w:t>(i)</w:t>
      </w:r>
      <w:r>
        <w:tab/>
        <w:t xml:space="preserve">by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pharmacy profession; or</w:t>
      </w:r>
    </w:p>
    <w:p>
      <w:pPr>
        <w:pStyle w:val="Indenti"/>
      </w:pPr>
      <w:r>
        <w:tab/>
        <w:t>(ii)</w:t>
      </w:r>
      <w:r>
        <w:tab/>
        <w:t xml:space="preserve">by or on the prescription of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 or registered under that Law in the medical profession;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 or</w:t>
      </w:r>
    </w:p>
    <w:p>
      <w:pPr>
        <w:pStyle w:val="Indenta"/>
        <w:rPr>
          <w:snapToGrid w:val="0"/>
        </w:rPr>
      </w:pPr>
      <w:r>
        <w:rPr>
          <w:snapToGrid w:val="0"/>
        </w:rPr>
        <w:tab/>
        <w:t>(d)</w:t>
      </w:r>
      <w:r>
        <w:rPr>
          <w:snapToGrid w:val="0"/>
        </w:rPr>
        <w:tab/>
        <w:t>where liquor is sold or consumed in Parliament House, by permission of the proper authority; or</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 or</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 or</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 or</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 or</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 or</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 or</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 or</w:t>
      </w:r>
    </w:p>
    <w:p>
      <w:pPr>
        <w:pStyle w:val="Indenta"/>
        <w:rPr>
          <w:snapToGrid w:val="0"/>
        </w:rPr>
      </w:pPr>
      <w:r>
        <w:rPr>
          <w:snapToGrid w:val="0"/>
        </w:rPr>
        <w:tab/>
        <w:t>(m)</w:t>
      </w:r>
      <w:r>
        <w:rPr>
          <w:snapToGrid w:val="0"/>
        </w:rPr>
        <w:tab/>
        <w:t>to the sale of distilled spirits in bond, by the occupier of a vineyard to the occupier of another vineyard; or</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 xml:space="preserve">where the </w:t>
      </w:r>
      <w:r>
        <w:t>sale or supply of liquor is to, or the consumption of liquor is by, a person who is at least 18 years of age and that sale, supply or consumption</w:t>
      </w:r>
      <w:r>
        <w:rPr>
          <w:snapToGrid w:val="0"/>
        </w:rPr>
        <w:t xml:space="preserv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by No. 12 of 1998 s. 35(2); No. 31 of 2003 s. 151; No. 35 of 2010 s. 104; No. 56 of 2010 s. 36.] </w:t>
      </w:r>
    </w:p>
    <w:p>
      <w:pPr>
        <w:pStyle w:val="Heading2"/>
      </w:pPr>
      <w:bookmarkStart w:id="23" w:name="_Toc377388785"/>
      <w:bookmarkStart w:id="24" w:name="_Toc406079996"/>
      <w:bookmarkStart w:id="25" w:name="_Toc416875983"/>
      <w:bookmarkStart w:id="26" w:name="_Toc416876337"/>
      <w:bookmarkStart w:id="27" w:name="_Toc417973019"/>
      <w:bookmarkStart w:id="28" w:name="_Toc423530425"/>
      <w:r>
        <w:rPr>
          <w:rStyle w:val="CharPartNo"/>
        </w:rPr>
        <w:t>Part 2</w:t>
      </w:r>
      <w:r>
        <w:t> — </w:t>
      </w:r>
      <w:r>
        <w:rPr>
          <w:rStyle w:val="CharPartText"/>
        </w:rPr>
        <w:t>The licensing authority</w:t>
      </w:r>
      <w:bookmarkEnd w:id="23"/>
      <w:bookmarkEnd w:id="24"/>
      <w:bookmarkEnd w:id="25"/>
      <w:bookmarkEnd w:id="26"/>
      <w:bookmarkEnd w:id="27"/>
      <w:bookmarkEnd w:id="28"/>
      <w:r>
        <w:rPr>
          <w:rStyle w:val="CharPartText"/>
        </w:rPr>
        <w:t xml:space="preserve"> </w:t>
      </w:r>
    </w:p>
    <w:p>
      <w:pPr>
        <w:pStyle w:val="Heading3"/>
        <w:rPr>
          <w:snapToGrid w:val="0"/>
        </w:rPr>
      </w:pPr>
      <w:bookmarkStart w:id="29" w:name="_Toc377388786"/>
      <w:bookmarkStart w:id="30" w:name="_Toc406079997"/>
      <w:bookmarkStart w:id="31" w:name="_Toc416875984"/>
      <w:bookmarkStart w:id="32" w:name="_Toc416876338"/>
      <w:bookmarkStart w:id="33" w:name="_Toc417973020"/>
      <w:bookmarkStart w:id="34" w:name="_Toc423530426"/>
      <w:r>
        <w:rPr>
          <w:rStyle w:val="CharDivNo"/>
        </w:rPr>
        <w:t>Division 1</w:t>
      </w:r>
      <w:r>
        <w:rPr>
          <w:snapToGrid w:val="0"/>
        </w:rPr>
        <w:t> — </w:t>
      </w:r>
      <w:r>
        <w:rPr>
          <w:rStyle w:val="CharDivText"/>
        </w:rPr>
        <w:t>The licensing authority</w:t>
      </w:r>
      <w:bookmarkEnd w:id="29"/>
      <w:bookmarkEnd w:id="30"/>
      <w:bookmarkEnd w:id="31"/>
      <w:bookmarkEnd w:id="32"/>
      <w:bookmarkEnd w:id="33"/>
      <w:bookmarkEnd w:id="34"/>
      <w:r>
        <w:rPr>
          <w:rStyle w:val="CharDivText"/>
        </w:rPr>
        <w:t xml:space="preserve"> </w:t>
      </w:r>
    </w:p>
    <w:p>
      <w:pPr>
        <w:pStyle w:val="Heading5"/>
        <w:spacing w:before="180"/>
        <w:rPr>
          <w:snapToGrid w:val="0"/>
        </w:rPr>
      </w:pPr>
      <w:bookmarkStart w:id="35" w:name="_Toc406079998"/>
      <w:bookmarkStart w:id="36" w:name="_Toc423530427"/>
      <w:r>
        <w:rPr>
          <w:rStyle w:val="CharSectno"/>
        </w:rPr>
        <w:t>7</w:t>
      </w:r>
      <w:r>
        <w:rPr>
          <w:snapToGrid w:val="0"/>
        </w:rPr>
        <w:t>.</w:t>
      </w:r>
      <w:r>
        <w:rPr>
          <w:snapToGrid w:val="0"/>
        </w:rPr>
        <w:tab/>
        <w:t>Constitution and jurisdiction of licensing authority</w:t>
      </w:r>
      <w:bookmarkEnd w:id="35"/>
      <w:bookmarkEnd w:id="36"/>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by No. 12 of 1998 s. 8; No. 73 of 2006 s. 10 and 106.] </w:t>
      </w:r>
    </w:p>
    <w:p>
      <w:pPr>
        <w:pStyle w:val="Heading3"/>
        <w:spacing w:before="200"/>
        <w:rPr>
          <w:rStyle w:val="CharDivText"/>
        </w:rPr>
      </w:pPr>
      <w:bookmarkStart w:id="37" w:name="_Toc377388788"/>
      <w:bookmarkStart w:id="38" w:name="_Toc406079999"/>
      <w:bookmarkStart w:id="39" w:name="_Toc416875986"/>
      <w:bookmarkStart w:id="40" w:name="_Toc416876340"/>
      <w:bookmarkStart w:id="41" w:name="_Toc417973022"/>
      <w:bookmarkStart w:id="42" w:name="_Toc423530428"/>
      <w:r>
        <w:rPr>
          <w:rStyle w:val="CharDivNo"/>
        </w:rPr>
        <w:t>Division 2</w:t>
      </w:r>
      <w:r>
        <w:t> — </w:t>
      </w:r>
      <w:r>
        <w:rPr>
          <w:rStyle w:val="CharDivText"/>
        </w:rPr>
        <w:t>The Liquor Commission</w:t>
      </w:r>
      <w:bookmarkEnd w:id="37"/>
      <w:bookmarkEnd w:id="38"/>
      <w:bookmarkEnd w:id="39"/>
      <w:bookmarkEnd w:id="40"/>
      <w:bookmarkEnd w:id="41"/>
      <w:bookmarkEnd w:id="42"/>
    </w:p>
    <w:p>
      <w:pPr>
        <w:pStyle w:val="Footnoteheading"/>
      </w:pPr>
      <w:r>
        <w:tab/>
        <w:t>[Heading inserted by No. 73 of 2006 s. 11.]</w:t>
      </w:r>
    </w:p>
    <w:p>
      <w:pPr>
        <w:pStyle w:val="Heading5"/>
        <w:keepNext w:val="0"/>
        <w:keepLines w:val="0"/>
        <w:spacing w:before="180"/>
      </w:pPr>
      <w:bookmarkStart w:id="43" w:name="_Toc406080000"/>
      <w:bookmarkStart w:id="44" w:name="_Toc423530429"/>
      <w:r>
        <w:rPr>
          <w:rStyle w:val="CharSectno"/>
        </w:rPr>
        <w:t>8</w:t>
      </w:r>
      <w:r>
        <w:t>.</w:t>
      </w:r>
      <w:r>
        <w:tab/>
        <w:t>Commission established</w:t>
      </w:r>
      <w:bookmarkEnd w:id="43"/>
      <w:bookmarkEnd w:id="44"/>
    </w:p>
    <w:p>
      <w:pPr>
        <w:pStyle w:val="Subsection"/>
        <w:spacing w:before="120"/>
      </w:pPr>
      <w:r>
        <w:tab/>
      </w:r>
      <w:r>
        <w:tab/>
        <w:t>A commission called the Liquor Commission is established.</w:t>
      </w:r>
    </w:p>
    <w:p>
      <w:pPr>
        <w:pStyle w:val="Footnotesection"/>
        <w:spacing w:before="60"/>
        <w:ind w:left="890" w:hanging="890"/>
      </w:pPr>
      <w:r>
        <w:tab/>
        <w:t>[Section 8 inserted by No. 73 of 2006 s. 11.]</w:t>
      </w:r>
    </w:p>
    <w:p>
      <w:pPr>
        <w:pStyle w:val="Heading5"/>
      </w:pPr>
      <w:bookmarkStart w:id="45" w:name="_Toc406080001"/>
      <w:bookmarkStart w:id="46" w:name="_Toc423530430"/>
      <w:r>
        <w:rPr>
          <w:rStyle w:val="CharSectno"/>
        </w:rPr>
        <w:t>9</w:t>
      </w:r>
      <w:r>
        <w:t>.</w:t>
      </w:r>
      <w:r>
        <w:tab/>
        <w:t>Jurisdiction of Commission</w:t>
      </w:r>
      <w:bookmarkEnd w:id="45"/>
      <w:bookmarkEnd w:id="46"/>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by No. 73 of 2006 s. 11.]</w:t>
      </w:r>
    </w:p>
    <w:p>
      <w:pPr>
        <w:pStyle w:val="Heading5"/>
      </w:pPr>
      <w:bookmarkStart w:id="47" w:name="_Toc406080002"/>
      <w:bookmarkStart w:id="48" w:name="_Toc423530431"/>
      <w:r>
        <w:rPr>
          <w:rStyle w:val="CharSectno"/>
        </w:rPr>
        <w:t>9A</w:t>
      </w:r>
      <w:r>
        <w:t>.</w:t>
      </w:r>
      <w:r>
        <w:tab/>
        <w:t>Constitution of Commission</w:t>
      </w:r>
      <w:bookmarkEnd w:id="47"/>
      <w:bookmarkEnd w:id="48"/>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by No. 73 of 2006 s. 11.]</w:t>
      </w:r>
    </w:p>
    <w:p>
      <w:pPr>
        <w:pStyle w:val="Heading3"/>
      </w:pPr>
      <w:bookmarkStart w:id="49" w:name="_Toc377388792"/>
      <w:bookmarkStart w:id="50" w:name="_Toc406080003"/>
      <w:bookmarkStart w:id="51" w:name="_Toc416875990"/>
      <w:bookmarkStart w:id="52" w:name="_Toc416876344"/>
      <w:bookmarkStart w:id="53" w:name="_Toc417973026"/>
      <w:bookmarkStart w:id="54" w:name="_Toc423530432"/>
      <w:r>
        <w:rPr>
          <w:rStyle w:val="CharDivNo"/>
        </w:rPr>
        <w:t>Division 2A</w:t>
      </w:r>
      <w:r>
        <w:t> — </w:t>
      </w:r>
      <w:r>
        <w:rPr>
          <w:rStyle w:val="CharDivText"/>
        </w:rPr>
        <w:t>Members of the Commission</w:t>
      </w:r>
      <w:bookmarkEnd w:id="49"/>
      <w:bookmarkEnd w:id="50"/>
      <w:bookmarkEnd w:id="51"/>
      <w:bookmarkEnd w:id="52"/>
      <w:bookmarkEnd w:id="53"/>
      <w:bookmarkEnd w:id="54"/>
    </w:p>
    <w:p>
      <w:pPr>
        <w:pStyle w:val="Footnoteheading"/>
      </w:pPr>
      <w:r>
        <w:tab/>
        <w:t>[Heading inserted by No. 73 of 2006 s. 11.]</w:t>
      </w:r>
    </w:p>
    <w:p>
      <w:pPr>
        <w:pStyle w:val="Heading5"/>
      </w:pPr>
      <w:bookmarkStart w:id="55" w:name="_Toc406080004"/>
      <w:bookmarkStart w:id="56" w:name="_Toc423530433"/>
      <w:r>
        <w:rPr>
          <w:rStyle w:val="CharSectno"/>
        </w:rPr>
        <w:t>9B</w:t>
      </w:r>
      <w:r>
        <w:t>.</w:t>
      </w:r>
      <w:r>
        <w:tab/>
        <w:t>Commission members</w:t>
      </w:r>
      <w:bookmarkEnd w:id="55"/>
      <w:bookmarkEnd w:id="56"/>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by No. 73 of 2006 s. 11; amended by No. 21 of 2008 s. 675(3).]</w:t>
      </w:r>
    </w:p>
    <w:p>
      <w:pPr>
        <w:pStyle w:val="Heading5"/>
      </w:pPr>
      <w:bookmarkStart w:id="57" w:name="_Toc406080005"/>
      <w:bookmarkStart w:id="58" w:name="_Toc423530434"/>
      <w:r>
        <w:rPr>
          <w:rStyle w:val="CharSectno"/>
        </w:rPr>
        <w:t>9C</w:t>
      </w:r>
      <w:r>
        <w:t>.</w:t>
      </w:r>
      <w:r>
        <w:tab/>
        <w:t>Tenure of office</w:t>
      </w:r>
      <w:bookmarkEnd w:id="57"/>
      <w:bookmarkEnd w:id="58"/>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by No. 73 of 2006 s. 11.]</w:t>
      </w:r>
    </w:p>
    <w:p>
      <w:pPr>
        <w:pStyle w:val="Heading5"/>
      </w:pPr>
      <w:bookmarkStart w:id="59" w:name="_Toc406080006"/>
      <w:bookmarkStart w:id="60" w:name="_Toc423530435"/>
      <w:r>
        <w:rPr>
          <w:rStyle w:val="CharSectno"/>
        </w:rPr>
        <w:t>9D</w:t>
      </w:r>
      <w:r>
        <w:t>.</w:t>
      </w:r>
      <w:r>
        <w:tab/>
        <w:t>Deputy chairperson</w:t>
      </w:r>
      <w:bookmarkEnd w:id="59"/>
      <w:bookmarkEnd w:id="60"/>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by No. 73 of 2006 s. 11.]</w:t>
      </w:r>
    </w:p>
    <w:p>
      <w:pPr>
        <w:pStyle w:val="Heading5"/>
      </w:pPr>
      <w:bookmarkStart w:id="61" w:name="_Toc406080007"/>
      <w:bookmarkStart w:id="62" w:name="_Toc423530436"/>
      <w:r>
        <w:rPr>
          <w:rStyle w:val="CharSectno"/>
        </w:rPr>
        <w:t>9E</w:t>
      </w:r>
      <w:r>
        <w:t>.</w:t>
      </w:r>
      <w:r>
        <w:tab/>
        <w:t>Removal or resignation</w:t>
      </w:r>
      <w:bookmarkEnd w:id="61"/>
      <w:bookmarkEnd w:id="62"/>
      <w:r>
        <w:t xml:space="preserve"> </w:t>
      </w:r>
    </w:p>
    <w:p>
      <w:pPr>
        <w:pStyle w:val="Subsection"/>
      </w:pPr>
      <w:r>
        <w:tab/>
        <w:t>(1)</w:t>
      </w:r>
      <w:r>
        <w:tab/>
        <w:t xml:space="preserve">The Minister may terminate the term of office of a member if — </w:t>
      </w:r>
    </w:p>
    <w:p>
      <w:pPr>
        <w:pStyle w:val="Indenta"/>
      </w:pPr>
      <w:r>
        <w:tab/>
        <w:t>(a)</w:t>
      </w:r>
      <w:r>
        <w:tab/>
        <w:t xml:space="preserve">the member has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by No. 73 of 2006 s. 11.]</w:t>
      </w:r>
    </w:p>
    <w:p>
      <w:pPr>
        <w:pStyle w:val="Heading5"/>
      </w:pPr>
      <w:bookmarkStart w:id="63" w:name="_Toc406080008"/>
      <w:bookmarkStart w:id="64" w:name="_Toc423530437"/>
      <w:r>
        <w:rPr>
          <w:rStyle w:val="CharSectno"/>
        </w:rPr>
        <w:t>9F</w:t>
      </w:r>
      <w:r>
        <w:t>.</w:t>
      </w:r>
      <w:r>
        <w:tab/>
        <w:t>Leave of absence</w:t>
      </w:r>
      <w:bookmarkEnd w:id="63"/>
      <w:bookmarkEnd w:id="64"/>
    </w:p>
    <w:p>
      <w:pPr>
        <w:pStyle w:val="Subsection"/>
      </w:pPr>
      <w:r>
        <w:tab/>
      </w:r>
      <w:r>
        <w:tab/>
        <w:t>The Minister may grant leave of absence to a member on the terms and conditions that the Minister thinks fit.</w:t>
      </w:r>
    </w:p>
    <w:p>
      <w:pPr>
        <w:pStyle w:val="Footnotesection"/>
      </w:pPr>
      <w:r>
        <w:tab/>
        <w:t>[Section 9F inserted by No. 73 of 2006 s. 11.]</w:t>
      </w:r>
    </w:p>
    <w:p>
      <w:pPr>
        <w:pStyle w:val="Heading5"/>
      </w:pPr>
      <w:bookmarkStart w:id="65" w:name="_Toc406080009"/>
      <w:bookmarkStart w:id="66" w:name="_Toc423530438"/>
      <w:r>
        <w:rPr>
          <w:rStyle w:val="CharSectno"/>
        </w:rPr>
        <w:t>9G</w:t>
      </w:r>
      <w:r>
        <w:t>.</w:t>
      </w:r>
      <w:r>
        <w:tab/>
        <w:t>Member whose term has expired may continue in office</w:t>
      </w:r>
      <w:bookmarkEnd w:id="65"/>
      <w:bookmarkEnd w:id="66"/>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by No. 73 of 2006 s. 11.]</w:t>
      </w:r>
    </w:p>
    <w:p>
      <w:pPr>
        <w:pStyle w:val="Heading5"/>
      </w:pPr>
      <w:bookmarkStart w:id="67" w:name="_Toc406080010"/>
      <w:bookmarkStart w:id="68" w:name="_Toc423530439"/>
      <w:r>
        <w:rPr>
          <w:rStyle w:val="CharSectno"/>
        </w:rPr>
        <w:t>9H</w:t>
      </w:r>
      <w:r>
        <w:t>.</w:t>
      </w:r>
      <w:r>
        <w:tab/>
        <w:t>Remuneration and conditions of office</w:t>
      </w:r>
      <w:bookmarkEnd w:id="67"/>
      <w:bookmarkEnd w:id="68"/>
    </w:p>
    <w:p>
      <w:pPr>
        <w:pStyle w:val="Subsection"/>
      </w:pPr>
      <w:r>
        <w:tab/>
        <w:t>(1)</w:t>
      </w:r>
      <w:r>
        <w:tab/>
        <w:t>The remuneration and allowances and other conditions of office of a member are to be determined by the Minister after consultation with the Public Sector Commissioner.</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by No. 73 of 2006 s. 11; amended by No. 39 of 2010 s. 89.]</w:t>
      </w:r>
    </w:p>
    <w:p>
      <w:pPr>
        <w:pStyle w:val="Heading3"/>
      </w:pPr>
      <w:bookmarkStart w:id="69" w:name="_Toc377388800"/>
      <w:bookmarkStart w:id="70" w:name="_Toc406080011"/>
      <w:bookmarkStart w:id="71" w:name="_Toc416875998"/>
      <w:bookmarkStart w:id="72" w:name="_Toc416876352"/>
      <w:bookmarkStart w:id="73" w:name="_Toc417973034"/>
      <w:bookmarkStart w:id="74" w:name="_Toc423530440"/>
      <w:r>
        <w:rPr>
          <w:rStyle w:val="CharDivNo"/>
        </w:rPr>
        <w:t>Division 2B</w:t>
      </w:r>
      <w:r>
        <w:t> — </w:t>
      </w:r>
      <w:r>
        <w:rPr>
          <w:rStyle w:val="CharDivText"/>
        </w:rPr>
        <w:t>Other matters</w:t>
      </w:r>
      <w:bookmarkEnd w:id="69"/>
      <w:bookmarkEnd w:id="70"/>
      <w:bookmarkEnd w:id="71"/>
      <w:bookmarkEnd w:id="72"/>
      <w:bookmarkEnd w:id="73"/>
      <w:bookmarkEnd w:id="74"/>
    </w:p>
    <w:p>
      <w:pPr>
        <w:pStyle w:val="Footnoteheading"/>
      </w:pPr>
      <w:r>
        <w:tab/>
        <w:t>[Heading inserted by No. 73 of 2006 s. 11.]</w:t>
      </w:r>
    </w:p>
    <w:p>
      <w:pPr>
        <w:pStyle w:val="Heading5"/>
        <w:spacing w:before="240"/>
      </w:pPr>
      <w:bookmarkStart w:id="75" w:name="_Toc406080012"/>
      <w:bookmarkStart w:id="76" w:name="_Toc423530441"/>
      <w:r>
        <w:rPr>
          <w:rStyle w:val="CharSectno"/>
        </w:rPr>
        <w:t>9I</w:t>
      </w:r>
      <w:r>
        <w:t>.</w:t>
      </w:r>
      <w:r>
        <w:tab/>
        <w:t>Decisions of Commission to be written etc.</w:t>
      </w:r>
      <w:bookmarkEnd w:id="75"/>
      <w:bookmarkEnd w:id="76"/>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by No. 73 of 2006 s. 11.]</w:t>
      </w:r>
    </w:p>
    <w:p>
      <w:pPr>
        <w:pStyle w:val="Heading5"/>
        <w:spacing w:before="240"/>
      </w:pPr>
      <w:bookmarkStart w:id="77" w:name="_Toc406080013"/>
      <w:bookmarkStart w:id="78" w:name="_Toc423530442"/>
      <w:r>
        <w:rPr>
          <w:rStyle w:val="CharSectno"/>
        </w:rPr>
        <w:t>9J</w:t>
      </w:r>
      <w:r>
        <w:t>.</w:t>
      </w:r>
      <w:r>
        <w:tab/>
        <w:t>Seal of Commission</w:t>
      </w:r>
      <w:bookmarkEnd w:id="77"/>
      <w:bookmarkEnd w:id="78"/>
    </w:p>
    <w:p>
      <w:pPr>
        <w:pStyle w:val="Subsection"/>
      </w:pPr>
      <w:r>
        <w:tab/>
        <w:t>(1)</w:t>
      </w:r>
      <w:r>
        <w:tab/>
        <w:t>The Commission is to have a seal.</w:t>
      </w:r>
    </w:p>
    <w:p>
      <w:pPr>
        <w:pStyle w:val="Subsection"/>
      </w:pPr>
      <w:r>
        <w:tab/>
        <w:t>(2)</w:t>
      </w:r>
      <w:r>
        <w:tab/>
        <w:t>All courts and persons acting judicially are required to take judicial notice of the official seal of the Commission affixed to a document.</w:t>
      </w:r>
    </w:p>
    <w:p>
      <w:pPr>
        <w:pStyle w:val="Subsection"/>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by No. 73 of 2006 s. 11.]</w:t>
      </w:r>
    </w:p>
    <w:p>
      <w:pPr>
        <w:pStyle w:val="Heading5"/>
      </w:pPr>
      <w:bookmarkStart w:id="79" w:name="_Toc406080014"/>
      <w:bookmarkStart w:id="80" w:name="_Toc423530443"/>
      <w:r>
        <w:rPr>
          <w:rStyle w:val="CharSectno"/>
        </w:rPr>
        <w:t>9K</w:t>
      </w:r>
      <w:r>
        <w:t>.</w:t>
      </w:r>
      <w:r>
        <w:tab/>
        <w:t>Annual reports by Commission</w:t>
      </w:r>
      <w:bookmarkEnd w:id="79"/>
      <w:bookmarkEnd w:id="80"/>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by No. 73 of 2006 s. 11.]</w:t>
      </w:r>
    </w:p>
    <w:p>
      <w:pPr>
        <w:pStyle w:val="Heading5"/>
        <w:spacing w:before="180"/>
      </w:pPr>
      <w:bookmarkStart w:id="81" w:name="_Toc406080015"/>
      <w:bookmarkStart w:id="82" w:name="_Toc423530444"/>
      <w:r>
        <w:rPr>
          <w:rStyle w:val="CharSectno"/>
        </w:rPr>
        <w:t>9L</w:t>
      </w:r>
      <w:r>
        <w:t>.</w:t>
      </w:r>
      <w:r>
        <w:tab/>
        <w:t>Laying annual report before House of Parliament not sitting</w:t>
      </w:r>
      <w:bookmarkEnd w:id="81"/>
      <w:bookmarkEnd w:id="82"/>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by No. 73 of 2006 s. 11.]</w:t>
      </w:r>
    </w:p>
    <w:p>
      <w:pPr>
        <w:pStyle w:val="Heading5"/>
      </w:pPr>
      <w:bookmarkStart w:id="83" w:name="_Toc406080016"/>
      <w:bookmarkStart w:id="84" w:name="_Toc423530445"/>
      <w:r>
        <w:rPr>
          <w:rStyle w:val="CharSectno"/>
        </w:rPr>
        <w:t>9M</w:t>
      </w:r>
      <w:r>
        <w:t>.</w:t>
      </w:r>
      <w:r>
        <w:tab/>
        <w:t>Protection and immunity of members, parties etc.</w:t>
      </w:r>
      <w:bookmarkEnd w:id="83"/>
      <w:bookmarkEnd w:id="84"/>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tab/>
        <w:t>(2)</w:t>
      </w:r>
      <w:r>
        <w:tab/>
        <w:t>A person representing a party in proceedings in the Commission has the same protection and immunity as a lawyer has in representing a party in proceedings in the Supreme Court.</w:t>
      </w:r>
    </w:p>
    <w:p>
      <w:pPr>
        <w:pStyle w:val="Subsection"/>
        <w:spacing w:before="180"/>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by No. 73 of 2006 s. 11; amended by No. 21 of 2008 s. 675(3).]</w:t>
      </w:r>
    </w:p>
    <w:p>
      <w:pPr>
        <w:pStyle w:val="Ednotesection"/>
        <w:spacing w:before="180"/>
        <w:ind w:left="890" w:hanging="890"/>
      </w:pPr>
      <w:r>
        <w:t>[</w:t>
      </w:r>
      <w:r>
        <w:rPr>
          <w:b/>
        </w:rPr>
        <w:t>10</w:t>
      </w:r>
      <w:r>
        <w:rPr>
          <w:b/>
        </w:rPr>
        <w:noBreakHyphen/>
        <w:t>11.</w:t>
      </w:r>
      <w:r>
        <w:tab/>
        <w:t>Deleted by No. 27 of 2000 s. 12.]</w:t>
      </w:r>
    </w:p>
    <w:p>
      <w:pPr>
        <w:pStyle w:val="Ednotesection"/>
        <w:spacing w:before="180"/>
        <w:ind w:left="890" w:hanging="890"/>
      </w:pPr>
      <w:r>
        <w:t>[</w:t>
      </w:r>
      <w:r>
        <w:rPr>
          <w:b/>
        </w:rPr>
        <w:t>12.</w:t>
      </w:r>
      <w:r>
        <w:rPr>
          <w:b/>
        </w:rPr>
        <w:tab/>
      </w:r>
      <w:r>
        <w:t>Deleted by No. 12 of 1998 s. 10(1).]</w:t>
      </w:r>
    </w:p>
    <w:p>
      <w:pPr>
        <w:pStyle w:val="Heading3"/>
        <w:rPr>
          <w:snapToGrid w:val="0"/>
        </w:rPr>
      </w:pPr>
      <w:bookmarkStart w:id="85" w:name="_Toc377388806"/>
      <w:bookmarkStart w:id="86" w:name="_Toc406080017"/>
      <w:bookmarkStart w:id="87" w:name="_Toc416876004"/>
      <w:bookmarkStart w:id="88" w:name="_Toc416876358"/>
      <w:bookmarkStart w:id="89" w:name="_Toc417973040"/>
      <w:bookmarkStart w:id="90" w:name="_Toc423530446"/>
      <w:r>
        <w:rPr>
          <w:rStyle w:val="CharDivNo"/>
        </w:rPr>
        <w:t>Division 3</w:t>
      </w:r>
      <w:r>
        <w:rPr>
          <w:snapToGrid w:val="0"/>
        </w:rPr>
        <w:t> — </w:t>
      </w:r>
      <w:r>
        <w:rPr>
          <w:rStyle w:val="CharDivText"/>
        </w:rPr>
        <w:t>The Director of Liquor Licensing</w:t>
      </w:r>
      <w:bookmarkEnd w:id="85"/>
      <w:bookmarkEnd w:id="86"/>
      <w:bookmarkEnd w:id="87"/>
      <w:bookmarkEnd w:id="88"/>
      <w:bookmarkEnd w:id="89"/>
      <w:bookmarkEnd w:id="90"/>
      <w:r>
        <w:rPr>
          <w:rStyle w:val="CharDivText"/>
        </w:rPr>
        <w:t xml:space="preserve"> </w:t>
      </w:r>
    </w:p>
    <w:p>
      <w:pPr>
        <w:pStyle w:val="Heading5"/>
        <w:spacing w:before="240"/>
        <w:rPr>
          <w:snapToGrid w:val="0"/>
        </w:rPr>
      </w:pPr>
      <w:bookmarkStart w:id="91" w:name="_Toc406080018"/>
      <w:bookmarkStart w:id="92" w:name="_Toc423530447"/>
      <w:r>
        <w:rPr>
          <w:rStyle w:val="CharSectno"/>
        </w:rPr>
        <w:t>13</w:t>
      </w:r>
      <w:r>
        <w:rPr>
          <w:snapToGrid w:val="0"/>
        </w:rPr>
        <w:t>.</w:t>
      </w:r>
      <w:r>
        <w:rPr>
          <w:snapToGrid w:val="0"/>
        </w:rPr>
        <w:tab/>
        <w:t>Functions of and hearings by Director</w:t>
      </w:r>
      <w:bookmarkEnd w:id="91"/>
      <w:bookmarkEnd w:id="92"/>
    </w:p>
    <w:p>
      <w:pPr>
        <w:pStyle w:val="Ednotesubsection"/>
        <w:spacing w:before="120"/>
      </w:pPr>
      <w:r>
        <w:tab/>
        <w:t>[(1)</w:t>
      </w:r>
      <w:r>
        <w:tab/>
        <w:t>deleted]</w:t>
      </w:r>
    </w:p>
    <w:p>
      <w:pPr>
        <w:pStyle w:val="Subsection"/>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pPr>
      <w:r>
        <w:tab/>
        <w:t>(3a)</w:t>
      </w:r>
      <w:r>
        <w:tab/>
        <w:t xml:space="preserve">Subsection (3) does not limit the functions of the Director as a chief executive officer under the </w:t>
      </w:r>
      <w:r>
        <w:rPr>
          <w:i/>
        </w:rPr>
        <w:t>Public Sector Management Act 1994</w:t>
      </w:r>
      <w:r>
        <w:t>.</w:t>
      </w:r>
    </w:p>
    <w:p>
      <w:pPr>
        <w:pStyle w:val="Subsection"/>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spacing w:before="120"/>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No. 73 of 2006 s. 12.] </w:t>
      </w:r>
    </w:p>
    <w:p>
      <w:pPr>
        <w:pStyle w:val="Heading5"/>
        <w:spacing w:before="180"/>
        <w:rPr>
          <w:snapToGrid w:val="0"/>
        </w:rPr>
      </w:pPr>
      <w:bookmarkStart w:id="93" w:name="_Toc406080019"/>
      <w:bookmarkStart w:id="94" w:name="_Toc423530448"/>
      <w:r>
        <w:rPr>
          <w:rStyle w:val="CharSectno"/>
        </w:rPr>
        <w:t>14</w:t>
      </w:r>
      <w:r>
        <w:rPr>
          <w:snapToGrid w:val="0"/>
        </w:rPr>
        <w:t>.</w:t>
      </w:r>
      <w:r>
        <w:rPr>
          <w:snapToGrid w:val="0"/>
        </w:rPr>
        <w:tab/>
        <w:t>Inspectors etc., appointment of etc.</w:t>
      </w:r>
      <w:bookmarkEnd w:id="93"/>
      <w:bookmarkEnd w:id="94"/>
    </w:p>
    <w:p>
      <w:pPr>
        <w:pStyle w:val="Subsection"/>
        <w:spacing w:before="120"/>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spacing w:before="120"/>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by No. 32 of 1994 s. 3(2); No. 56 of 1997 s. 28; No. 73 of 2006 s. 106 and 111(1).] </w:t>
      </w:r>
    </w:p>
    <w:p>
      <w:pPr>
        <w:pStyle w:val="Heading3"/>
        <w:rPr>
          <w:snapToGrid w:val="0"/>
        </w:rPr>
      </w:pPr>
      <w:bookmarkStart w:id="95" w:name="_Toc377388809"/>
      <w:bookmarkStart w:id="96" w:name="_Toc406080020"/>
      <w:bookmarkStart w:id="97" w:name="_Toc416876007"/>
      <w:bookmarkStart w:id="98" w:name="_Toc416876361"/>
      <w:bookmarkStart w:id="99" w:name="_Toc417973043"/>
      <w:bookmarkStart w:id="100" w:name="_Toc423530449"/>
      <w:r>
        <w:rPr>
          <w:rStyle w:val="CharDivNo"/>
        </w:rPr>
        <w:t>Division 4</w:t>
      </w:r>
      <w:r>
        <w:rPr>
          <w:snapToGrid w:val="0"/>
        </w:rPr>
        <w:t> — </w:t>
      </w:r>
      <w:r>
        <w:rPr>
          <w:rStyle w:val="CharDivText"/>
        </w:rPr>
        <w:t>Other staff of the licensing authority</w:t>
      </w:r>
      <w:bookmarkEnd w:id="95"/>
      <w:bookmarkEnd w:id="96"/>
      <w:bookmarkEnd w:id="97"/>
      <w:bookmarkEnd w:id="98"/>
      <w:bookmarkEnd w:id="99"/>
      <w:bookmarkEnd w:id="100"/>
      <w:r>
        <w:rPr>
          <w:rStyle w:val="CharDivText"/>
        </w:rPr>
        <w:t xml:space="preserve"> </w:t>
      </w:r>
    </w:p>
    <w:p>
      <w:pPr>
        <w:pStyle w:val="Heading5"/>
        <w:rPr>
          <w:snapToGrid w:val="0"/>
        </w:rPr>
      </w:pPr>
      <w:bookmarkStart w:id="101" w:name="_Toc406080021"/>
      <w:bookmarkStart w:id="102" w:name="_Toc423530450"/>
      <w:r>
        <w:rPr>
          <w:rStyle w:val="CharSectno"/>
        </w:rPr>
        <w:t>15</w:t>
      </w:r>
      <w:r>
        <w:rPr>
          <w:snapToGrid w:val="0"/>
        </w:rPr>
        <w:t>.</w:t>
      </w:r>
      <w:r>
        <w:rPr>
          <w:snapToGrid w:val="0"/>
        </w:rPr>
        <w:tab/>
        <w:t xml:space="preserve">Director may </w:t>
      </w:r>
      <w:smartTag w:uri="urn:schemas-microsoft-com:office:smarttags" w:element="State">
        <w:smartTag w:uri="urn:schemas-microsoft-com:office:smarttags" w:element="place">
          <w:r>
            <w:rPr>
              <w:snapToGrid w:val="0"/>
            </w:rPr>
            <w:t>del</w:t>
          </w:r>
        </w:smartTag>
      </w:smartTag>
      <w:r>
        <w:rPr>
          <w:snapToGrid w:val="0"/>
        </w:rPr>
        <w:t>egate etc.</w:t>
      </w:r>
      <w:bookmarkEnd w:id="101"/>
      <w:bookmarkEnd w:id="102"/>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 and</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keepNext/>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spacing w:before="120"/>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103" w:name="_Toc377388811"/>
      <w:bookmarkStart w:id="104" w:name="_Toc406080022"/>
      <w:bookmarkStart w:id="105" w:name="_Toc416876009"/>
      <w:bookmarkStart w:id="106" w:name="_Toc416876363"/>
      <w:bookmarkStart w:id="107" w:name="_Toc417973045"/>
      <w:bookmarkStart w:id="108" w:name="_Toc423530451"/>
      <w:r>
        <w:rPr>
          <w:rStyle w:val="CharDivNo"/>
        </w:rPr>
        <w:t>Division 5</w:t>
      </w:r>
      <w:r>
        <w:rPr>
          <w:snapToGrid w:val="0"/>
        </w:rPr>
        <w:t> — </w:t>
      </w:r>
      <w:r>
        <w:rPr>
          <w:rStyle w:val="CharDivText"/>
        </w:rPr>
        <w:t>Proceedings before the licensing authority</w:t>
      </w:r>
      <w:bookmarkEnd w:id="103"/>
      <w:bookmarkEnd w:id="104"/>
      <w:bookmarkEnd w:id="105"/>
      <w:bookmarkEnd w:id="106"/>
      <w:bookmarkEnd w:id="107"/>
      <w:bookmarkEnd w:id="108"/>
      <w:r>
        <w:rPr>
          <w:rStyle w:val="CharDivText"/>
        </w:rPr>
        <w:t xml:space="preserve"> </w:t>
      </w:r>
    </w:p>
    <w:p>
      <w:pPr>
        <w:pStyle w:val="Heading5"/>
        <w:spacing w:before="180"/>
        <w:rPr>
          <w:snapToGrid w:val="0"/>
        </w:rPr>
      </w:pPr>
      <w:bookmarkStart w:id="109" w:name="_Toc406080023"/>
      <w:bookmarkStart w:id="110" w:name="_Toc423530452"/>
      <w:r>
        <w:rPr>
          <w:rStyle w:val="CharSectno"/>
        </w:rPr>
        <w:t>16</w:t>
      </w:r>
      <w:r>
        <w:rPr>
          <w:snapToGrid w:val="0"/>
        </w:rPr>
        <w:t>.</w:t>
      </w:r>
      <w:r>
        <w:rPr>
          <w:snapToGrid w:val="0"/>
        </w:rPr>
        <w:tab/>
        <w:t>Procedure, sittings, use of experts, evidentiary rules etc.</w:t>
      </w:r>
      <w:bookmarkEnd w:id="109"/>
      <w:bookmarkEnd w:id="110"/>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 and</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w:t>
      </w:r>
    </w:p>
    <w:p>
      <w:pPr>
        <w:pStyle w:val="Subsection"/>
        <w:spacing w:before="120"/>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rPr>
          <w:snapToGrid w:val="0"/>
        </w:rPr>
      </w:pPr>
      <w:r>
        <w:rPr>
          <w:snapToGrid w:val="0"/>
        </w:rPr>
        <w:tab/>
      </w:r>
      <w:r>
        <w:rPr>
          <w:snapToGrid w:val="0"/>
        </w:rPr>
        <w:tab/>
        <w:t>by the person by whom or on whose behalf that application is made or those proceedings are taken.</w:t>
      </w:r>
    </w:p>
    <w:p>
      <w:pPr>
        <w:pStyle w:val="Subsection"/>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spacing w:before="180"/>
      </w:pPr>
      <w:r>
        <w:tab/>
        <w:t>(8)</w:t>
      </w:r>
      <w:r>
        <w:tab/>
        <w:t>The hearing of a proceeding before the Commission is to be in private unless the Commission considers that, in the circumstances of the case, the hearing should be in public.</w:t>
      </w:r>
    </w:p>
    <w:p>
      <w:pPr>
        <w:pStyle w:val="Subsection"/>
        <w:spacing w:before="180"/>
      </w:pPr>
      <w:r>
        <w:rPr>
          <w:snapToGrid w:val="0"/>
        </w:rPr>
        <w:tab/>
        <w:t>(9)</w:t>
      </w:r>
      <w:r>
        <w:rPr>
          <w:snapToGrid w:val="0"/>
        </w:rPr>
        <w:tab/>
      </w:r>
      <w:r>
        <w:t xml:space="preserve">When the hearing of a proceeding before the Commission is in private, the Commission,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spacing w:before="180"/>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spacing w:before="100"/>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w:t>
      </w:r>
      <w:r>
        <w:t xml:space="preserve"> and section 30</w:t>
      </w:r>
      <w:r>
        <w:rPr>
          <w:snapToGrid w:val="0"/>
        </w:rPr>
        <w:t>,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No. 73 of 2006 s. 13 and 106; No. 56 of 2010 s. 37.] </w:t>
      </w:r>
    </w:p>
    <w:p>
      <w:pPr>
        <w:pStyle w:val="Heading5"/>
        <w:rPr>
          <w:snapToGrid w:val="0"/>
        </w:rPr>
      </w:pPr>
      <w:bookmarkStart w:id="111" w:name="_Toc406080024"/>
      <w:bookmarkStart w:id="112" w:name="_Toc423530453"/>
      <w:r>
        <w:rPr>
          <w:rStyle w:val="CharSectno"/>
        </w:rPr>
        <w:t>17</w:t>
      </w:r>
      <w:r>
        <w:rPr>
          <w:snapToGrid w:val="0"/>
        </w:rPr>
        <w:t>.</w:t>
      </w:r>
      <w:r>
        <w:rPr>
          <w:snapToGrid w:val="0"/>
        </w:rPr>
        <w:tab/>
        <w:t>Representation of parties</w:t>
      </w:r>
      <w:bookmarkEnd w:id="111"/>
      <w:bookmarkEnd w:id="112"/>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counsel; or</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 or</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113" w:name="_Toc406080025"/>
      <w:bookmarkStart w:id="114" w:name="_Toc423530454"/>
      <w:r>
        <w:rPr>
          <w:rStyle w:val="CharSectno"/>
        </w:rPr>
        <w:t>18</w:t>
      </w:r>
      <w:r>
        <w:rPr>
          <w:snapToGrid w:val="0"/>
        </w:rPr>
        <w:t>.</w:t>
      </w:r>
      <w:r>
        <w:rPr>
          <w:snapToGrid w:val="0"/>
        </w:rPr>
        <w:tab/>
        <w:t>Witnesses and evidence, powers to summon etc.</w:t>
      </w:r>
      <w:bookmarkEnd w:id="113"/>
      <w:bookmarkEnd w:id="114"/>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 and</w:t>
      </w:r>
    </w:p>
    <w:p>
      <w:pPr>
        <w:pStyle w:val="Indenta"/>
        <w:rPr>
          <w:snapToGrid w:val="0"/>
        </w:rPr>
      </w:pPr>
      <w:r>
        <w:rPr>
          <w:snapToGrid w:val="0"/>
        </w:rPr>
        <w:tab/>
        <w:t>(b)</w:t>
      </w:r>
      <w:r>
        <w:rPr>
          <w:snapToGrid w:val="0"/>
        </w:rPr>
        <w:tab/>
        <w:t>by summons require the production of records; and</w:t>
      </w:r>
    </w:p>
    <w:p>
      <w:pPr>
        <w:pStyle w:val="Indenta"/>
        <w:rPr>
          <w:snapToGrid w:val="0"/>
        </w:rPr>
      </w:pPr>
      <w:r>
        <w:rPr>
          <w:snapToGrid w:val="0"/>
        </w:rPr>
        <w:tab/>
        <w:t>(c)</w:t>
      </w:r>
      <w:r>
        <w:rPr>
          <w:snapToGrid w:val="0"/>
        </w:rPr>
        <w:tab/>
        <w:t>inspect records produced before it, and take copies of, or extracts from, them; and</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 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No. 73 of 2006 s. 14 and 106.] </w:t>
      </w:r>
    </w:p>
    <w:p>
      <w:pPr>
        <w:pStyle w:val="Heading5"/>
      </w:pPr>
      <w:bookmarkStart w:id="115" w:name="_Toc406080026"/>
      <w:bookmarkStart w:id="116" w:name="_Toc423530455"/>
      <w:r>
        <w:rPr>
          <w:rStyle w:val="CharSectno"/>
        </w:rPr>
        <w:t>18A</w:t>
      </w:r>
      <w:r>
        <w:t>.</w:t>
      </w:r>
      <w:r>
        <w:tab/>
        <w:t>Enforcing decisions</w:t>
      </w:r>
      <w:bookmarkEnd w:id="115"/>
      <w:bookmarkEnd w:id="116"/>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by No. 73 of 2006 s. 15.]</w:t>
      </w:r>
    </w:p>
    <w:p>
      <w:pPr>
        <w:pStyle w:val="Heading5"/>
        <w:rPr>
          <w:snapToGrid w:val="0"/>
        </w:rPr>
      </w:pPr>
      <w:bookmarkStart w:id="117" w:name="_Toc406080027"/>
      <w:bookmarkStart w:id="118" w:name="_Toc423530456"/>
      <w:r>
        <w:rPr>
          <w:rStyle w:val="CharSectno"/>
        </w:rPr>
        <w:t>19</w:t>
      </w:r>
      <w:r>
        <w:rPr>
          <w:snapToGrid w:val="0"/>
        </w:rPr>
        <w:t>.</w:t>
      </w:r>
      <w:r>
        <w:rPr>
          <w:snapToGrid w:val="0"/>
        </w:rPr>
        <w:tab/>
        <w:t>Enforcing monetary penalties</w:t>
      </w:r>
      <w:bookmarkEnd w:id="117"/>
      <w:bookmarkEnd w:id="118"/>
    </w:p>
    <w:p>
      <w:pPr>
        <w:pStyle w:val="Ednotesubsection"/>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No. 73 of 2006 s. 16.] </w:t>
      </w:r>
    </w:p>
    <w:p>
      <w:pPr>
        <w:pStyle w:val="Heading5"/>
        <w:spacing w:before="180"/>
        <w:rPr>
          <w:snapToGrid w:val="0"/>
        </w:rPr>
      </w:pPr>
      <w:bookmarkStart w:id="119" w:name="_Toc406080028"/>
      <w:bookmarkStart w:id="120" w:name="_Toc423530457"/>
      <w:r>
        <w:rPr>
          <w:rStyle w:val="CharSectno"/>
        </w:rPr>
        <w:t>20</w:t>
      </w:r>
      <w:r>
        <w:rPr>
          <w:snapToGrid w:val="0"/>
        </w:rPr>
        <w:t>.</w:t>
      </w:r>
      <w:r>
        <w:rPr>
          <w:snapToGrid w:val="0"/>
        </w:rPr>
        <w:tab/>
        <w:t>Contempt etc.</w:t>
      </w:r>
      <w:bookmarkEnd w:id="119"/>
      <w:bookmarkEnd w:id="120"/>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r>
      <w:r>
        <w:rPr>
          <w:snapToGrid w:val="0"/>
        </w:rPr>
        <w:tab/>
        <w:t>or</w:t>
      </w:r>
    </w:p>
    <w:p>
      <w:pPr>
        <w:pStyle w:val="Indenta"/>
        <w:tabs>
          <w:tab w:val="left" w:pos="1824"/>
        </w:tabs>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pPr>
      <w:r>
        <w:tab/>
        <w:t>(1a)</w:t>
      </w:r>
      <w:r>
        <w:tab/>
        <w:t>If subsection (1) applies to an act or omission by a person and that act or omission is also an offence under this Act, the person is not liable to be punished twice.</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 or</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 xml:space="preserve">Penalty: </w:t>
      </w:r>
      <w:r>
        <w:t>a fine of</w:t>
      </w:r>
      <w:r>
        <w:rPr>
          <w:snapToGrid w:val="0"/>
        </w:rPr>
        <w:t xml:space="preserve">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No. 73 of 2006 s. 17 and 106; No. 56 of 2010 s. 69.] </w:t>
      </w:r>
    </w:p>
    <w:p>
      <w:pPr>
        <w:pStyle w:val="Heading5"/>
        <w:rPr>
          <w:snapToGrid w:val="0"/>
        </w:rPr>
      </w:pPr>
      <w:bookmarkStart w:id="121" w:name="_Toc406080029"/>
      <w:bookmarkStart w:id="122" w:name="_Toc423530458"/>
      <w:r>
        <w:rPr>
          <w:rStyle w:val="CharSectno"/>
        </w:rPr>
        <w:t>21</w:t>
      </w:r>
      <w:r>
        <w:rPr>
          <w:snapToGrid w:val="0"/>
        </w:rPr>
        <w:t>.</w:t>
      </w:r>
      <w:r>
        <w:rPr>
          <w:snapToGrid w:val="0"/>
        </w:rPr>
        <w:tab/>
        <w:t>Costs</w:t>
      </w:r>
      <w:bookmarkEnd w:id="121"/>
      <w:bookmarkEnd w:id="122"/>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by No. 73 of 2006 s. 18 and 106.]</w:t>
      </w:r>
    </w:p>
    <w:p>
      <w:pPr>
        <w:pStyle w:val="Heading5"/>
        <w:rPr>
          <w:snapToGrid w:val="0"/>
        </w:rPr>
      </w:pPr>
      <w:bookmarkStart w:id="123" w:name="_Toc406080030"/>
      <w:bookmarkStart w:id="124" w:name="_Toc423530459"/>
      <w:r>
        <w:rPr>
          <w:rStyle w:val="CharSectno"/>
        </w:rPr>
        <w:t>22</w:t>
      </w:r>
      <w:r>
        <w:rPr>
          <w:snapToGrid w:val="0"/>
        </w:rPr>
        <w:t>.</w:t>
      </w:r>
      <w:r>
        <w:rPr>
          <w:snapToGrid w:val="0"/>
        </w:rPr>
        <w:tab/>
        <w:t xml:space="preserve">Rules </w:t>
      </w:r>
      <w:r>
        <w:t>of Commission</w:t>
      </w:r>
      <w:bookmarkEnd w:id="123"/>
      <w:bookmarkEnd w:id="124"/>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by No. 73 of 2006 s. 19 and 106.]</w:t>
      </w:r>
    </w:p>
    <w:p>
      <w:pPr>
        <w:pStyle w:val="Heading5"/>
        <w:rPr>
          <w:snapToGrid w:val="0"/>
        </w:rPr>
      </w:pPr>
      <w:bookmarkStart w:id="125" w:name="_Toc406080031"/>
      <w:bookmarkStart w:id="126" w:name="_Toc423530460"/>
      <w:r>
        <w:rPr>
          <w:rStyle w:val="CharSectno"/>
        </w:rPr>
        <w:t>23</w:t>
      </w:r>
      <w:r>
        <w:rPr>
          <w:snapToGrid w:val="0"/>
        </w:rPr>
        <w:t>.</w:t>
      </w:r>
      <w:r>
        <w:rPr>
          <w:snapToGrid w:val="0"/>
        </w:rPr>
        <w:tab/>
        <w:t>Proof of process; protection from personal liability</w:t>
      </w:r>
      <w:bookmarkEnd w:id="125"/>
      <w:bookmarkEnd w:id="126"/>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by No. 73 of 2006 s. 106.]</w:t>
      </w:r>
    </w:p>
    <w:p>
      <w:pPr>
        <w:pStyle w:val="Heading3"/>
        <w:keepLines/>
      </w:pPr>
      <w:bookmarkStart w:id="127" w:name="_Toc377388821"/>
      <w:bookmarkStart w:id="128" w:name="_Toc406080032"/>
      <w:bookmarkStart w:id="129" w:name="_Toc416876019"/>
      <w:bookmarkStart w:id="130" w:name="_Toc416876373"/>
      <w:bookmarkStart w:id="131" w:name="_Toc417973055"/>
      <w:bookmarkStart w:id="132" w:name="_Toc423530461"/>
      <w:r>
        <w:rPr>
          <w:rStyle w:val="CharDivNo"/>
        </w:rPr>
        <w:t>Division 6</w:t>
      </w:r>
      <w:r>
        <w:rPr>
          <w:snapToGrid w:val="0"/>
        </w:rPr>
        <w:t> — </w:t>
      </w:r>
      <w:r>
        <w:rPr>
          <w:rStyle w:val="CharDivText"/>
        </w:rPr>
        <w:t>Reference to the Commission, review and appeals</w:t>
      </w:r>
      <w:bookmarkEnd w:id="127"/>
      <w:bookmarkEnd w:id="128"/>
      <w:bookmarkEnd w:id="129"/>
      <w:bookmarkEnd w:id="130"/>
      <w:bookmarkEnd w:id="131"/>
      <w:bookmarkEnd w:id="132"/>
      <w:r>
        <w:t xml:space="preserve"> </w:t>
      </w:r>
    </w:p>
    <w:p>
      <w:pPr>
        <w:pStyle w:val="Footnoteheading"/>
        <w:keepNext/>
        <w:keepLines/>
      </w:pPr>
      <w:r>
        <w:tab/>
        <w:t>[Heading amended by No. 73 of 2006 s. 20.]</w:t>
      </w:r>
    </w:p>
    <w:p>
      <w:pPr>
        <w:pStyle w:val="Heading5"/>
        <w:rPr>
          <w:snapToGrid w:val="0"/>
        </w:rPr>
      </w:pPr>
      <w:bookmarkStart w:id="133" w:name="_Toc406080033"/>
      <w:bookmarkStart w:id="134" w:name="_Toc423530462"/>
      <w:r>
        <w:rPr>
          <w:rStyle w:val="CharSectno"/>
        </w:rPr>
        <w:t>24</w:t>
      </w:r>
      <w:r>
        <w:rPr>
          <w:snapToGrid w:val="0"/>
        </w:rPr>
        <w:t>.</w:t>
      </w:r>
      <w:r>
        <w:rPr>
          <w:snapToGrid w:val="0"/>
        </w:rPr>
        <w:tab/>
        <w:t>Director may refer matters to Commission</w:t>
      </w:r>
      <w:bookmarkEnd w:id="133"/>
      <w:bookmarkEnd w:id="134"/>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by No. 12 of 1998 s. 13; amended by No. 73 of 2006 s. 21 and 106.] </w:t>
      </w:r>
    </w:p>
    <w:p>
      <w:pPr>
        <w:pStyle w:val="Heading5"/>
        <w:rPr>
          <w:snapToGrid w:val="0"/>
        </w:rPr>
      </w:pPr>
      <w:bookmarkStart w:id="135" w:name="_Toc406080034"/>
      <w:bookmarkStart w:id="136" w:name="_Toc423530463"/>
      <w:r>
        <w:rPr>
          <w:rStyle w:val="CharSectno"/>
        </w:rPr>
        <w:t>25</w:t>
      </w:r>
      <w:r>
        <w:rPr>
          <w:snapToGrid w:val="0"/>
        </w:rPr>
        <w:t>.</w:t>
      </w:r>
      <w:r>
        <w:rPr>
          <w:snapToGrid w:val="0"/>
        </w:rPr>
        <w:tab/>
        <w:t>Review of Director’s decisions</w:t>
      </w:r>
      <w:bookmarkEnd w:id="135"/>
      <w:bookmarkEnd w:id="136"/>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 or</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 and</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 and</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by this Act is stated not to be subject to review; or</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 No. 73 of 2006 s. 22 and 106; No. 21 of 2008 s. 675(3).]</w:t>
      </w:r>
    </w:p>
    <w:p>
      <w:pPr>
        <w:pStyle w:val="Heading5"/>
      </w:pPr>
      <w:bookmarkStart w:id="137" w:name="_Toc406080035"/>
      <w:bookmarkStart w:id="138" w:name="_Toc423530464"/>
      <w:r>
        <w:rPr>
          <w:rStyle w:val="CharSectno"/>
        </w:rPr>
        <w:t>26</w:t>
      </w:r>
      <w:r>
        <w:t>.</w:t>
      </w:r>
      <w:r>
        <w:tab/>
        <w:t>Some Director’s decisions have effect despite application to review</w:t>
      </w:r>
      <w:bookmarkEnd w:id="137"/>
      <w:bookmarkEnd w:id="138"/>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by No. 73 of 2006 s. 23.]</w:t>
      </w:r>
    </w:p>
    <w:p>
      <w:pPr>
        <w:pStyle w:val="Heading5"/>
        <w:rPr>
          <w:snapToGrid w:val="0"/>
        </w:rPr>
      </w:pPr>
      <w:bookmarkStart w:id="139" w:name="_Toc406080036"/>
      <w:bookmarkStart w:id="140" w:name="_Toc423530465"/>
      <w:r>
        <w:rPr>
          <w:rStyle w:val="CharSectno"/>
        </w:rPr>
        <w:t>27</w:t>
      </w:r>
      <w:r>
        <w:rPr>
          <w:snapToGrid w:val="0"/>
        </w:rPr>
        <w:t>.</w:t>
      </w:r>
      <w:r>
        <w:rPr>
          <w:snapToGrid w:val="0"/>
        </w:rPr>
        <w:tab/>
        <w:t>Question of law, Commission may state to Supreme Court</w:t>
      </w:r>
      <w:bookmarkEnd w:id="139"/>
      <w:bookmarkEnd w:id="140"/>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by No. 45 of 2004 s. 37; No. 73 of 2006 s. 24 and 106.]</w:t>
      </w:r>
    </w:p>
    <w:p>
      <w:pPr>
        <w:pStyle w:val="Heading5"/>
        <w:rPr>
          <w:snapToGrid w:val="0"/>
        </w:rPr>
      </w:pPr>
      <w:bookmarkStart w:id="141" w:name="_Toc406080037"/>
      <w:bookmarkStart w:id="142" w:name="_Toc423530466"/>
      <w:r>
        <w:rPr>
          <w:rStyle w:val="CharSectno"/>
        </w:rPr>
        <w:t>28</w:t>
      </w:r>
      <w:r>
        <w:rPr>
          <w:snapToGrid w:val="0"/>
        </w:rPr>
        <w:t>.</w:t>
      </w:r>
      <w:r>
        <w:rPr>
          <w:snapToGrid w:val="0"/>
        </w:rPr>
        <w:tab/>
        <w:t>Appeals against Commission’s decisions</w:t>
      </w:r>
      <w:bookmarkEnd w:id="141"/>
      <w:bookmarkEnd w:id="142"/>
    </w:p>
    <w:p>
      <w:pPr>
        <w:pStyle w:val="Subsection"/>
      </w:pPr>
      <w:r>
        <w:tab/>
        <w:t>(1)</w:t>
      </w:r>
      <w:r>
        <w:tab/>
        <w:t xml:space="preserve">Subject to this section, a person who — </w:t>
      </w:r>
    </w:p>
    <w:p>
      <w:pPr>
        <w:pStyle w:val="Indenta"/>
      </w:pPr>
      <w:r>
        <w:tab/>
        <w:t>(a)</w:t>
      </w:r>
      <w:r>
        <w:tab/>
        <w:t>is a party to proceedings before the Commission (including the Director intervening in proceedings before the Commission under section 69(11));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80"/>
      </w:pPr>
      <w:r>
        <w:tab/>
      </w:r>
      <w:r>
        <w:tab/>
        <w:t>and, in any case, may make any ancillary or incidental order the Commission considers appropriate.</w:t>
      </w:r>
    </w:p>
    <w:p>
      <w:pPr>
        <w:pStyle w:val="Footnotesection"/>
        <w:spacing w:before="100"/>
        <w:ind w:left="890" w:hanging="890"/>
      </w:pPr>
      <w:r>
        <w:tab/>
        <w:t xml:space="preserve">[Section 28 amended by No. 12 of 1998 s. 15; No. 45 of 2004 s. 37; No. 73 of 2006 s. 25 and 106; No. 21 of 2008 s. 675(3).] </w:t>
      </w:r>
    </w:p>
    <w:p>
      <w:pPr>
        <w:pStyle w:val="Heading5"/>
        <w:spacing w:before="180"/>
        <w:rPr>
          <w:snapToGrid w:val="0"/>
        </w:rPr>
      </w:pPr>
      <w:bookmarkStart w:id="143" w:name="_Toc406080038"/>
      <w:bookmarkStart w:id="144" w:name="_Toc423530467"/>
      <w:r>
        <w:rPr>
          <w:rStyle w:val="CharSectno"/>
        </w:rPr>
        <w:t>29</w:t>
      </w:r>
      <w:r>
        <w:rPr>
          <w:snapToGrid w:val="0"/>
        </w:rPr>
        <w:t>.</w:t>
      </w:r>
      <w:r>
        <w:rPr>
          <w:snapToGrid w:val="0"/>
        </w:rPr>
        <w:tab/>
        <w:t>Licence or permit continues to have effect pending appeal</w:t>
      </w:r>
      <w:bookmarkEnd w:id="143"/>
      <w:bookmarkEnd w:id="144"/>
      <w:r>
        <w:rPr>
          <w:snapToGrid w:val="0"/>
        </w:rPr>
        <w:t xml:space="preserve"> </w:t>
      </w:r>
    </w:p>
    <w:p>
      <w:pPr>
        <w:pStyle w:val="Subsection"/>
        <w:spacing w:before="18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8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by No. 73 of 2006 s. 26 and 106.]</w:t>
      </w:r>
    </w:p>
    <w:p>
      <w:pPr>
        <w:pStyle w:val="Heading3"/>
      </w:pPr>
      <w:bookmarkStart w:id="145" w:name="_Toc377388828"/>
      <w:bookmarkStart w:id="146" w:name="_Toc406080039"/>
      <w:bookmarkStart w:id="147" w:name="_Toc416876026"/>
      <w:bookmarkStart w:id="148" w:name="_Toc416876380"/>
      <w:bookmarkStart w:id="149" w:name="_Toc417973062"/>
      <w:bookmarkStart w:id="150" w:name="_Toc423530468"/>
      <w:r>
        <w:rPr>
          <w:rStyle w:val="CharDivNo"/>
        </w:rPr>
        <w:t>Division 7</w:t>
      </w:r>
      <w:r>
        <w:t> — </w:t>
      </w:r>
      <w:r>
        <w:rPr>
          <w:rStyle w:val="CharDivText"/>
        </w:rPr>
        <w:t>Confidential police information</w:t>
      </w:r>
      <w:bookmarkEnd w:id="145"/>
      <w:bookmarkEnd w:id="146"/>
      <w:bookmarkEnd w:id="147"/>
      <w:bookmarkEnd w:id="148"/>
      <w:bookmarkEnd w:id="149"/>
      <w:bookmarkEnd w:id="150"/>
    </w:p>
    <w:p>
      <w:pPr>
        <w:pStyle w:val="Footnoteheading"/>
      </w:pPr>
      <w:r>
        <w:tab/>
        <w:t>[Heading inserted by No. 73 of 2006 s. 27.]</w:t>
      </w:r>
    </w:p>
    <w:p>
      <w:pPr>
        <w:pStyle w:val="Heading5"/>
        <w:spacing w:before="180"/>
      </w:pPr>
      <w:bookmarkStart w:id="151" w:name="_Toc406080040"/>
      <w:bookmarkStart w:id="152" w:name="_Toc423530469"/>
      <w:r>
        <w:rPr>
          <w:rStyle w:val="CharSectno"/>
        </w:rPr>
        <w:t>30</w:t>
      </w:r>
      <w:r>
        <w:t>.</w:t>
      </w:r>
      <w:r>
        <w:tab/>
        <w:t>Confidential police information, use and protection of</w:t>
      </w:r>
      <w:bookmarkEnd w:id="151"/>
      <w:bookmarkEnd w:id="152"/>
    </w:p>
    <w:p>
      <w:pPr>
        <w:pStyle w:val="Subsection"/>
        <w:spacing w:before="180"/>
      </w:pPr>
      <w:r>
        <w:tab/>
        <w:t>(1)</w:t>
      </w:r>
      <w:r>
        <w:tab/>
        <w:t>For the purposes of this section, the Commissioner of Police may classify as confidential any information or document held by the Commissioner of Police.</w:t>
      </w:r>
    </w:p>
    <w:p>
      <w:pPr>
        <w:pStyle w:val="Subsection"/>
        <w:spacing w:before="180"/>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rPr>
        <w:t xml:space="preserve">the Parliamentary Commissioner for Administrative Investigations appointed under section 5 of the </w:t>
      </w:r>
      <w:r>
        <w:rPr>
          <w:i/>
          <w:iCs/>
          <w:color w:val="000000"/>
          <w:szCs w:val="22"/>
        </w:rPr>
        <w:t>Parliamentary Commissioner Act 1971</w:t>
      </w:r>
      <w:r>
        <w:rPr>
          <w:color w:val="000000"/>
          <w:szCs w:val="22"/>
        </w:rPr>
        <w:t xml:space="preserve">, the Corruption and Crime Commission established under the </w:t>
      </w:r>
      <w:r>
        <w:rPr>
          <w:i/>
        </w:rPr>
        <w:t>Corruption, Crime and Misconduct Act 2003</w:t>
      </w:r>
      <w:r>
        <w:rPr>
          <w:color w:val="000000"/>
          <w:szCs w:val="22"/>
        </w:rPr>
        <w:t xml:space="preserve">, the Parliamentary Inspector of the Corruption and Crime Commission appointed under the </w:t>
      </w:r>
      <w:r>
        <w:rPr>
          <w:i/>
        </w:rPr>
        <w:t>Corruption, Crime and Misconduct Act 2003</w:t>
      </w:r>
      <w:r>
        <w:rPr>
          <w:color w:val="000000"/>
          <w:szCs w:val="22"/>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to approve a person as an approved unrestricted manager or approved restricted manager under section 102B(1), or revokes or suspends such an approval;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keepLines/>
        <w:spacing w:before="120"/>
      </w:pPr>
      <w:r>
        <w:tab/>
        <w:t>(4)</w:t>
      </w:r>
      <w:r>
        <w:tab/>
        <w:t xml:space="preserve">If the Commissioner of Police lodges an objection to an application under section 73 solely or partly on the basis of confidential police information — </w:t>
      </w:r>
    </w:p>
    <w:p>
      <w:pPr>
        <w:pStyle w:val="Indenta"/>
      </w:pPr>
      <w:r>
        <w:tab/>
        <w:t>(a)</w:t>
      </w:r>
      <w:r>
        <w:tab/>
        <w:t>the Commissioner of Police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by No. 73 of 2006 s. 27; amended by No. 56 of 2010 s. 5; No. 35 of 2014 s. 39.]</w:t>
      </w:r>
    </w:p>
    <w:p>
      <w:pPr>
        <w:pStyle w:val="Heading2"/>
      </w:pPr>
      <w:bookmarkStart w:id="153" w:name="_Toc377388830"/>
      <w:bookmarkStart w:id="154" w:name="_Toc406080041"/>
      <w:bookmarkStart w:id="155" w:name="_Toc416876028"/>
      <w:bookmarkStart w:id="156" w:name="_Toc416876382"/>
      <w:bookmarkStart w:id="157" w:name="_Toc417973064"/>
      <w:bookmarkStart w:id="158" w:name="_Toc423530470"/>
      <w:r>
        <w:rPr>
          <w:rStyle w:val="CharPartNo"/>
        </w:rPr>
        <w:t>Part 3</w:t>
      </w:r>
      <w:r>
        <w:t> — </w:t>
      </w:r>
      <w:r>
        <w:rPr>
          <w:rStyle w:val="CharPartText"/>
        </w:rPr>
        <w:t>Licences and permits</w:t>
      </w:r>
      <w:bookmarkEnd w:id="153"/>
      <w:bookmarkEnd w:id="154"/>
      <w:bookmarkEnd w:id="155"/>
      <w:bookmarkEnd w:id="156"/>
      <w:bookmarkEnd w:id="157"/>
      <w:bookmarkEnd w:id="158"/>
      <w:r>
        <w:rPr>
          <w:rStyle w:val="CharPartText"/>
        </w:rPr>
        <w:t xml:space="preserve"> </w:t>
      </w:r>
    </w:p>
    <w:p>
      <w:pPr>
        <w:pStyle w:val="Heading3"/>
        <w:rPr>
          <w:snapToGrid w:val="0"/>
        </w:rPr>
      </w:pPr>
      <w:bookmarkStart w:id="159" w:name="_Toc377388831"/>
      <w:bookmarkStart w:id="160" w:name="_Toc406080042"/>
      <w:bookmarkStart w:id="161" w:name="_Toc416876029"/>
      <w:bookmarkStart w:id="162" w:name="_Toc416876383"/>
      <w:bookmarkStart w:id="163" w:name="_Toc417973065"/>
      <w:bookmarkStart w:id="164" w:name="_Toc423530471"/>
      <w:r>
        <w:rPr>
          <w:rStyle w:val="CharDivNo"/>
        </w:rPr>
        <w:t>Division 1</w:t>
      </w:r>
      <w:r>
        <w:rPr>
          <w:snapToGrid w:val="0"/>
        </w:rPr>
        <w:t> — </w:t>
      </w:r>
      <w:r>
        <w:rPr>
          <w:rStyle w:val="CharDivText"/>
        </w:rPr>
        <w:t>General matters</w:t>
      </w:r>
      <w:bookmarkEnd w:id="159"/>
      <w:bookmarkEnd w:id="160"/>
      <w:bookmarkEnd w:id="161"/>
      <w:bookmarkEnd w:id="162"/>
      <w:bookmarkEnd w:id="163"/>
      <w:bookmarkEnd w:id="164"/>
      <w:r>
        <w:rPr>
          <w:rStyle w:val="CharDivText"/>
        </w:rPr>
        <w:t xml:space="preserve"> </w:t>
      </w:r>
    </w:p>
    <w:p>
      <w:pPr>
        <w:pStyle w:val="Heading5"/>
        <w:rPr>
          <w:snapToGrid w:val="0"/>
        </w:rPr>
      </w:pPr>
      <w:bookmarkStart w:id="165" w:name="_Toc406080043"/>
      <w:bookmarkStart w:id="166" w:name="_Toc423530472"/>
      <w:r>
        <w:rPr>
          <w:rStyle w:val="CharSectno"/>
        </w:rPr>
        <w:t>30A</w:t>
      </w:r>
      <w:r>
        <w:rPr>
          <w:snapToGrid w:val="0"/>
        </w:rPr>
        <w:t>.</w:t>
      </w:r>
      <w:r>
        <w:rPr>
          <w:snapToGrid w:val="0"/>
        </w:rPr>
        <w:tab/>
        <w:t>Licences to sell liquor, grant and nature of</w:t>
      </w:r>
      <w:bookmarkEnd w:id="165"/>
      <w:bookmarkEnd w:id="166"/>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Subsection"/>
      </w:pPr>
      <w:r>
        <w:tab/>
        <w:t>(3)</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subsection (1) that is transferable by the licensee is declared not to be personal property for the purposes of that Act.</w:t>
      </w:r>
    </w:p>
    <w:p>
      <w:pPr>
        <w:pStyle w:val="Footnotesection"/>
      </w:pPr>
      <w:r>
        <w:tab/>
        <w:t xml:space="preserve">[Section 30A inserted by No. 12 of 1998 s. 17; amended by No. 42 of 2011 s. 95 .] </w:t>
      </w:r>
    </w:p>
    <w:p>
      <w:pPr>
        <w:pStyle w:val="Heading5"/>
        <w:rPr>
          <w:snapToGrid w:val="0"/>
        </w:rPr>
      </w:pPr>
      <w:bookmarkStart w:id="167" w:name="_Toc406080044"/>
      <w:bookmarkStart w:id="168" w:name="_Toc423530473"/>
      <w:r>
        <w:rPr>
          <w:rStyle w:val="CharSectno"/>
        </w:rPr>
        <w:t>30B</w:t>
      </w:r>
      <w:r>
        <w:rPr>
          <w:snapToGrid w:val="0"/>
        </w:rPr>
        <w:t>.</w:t>
      </w:r>
      <w:r>
        <w:rPr>
          <w:snapToGrid w:val="0"/>
        </w:rPr>
        <w:tab/>
        <w:t>Power of attorney does not empower donee to act for licensee under this Act</w:t>
      </w:r>
      <w:bookmarkEnd w:id="167"/>
      <w:bookmarkEnd w:id="168"/>
      <w:r>
        <w:rPr>
          <w:snapToGrid w:val="0"/>
        </w:rPr>
        <w:t xml:space="preserve"> </w:t>
      </w:r>
    </w:p>
    <w:p>
      <w:pPr>
        <w:pStyle w:val="Subsection"/>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rPr>
          <w:snapToGrid w:val="0"/>
        </w:rPr>
      </w:pPr>
      <w:bookmarkStart w:id="169" w:name="_Toc406080045"/>
      <w:bookmarkStart w:id="170" w:name="_Toc423530474"/>
      <w:r>
        <w:rPr>
          <w:rStyle w:val="CharSectno"/>
        </w:rPr>
        <w:t>31</w:t>
      </w:r>
      <w:r>
        <w:rPr>
          <w:snapToGrid w:val="0"/>
        </w:rPr>
        <w:t>.</w:t>
      </w:r>
      <w:r>
        <w:rPr>
          <w:snapToGrid w:val="0"/>
        </w:rPr>
        <w:tab/>
        <w:t>Licences, generally</w:t>
      </w:r>
      <w:bookmarkEnd w:id="169"/>
      <w:bookmarkEnd w:id="170"/>
      <w:r>
        <w:rPr>
          <w:snapToGrid w:val="0"/>
        </w:rPr>
        <w:t xml:space="preserve"> </w:t>
      </w:r>
    </w:p>
    <w:p>
      <w:pPr>
        <w:pStyle w:val="Subsection"/>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spacing w:before="120"/>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spacing w:before="180"/>
        <w:rPr>
          <w:snapToGrid w:val="0"/>
        </w:rPr>
      </w:pPr>
      <w:bookmarkStart w:id="171" w:name="_Toc406080046"/>
      <w:bookmarkStart w:id="172" w:name="_Toc423530475"/>
      <w:r>
        <w:rPr>
          <w:rStyle w:val="CharSectno"/>
        </w:rPr>
        <w:t>32</w:t>
      </w:r>
      <w:r>
        <w:rPr>
          <w:snapToGrid w:val="0"/>
        </w:rPr>
        <w:t>.</w:t>
      </w:r>
      <w:r>
        <w:rPr>
          <w:snapToGrid w:val="0"/>
        </w:rPr>
        <w:tab/>
        <w:t>Duration of licences</w:t>
      </w:r>
      <w:bookmarkEnd w:id="171"/>
      <w:bookmarkEnd w:id="172"/>
      <w:r>
        <w:rPr>
          <w:snapToGrid w:val="0"/>
        </w:rPr>
        <w:t xml:space="preserve"> </w:t>
      </w:r>
    </w:p>
    <w:p>
      <w:pPr>
        <w:pStyle w:val="Subsection"/>
        <w:spacing w:before="120"/>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2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2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 or</w:t>
      </w:r>
    </w:p>
    <w:p>
      <w:pPr>
        <w:pStyle w:val="Indenta"/>
        <w:rPr>
          <w:snapToGrid w:val="0"/>
        </w:rPr>
      </w:pPr>
      <w:r>
        <w:rPr>
          <w:snapToGrid w:val="0"/>
        </w:rPr>
        <w:tab/>
        <w:t>(b)</w:t>
      </w:r>
      <w:r>
        <w:rPr>
          <w:snapToGrid w:val="0"/>
        </w:rPr>
        <w:tab/>
        <w:t>a protection order has effect; or</w:t>
      </w:r>
    </w:p>
    <w:p>
      <w:pPr>
        <w:pStyle w:val="Indenta"/>
        <w:rPr>
          <w:snapToGrid w:val="0"/>
        </w:rPr>
      </w:pPr>
      <w:r>
        <w:rPr>
          <w:snapToGrid w:val="0"/>
        </w:rPr>
        <w:tab/>
        <w:t>(c)</w:t>
      </w:r>
      <w:r>
        <w:rPr>
          <w:snapToGrid w:val="0"/>
        </w:rPr>
        <w:tab/>
        <w:t>an interim authorisation has effect under section 86,</w:t>
      </w:r>
    </w:p>
    <w:p>
      <w:pPr>
        <w:pStyle w:val="Subsection"/>
        <w:spacing w:before="100"/>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No. 73 of 2006 s. 106.] </w:t>
      </w:r>
    </w:p>
    <w:p>
      <w:pPr>
        <w:pStyle w:val="Heading5"/>
        <w:rPr>
          <w:snapToGrid w:val="0"/>
        </w:rPr>
      </w:pPr>
      <w:bookmarkStart w:id="173" w:name="_Toc406080047"/>
      <w:bookmarkStart w:id="174" w:name="_Toc423530476"/>
      <w:r>
        <w:rPr>
          <w:rStyle w:val="CharSectno"/>
        </w:rPr>
        <w:t>33</w:t>
      </w:r>
      <w:r>
        <w:rPr>
          <w:snapToGrid w:val="0"/>
        </w:rPr>
        <w:t>.</w:t>
      </w:r>
      <w:r>
        <w:rPr>
          <w:snapToGrid w:val="0"/>
        </w:rPr>
        <w:tab/>
        <w:t>Powers of licensing authority when deciding applications</w:t>
      </w:r>
      <w:bookmarkEnd w:id="173"/>
      <w:bookmarkEnd w:id="174"/>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spacing w:before="180"/>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spacing w:before="180"/>
      </w:pPr>
      <w:r>
        <w:tab/>
        <w:t>[(4)</w:t>
      </w:r>
      <w:r>
        <w:tab/>
        <w:t>deleted]</w:t>
      </w:r>
    </w:p>
    <w:p>
      <w:pPr>
        <w:pStyle w:val="Subsection"/>
        <w:spacing w:before="180"/>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spacing w:before="180"/>
        <w:rPr>
          <w:snapToGrid w:val="0"/>
        </w:rPr>
      </w:pPr>
      <w:r>
        <w:rPr>
          <w:snapToGrid w:val="0"/>
        </w:rPr>
        <w:tab/>
        <w:t>(6)</w:t>
      </w:r>
      <w:r>
        <w:rPr>
          <w:snapToGrid w:val="0"/>
        </w:rPr>
        <w:tab/>
        <w:t xml:space="preserve">Where the licensing authority is to determine whether an applicant is a fit and proper person to hold a licence or whether approval should be given to a person seeking to occupy a position of authority in a body corporate that holds a licence, or to approve a natural person as </w:t>
      </w:r>
      <w:r>
        <w:t>an approved unrestricted manager, an approved restricted manager or a trustee —</w:t>
      </w:r>
    </w:p>
    <w:p>
      <w:pPr>
        <w:pStyle w:val="Indenta"/>
        <w:rPr>
          <w:snapToGrid w:val="0"/>
        </w:rPr>
      </w:pPr>
      <w:r>
        <w:rPr>
          <w:snapToGrid w:val="0"/>
        </w:rPr>
        <w:tab/>
        <w:t>(a)</w:t>
      </w:r>
      <w:r>
        <w:rPr>
          <w:snapToGrid w:val="0"/>
        </w:rPr>
        <w:tab/>
        <w:t>the creditworthiness of that person; and</w:t>
      </w:r>
    </w:p>
    <w:p>
      <w:pPr>
        <w:pStyle w:val="Indenta"/>
        <w:rPr>
          <w:snapToGrid w:val="0"/>
        </w:rPr>
      </w:pPr>
      <w:r>
        <w:rPr>
          <w:snapToGrid w:val="0"/>
        </w:rPr>
        <w:tab/>
        <w:t>(aa)</w:t>
      </w:r>
      <w:r>
        <w:rPr>
          <w:snapToGrid w:val="0"/>
        </w:rPr>
        <w:tab/>
        <w:t>the character and reputation of that person; and</w:t>
      </w:r>
    </w:p>
    <w:p>
      <w:pPr>
        <w:pStyle w:val="Indenta"/>
        <w:rPr>
          <w:snapToGrid w:val="0"/>
        </w:rPr>
      </w:pPr>
      <w:r>
        <w:rPr>
          <w:snapToGrid w:val="0"/>
        </w:rPr>
        <w:tab/>
        <w:t>(b)</w:t>
      </w:r>
      <w:r>
        <w:rPr>
          <w:snapToGrid w:val="0"/>
        </w:rPr>
        <w:tab/>
        <w:t>the number and nature of any convictions of that person for offences in any jurisdiction; and</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spacing w:before="180"/>
        <w:rPr>
          <w:snapToGrid w:val="0"/>
        </w:rPr>
      </w:pPr>
      <w:r>
        <w:rPr>
          <w:snapToGrid w:val="0"/>
        </w:rPr>
        <w:tab/>
      </w:r>
      <w:r>
        <w:rPr>
          <w:snapToGrid w:val="0"/>
        </w:rPr>
        <w:tab/>
        <w:t>are relevant and amongst the matters to which consideration may be given.</w:t>
      </w:r>
    </w:p>
    <w:p>
      <w:pPr>
        <w:pStyle w:val="Subsection"/>
        <w:spacing w:before="180"/>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keepNext/>
        <w:spacing w:before="18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 or</w:t>
      </w:r>
    </w:p>
    <w:p>
      <w:pPr>
        <w:pStyle w:val="Indenta"/>
      </w:pPr>
      <w:r>
        <w:tab/>
        <w:t>(ca)</w:t>
      </w:r>
      <w:r>
        <w:tab/>
        <w:t>is approved as an approved unrestricted manager, an approved restricted manager or a trustee,</w:t>
      </w:r>
    </w:p>
    <w:p>
      <w:pPr>
        <w:pStyle w:val="Subsection"/>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pPr>
      <w:r>
        <w:tab/>
        <w:t>(6c)</w:t>
      </w:r>
      <w:r>
        <w:tab/>
        <w:t>The regulations may modify the operation of subsection (6b) for the purposes of applications for or in respect of an occasional licence.</w:t>
      </w:r>
    </w:p>
    <w:p>
      <w:pPr>
        <w:pStyle w:val="Subsection"/>
      </w:pPr>
      <w:r>
        <w:tab/>
        <w:t>(6D)</w:t>
      </w:r>
      <w:r>
        <w:tab/>
        <w:t>For the purposes of subsection (6)(b), the licensing authority may rely on any document issued by the Police Force of Western Australia, the Australian Federal Police or the police force of another State or a Territory that —</w:t>
      </w:r>
    </w:p>
    <w:p>
      <w:pPr>
        <w:pStyle w:val="Indenta"/>
      </w:pPr>
      <w:r>
        <w:tab/>
        <w:t>(a)</w:t>
      </w:r>
      <w:r>
        <w:tab/>
        <w:t>sets out the criminal convictions (if any) of the person for offences under the law of the State, the Commonwealth or the other State or a Territory; and</w:t>
      </w:r>
    </w:p>
    <w:p>
      <w:pPr>
        <w:pStyle w:val="Indenta"/>
      </w:pPr>
      <w:r>
        <w:tab/>
        <w:t>(b)</w:t>
      </w:r>
      <w:r>
        <w:tab/>
        <w:t>was issued not more than 30 days, or such other prescribed period, before the material time.</w:t>
      </w:r>
    </w:p>
    <w:p>
      <w:pPr>
        <w:pStyle w:val="Subsection"/>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 and</w:t>
      </w:r>
    </w:p>
    <w:p>
      <w:pPr>
        <w:pStyle w:val="Indenta"/>
        <w:rPr>
          <w:snapToGrid w:val="0"/>
        </w:rPr>
      </w:pPr>
      <w:r>
        <w:rPr>
          <w:snapToGrid w:val="0"/>
        </w:rPr>
        <w:tab/>
        <w:t>(b)</w:t>
      </w:r>
      <w:r>
        <w:rPr>
          <w:snapToGrid w:val="0"/>
        </w:rPr>
        <w:tab/>
        <w:t>the customary requirements of those persons from whom the applicant would ordinarily be expected to derive trade; and</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 xml:space="preserve">[Section 33 amended by No. 12 of 1998 s. 20; No. 73 of 2006 s. 28; No. 56 of 2010 s. 6 and 38.] </w:t>
      </w:r>
    </w:p>
    <w:p>
      <w:pPr>
        <w:pStyle w:val="Heading5"/>
        <w:rPr>
          <w:snapToGrid w:val="0"/>
        </w:rPr>
      </w:pPr>
      <w:bookmarkStart w:id="175" w:name="_Toc406080048"/>
      <w:bookmarkStart w:id="176" w:name="_Toc423530477"/>
      <w:r>
        <w:rPr>
          <w:rStyle w:val="CharSectno"/>
        </w:rPr>
        <w:t>34</w:t>
      </w:r>
      <w:r>
        <w:rPr>
          <w:snapToGrid w:val="0"/>
        </w:rPr>
        <w:t>.</w:t>
      </w:r>
      <w:r>
        <w:rPr>
          <w:snapToGrid w:val="0"/>
        </w:rPr>
        <w:tab/>
        <w:t>Certain applications not to be decided</w:t>
      </w:r>
      <w:bookmarkEnd w:id="175"/>
      <w:bookmarkEnd w:id="176"/>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 or</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 xml:space="preserve">approval </w:t>
      </w:r>
      <w:r>
        <w:t>of a</w:t>
      </w:r>
      <w:r>
        <w:rPr>
          <w:snapToGrid w:val="0"/>
        </w:rPr>
        <w:t xml:space="preserve"> person — </w:t>
      </w:r>
    </w:p>
    <w:p>
      <w:pPr>
        <w:pStyle w:val="Indenti"/>
      </w:pPr>
      <w:r>
        <w:tab/>
        <w:t>(i)</w:t>
      </w:r>
      <w:r>
        <w:tab/>
        <w:t>as an approved unrestricted manager or an approved restricted manager; or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pPr>
      <w:r>
        <w:tab/>
        <w:t>(i)</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 xml:space="preserve">The licensing authority may approve a person referred to in subsection (2)(a)(i) as </w:t>
      </w:r>
      <w:r>
        <w:t>an approved unrestricted manager or an approved restricted manager</w:t>
      </w:r>
      <w:r>
        <w:rPr>
          <w:snapToGrid w:val="0"/>
        </w:rPr>
        <w:t xml:space="preserve"> if it is satisfied that special circumstances apply.</w:t>
      </w:r>
    </w:p>
    <w:p>
      <w:pPr>
        <w:pStyle w:val="Footnotesection"/>
      </w:pPr>
      <w:r>
        <w:tab/>
        <w:t xml:space="preserve">[Section 34 amended by No. 12 of 1998 s. 21 and 97(1); No. 10 of 2001 s. 220; No. 18 of 2009 s. 51; No. 56 of 2010 s. 7 and 25.] </w:t>
      </w:r>
    </w:p>
    <w:p>
      <w:pPr>
        <w:pStyle w:val="Heading5"/>
        <w:spacing w:before="180"/>
        <w:rPr>
          <w:snapToGrid w:val="0"/>
        </w:rPr>
      </w:pPr>
      <w:bookmarkStart w:id="177" w:name="_Toc406080049"/>
      <w:bookmarkStart w:id="178" w:name="_Toc423530478"/>
      <w:r>
        <w:rPr>
          <w:rStyle w:val="CharSectno"/>
        </w:rPr>
        <w:t>35</w:t>
      </w:r>
      <w:r>
        <w:rPr>
          <w:snapToGrid w:val="0"/>
        </w:rPr>
        <w:t>.</w:t>
      </w:r>
      <w:r>
        <w:rPr>
          <w:snapToGrid w:val="0"/>
        </w:rPr>
        <w:tab/>
        <w:t>Persons who may hold licences</w:t>
      </w:r>
      <w:bookmarkEnd w:id="177"/>
      <w:bookmarkEnd w:id="178"/>
      <w:r>
        <w:rPr>
          <w:snapToGrid w:val="0"/>
        </w:rPr>
        <w:t xml:space="preserve"> </w:t>
      </w:r>
    </w:p>
    <w:p>
      <w:pPr>
        <w:pStyle w:val="Subsection"/>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 or</w:t>
      </w:r>
    </w:p>
    <w:p>
      <w:pPr>
        <w:pStyle w:val="Indenta"/>
        <w:rPr>
          <w:snapToGrid w:val="0"/>
        </w:rPr>
      </w:pPr>
      <w:r>
        <w:rPr>
          <w:snapToGrid w:val="0"/>
        </w:rPr>
        <w:tab/>
        <w:t>(b)</w:t>
      </w:r>
      <w:r>
        <w:rPr>
          <w:snapToGrid w:val="0"/>
        </w:rPr>
        <w:tab/>
        <w:t>to a body corporate; or</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179" w:name="_Toc406080050"/>
      <w:bookmarkStart w:id="180" w:name="_Toc423530479"/>
      <w:r>
        <w:rPr>
          <w:rStyle w:val="CharSectno"/>
        </w:rPr>
        <w:t>35A</w:t>
      </w:r>
      <w:r>
        <w:rPr>
          <w:snapToGrid w:val="0"/>
        </w:rPr>
        <w:t>.</w:t>
      </w:r>
      <w:r>
        <w:rPr>
          <w:snapToGrid w:val="0"/>
        </w:rPr>
        <w:tab/>
        <w:t>Trustees for unincorporated bodies</w:t>
      </w:r>
      <w:bookmarkEnd w:id="179"/>
      <w:bookmarkEnd w:id="180"/>
    </w:p>
    <w:p>
      <w:pPr>
        <w:pStyle w:val="Subsection"/>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 xml:space="preserve">Subject to section 100, a trustee may </w:t>
      </w:r>
      <w:r>
        <w:t>be a manager of the licensed</w:t>
      </w:r>
      <w:r>
        <w:rPr>
          <w:snapToGrid w:val="0"/>
        </w:rPr>
        <w:t xml:space="preserve"> premises.</w:t>
      </w:r>
    </w:p>
    <w:p>
      <w:pPr>
        <w:pStyle w:val="Footnotesection"/>
      </w:pPr>
      <w:r>
        <w:tab/>
        <w:t xml:space="preserve">[Section 35A inserted by No. 12 of 1998 s. 22; amended by No. 56 of 2010 s. 25.] </w:t>
      </w:r>
    </w:p>
    <w:p>
      <w:pPr>
        <w:pStyle w:val="Ednotesection"/>
      </w:pPr>
      <w:r>
        <w:t>[</w:t>
      </w:r>
      <w:r>
        <w:rPr>
          <w:b/>
        </w:rPr>
        <w:t>35B.</w:t>
      </w:r>
      <w:r>
        <w:rPr>
          <w:b/>
        </w:rPr>
        <w:tab/>
      </w:r>
      <w:r>
        <w:t xml:space="preserve">Deleted by No. 56 of 2010 s. 8.] </w:t>
      </w:r>
    </w:p>
    <w:p>
      <w:pPr>
        <w:pStyle w:val="Heading5"/>
        <w:rPr>
          <w:snapToGrid w:val="0"/>
        </w:rPr>
      </w:pPr>
      <w:bookmarkStart w:id="181" w:name="_Toc406080051"/>
      <w:bookmarkStart w:id="182" w:name="_Toc423530480"/>
      <w:r>
        <w:rPr>
          <w:rStyle w:val="CharSectno"/>
        </w:rPr>
        <w:t>36</w:t>
      </w:r>
      <w:r>
        <w:rPr>
          <w:snapToGrid w:val="0"/>
        </w:rPr>
        <w:t>.</w:t>
      </w:r>
      <w:r>
        <w:rPr>
          <w:snapToGrid w:val="0"/>
        </w:rPr>
        <w:tab/>
        <w:t>Two or more licences for same premises, restrictions on</w:t>
      </w:r>
      <w:bookmarkEnd w:id="181"/>
      <w:bookmarkEnd w:id="182"/>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183" w:name="_Toc406080052"/>
      <w:bookmarkStart w:id="184" w:name="_Toc423530481"/>
      <w:r>
        <w:rPr>
          <w:rStyle w:val="CharSectno"/>
        </w:rPr>
        <w:t>36A</w:t>
      </w:r>
      <w:r>
        <w:t>.</w:t>
      </w:r>
      <w:r>
        <w:tab/>
        <w:t>Petrol stations in some areas not to be granted licences</w:t>
      </w:r>
      <w:bookmarkEnd w:id="183"/>
      <w:bookmarkEnd w:id="184"/>
    </w:p>
    <w:p>
      <w:pPr>
        <w:pStyle w:val="Subsection"/>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 from the premises from which the licence is sought to be removed.</w:t>
      </w:r>
    </w:p>
    <w:p>
      <w:pPr>
        <w:pStyle w:val="Footnotesection"/>
      </w:pPr>
      <w:r>
        <w:tab/>
        <w:t>[Section 36A inserted by No. 23 of 2000 s. 5.]</w:t>
      </w:r>
    </w:p>
    <w:p>
      <w:pPr>
        <w:pStyle w:val="Heading5"/>
        <w:rPr>
          <w:snapToGrid w:val="0"/>
        </w:rPr>
      </w:pPr>
      <w:bookmarkStart w:id="185" w:name="_Toc406080053"/>
      <w:bookmarkStart w:id="186" w:name="_Toc423530482"/>
      <w:r>
        <w:rPr>
          <w:rStyle w:val="CharSectno"/>
        </w:rPr>
        <w:t>37</w:t>
      </w:r>
      <w:r>
        <w:rPr>
          <w:snapToGrid w:val="0"/>
        </w:rPr>
        <w:t>.</w:t>
      </w:r>
      <w:r>
        <w:rPr>
          <w:snapToGrid w:val="0"/>
        </w:rPr>
        <w:tab/>
        <w:t>Pre-requisites for grants of licences etc.; conditions on licences</w:t>
      </w:r>
      <w:bookmarkEnd w:id="185"/>
      <w:bookmarkEnd w:id="186"/>
    </w:p>
    <w:p>
      <w:pPr>
        <w:pStyle w:val="Subsection"/>
      </w:pPr>
      <w:r>
        <w:tab/>
        <w:t>(1A)</w:t>
      </w:r>
      <w:r>
        <w:tab/>
        <w:t xml:space="preserve">In this section — </w:t>
      </w:r>
    </w:p>
    <w:p>
      <w:pPr>
        <w:pStyle w:val="Defstart"/>
      </w:pPr>
      <w:r>
        <w:tab/>
      </w:r>
      <w:r>
        <w:rPr>
          <w:rStyle w:val="CharDefText"/>
        </w:rPr>
        <w:t>public body</w:t>
      </w:r>
      <w:r>
        <w:t xml:space="preserve"> means — </w:t>
      </w:r>
    </w:p>
    <w:p>
      <w:pPr>
        <w:pStyle w:val="Defpara"/>
      </w:pPr>
      <w:r>
        <w:tab/>
        <w:t>(a)</w:t>
      </w:r>
      <w:r>
        <w:tab/>
        <w:t xml:space="preserve">an agency or an organisation as those terms are defined in the </w:t>
      </w:r>
      <w:r>
        <w:rPr>
          <w:i/>
          <w:iCs/>
        </w:rPr>
        <w:t>Public Sector Management Act 1994</w:t>
      </w:r>
      <w:r>
        <w:t xml:space="preserve"> section 3(1); or</w:t>
      </w:r>
    </w:p>
    <w:p>
      <w:pPr>
        <w:pStyle w:val="Defpara"/>
      </w:pPr>
      <w:r>
        <w:tab/>
        <w:t>(b)</w:t>
      </w:r>
      <w:r>
        <w:tab/>
        <w:t>a body, whether incorporated or not, or the holder of an office, that is established or continued for a public purpose under a written law and that, under the authority of a written law, performs a statutory function on behalf of the State; or</w:t>
      </w:r>
    </w:p>
    <w:p>
      <w:pPr>
        <w:pStyle w:val="Defpara"/>
      </w:pPr>
      <w:r>
        <w:tab/>
        <w:t>(c)</w:t>
      </w:r>
      <w:r>
        <w:tab/>
        <w:t>a local government or regional local government; or</w:t>
      </w:r>
    </w:p>
    <w:p>
      <w:pPr>
        <w:pStyle w:val="Defpara"/>
      </w:pPr>
      <w:r>
        <w:tab/>
        <w:t>(d)</w:t>
      </w:r>
      <w:r>
        <w:tab/>
        <w:t>any other body, or the holder of an office, post or position, that is prescribed as a public body for the purposes of this definition.</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 xml:space="preserve">if the applicant, or one of the applicants, is a natural </w:t>
      </w:r>
      <w:r>
        <w:t>person — that the applicant</w:t>
      </w:r>
      <w:r>
        <w:rPr>
          <w:snapToGrid w:val="0"/>
        </w:rPr>
        <w:t xml:space="preserve"> is a fit and proper person to be a licensee of the premises to which the application relates; and</w:t>
      </w:r>
    </w:p>
    <w:p>
      <w:pPr>
        <w:pStyle w:val="Indenta"/>
        <w:rPr>
          <w:snapToGrid w:val="0"/>
        </w:rPr>
      </w:pPr>
      <w:r>
        <w:rPr>
          <w:snapToGrid w:val="0"/>
        </w:rPr>
        <w:tab/>
        <w:t>(b)</w:t>
      </w:r>
      <w:r>
        <w:rPr>
          <w:snapToGrid w:val="0"/>
        </w:rPr>
        <w:tab/>
        <w:t xml:space="preserve">if the applicant, or one of the applicants, is a body </w:t>
      </w:r>
      <w:r>
        <w:t>corporate or a public body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 and</w:t>
      </w:r>
    </w:p>
    <w:p>
      <w:pPr>
        <w:pStyle w:val="Indenta"/>
        <w:rPr>
          <w:snapToGrid w:val="0"/>
        </w:rPr>
      </w:pPr>
      <w:r>
        <w:rPr>
          <w:snapToGrid w:val="0"/>
        </w:rPr>
        <w:tab/>
        <w:t>(e)</w:t>
      </w:r>
      <w:r>
        <w:rPr>
          <w:snapToGrid w:val="0"/>
        </w:rPr>
        <w:tab/>
        <w:t>in the case of an application for — </w:t>
      </w:r>
    </w:p>
    <w:p>
      <w:pPr>
        <w:pStyle w:val="Indenti"/>
        <w:spacing w:before="60"/>
        <w:rPr>
          <w:snapToGrid w:val="0"/>
        </w:rPr>
      </w:pPr>
      <w:r>
        <w:rPr>
          <w:snapToGrid w:val="0"/>
        </w:rPr>
        <w:tab/>
        <w:t>(i)</w:t>
      </w:r>
      <w:r>
        <w:rPr>
          <w:snapToGrid w:val="0"/>
        </w:rPr>
        <w:tab/>
        <w:t>an occasional licence; or</w:t>
      </w:r>
    </w:p>
    <w:p>
      <w:pPr>
        <w:pStyle w:val="Indenti"/>
        <w:spacing w:before="60"/>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spacing w:before="60"/>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 and</w:t>
      </w:r>
    </w:p>
    <w:p>
      <w:pPr>
        <w:pStyle w:val="Indenti"/>
        <w:spacing w:before="60"/>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pPr>
      <w:r>
        <w:tab/>
        <w:t>(2A)</w:t>
      </w:r>
      <w:r>
        <w:tab/>
        <w:t xml:space="preserve">Where the licensing authority is to determine whether a person is a fit and proper person to occupy a position of authority in an association incorporated under the </w:t>
      </w:r>
      <w:r>
        <w:rPr>
          <w:i/>
          <w:iCs/>
        </w:rPr>
        <w:t>Associations Incorporation Act 1987</w:t>
      </w:r>
      <w:r>
        <w:t xml:space="preserve"> or a public body, the licensing authority may, in the absence of evidence to the contrary, assume that the person is a fit and proper person to occupy that position.</w:t>
      </w:r>
    </w:p>
    <w:p>
      <w:pPr>
        <w:pStyle w:val="Subsection"/>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rPr>
          <w:snapToGrid w:val="0"/>
        </w:rPr>
      </w:pPr>
      <w:r>
        <w:rPr>
          <w:snapToGrid w:val="0"/>
        </w:rPr>
        <w:tab/>
      </w:r>
      <w:r>
        <w:rPr>
          <w:snapToGrid w:val="0"/>
        </w:rPr>
        <w:tab/>
        <w:t>has been obtained.</w:t>
      </w:r>
    </w:p>
    <w:p>
      <w:pPr>
        <w:pStyle w:val="Subsection"/>
        <w:keepNext/>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120"/>
        <w:rPr>
          <w:snapToGrid w:val="0"/>
        </w:rPr>
      </w:pPr>
      <w:r>
        <w:rPr>
          <w:snapToGrid w:val="0"/>
        </w:rPr>
        <w:tab/>
      </w:r>
      <w:r>
        <w:rPr>
          <w:snapToGrid w:val="0"/>
        </w:rPr>
        <w:tab/>
        <w:t>would be likely to occur.</w:t>
      </w:r>
    </w:p>
    <w:p>
      <w:pPr>
        <w:pStyle w:val="Ednotesubsection"/>
        <w:spacing w:before="120"/>
      </w:pPr>
      <w:r>
        <w:tab/>
        <w:t>[(4)</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ind w:left="890" w:hanging="890"/>
      </w:pPr>
      <w:r>
        <w:tab/>
        <w:t xml:space="preserve">[Section 37 amended by No. 12 of 1998 s. 23; No. 73 of 2006 s. 30; No. 56 of 2010 s. 9 and 39.] </w:t>
      </w:r>
    </w:p>
    <w:p>
      <w:pPr>
        <w:pStyle w:val="Heading5"/>
        <w:rPr>
          <w:snapToGrid w:val="0"/>
        </w:rPr>
      </w:pPr>
      <w:bookmarkStart w:id="187" w:name="_Toc406080054"/>
      <w:bookmarkStart w:id="188" w:name="_Toc423530483"/>
      <w:r>
        <w:rPr>
          <w:rStyle w:val="CharSectno"/>
        </w:rPr>
        <w:t>37A</w:t>
      </w:r>
      <w:r>
        <w:rPr>
          <w:snapToGrid w:val="0"/>
        </w:rPr>
        <w:t>.</w:t>
      </w:r>
      <w:r>
        <w:rPr>
          <w:snapToGrid w:val="0"/>
        </w:rPr>
        <w:tab/>
        <w:t>Conviction of licensee etc., duty to inform Director</w:t>
      </w:r>
      <w:bookmarkEnd w:id="187"/>
      <w:bookmarkEnd w:id="188"/>
    </w:p>
    <w:p>
      <w:pPr>
        <w:pStyle w:val="Subsection"/>
        <w:rPr>
          <w:snapToGrid w:val="0"/>
        </w:rPr>
      </w:pPr>
      <w:r>
        <w:rPr>
          <w:snapToGrid w:val="0"/>
        </w:rPr>
        <w:tab/>
      </w:r>
      <w:r>
        <w:rPr>
          <w:snapToGrid w:val="0"/>
        </w:rPr>
        <w:tab/>
        <w:t xml:space="preserve">A licensee, a person who occupies a position of authority in a body corporate which is a </w:t>
      </w:r>
      <w:r>
        <w:t>licensee, an approved unrestricted manager or an approved restricted manager</w:t>
      </w:r>
      <w:r>
        <w:rPr>
          <w:snapToGrid w:val="0"/>
        </w:rPr>
        <w:t xml:space="preserve"> who is convicted of an offence in any jurisdiction is to inform the Director within 14 days of being convicted.</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37A inserted by No. 12 of 1998 s. 24; amended by No. 73 of 2006 s. 110; No. 56 of 2010 s. 25 and 69.]</w:t>
      </w:r>
    </w:p>
    <w:p>
      <w:pPr>
        <w:pStyle w:val="Heading5"/>
        <w:spacing w:before="180"/>
      </w:pPr>
      <w:bookmarkStart w:id="189" w:name="_Toc406080055"/>
      <w:bookmarkStart w:id="190" w:name="_Toc423530484"/>
      <w:r>
        <w:rPr>
          <w:rStyle w:val="CharSectno"/>
        </w:rPr>
        <w:t>37B</w:t>
      </w:r>
      <w:r>
        <w:t>.</w:t>
      </w:r>
      <w:r>
        <w:tab/>
        <w:t>Fingerprints etc., licensing authority’s powers to obtain</w:t>
      </w:r>
      <w:bookmarkEnd w:id="189"/>
      <w:bookmarkEnd w:id="190"/>
    </w:p>
    <w:p>
      <w:pPr>
        <w:pStyle w:val="Subsection"/>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an approved unrestricted manager or an approved restricted manager.</w:t>
      </w:r>
    </w:p>
    <w:p>
      <w:pPr>
        <w:pStyle w:val="Subsection"/>
        <w:keepNext/>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an approved unrestricted manager or an approved restricted manager,</w:t>
      </w:r>
    </w:p>
    <w:p>
      <w:pPr>
        <w:pStyle w:val="Subsection"/>
        <w:spacing w:before="120"/>
      </w:pPr>
      <w:r>
        <w:tab/>
      </w:r>
      <w:r>
        <w:tab/>
        <w:t>whose fingerprints and palm prints have not been taken in accordance with an identification notice given for the purposes of an application referred to in subsection (2).</w:t>
      </w:r>
    </w:p>
    <w:p>
      <w:pPr>
        <w:pStyle w:val="Subsection"/>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spacing w:before="60"/>
      </w:pPr>
      <w:r>
        <w:tab/>
        <w:t>(a)</w:t>
      </w:r>
      <w:r>
        <w:tab/>
        <w:t xml:space="preserve">in the case of fingerprints or palm prints taken from a person to whom subsection (2) applies — </w:t>
      </w:r>
    </w:p>
    <w:p>
      <w:pPr>
        <w:pStyle w:val="Indenti"/>
        <w:spacing w:before="60"/>
      </w:pPr>
      <w:r>
        <w:tab/>
        <w:t>(i)</w:t>
      </w:r>
      <w:r>
        <w:tab/>
        <w:t>if the relevant application is not granted; or</w:t>
      </w:r>
    </w:p>
    <w:p>
      <w:pPr>
        <w:pStyle w:val="Indenti"/>
        <w:spacing w:before="60"/>
      </w:pPr>
      <w:r>
        <w:tab/>
        <w:t>(ii)</w:t>
      </w:r>
      <w:r>
        <w:tab/>
        <w:t>if, after the relevant application is granted, the person ceases to be a licensee, to occupy a position of authority in a body corporate that is a licensee, or to be an approved unrestricted manager or an approved restricted manager;</w:t>
      </w:r>
    </w:p>
    <w:p>
      <w:pPr>
        <w:pStyle w:val="Indenta"/>
        <w:spacing w:before="60"/>
      </w:pPr>
      <w:r>
        <w:tab/>
      </w:r>
      <w:r>
        <w:tab/>
        <w:t>or</w:t>
      </w:r>
    </w:p>
    <w:p>
      <w:pPr>
        <w:pStyle w:val="Indenta"/>
        <w:spacing w:before="60"/>
      </w:pPr>
      <w:r>
        <w:tab/>
        <w:t>(b)</w:t>
      </w:r>
      <w:r>
        <w:tab/>
        <w:t>in the case of fingerprints or palm prints taken from a person to whom subsection (3) applies — if the person ceases to be a licensee, to occupy a position of authority in a body corporate that is a licensee, or to be an approved unrestricted manager or an approved restricted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by No. 73 of 2006 s. 31; No. 56 of 2010 s. 10.]</w:t>
      </w:r>
    </w:p>
    <w:p>
      <w:pPr>
        <w:pStyle w:val="Heading3"/>
      </w:pPr>
      <w:bookmarkStart w:id="191" w:name="_Toc377388845"/>
      <w:bookmarkStart w:id="192" w:name="_Toc406080056"/>
      <w:bookmarkStart w:id="193" w:name="_Toc416876043"/>
      <w:bookmarkStart w:id="194" w:name="_Toc416876397"/>
      <w:bookmarkStart w:id="195" w:name="_Toc417973079"/>
      <w:bookmarkStart w:id="196" w:name="_Toc423530485"/>
      <w:r>
        <w:rPr>
          <w:rStyle w:val="CharDivNo"/>
        </w:rPr>
        <w:t>Division 2</w:t>
      </w:r>
      <w:r>
        <w:t> — </w:t>
      </w:r>
      <w:r>
        <w:rPr>
          <w:rStyle w:val="CharDivText"/>
        </w:rPr>
        <w:t>Licences</w:t>
      </w:r>
      <w:bookmarkEnd w:id="191"/>
      <w:bookmarkEnd w:id="192"/>
      <w:bookmarkEnd w:id="193"/>
      <w:bookmarkEnd w:id="194"/>
      <w:bookmarkEnd w:id="195"/>
      <w:bookmarkEnd w:id="196"/>
    </w:p>
    <w:p>
      <w:pPr>
        <w:pStyle w:val="Footnoteheading"/>
        <w:rPr>
          <w:snapToGrid w:val="0"/>
        </w:rPr>
      </w:pPr>
      <w:r>
        <w:tab/>
        <w:t>[Heading inserted by No. 73 of 2006 s. 32.]</w:t>
      </w:r>
    </w:p>
    <w:p>
      <w:pPr>
        <w:pStyle w:val="Heading5"/>
      </w:pPr>
      <w:bookmarkStart w:id="197" w:name="_Toc406080057"/>
      <w:bookmarkStart w:id="198" w:name="_Toc423530486"/>
      <w:r>
        <w:rPr>
          <w:rStyle w:val="CharSectno"/>
        </w:rPr>
        <w:t>38</w:t>
      </w:r>
      <w:r>
        <w:t>.</w:t>
      </w:r>
      <w:r>
        <w:tab/>
        <w:t>Some applications not to be granted unless in the public interest</w:t>
      </w:r>
      <w:bookmarkEnd w:id="197"/>
      <w:bookmarkEnd w:id="198"/>
    </w:p>
    <w:p>
      <w:pPr>
        <w:pStyle w:val="Subsection"/>
      </w:pPr>
      <w:r>
        <w:tab/>
        <w:t>(1)</w:t>
      </w:r>
      <w:r>
        <w:tab/>
        <w:t xml:space="preserve">Subsection (2) applies to — </w:t>
      </w:r>
    </w:p>
    <w:p>
      <w:pPr>
        <w:pStyle w:val="Indenta"/>
        <w:spacing w:before="60"/>
      </w:pPr>
      <w:r>
        <w:tab/>
        <w:t>(a)</w:t>
      </w:r>
      <w:r>
        <w:tab/>
        <w:t>an application for the grant or removal of a licence; or</w:t>
      </w:r>
    </w:p>
    <w:p>
      <w:pPr>
        <w:pStyle w:val="Indenta"/>
        <w:spacing w:before="60"/>
      </w:pPr>
      <w:r>
        <w:tab/>
        <w:t>(b)</w:t>
      </w:r>
      <w:r>
        <w:tab/>
        <w:t>an application for a permit of a kind prescribed; or</w:t>
      </w:r>
    </w:p>
    <w:p>
      <w:pPr>
        <w:pStyle w:val="Indenta"/>
        <w:spacing w:before="60"/>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pPr>
      <w:r>
        <w:tab/>
        <w:t>(3)</w:t>
      </w:r>
      <w:r>
        <w:tab/>
        <w:t xml:space="preserve">For the purposes of subsection (2), the applicant must provide to the licensing authority — </w:t>
      </w:r>
    </w:p>
    <w:p>
      <w:pPr>
        <w:pStyle w:val="Indenta"/>
        <w:spacing w:before="60"/>
      </w:pPr>
      <w:r>
        <w:tab/>
        <w:t>(a)</w:t>
      </w:r>
      <w:r>
        <w:tab/>
        <w:t>any prescribed document or information; and</w:t>
      </w:r>
    </w:p>
    <w:p>
      <w:pPr>
        <w:pStyle w:val="Indenta"/>
        <w:spacing w:before="60"/>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the impact on the amenity of the locality in which the licensed premises, or proposed licensed premises are, or are to be, situated; and</w:t>
      </w:r>
    </w:p>
    <w:p>
      <w:pPr>
        <w:pStyle w:val="Indenta"/>
        <w:spacing w:before="60"/>
      </w:pPr>
      <w:r>
        <w:tab/>
        <w:t>(c)</w:t>
      </w:r>
      <w:r>
        <w:tab/>
        <w:t>whether offence, annoyance, disturbance or inconvenience might be caused to people who reside or work in the vicinity of the licensed premises or proposed licensed premises; and</w:t>
      </w:r>
    </w:p>
    <w:p>
      <w:pPr>
        <w:pStyle w:val="Indenta"/>
        <w:spacing w:before="60"/>
      </w:pPr>
      <w:r>
        <w:tab/>
        <w:t>(d)</w:t>
      </w:r>
      <w:r>
        <w:tab/>
        <w:t>any other prescribed matter.</w:t>
      </w:r>
    </w:p>
    <w:p>
      <w:pPr>
        <w:pStyle w:val="Subsection"/>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pPr>
      <w:r>
        <w:tab/>
        <w:t>(6)</w:t>
      </w:r>
      <w:r>
        <w:tab/>
        <w:t>A decision by the Director under subsection (1)(c) or (5) in relation to an application is not subject to review under section 25.</w:t>
      </w:r>
    </w:p>
    <w:p>
      <w:pPr>
        <w:pStyle w:val="Footnotesection"/>
      </w:pPr>
      <w:r>
        <w:tab/>
        <w:t>[Section 38 inserted by No. 73 of 2006 s. 33; amended by No. 56 of 2010 s. 40.]</w:t>
      </w:r>
    </w:p>
    <w:p>
      <w:pPr>
        <w:pStyle w:val="Heading5"/>
        <w:rPr>
          <w:snapToGrid w:val="0"/>
        </w:rPr>
      </w:pPr>
      <w:bookmarkStart w:id="199" w:name="_Toc406080058"/>
      <w:bookmarkStart w:id="200" w:name="_Toc423530487"/>
      <w:r>
        <w:rPr>
          <w:rStyle w:val="CharSectno"/>
        </w:rPr>
        <w:t>39</w:t>
      </w:r>
      <w:r>
        <w:rPr>
          <w:snapToGrid w:val="0"/>
        </w:rPr>
        <w:t>.</w:t>
      </w:r>
      <w:r>
        <w:rPr>
          <w:snapToGrid w:val="0"/>
        </w:rPr>
        <w:tab/>
        <w:t>Certificate of local government as to whether premises comply with laws</w:t>
      </w:r>
      <w:bookmarkEnd w:id="199"/>
      <w:bookmarkEnd w:id="200"/>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spacing w:before="70"/>
        <w:rPr>
          <w:snapToGrid w:val="0"/>
        </w:rPr>
      </w:pPr>
      <w:r>
        <w:rPr>
          <w:snapToGrid w:val="0"/>
        </w:rPr>
        <w:tab/>
        <w:t>(a)</w:t>
      </w:r>
      <w:r>
        <w:rPr>
          <w:snapToGrid w:val="0"/>
        </w:rPr>
        <w:tab/>
        <w:t>whether or not the premises comply with all relevant requirements of — </w:t>
      </w:r>
    </w:p>
    <w:p>
      <w:pPr>
        <w:pStyle w:val="Indenti"/>
        <w:spacing w:before="70"/>
        <w:rPr>
          <w:snapToGrid w:val="0"/>
        </w:rPr>
      </w:pPr>
      <w:r>
        <w:rPr>
          <w:snapToGrid w:val="0"/>
        </w:rPr>
        <w:tab/>
        <w:t>(i)</w:t>
      </w:r>
      <w:r>
        <w:rPr>
          <w:snapToGrid w:val="0"/>
        </w:rPr>
        <w:tab/>
        <w:t xml:space="preserve">the </w:t>
      </w:r>
      <w:r>
        <w:rPr>
          <w:i/>
          <w:snapToGrid w:val="0"/>
        </w:rPr>
        <w:t>Health Act 1911</w:t>
      </w:r>
      <w:r>
        <w:rPr>
          <w:snapToGrid w:val="0"/>
        </w:rPr>
        <w:t>; and</w:t>
      </w:r>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 and</w:t>
      </w:r>
    </w:p>
    <w:p>
      <w:pPr>
        <w:pStyle w:val="Indenti"/>
        <w:rPr>
          <w:snapToGrid w:val="0"/>
        </w:rPr>
      </w:pPr>
      <w:r>
        <w:rPr>
          <w:snapToGrid w:val="0"/>
        </w:rPr>
        <w:tab/>
        <w:t>(ii)</w:t>
      </w:r>
      <w:r>
        <w:rPr>
          <w:snapToGrid w:val="0"/>
        </w:rPr>
        <w:tab/>
        <w:t>any written law applying to the sewerage or drainage of those premises; and</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iCs/>
        </w:rPr>
        <w:t>Building Act 2011</w:t>
      </w:r>
      <w: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amended by No. 43 of 2008 s. 148(2); No. 24 of 2011 s. 165(2).] </w:t>
      </w:r>
    </w:p>
    <w:p>
      <w:pPr>
        <w:pStyle w:val="Heading5"/>
        <w:rPr>
          <w:snapToGrid w:val="0"/>
        </w:rPr>
      </w:pPr>
      <w:bookmarkStart w:id="201" w:name="_Toc406080059"/>
      <w:bookmarkStart w:id="202" w:name="_Toc423530488"/>
      <w:r>
        <w:rPr>
          <w:rStyle w:val="CharSectno"/>
        </w:rPr>
        <w:t>40</w:t>
      </w:r>
      <w:r>
        <w:rPr>
          <w:snapToGrid w:val="0"/>
        </w:rPr>
        <w:t>.</w:t>
      </w:r>
      <w:r>
        <w:rPr>
          <w:snapToGrid w:val="0"/>
        </w:rPr>
        <w:tab/>
        <w:t>Certificate of planning authority as to whether use of premises complies with planning laws</w:t>
      </w:r>
      <w:bookmarkEnd w:id="201"/>
      <w:bookmarkEnd w:id="202"/>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authority responsible for planning matters in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 or</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w:t>
      </w:r>
    </w:p>
    <w:p>
      <w:pPr>
        <w:pStyle w:val="Heading5"/>
        <w:rPr>
          <w:snapToGrid w:val="0"/>
        </w:rPr>
      </w:pPr>
      <w:bookmarkStart w:id="203" w:name="_Toc406080060"/>
      <w:bookmarkStart w:id="204" w:name="_Toc423530489"/>
      <w:r>
        <w:rPr>
          <w:rStyle w:val="CharSectno"/>
        </w:rPr>
        <w:t>41</w:t>
      </w:r>
      <w:r>
        <w:rPr>
          <w:snapToGrid w:val="0"/>
        </w:rPr>
        <w:t>.</w:t>
      </w:r>
      <w:r>
        <w:rPr>
          <w:snapToGrid w:val="0"/>
        </w:rPr>
        <w:tab/>
        <w:t>Hotel licence, kinds, conditions and effect of</w:t>
      </w:r>
      <w:bookmarkEnd w:id="203"/>
      <w:bookmarkEnd w:id="204"/>
    </w:p>
    <w:p>
      <w:pPr>
        <w:pStyle w:val="Subsection"/>
      </w:pPr>
      <w:r>
        <w:tab/>
        <w:t>(1aa)</w:t>
      </w:r>
      <w:r>
        <w:tab/>
        <w:t xml:space="preserve">For the purposes of this Act, where a hotel licence is not subject to any condition referred to in subsection (4) and is subject to — </w:t>
      </w:r>
    </w:p>
    <w:p>
      <w:pPr>
        <w:pStyle w:val="Indenta"/>
      </w:pPr>
      <w:r>
        <w:tab/>
        <w:t>(a)</w:t>
      </w:r>
      <w:r>
        <w:tab/>
        <w:t>a condition prohibiting the sale of packaged liquor; and</w:t>
      </w:r>
    </w:p>
    <w:p>
      <w:pPr>
        <w:pStyle w:val="Indenta"/>
      </w:pPr>
      <w:r>
        <w:tab/>
        <w:t>(b)</w:t>
      </w:r>
      <w:r>
        <w:tab/>
        <w:t>a condition limiting the number of persons who may be on the licensed premises to a maximum of 120,</w:t>
      </w:r>
    </w:p>
    <w:p>
      <w:pPr>
        <w:pStyle w:val="Subsection"/>
        <w:spacing w:before="120"/>
      </w:pPr>
      <w:r>
        <w:tab/>
      </w:r>
      <w:r>
        <w:tab/>
        <w:t>it is to be referred to as a small bar licence, and an application may be made for a small bar licence if the applicant does not seek another kind of hotel licence.</w:t>
      </w:r>
    </w:p>
    <w:p>
      <w:pPr>
        <w:pStyle w:val="Subsection"/>
        <w:spacing w:before="12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any condition referred to in subsection (4) and is not a small bar licence</w:t>
      </w:r>
      <w:r>
        <w:rPr>
          <w:snapToGrid w:val="0"/>
        </w:rPr>
        <w:t xml:space="preserve">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 xml:space="preserve">restricting </w:t>
      </w:r>
      <w:r>
        <w:t>the sale of liquor to be consumed</w:t>
      </w:r>
      <w:r>
        <w:rPr>
          <w:snapToGrid w:val="0"/>
        </w:rPr>
        <w:t xml:space="preserve"> on the licensed premises,</w:t>
      </w:r>
    </w:p>
    <w:p>
      <w:pPr>
        <w:pStyle w:val="Indenta"/>
        <w:keepNext/>
      </w:pPr>
      <w:r>
        <w:rPr>
          <w:snapToGrid w:val="0"/>
        </w:rPr>
        <w:tab/>
      </w:r>
      <w:r>
        <w:rPr>
          <w:snapToGrid w:val="0"/>
        </w:rPr>
        <w:tab/>
        <w:t>it shall be referred to as a hotel restricted</w:t>
      </w:r>
      <w:r>
        <w:t xml:space="preserve"> licence; and</w:t>
      </w:r>
    </w:p>
    <w:p>
      <w:pPr>
        <w:pStyle w:val="Indenta"/>
      </w:pPr>
      <w:r>
        <w:tab/>
        <w:t>(c)</w:t>
      </w:r>
      <w:r>
        <w:tab/>
        <w:t xml:space="preserve">where a tavern licence is subject to a condition — </w:t>
      </w:r>
    </w:p>
    <w:p>
      <w:pPr>
        <w:pStyle w:val="Indenti"/>
      </w:pPr>
      <w:r>
        <w:tab/>
        <w:t>(i)</w:t>
      </w:r>
      <w:r>
        <w:tab/>
        <w:t>prohibiting the sale of packaged liquor; and</w:t>
      </w:r>
    </w:p>
    <w:p>
      <w:pPr>
        <w:pStyle w:val="Indenti"/>
      </w:pPr>
      <w:r>
        <w:tab/>
        <w:t>(ii)</w:t>
      </w:r>
      <w:r>
        <w:tab/>
        <w:t>restricting the sale of liquor to be consumed on the licensed premises,</w:t>
      </w:r>
    </w:p>
    <w:p>
      <w:pPr>
        <w:pStyle w:val="Indenta"/>
        <w:rPr>
          <w:snapToGrid w:val="0"/>
        </w:rPr>
      </w:pPr>
      <w:r>
        <w:tab/>
      </w:r>
      <w:r>
        <w:tab/>
        <w:t>it shall be referred to as a tavern restricted licence,</w:t>
      </w:r>
    </w:p>
    <w:p>
      <w:pPr>
        <w:pStyle w:val="Subsection"/>
        <w:spacing w:before="180"/>
        <w:rPr>
          <w:snapToGrid w:val="0"/>
        </w:rPr>
      </w:pPr>
      <w:r>
        <w:rPr>
          <w:snapToGrid w:val="0"/>
        </w:rPr>
        <w:tab/>
      </w:r>
      <w:r>
        <w:rPr>
          <w:snapToGrid w:val="0"/>
        </w:rPr>
        <w:tab/>
        <w:t>and an application may be made for a tavern licence</w:t>
      </w:r>
      <w:r>
        <w:t xml:space="preserve"> or a tavern restricted licence</w:t>
      </w:r>
      <w:r>
        <w:rPr>
          <w:snapToGrid w:val="0"/>
        </w:rPr>
        <w:t xml:space="preserve"> if the applicant does not seek a licence for a hotel offering accommodation, or for a hotel restricted licence only.</w:t>
      </w:r>
    </w:p>
    <w:p>
      <w:pPr>
        <w:pStyle w:val="Subsection"/>
        <w:spacing w:before="180"/>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may sell liquor on the premises to any person for consumption on the premises; and</w:t>
      </w:r>
    </w:p>
    <w:p>
      <w:pPr>
        <w:pStyle w:val="Indenta"/>
      </w:pPr>
      <w:r>
        <w:tab/>
        <w:t>(b)</w:t>
      </w:r>
      <w:r>
        <w:tab/>
        <w:t>may, unless the licence is a small bar licence or a hotel restricted licence, sell packaged liquor on and from the premises to any person.</w:t>
      </w:r>
    </w:p>
    <w:p>
      <w:pPr>
        <w:pStyle w:val="Subsection"/>
        <w:spacing w:before="180"/>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spacing w:before="180"/>
      </w:pPr>
      <w:r>
        <w:tab/>
        <w:t>(4)</w:t>
      </w:r>
      <w:r>
        <w:tab/>
        <w:t xml:space="preserve">Unless it is a small bar licence or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spacing w:before="180"/>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spacing w:before="120"/>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 or</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spacing w:before="180"/>
        <w:rPr>
          <w:snapToGrid w:val="0"/>
        </w:rPr>
      </w:pPr>
      <w:r>
        <w:rPr>
          <w:snapToGrid w:val="0"/>
        </w:rPr>
        <w:tab/>
      </w:r>
      <w:r>
        <w:rPr>
          <w:snapToGrid w:val="0"/>
        </w:rPr>
        <w:tab/>
        <w:t xml:space="preserve">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w:t>
      </w:r>
      <w:r>
        <w:t>licence or a tavern restricted licence.</w:t>
      </w:r>
    </w:p>
    <w:p>
      <w:pPr>
        <w:pStyle w:val="Subsection"/>
        <w:spacing w:before="180"/>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spacing w:before="80"/>
        <w:ind w:left="890" w:hanging="890"/>
      </w:pPr>
      <w:r>
        <w:tab/>
        <w:t xml:space="preserve">[Section 41 amended by No. 12 of 1998 s. 27; No. 26 of 2001 s. 4; No. 73 of 2006 s. 34 and 108; No. 56 of 2010 s. 41.] </w:t>
      </w:r>
    </w:p>
    <w:p>
      <w:pPr>
        <w:pStyle w:val="Heading5"/>
        <w:spacing w:before="240"/>
        <w:rPr>
          <w:snapToGrid w:val="0"/>
        </w:rPr>
      </w:pPr>
      <w:bookmarkStart w:id="205" w:name="_Toc406080061"/>
      <w:bookmarkStart w:id="206" w:name="_Toc423530490"/>
      <w:r>
        <w:rPr>
          <w:rStyle w:val="CharSectno"/>
        </w:rPr>
        <w:t>42</w:t>
      </w:r>
      <w:r>
        <w:rPr>
          <w:snapToGrid w:val="0"/>
        </w:rPr>
        <w:t>.</w:t>
      </w:r>
      <w:r>
        <w:rPr>
          <w:snapToGrid w:val="0"/>
        </w:rPr>
        <w:tab/>
        <w:t>Nightclub licence, effect and conditions of</w:t>
      </w:r>
      <w:bookmarkEnd w:id="205"/>
      <w:bookmarkEnd w:id="206"/>
    </w:p>
    <w:p>
      <w:pPr>
        <w:pStyle w:val="Subsection"/>
        <w:spacing w:before="180"/>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spacing w:before="180"/>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spacing w:before="180"/>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pPr>
      <w:r>
        <w:tab/>
        <w:t>[Section 42 amended by No. 73 of 2006 s. 107.]</w:t>
      </w:r>
    </w:p>
    <w:p>
      <w:pPr>
        <w:pStyle w:val="Heading5"/>
        <w:spacing w:before="240"/>
        <w:rPr>
          <w:snapToGrid w:val="0"/>
        </w:rPr>
      </w:pPr>
      <w:bookmarkStart w:id="207" w:name="_Toc406080062"/>
      <w:bookmarkStart w:id="208" w:name="_Toc423530491"/>
      <w:r>
        <w:rPr>
          <w:rStyle w:val="CharSectno"/>
        </w:rPr>
        <w:t>43</w:t>
      </w:r>
      <w:r>
        <w:rPr>
          <w:snapToGrid w:val="0"/>
        </w:rPr>
        <w:t>.</w:t>
      </w:r>
      <w:r>
        <w:rPr>
          <w:snapToGrid w:val="0"/>
        </w:rPr>
        <w:tab/>
        <w:t>N</w:t>
      </w:r>
      <w:r>
        <w:t xml:space="preserve">ightclub </w:t>
      </w:r>
      <w:r>
        <w:rPr>
          <w:snapToGrid w:val="0"/>
        </w:rPr>
        <w:t>licence, pre-requisites for grant of</w:t>
      </w:r>
      <w:bookmarkEnd w:id="207"/>
      <w:bookmarkEnd w:id="208"/>
    </w:p>
    <w:p>
      <w:pPr>
        <w:pStyle w:val="Subsection"/>
        <w:spacing w:before="180"/>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keepNext/>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ind w:left="890" w:hanging="890"/>
      </w:pPr>
      <w:r>
        <w:tab/>
        <w:t>[Section 43 amended by No. 73 of 2006 s. 107.]</w:t>
      </w:r>
    </w:p>
    <w:p>
      <w:pPr>
        <w:pStyle w:val="Heading5"/>
        <w:keepNext w:val="0"/>
        <w:keepLines w:val="0"/>
        <w:spacing w:before="180"/>
        <w:rPr>
          <w:snapToGrid w:val="0"/>
        </w:rPr>
      </w:pPr>
      <w:bookmarkStart w:id="209" w:name="_Toc406080063"/>
      <w:bookmarkStart w:id="210" w:name="_Toc423530492"/>
      <w:r>
        <w:rPr>
          <w:rStyle w:val="CharSectno"/>
        </w:rPr>
        <w:t>44</w:t>
      </w:r>
      <w:r>
        <w:rPr>
          <w:snapToGrid w:val="0"/>
        </w:rPr>
        <w:t>.</w:t>
      </w:r>
      <w:r>
        <w:rPr>
          <w:snapToGrid w:val="0"/>
        </w:rPr>
        <w:tab/>
        <w:t>Casino liquor licence, effect and conditions of</w:t>
      </w:r>
      <w:bookmarkEnd w:id="209"/>
      <w:bookmarkEnd w:id="210"/>
    </w:p>
    <w:p>
      <w:pPr>
        <w:pStyle w:val="Subsection"/>
        <w:spacing w:before="180"/>
        <w:rPr>
          <w:snapToGrid w:val="0"/>
        </w:rPr>
      </w:pPr>
      <w:r>
        <w:rPr>
          <w:snapToGrid w:val="0"/>
        </w:rPr>
        <w:tab/>
        <w:t>(1)</w:t>
      </w:r>
      <w:r>
        <w:rPr>
          <w:snapToGrid w:val="0"/>
        </w:rPr>
        <w:tab/>
        <w:t>Subject to this 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spacing w:before="180"/>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spacing w:before="180"/>
        <w:rPr>
          <w:snapToGrid w:val="0"/>
        </w:rPr>
      </w:pPr>
      <w:r>
        <w:rPr>
          <w:snapToGrid w:val="0"/>
        </w:rPr>
        <w:tab/>
      </w:r>
      <w:r>
        <w:rPr>
          <w:snapToGrid w:val="0"/>
        </w:rPr>
        <w:tab/>
        <w:t>by reference to the respective areas defined.</w:t>
      </w:r>
    </w:p>
    <w:p>
      <w:pPr>
        <w:pStyle w:val="Subsection"/>
        <w:spacing w:before="180"/>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 No. 73 of 2006 s. 107.]</w:t>
      </w:r>
    </w:p>
    <w:p>
      <w:pPr>
        <w:pStyle w:val="Heading5"/>
        <w:rPr>
          <w:snapToGrid w:val="0"/>
        </w:rPr>
      </w:pPr>
      <w:bookmarkStart w:id="211" w:name="_Toc406080064"/>
      <w:bookmarkStart w:id="212" w:name="_Toc423530493"/>
      <w:r>
        <w:rPr>
          <w:rStyle w:val="CharSectno"/>
        </w:rPr>
        <w:t>45</w:t>
      </w:r>
      <w:r>
        <w:rPr>
          <w:snapToGrid w:val="0"/>
        </w:rPr>
        <w:t>.</w:t>
      </w:r>
      <w:r>
        <w:rPr>
          <w:snapToGrid w:val="0"/>
        </w:rPr>
        <w:tab/>
        <w:t>Casino liquor licence, pre-requisites for grant of</w:t>
      </w:r>
      <w:bookmarkEnd w:id="211"/>
      <w:bookmarkEnd w:id="212"/>
    </w:p>
    <w:p>
      <w:pPr>
        <w:pStyle w:val="Subsection"/>
        <w:spacing w:before="180"/>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spacing w:before="180"/>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spacing w:before="180"/>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spacing w:before="180"/>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spacing w:before="180"/>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spacing w:before="240"/>
        <w:rPr>
          <w:snapToGrid w:val="0"/>
        </w:rPr>
      </w:pPr>
      <w:bookmarkStart w:id="213" w:name="_Toc406080065"/>
      <w:bookmarkStart w:id="214" w:name="_Toc423530494"/>
      <w:r>
        <w:rPr>
          <w:rStyle w:val="CharSectno"/>
        </w:rPr>
        <w:t>46</w:t>
      </w:r>
      <w:r>
        <w:rPr>
          <w:snapToGrid w:val="0"/>
        </w:rPr>
        <w:t>.</w:t>
      </w:r>
      <w:r>
        <w:rPr>
          <w:snapToGrid w:val="0"/>
        </w:rPr>
        <w:tab/>
        <w:t>Special facility licence, pre-requisites for grant of</w:t>
      </w:r>
      <w:bookmarkEnd w:id="213"/>
      <w:bookmarkEnd w:id="214"/>
    </w:p>
    <w:p>
      <w:pPr>
        <w:pStyle w:val="Subsection"/>
        <w:spacing w:before="180"/>
      </w:pPr>
      <w:r>
        <w:tab/>
        <w:t>(1)</w:t>
      </w:r>
      <w:r>
        <w:tab/>
        <w:t>The licensing authority shall not grant a special facility licence except for a prescribed purpose.</w:t>
      </w:r>
    </w:p>
    <w:p>
      <w:pPr>
        <w:pStyle w:val="Subsection"/>
        <w:spacing w:before="180"/>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spacing w:before="180"/>
      </w:pPr>
      <w:r>
        <w:tab/>
      </w:r>
      <w:r>
        <w:tab/>
        <w:t>is not possible because an approval, consent or exemption required under another written law cannot be obtained.</w:t>
      </w:r>
    </w:p>
    <w:p>
      <w:pPr>
        <w:pStyle w:val="Subsection"/>
        <w:spacing w:before="180"/>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spacing w:before="180"/>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keepLines/>
        <w:spacing w:before="180"/>
      </w:pPr>
      <w:r>
        <w:tab/>
        <w:t>(2b)</w:t>
      </w:r>
      <w:r>
        <w:tab/>
        <w:t>The application for a special facility licence must demonstrate how the business for which the licence is sought meets any of the prescribed purposes for which a special facility licence may be granted.</w:t>
      </w:r>
    </w:p>
    <w:p>
      <w:pPr>
        <w:pStyle w:val="Subsection"/>
        <w:spacing w:before="180"/>
      </w:pPr>
      <w:r>
        <w:tab/>
        <w:t>(3)</w:t>
      </w:r>
      <w:r>
        <w:tab/>
        <w:t>If a special facility licence is granted, it must be granted on such terms and conditions as are necessary to ensure that the licence is used only for the prescribed purpose for which it is granted.</w:t>
      </w:r>
    </w:p>
    <w:p>
      <w:pPr>
        <w:pStyle w:val="Subsection"/>
        <w:spacing w:before="180"/>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spacing w:before="180"/>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spacing w:before="180"/>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ind w:left="890" w:hanging="890"/>
      </w:pPr>
      <w:r>
        <w:tab/>
        <w:t xml:space="preserve">[Section 46 inserted by No. 12 of 1998 s. 29; amended by No. 26 of 2001 s. 5(1); No. 73 of 2006 s. 35.] </w:t>
      </w:r>
    </w:p>
    <w:p>
      <w:pPr>
        <w:pStyle w:val="Heading5"/>
        <w:spacing w:before="240"/>
      </w:pPr>
      <w:bookmarkStart w:id="215" w:name="_Toc406080066"/>
      <w:bookmarkStart w:id="216" w:name="_Toc423530495"/>
      <w:r>
        <w:rPr>
          <w:rStyle w:val="CharSectno"/>
        </w:rPr>
        <w:t>46A</w:t>
      </w:r>
      <w:r>
        <w:t>.</w:t>
      </w:r>
      <w:r>
        <w:tab/>
        <w:t>Special facility licence, restrictions on varying</w:t>
      </w:r>
      <w:bookmarkEnd w:id="215"/>
      <w:bookmarkEnd w:id="216"/>
    </w:p>
    <w:p>
      <w:pPr>
        <w:pStyle w:val="Subsection"/>
        <w:spacing w:before="180"/>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keepLines/>
      </w:pPr>
      <w:r>
        <w:tab/>
        <w:t>(c)</w:t>
      </w:r>
      <w:r>
        <w:tab/>
        <w:t>issuing an extended trading permit in respect of a licence of another class,</w:t>
      </w:r>
    </w:p>
    <w:p>
      <w:pPr>
        <w:pStyle w:val="Subsection"/>
        <w:keepNext/>
        <w:keepLines/>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by No. 73 of 2006 s. 36.]</w:t>
      </w:r>
    </w:p>
    <w:p>
      <w:pPr>
        <w:pStyle w:val="Heading5"/>
        <w:spacing w:before="240"/>
      </w:pPr>
      <w:bookmarkStart w:id="217" w:name="_Toc406080067"/>
      <w:bookmarkStart w:id="218" w:name="_Toc423530496"/>
      <w:r>
        <w:rPr>
          <w:rStyle w:val="CharSectno"/>
        </w:rPr>
        <w:t>46B</w:t>
      </w:r>
      <w:r>
        <w:t>.</w:t>
      </w:r>
      <w:r>
        <w:tab/>
        <w:t>Alternatives to granting or varying special facility licences</w:t>
      </w:r>
      <w:bookmarkEnd w:id="217"/>
      <w:bookmarkEnd w:id="218"/>
    </w:p>
    <w:p>
      <w:pPr>
        <w:pStyle w:val="Subsection"/>
        <w:spacing w:before="180"/>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spacing w:before="180"/>
      </w:pPr>
      <w:r>
        <w:tab/>
        <w:t>(2)</w:t>
      </w:r>
      <w:r>
        <w:tab/>
        <w:t xml:space="preserve">The licensing authority may of its own motion or on the application of the licensee — </w:t>
      </w:r>
    </w:p>
    <w:p>
      <w:pPr>
        <w:pStyle w:val="Indenta"/>
      </w:pPr>
      <w:r>
        <w:tab/>
        <w:t>(a)</w:t>
      </w:r>
      <w:r>
        <w:tab/>
        <w:t>cancel a special facility licence; and</w:t>
      </w:r>
    </w:p>
    <w:p>
      <w:pPr>
        <w:pStyle w:val="Indenta"/>
        <w:keepNext/>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keepNext/>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ind w:left="890" w:hanging="890"/>
      </w:pPr>
      <w:r>
        <w:tab/>
        <w:t>[Section 46B inserted by No. 73 of 2006 s. 36.]</w:t>
      </w:r>
    </w:p>
    <w:p>
      <w:pPr>
        <w:pStyle w:val="Heading5"/>
        <w:keepNext w:val="0"/>
        <w:keepLines w:val="0"/>
        <w:spacing w:before="240"/>
        <w:rPr>
          <w:snapToGrid w:val="0"/>
        </w:rPr>
      </w:pPr>
      <w:bookmarkStart w:id="219" w:name="_Toc406080068"/>
      <w:bookmarkStart w:id="220" w:name="_Toc423530497"/>
      <w:r>
        <w:rPr>
          <w:rStyle w:val="CharSectno"/>
        </w:rPr>
        <w:t>47</w:t>
      </w:r>
      <w:r>
        <w:rPr>
          <w:snapToGrid w:val="0"/>
        </w:rPr>
        <w:t>.</w:t>
      </w:r>
      <w:r>
        <w:rPr>
          <w:snapToGrid w:val="0"/>
        </w:rPr>
        <w:tab/>
        <w:t>Liquor store licence, effect of</w:t>
      </w:r>
      <w:bookmarkEnd w:id="219"/>
      <w:bookmarkEnd w:id="220"/>
    </w:p>
    <w:p>
      <w:pPr>
        <w:pStyle w:val="Subsection"/>
        <w:spacing w:before="180"/>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spacing w:before="180"/>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ind w:left="890" w:hanging="890"/>
      </w:pPr>
      <w:r>
        <w:tab/>
        <w:t xml:space="preserve">[Section 47 amended by No. 12 of 1998 s. 30.] </w:t>
      </w:r>
    </w:p>
    <w:p>
      <w:pPr>
        <w:pStyle w:val="Ednotedivision"/>
        <w:spacing w:before="240"/>
      </w:pPr>
      <w:r>
        <w:t>[Heading deleted by No. 73 of 2006 s. 37.]</w:t>
      </w:r>
    </w:p>
    <w:p>
      <w:pPr>
        <w:pStyle w:val="Heading5"/>
        <w:spacing w:before="240"/>
        <w:rPr>
          <w:snapToGrid w:val="0"/>
        </w:rPr>
      </w:pPr>
      <w:bookmarkStart w:id="221" w:name="_Toc406080069"/>
      <w:bookmarkStart w:id="222" w:name="_Toc423530498"/>
      <w:r>
        <w:rPr>
          <w:rStyle w:val="CharSectno"/>
        </w:rPr>
        <w:t>48</w:t>
      </w:r>
      <w:r>
        <w:rPr>
          <w:snapToGrid w:val="0"/>
        </w:rPr>
        <w:t>.</w:t>
      </w:r>
      <w:r>
        <w:rPr>
          <w:snapToGrid w:val="0"/>
        </w:rPr>
        <w:tab/>
        <w:t>Club licence, kinds, conditions and effect of</w:t>
      </w:r>
      <w:bookmarkEnd w:id="221"/>
      <w:bookmarkEnd w:id="222"/>
    </w:p>
    <w:p>
      <w:pPr>
        <w:pStyle w:val="Subsection"/>
        <w:keepNext/>
        <w:keepLines/>
        <w:spacing w:before="120"/>
        <w:rPr>
          <w:snapToGrid w:val="0"/>
        </w:rPr>
      </w:pPr>
      <w:r>
        <w:rPr>
          <w:snapToGrid w:val="0"/>
        </w:rPr>
        <w:tab/>
        <w:t>(1)</w:t>
      </w:r>
      <w:r>
        <w:rPr>
          <w:snapToGrid w:val="0"/>
        </w:rPr>
        <w:tab/>
        <w:t>For the purposes of this Act a club licence — </w:t>
      </w:r>
    </w:p>
    <w:p>
      <w:pPr>
        <w:pStyle w:val="Indenta"/>
        <w:spacing w:before="60"/>
        <w:rPr>
          <w:snapToGrid w:val="0"/>
        </w:rPr>
      </w:pPr>
      <w:r>
        <w:rPr>
          <w:snapToGrid w:val="0"/>
        </w:rPr>
        <w:tab/>
        <w:t>(a)</w:t>
      </w:r>
      <w:r>
        <w:rPr>
          <w:snapToGrid w:val="0"/>
        </w:rPr>
        <w:tab/>
        <w:t>which is expressed to be granted as a club restricted licence; or</w:t>
      </w:r>
    </w:p>
    <w:p>
      <w:pPr>
        <w:pStyle w:val="Indenta"/>
        <w:spacing w:before="60"/>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keepNext/>
        <w:keepLines/>
        <w:spacing w:before="120"/>
        <w:rPr>
          <w:snapToGrid w:val="0"/>
        </w:rPr>
      </w:pPr>
      <w:r>
        <w:rPr>
          <w:snapToGrid w:val="0"/>
        </w:rPr>
        <w:tab/>
        <w:t>(2)</w:t>
      </w:r>
      <w:r>
        <w:rPr>
          <w:snapToGrid w:val="0"/>
        </w:rPr>
        <w:tab/>
        <w:t>Subject to this Act a club licence authorises the sale, during permitted hours, of liquor — </w:t>
      </w:r>
    </w:p>
    <w:p>
      <w:pPr>
        <w:pStyle w:val="Indenta"/>
        <w:spacing w:before="60"/>
        <w:rPr>
          <w:snapToGrid w:val="0"/>
        </w:rPr>
      </w:pPr>
      <w:r>
        <w:rPr>
          <w:snapToGrid w:val="0"/>
        </w:rPr>
        <w:tab/>
        <w:t>(a)</w:t>
      </w:r>
      <w:r>
        <w:rPr>
          <w:snapToGrid w:val="0"/>
        </w:rPr>
        <w:tab/>
        <w:t>to a member and to the guests of that member in the company of that member — </w:t>
      </w:r>
    </w:p>
    <w:p>
      <w:pPr>
        <w:pStyle w:val="Indenti"/>
        <w:keepLines/>
        <w:spacing w:before="60"/>
        <w:rPr>
          <w:snapToGrid w:val="0"/>
        </w:rPr>
      </w:pPr>
      <w:r>
        <w:rPr>
          <w:snapToGrid w:val="0"/>
        </w:rPr>
        <w:tab/>
        <w:t>(i)</w:t>
      </w:r>
      <w:r>
        <w:rPr>
          <w:snapToGrid w:val="0"/>
        </w:rPr>
        <w:tab/>
        <w:t>for consumption on the licensed premises, subject to subsection (4)(b); or</w:t>
      </w:r>
    </w:p>
    <w:p>
      <w:pPr>
        <w:pStyle w:val="Indenti"/>
        <w:spacing w:before="60"/>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spacing w:before="60"/>
        <w:rPr>
          <w:snapToGrid w:val="0"/>
        </w:rPr>
      </w:pPr>
      <w:r>
        <w:rPr>
          <w:snapToGrid w:val="0"/>
        </w:rPr>
        <w:tab/>
        <w:t>(c)</w:t>
      </w:r>
      <w:r>
        <w:rPr>
          <w:snapToGrid w:val="0"/>
        </w:rPr>
        <w:tab/>
        <w:t>to a member, if — </w:t>
      </w:r>
    </w:p>
    <w:p>
      <w:pPr>
        <w:pStyle w:val="Indenti"/>
        <w:spacing w:before="60"/>
        <w:rPr>
          <w:snapToGrid w:val="0"/>
        </w:rPr>
      </w:pPr>
      <w:r>
        <w:rPr>
          <w:snapToGrid w:val="0"/>
        </w:rPr>
        <w:tab/>
        <w:t>(i)</w:t>
      </w:r>
      <w:r>
        <w:rPr>
          <w:snapToGrid w:val="0"/>
        </w:rPr>
        <w:tab/>
        <w:t>the licence is not a club restricted licence; or</w:t>
      </w:r>
    </w:p>
    <w:p>
      <w:pPr>
        <w:pStyle w:val="Indenti"/>
        <w:spacing w:before="60"/>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spacing w:before="180"/>
        <w:rPr>
          <w:snapToGrid w:val="0"/>
        </w:rPr>
      </w:pPr>
      <w:r>
        <w:rPr>
          <w:snapToGrid w:val="0"/>
        </w:rPr>
        <w:tab/>
      </w:r>
      <w:r>
        <w:rPr>
          <w:snapToGrid w:val="0"/>
        </w:rPr>
        <w:tab/>
        <w:t>if the constitution and rules of the club, as approved by the Director, are not thereby contravened.</w:t>
      </w:r>
    </w:p>
    <w:p>
      <w:pPr>
        <w:pStyle w:val="Subsection"/>
        <w:spacing w:before="180"/>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keepNext/>
        <w:spacing w:before="180"/>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 and</w:t>
      </w:r>
    </w:p>
    <w:p>
      <w:pPr>
        <w:pStyle w:val="Indenta"/>
        <w:rPr>
          <w:snapToGrid w:val="0"/>
        </w:rPr>
      </w:pPr>
      <w:r>
        <w:rPr>
          <w:snapToGrid w:val="0"/>
        </w:rPr>
        <w:tab/>
        <w:t>(c)</w:t>
      </w:r>
      <w:r>
        <w:rPr>
          <w:snapToGrid w:val="0"/>
        </w:rPr>
        <w:tab/>
        <w:t>packaged liquor be not removed — </w:t>
      </w:r>
    </w:p>
    <w:p>
      <w:pPr>
        <w:pStyle w:val="Indenti"/>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r>
      <w:r>
        <w:rPr>
          <w:snapToGrid w:val="0"/>
        </w:rPr>
        <w:tab/>
        <w:t>and</w:t>
      </w:r>
    </w:p>
    <w:p>
      <w:pPr>
        <w:pStyle w:val="Indenta"/>
        <w:keepNext/>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 and</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pPr>
      <w:r>
        <w:tab/>
        <w:t>(5A)</w:t>
      </w:r>
      <w:r>
        <w:tab/>
        <w:t>Without limiting section 64, the Director may impose a condition on a club licence or club restricted licence requiring that any manager of the licensed premises (other than a person appointed under section 100(3)) be an approved unrestricted manager.</w:t>
      </w:r>
    </w:p>
    <w:p>
      <w:pPr>
        <w:pStyle w:val="Subsection"/>
        <w:keepNext/>
      </w:pPr>
      <w:r>
        <w:tab/>
        <w:t>(5)</w:t>
      </w:r>
      <w:r>
        <w:tab/>
        <w:t xml:space="preserve">Subject to subsection (6), a person who is on any day visiting a club (the </w:t>
      </w:r>
      <w:r>
        <w:rPr>
          <w:rStyle w:val="CharDefText"/>
        </w:rPr>
        <w:t>host club</w:t>
      </w:r>
      <w:r>
        <w:t xml:space="preserve">) as a member or an official of another club — </w:t>
      </w:r>
    </w:p>
    <w:p>
      <w:pPr>
        <w:pStyle w:val="Indenta"/>
      </w:pPr>
      <w:r>
        <w:tab/>
        <w:t>(a)</w:t>
      </w:r>
      <w:r>
        <w:tab/>
        <w:t>that is to engage in a pre</w:t>
      </w:r>
      <w:r>
        <w:noBreakHyphen/>
        <w:t>arranged event with the host club conducted for the purposes of one of the host club’s principal objects; or</w:t>
      </w:r>
    </w:p>
    <w:p>
      <w:pPr>
        <w:pStyle w:val="Indenta"/>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rules approved by the Director.</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Ednotesubsection"/>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tab/>
        <w:t>(b)</w:t>
      </w:r>
      <w:r>
        <w:rPr>
          <w:snapToGrid w:val="0"/>
        </w:rPr>
        <w:tab/>
        <w:t>effect shall be given to the endorsement as a variation of the terms of the licence fixed by this Act.</w:t>
      </w:r>
    </w:p>
    <w:p>
      <w:pPr>
        <w:pStyle w:val="Footnotesection"/>
        <w:ind w:left="890" w:hanging="890"/>
      </w:pPr>
      <w:r>
        <w:tab/>
        <w:t xml:space="preserve">[Section 48 amended by No. 12 of 1998 s. 31; No. 73 of 2006 s. 38; No. 56 of 2010 s. 11.] </w:t>
      </w:r>
    </w:p>
    <w:p>
      <w:pPr>
        <w:pStyle w:val="Heading5"/>
        <w:rPr>
          <w:snapToGrid w:val="0"/>
        </w:rPr>
      </w:pPr>
      <w:bookmarkStart w:id="223" w:name="_Toc406080070"/>
      <w:bookmarkStart w:id="224" w:name="_Toc423530499"/>
      <w:r>
        <w:rPr>
          <w:rStyle w:val="CharSectno"/>
        </w:rPr>
        <w:t>49</w:t>
      </w:r>
      <w:r>
        <w:rPr>
          <w:snapToGrid w:val="0"/>
        </w:rPr>
        <w:t>.</w:t>
      </w:r>
      <w:r>
        <w:rPr>
          <w:snapToGrid w:val="0"/>
        </w:rPr>
        <w:tab/>
        <w:t>Club licence, pre-requisites for grant of</w:t>
      </w:r>
      <w:bookmarkEnd w:id="223"/>
      <w:bookmarkEnd w:id="224"/>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1987</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 and</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 and</w:t>
      </w:r>
    </w:p>
    <w:p>
      <w:pPr>
        <w:pStyle w:val="Indenta"/>
        <w:rPr>
          <w:snapToGrid w:val="0"/>
        </w:rPr>
      </w:pPr>
      <w:r>
        <w:rPr>
          <w:snapToGrid w:val="0"/>
        </w:rPr>
        <w:tab/>
        <w:t>(b)</w:t>
      </w:r>
      <w:r>
        <w:rPr>
          <w:snapToGrid w:val="0"/>
        </w:rPr>
        <w:tab/>
        <w:t>that provision is made for regular meetings of the general body of members and of the committee of management; and</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 and</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keepLines/>
      </w:pPr>
      <w:r>
        <w:rPr>
          <w:snapToGrid w:val="0"/>
        </w:rPr>
        <w:tab/>
        <w:t>(iii)</w:t>
      </w:r>
      <w:r>
        <w:rPr>
          <w:snapToGrid w:val="0"/>
        </w:rPr>
        <w:tab/>
        <w:t xml:space="preserve">where provision is made for honorary or temporary membership — that the </w:t>
      </w:r>
      <w:r>
        <w:t>number of persons who may be admitted to such membership does not exceed any limit that the licensing authority, having regard to the nature of the club, may impose; and</w:t>
      </w:r>
    </w:p>
    <w:p>
      <w:pPr>
        <w:pStyle w:val="Indenti"/>
      </w:pPr>
      <w:r>
        <w:tab/>
        <w:t>(iv)</w:t>
      </w:r>
      <w:r>
        <w:tab/>
        <w:t xml:space="preserve">without limiting subparagraph (iii), that any provision for membership of the club by reason of reciprocal arrangements with another club is made in accordance with the regulations; </w:t>
      </w:r>
    </w:p>
    <w:p>
      <w:pPr>
        <w:pStyle w:val="Indenta"/>
        <w:rPr>
          <w:snapToGrid w:val="0"/>
        </w:rPr>
      </w:pPr>
      <w:r>
        <w:tab/>
      </w:r>
      <w:r>
        <w:tab/>
      </w:r>
      <w:r>
        <w:rPr>
          <w:snapToGrid w:val="0"/>
        </w:rPr>
        <w:t>and</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w:t>
      </w:r>
      <w:r>
        <w:t xml:space="preserve">, quarterly or monthly </w:t>
      </w:r>
      <w:r>
        <w:rPr>
          <w:snapToGrid w:val="0"/>
        </w:rPr>
        <w:t>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 and</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1987</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No. 73 of 2006 s. 39.] </w:t>
      </w:r>
    </w:p>
    <w:p>
      <w:pPr>
        <w:pStyle w:val="Heading5"/>
        <w:rPr>
          <w:snapToGrid w:val="0"/>
        </w:rPr>
      </w:pPr>
      <w:bookmarkStart w:id="225" w:name="_Toc406080071"/>
      <w:bookmarkStart w:id="226" w:name="_Toc423530500"/>
      <w:r>
        <w:rPr>
          <w:rStyle w:val="CharSectno"/>
        </w:rPr>
        <w:t>50</w:t>
      </w:r>
      <w:r>
        <w:rPr>
          <w:snapToGrid w:val="0"/>
        </w:rPr>
        <w:t>.</w:t>
      </w:r>
      <w:r>
        <w:rPr>
          <w:snapToGrid w:val="0"/>
        </w:rPr>
        <w:tab/>
        <w:t>Restaurant licence, effect and conditions of</w:t>
      </w:r>
      <w:bookmarkEnd w:id="225"/>
      <w:bookmarkEnd w:id="226"/>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keepNext/>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keepNext/>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by No. 12 of 1998 s. 33; No. 73 of 2006 s. 40 and 108.] </w:t>
      </w:r>
    </w:p>
    <w:p>
      <w:pPr>
        <w:pStyle w:val="Heading5"/>
        <w:rPr>
          <w:snapToGrid w:val="0"/>
        </w:rPr>
      </w:pPr>
      <w:bookmarkStart w:id="227" w:name="_Toc406080072"/>
      <w:bookmarkStart w:id="228" w:name="_Toc423530501"/>
      <w:r>
        <w:rPr>
          <w:rStyle w:val="CharSectno"/>
        </w:rPr>
        <w:t>51</w:t>
      </w:r>
      <w:r>
        <w:rPr>
          <w:snapToGrid w:val="0"/>
        </w:rPr>
        <w:t>.</w:t>
      </w:r>
      <w:r>
        <w:rPr>
          <w:snapToGrid w:val="0"/>
        </w:rPr>
        <w:tab/>
        <w:t>Unlicensed restaurants, supply of liquor in</w:t>
      </w:r>
      <w:bookmarkEnd w:id="227"/>
      <w:bookmarkEnd w:id="228"/>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spacing w:before="120"/>
        <w:rPr>
          <w:snapToGrid w:val="0"/>
        </w:rPr>
      </w:pPr>
      <w:r>
        <w:rPr>
          <w:snapToGrid w:val="0"/>
        </w:rPr>
        <w:tab/>
        <w:t>(4)</w:t>
      </w:r>
      <w:r>
        <w:rPr>
          <w:snapToGrid w:val="0"/>
        </w:rPr>
        <w:tab/>
        <w:t>A person who — </w:t>
      </w:r>
    </w:p>
    <w:p>
      <w:pPr>
        <w:pStyle w:val="Indenta"/>
        <w:spacing w:before="60"/>
        <w:rPr>
          <w:snapToGrid w:val="0"/>
        </w:rPr>
      </w:pPr>
      <w:r>
        <w:rPr>
          <w:snapToGrid w:val="0"/>
        </w:rPr>
        <w:tab/>
        <w:t>(a)</w:t>
      </w:r>
      <w:r>
        <w:rPr>
          <w:snapToGrid w:val="0"/>
        </w:rPr>
        <w:tab/>
        <w:t>being the occupier, or having the management or control, of an unlicensed restaurant; or</w:t>
      </w:r>
    </w:p>
    <w:p>
      <w:pPr>
        <w:pStyle w:val="Indenta"/>
        <w:keepNext/>
        <w:spacing w:before="60"/>
        <w:rPr>
          <w:snapToGrid w:val="0"/>
        </w:rPr>
      </w:pPr>
      <w:r>
        <w:rPr>
          <w:snapToGrid w:val="0"/>
        </w:rPr>
        <w:tab/>
        <w:t>(b)</w:t>
      </w:r>
      <w:r>
        <w:rPr>
          <w:snapToGrid w:val="0"/>
        </w:rPr>
        <w:tab/>
        <w:t>being employed by or the agent of such a person,</w:t>
      </w:r>
    </w:p>
    <w:p>
      <w:pPr>
        <w:pStyle w:val="Subsection"/>
        <w:spacing w:before="120"/>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spacing w:before="60"/>
        <w:rPr>
          <w:snapToGrid w:val="0"/>
        </w:rPr>
      </w:pPr>
      <w:r>
        <w:rPr>
          <w:snapToGrid w:val="0"/>
        </w:rPr>
        <w:tab/>
        <w:t xml:space="preserve">Penalty: </w:t>
      </w:r>
      <w:r>
        <w:t>a fine of</w:t>
      </w:r>
      <w:r>
        <w:rPr>
          <w:snapToGrid w:val="0"/>
        </w:rPr>
        <w:t xml:space="preserve"> $2 000.</w:t>
      </w:r>
    </w:p>
    <w:p>
      <w:pPr>
        <w:pStyle w:val="Footnotesection"/>
        <w:spacing w:before="80"/>
        <w:ind w:left="890" w:hanging="890"/>
      </w:pPr>
      <w:r>
        <w:tab/>
        <w:t xml:space="preserve">[Section 51 amended by No. 12 of 1998 s. 34; No. 73 of 2006 s. 110; No. 56 of 2010 s. 69.] </w:t>
      </w:r>
    </w:p>
    <w:p>
      <w:pPr>
        <w:pStyle w:val="Heading5"/>
        <w:spacing w:before="180"/>
        <w:rPr>
          <w:snapToGrid w:val="0"/>
        </w:rPr>
      </w:pPr>
      <w:bookmarkStart w:id="229" w:name="_Toc406080073"/>
      <w:bookmarkStart w:id="230" w:name="_Toc423530502"/>
      <w:r>
        <w:rPr>
          <w:rStyle w:val="CharSectno"/>
        </w:rPr>
        <w:t>52</w:t>
      </w:r>
      <w:r>
        <w:rPr>
          <w:snapToGrid w:val="0"/>
        </w:rPr>
        <w:t>.</w:t>
      </w:r>
      <w:r>
        <w:rPr>
          <w:snapToGrid w:val="0"/>
        </w:rPr>
        <w:tab/>
        <w:t>Liquor sold or consumed with meals, effect of extended trading permit which authorises; evidentiary provisions</w:t>
      </w:r>
      <w:bookmarkEnd w:id="229"/>
      <w:bookmarkEnd w:id="230"/>
    </w:p>
    <w:p>
      <w:pPr>
        <w:pStyle w:val="Subsection"/>
        <w:spacing w:before="120"/>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spacing w:before="120"/>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spacing w:before="60"/>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 and</w:t>
      </w:r>
    </w:p>
    <w:p>
      <w:pPr>
        <w:pStyle w:val="Indenta"/>
        <w:spacing w:before="60"/>
        <w:rPr>
          <w:snapToGrid w:val="0"/>
        </w:rPr>
      </w:pPr>
      <w:r>
        <w:rPr>
          <w:snapToGrid w:val="0"/>
        </w:rPr>
        <w:tab/>
        <w:t>(b)</w:t>
      </w:r>
      <w:r>
        <w:rPr>
          <w:snapToGrid w:val="0"/>
        </w:rPr>
        <w:tab/>
        <w:t>that the meal was served to, or was eaten by, persons seated at a dining table; and</w:t>
      </w:r>
    </w:p>
    <w:p>
      <w:pPr>
        <w:pStyle w:val="Indenta"/>
        <w:spacing w:before="60"/>
        <w:rPr>
          <w:snapToGrid w:val="0"/>
        </w:rPr>
      </w:pPr>
      <w:r>
        <w:rPr>
          <w:snapToGrid w:val="0"/>
        </w:rPr>
        <w:tab/>
        <w:t>(c)</w:t>
      </w:r>
      <w:r>
        <w:rPr>
          <w:snapToGrid w:val="0"/>
        </w:rPr>
        <w:tab/>
        <w:t>that the primary and predominant purpose of persons entering the licensed premises was to obtain a genuine meal; and</w:t>
      </w:r>
    </w:p>
    <w:p>
      <w:pPr>
        <w:pStyle w:val="Indenta"/>
        <w:spacing w:before="60"/>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231" w:name="_Toc406080074"/>
      <w:bookmarkStart w:id="232" w:name="_Toc423530503"/>
      <w:r>
        <w:rPr>
          <w:rStyle w:val="CharSectno"/>
        </w:rPr>
        <w:t>53</w:t>
      </w:r>
      <w:r>
        <w:rPr>
          <w:snapToGrid w:val="0"/>
        </w:rPr>
        <w:t>.</w:t>
      </w:r>
      <w:r>
        <w:rPr>
          <w:snapToGrid w:val="0"/>
        </w:rPr>
        <w:tab/>
        <w:t>Restaurant licence and extended trading permit, effect of may be restricted as to selling liquor with meals</w:t>
      </w:r>
      <w:bookmarkEnd w:id="231"/>
      <w:bookmarkEnd w:id="232"/>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spacing w:before="60"/>
        <w:rPr>
          <w:snapToGrid w:val="0"/>
        </w:rPr>
      </w:pPr>
      <w:r>
        <w:rPr>
          <w:snapToGrid w:val="0"/>
        </w:rPr>
        <w:tab/>
        <w:t>(a)</w:t>
      </w:r>
      <w:r>
        <w:rPr>
          <w:snapToGrid w:val="0"/>
        </w:rPr>
        <w:tab/>
        <w:t>by the imposition, on the grant of the licence or the issue of the permit, of conditions requiring — </w:t>
      </w:r>
    </w:p>
    <w:p>
      <w:pPr>
        <w:pStyle w:val="Indenti"/>
        <w:spacing w:before="60"/>
        <w:rPr>
          <w:snapToGrid w:val="0"/>
        </w:rPr>
      </w:pPr>
      <w:r>
        <w:rPr>
          <w:snapToGrid w:val="0"/>
        </w:rPr>
        <w:tab/>
        <w:t>(i)</w:t>
      </w:r>
      <w:r>
        <w:rPr>
          <w:snapToGrid w:val="0"/>
        </w:rPr>
        <w:tab/>
        <w:t>that trading be restricted to specified hours; or</w:t>
      </w:r>
    </w:p>
    <w:p>
      <w:pPr>
        <w:pStyle w:val="Indenti"/>
        <w:spacing w:before="60"/>
        <w:rPr>
          <w:snapToGrid w:val="0"/>
        </w:rPr>
      </w:pPr>
      <w:r>
        <w:rPr>
          <w:snapToGrid w:val="0"/>
        </w:rPr>
        <w:tab/>
        <w:t>(ii)</w:t>
      </w:r>
      <w:r>
        <w:rPr>
          <w:snapToGrid w:val="0"/>
        </w:rPr>
        <w:tab/>
        <w:t>that liquor be served and consumed at a dining table and not elsewhere; or</w:t>
      </w:r>
    </w:p>
    <w:p>
      <w:pPr>
        <w:pStyle w:val="Indenti"/>
        <w:spacing w:before="60"/>
        <w:rPr>
          <w:snapToGrid w:val="0"/>
        </w:rPr>
      </w:pPr>
      <w:r>
        <w:rPr>
          <w:snapToGrid w:val="0"/>
        </w:rPr>
        <w:tab/>
        <w:t>(iii)</w:t>
      </w:r>
      <w:r>
        <w:rPr>
          <w:snapToGrid w:val="0"/>
        </w:rPr>
        <w:tab/>
        <w:t>that furniture or fittings be provided or arranged in a specified manner; or</w:t>
      </w:r>
    </w:p>
    <w:p>
      <w:pPr>
        <w:pStyle w:val="Indenti"/>
        <w:spacing w:before="60"/>
        <w:rPr>
          <w:snapToGrid w:val="0"/>
        </w:rPr>
      </w:pPr>
      <w:r>
        <w:rPr>
          <w:snapToGrid w:val="0"/>
        </w:rPr>
        <w:tab/>
        <w:t>(iv)</w:t>
      </w:r>
      <w:r>
        <w:rPr>
          <w:snapToGrid w:val="0"/>
        </w:rPr>
        <w:tab/>
        <w:t>that any specified, or specified kind, of charge is not levied; or</w:t>
      </w:r>
    </w:p>
    <w:p>
      <w:pPr>
        <w:pStyle w:val="Indenti"/>
        <w:spacing w:before="60"/>
        <w:rPr>
          <w:snapToGrid w:val="0"/>
        </w:rPr>
      </w:pPr>
      <w:r>
        <w:rPr>
          <w:snapToGrid w:val="0"/>
        </w:rPr>
        <w:tab/>
        <w:t>(v)</w:t>
      </w:r>
      <w:r>
        <w:rPr>
          <w:snapToGrid w:val="0"/>
        </w:rPr>
        <w:tab/>
        <w:t>that the premises be maintained to a specified standard; or</w:t>
      </w:r>
    </w:p>
    <w:p>
      <w:pPr>
        <w:pStyle w:val="Indenti"/>
        <w:spacing w:before="60"/>
        <w:rPr>
          <w:snapToGrid w:val="0"/>
        </w:rPr>
      </w:pPr>
      <w:r>
        <w:rPr>
          <w:snapToGrid w:val="0"/>
        </w:rPr>
        <w:tab/>
        <w:t>(vi)</w:t>
      </w:r>
      <w:r>
        <w:rPr>
          <w:snapToGrid w:val="0"/>
        </w:rPr>
        <w:tab/>
        <w:t>that specified records be kept and made available for inspection on behalf of the licensing authority,</w:t>
      </w:r>
    </w:p>
    <w:p>
      <w:pPr>
        <w:pStyle w:val="Indenta"/>
        <w:spacing w:before="60"/>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spacing w:before="120"/>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spacing w:before="180"/>
      </w:pPr>
      <w:r>
        <w:t>[</w:t>
      </w:r>
      <w:r>
        <w:rPr>
          <w:b/>
        </w:rPr>
        <w:t>54.</w:t>
      </w:r>
      <w:r>
        <w:rPr>
          <w:b/>
        </w:rPr>
        <w:tab/>
      </w:r>
      <w:r>
        <w:t xml:space="preserve">Deleted by No. 12 of 1998 s. 35(1).] </w:t>
      </w:r>
    </w:p>
    <w:p>
      <w:pPr>
        <w:pStyle w:val="Heading5"/>
        <w:spacing w:before="180"/>
        <w:rPr>
          <w:snapToGrid w:val="0"/>
        </w:rPr>
      </w:pPr>
      <w:bookmarkStart w:id="233" w:name="_Toc406080075"/>
      <w:bookmarkStart w:id="234" w:name="_Toc423530504"/>
      <w:r>
        <w:rPr>
          <w:rStyle w:val="CharSectno"/>
        </w:rPr>
        <w:t>55</w:t>
      </w:r>
      <w:r>
        <w:rPr>
          <w:snapToGrid w:val="0"/>
        </w:rPr>
        <w:t>.</w:t>
      </w:r>
      <w:r>
        <w:rPr>
          <w:snapToGrid w:val="0"/>
        </w:rPr>
        <w:tab/>
        <w:t>Producer’s licence, effect of</w:t>
      </w:r>
      <w:bookmarkEnd w:id="233"/>
      <w:bookmarkEnd w:id="234"/>
    </w:p>
    <w:p>
      <w:pPr>
        <w:pStyle w:val="Subsection"/>
        <w:spacing w:before="120"/>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 xml:space="preserve">to sell on or from the licensed premises </w:t>
      </w:r>
      <w:r>
        <w:t>all or any of the following</w:t>
      </w:r>
      <w:r>
        <w:rPr>
          <w:snapToGrid w:val="0"/>
        </w:rPr>
        <w:t xml:space="preserve"> liquor produced by the licensee — </w:t>
      </w:r>
    </w:p>
    <w:p>
      <w:pPr>
        <w:pStyle w:val="Indenti"/>
        <w:rPr>
          <w:snapToGrid w:val="0"/>
        </w:rPr>
      </w:pPr>
      <w:r>
        <w:rPr>
          <w:snapToGrid w:val="0"/>
        </w:rPr>
        <w:tab/>
        <w:t>(i)</w:t>
      </w:r>
      <w:r>
        <w:rPr>
          <w:snapToGrid w:val="0"/>
        </w:rPr>
        <w:tab/>
        <w:t>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 xml:space="preserve">spirits not made from grapes, in sealed containers for consumption off the premises; </w:t>
      </w:r>
    </w:p>
    <w:p>
      <w:pPr>
        <w:pStyle w:val="Indenti"/>
        <w:spacing w:before="60"/>
        <w:rPr>
          <w:snapToGrid w:val="0"/>
        </w:rPr>
      </w:pPr>
      <w:r>
        <w:rPr>
          <w:snapToGrid w:val="0"/>
        </w:rPr>
        <w:tab/>
        <w:t>(iii)</w:t>
      </w:r>
      <w:r>
        <w:rPr>
          <w:snapToGrid w:val="0"/>
        </w:rPr>
        <w:tab/>
        <w:t xml:space="preserve">beer, in sealed containers for consumption off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sell or supply that liquor, by way of sample, for consumption on a part of the licensed premises approved for the purpose by the Director.</w:t>
      </w:r>
    </w:p>
    <w:p>
      <w:pPr>
        <w:pStyle w:val="Subsection"/>
        <w:spacing w:before="120"/>
      </w:pPr>
      <w:r>
        <w:tab/>
        <w:t>(1a)</w:t>
      </w:r>
      <w:r>
        <w:tab/>
        <w:t xml:space="preserve">The licensee of a producer’s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spacing w:before="120"/>
        <w:rPr>
          <w:snapToGrid w:val="0"/>
        </w:rPr>
      </w:pPr>
      <w:r>
        <w:rPr>
          <w:snapToGrid w:val="0"/>
        </w:rPr>
        <w:tab/>
        <w:t>(2)</w:t>
      </w:r>
      <w:r>
        <w:rPr>
          <w:snapToGrid w:val="0"/>
        </w:rPr>
        <w:tab/>
        <w:t>A producer’s licence shall not be granted other than in accordance with this Act and any conditions prescribed.</w:t>
      </w:r>
    </w:p>
    <w:p>
      <w:pPr>
        <w:pStyle w:val="Subsection"/>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pPr>
      <w:r>
        <w:tab/>
        <w:t xml:space="preserve">[Section 55 amended by No. 12 of 1998 s. 36; No. 73 of 2006 s. 41; No. 56 of 2010 s. 42.] </w:t>
      </w:r>
    </w:p>
    <w:p>
      <w:pPr>
        <w:pStyle w:val="Heading5"/>
        <w:rPr>
          <w:snapToGrid w:val="0"/>
        </w:rPr>
      </w:pPr>
      <w:bookmarkStart w:id="235" w:name="_Toc406080076"/>
      <w:bookmarkStart w:id="236" w:name="_Toc423530505"/>
      <w:r>
        <w:rPr>
          <w:rStyle w:val="CharSectno"/>
        </w:rPr>
        <w:t>56</w:t>
      </w:r>
      <w:r>
        <w:rPr>
          <w:snapToGrid w:val="0"/>
        </w:rPr>
        <w:t>.</w:t>
      </w:r>
      <w:r>
        <w:rPr>
          <w:snapToGrid w:val="0"/>
        </w:rPr>
        <w:tab/>
        <w:t>Production of liquor by person, presumption of</w:t>
      </w:r>
      <w:bookmarkEnd w:id="235"/>
      <w:bookmarkEnd w:id="236"/>
    </w:p>
    <w:p>
      <w:pPr>
        <w:pStyle w:val="Subsection"/>
        <w:keepNext/>
        <w:rPr>
          <w:snapToGrid w:val="0"/>
        </w:rPr>
      </w:pPr>
      <w:r>
        <w:rPr>
          <w:snapToGrid w:val="0"/>
        </w:rPr>
        <w:tab/>
        <w:t>(1)</w:t>
      </w:r>
      <w:r>
        <w:rPr>
          <w:snapToGrid w:val="0"/>
        </w:rPr>
        <w:tab/>
        <w:t>For the purposes of this Act, a person shall be taken to have produced liquor — </w:t>
      </w:r>
    </w:p>
    <w:p>
      <w:pPr>
        <w:pStyle w:val="Indenta"/>
        <w:rPr>
          <w:snapToGrid w:val="0"/>
        </w:rPr>
      </w:pPr>
      <w:r>
        <w:rPr>
          <w:snapToGrid w:val="0"/>
        </w:rPr>
        <w:tab/>
        <w:t>(a)</w:t>
      </w:r>
      <w:r>
        <w:rPr>
          <w:snapToGrid w:val="0"/>
        </w:rPr>
        <w:tab/>
        <w:t>being wine made from grapes — </w:t>
      </w:r>
    </w:p>
    <w:p>
      <w:pPr>
        <w:pStyle w:val="Indenti"/>
        <w:rPr>
          <w:snapToGrid w:val="0"/>
        </w:rPr>
      </w:pPr>
      <w:r>
        <w:rPr>
          <w:snapToGrid w:val="0"/>
        </w:rPr>
        <w:tab/>
        <w:t>(i)</w:t>
      </w:r>
      <w:r>
        <w:rPr>
          <w:snapToGrid w:val="0"/>
        </w:rPr>
        <w:tab/>
        <w:t>if it was fermented by, or under the control or direction of, that person; or</w:t>
      </w:r>
    </w:p>
    <w:p>
      <w:pPr>
        <w:pStyle w:val="Indenti"/>
        <w:rPr>
          <w:snapToGrid w:val="0"/>
        </w:rPr>
      </w:pPr>
      <w:r>
        <w:rPr>
          <w:snapToGrid w:val="0"/>
        </w:rPr>
        <w:tab/>
        <w:t>(ii)</w:t>
      </w:r>
      <w:r>
        <w:rPr>
          <w:snapToGrid w:val="0"/>
        </w:rPr>
        <w:tab/>
        <w:t xml:space="preserve">if, in the case of wine produced by blending, all the wine used was fermented from produce grown or produced in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wine not made from grapes, if it was fermented or otherwise made from produce grown, produced or obtained by that person; or</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spacing w:before="180"/>
        <w:rPr>
          <w:snapToGrid w:val="0"/>
        </w:rPr>
      </w:pPr>
      <w:bookmarkStart w:id="237" w:name="_Toc406080077"/>
      <w:bookmarkStart w:id="238" w:name="_Toc423530506"/>
      <w:r>
        <w:rPr>
          <w:rStyle w:val="CharSectno"/>
        </w:rPr>
        <w:t>57</w:t>
      </w:r>
      <w:r>
        <w:rPr>
          <w:snapToGrid w:val="0"/>
        </w:rPr>
        <w:t>.</w:t>
      </w:r>
      <w:r>
        <w:rPr>
          <w:snapToGrid w:val="0"/>
        </w:rPr>
        <w:tab/>
        <w:t>Producer’s licence, pre-requisites for grant of</w:t>
      </w:r>
      <w:bookmarkEnd w:id="237"/>
      <w:bookmarkEnd w:id="238"/>
    </w:p>
    <w:p>
      <w:pPr>
        <w:pStyle w:val="Subsection"/>
        <w:spacing w:before="120"/>
      </w:pPr>
      <w:r>
        <w:tab/>
        <w:t>(1)</w:t>
      </w:r>
      <w:r>
        <w:tab/>
        <w:t>In this section —</w:t>
      </w:r>
    </w:p>
    <w:p>
      <w:pPr>
        <w:pStyle w:val="Defstart"/>
      </w:pPr>
      <w:r>
        <w:tab/>
      </w:r>
      <w:r>
        <w:rPr>
          <w:rStyle w:val="CharDefText"/>
        </w:rPr>
        <w:t>relevant liquor</w:t>
      </w:r>
      <w:r>
        <w:t xml:space="preserve"> means liquor of the kind sought to be authorised for sale under the licence;</w:t>
      </w:r>
    </w:p>
    <w:p>
      <w:pPr>
        <w:pStyle w:val="Defstart"/>
      </w:pPr>
      <w:r>
        <w:tab/>
      </w:r>
      <w:r>
        <w:rPr>
          <w:rStyle w:val="CharDefText"/>
        </w:rPr>
        <w:t>relevant period</w:t>
      </w:r>
      <w:r>
        <w:t xml:space="preserve"> means the period of 12 months from the date on which the licence, if granted, will come into force.</w:t>
      </w:r>
    </w:p>
    <w:p>
      <w:pPr>
        <w:pStyle w:val="Subsection"/>
        <w:rPr>
          <w:snapToGrid w:val="0"/>
        </w:rPr>
      </w:pPr>
      <w:r>
        <w:rPr>
          <w:snapToGrid w:val="0"/>
        </w:rPr>
        <w:tab/>
        <w:t>(2)</w:t>
      </w:r>
      <w:r>
        <w:rPr>
          <w:snapToGrid w:val="0"/>
        </w:rPr>
        <w:tab/>
      </w:r>
      <w:r>
        <w:t xml:space="preserve">An applicant </w:t>
      </w:r>
      <w:r>
        <w:rPr>
          <w:snapToGrid w:val="0"/>
        </w:rPr>
        <w:t>for the grant of a producer’s licence must satisfy the licensing authority — </w:t>
      </w:r>
    </w:p>
    <w:p>
      <w:pPr>
        <w:pStyle w:val="Indenta"/>
      </w:pPr>
      <w:r>
        <w:tab/>
        <w:t>(a)</w:t>
      </w:r>
      <w:r>
        <w:tab/>
        <w:t>that the applicant is, or within the relevant period will become, a genuine producer of the relevant liquor; and</w:t>
      </w:r>
    </w:p>
    <w:p>
      <w:pPr>
        <w:pStyle w:val="Indenta"/>
      </w:pPr>
      <w:r>
        <w:tab/>
        <w:t>(b)</w:t>
      </w:r>
      <w:r>
        <w:tab/>
        <w:t>that the applicant carries on, or within the relevant period will commence to carry on, a genuine business of the sale of the relevant liquor; and</w:t>
      </w:r>
    </w:p>
    <w:p>
      <w:pPr>
        <w:pStyle w:val="Indenta"/>
      </w:pPr>
      <w:r>
        <w:tab/>
        <w:t>(ca)</w:t>
      </w:r>
      <w:r>
        <w:tab/>
        <w:t>that the applicant produces, or within the relevant period will commence production of, a sufficient quantity of the relevant liquor to be able to carry on the business referred to in paragraph (b); and</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Subsection"/>
      </w:pPr>
      <w:r>
        <w:tab/>
        <w:t>(3)</w:t>
      </w:r>
      <w:r>
        <w:tab/>
        <w:t>Every producer’s licence is subject to the condition that, unless the Director approves otherwise, the licensee must produce a sufficient quantity of the relevant liquor to be able to carry on the business referred to in subsection (2)(b).</w:t>
      </w:r>
    </w:p>
    <w:p>
      <w:pPr>
        <w:pStyle w:val="Footnotesection"/>
        <w:ind w:left="890" w:hanging="890"/>
      </w:pPr>
      <w:r>
        <w:tab/>
        <w:t xml:space="preserve">[Section 57 amended by No. 12 of 1998 s. 37; No. 56 of 2010 s. 43.] </w:t>
      </w:r>
    </w:p>
    <w:p>
      <w:pPr>
        <w:pStyle w:val="Heading5"/>
        <w:rPr>
          <w:snapToGrid w:val="0"/>
        </w:rPr>
      </w:pPr>
      <w:bookmarkStart w:id="239" w:name="_Toc406080078"/>
      <w:bookmarkStart w:id="240" w:name="_Toc423530507"/>
      <w:r>
        <w:rPr>
          <w:rStyle w:val="CharSectno"/>
        </w:rPr>
        <w:t>58</w:t>
      </w:r>
      <w:r>
        <w:rPr>
          <w:snapToGrid w:val="0"/>
        </w:rPr>
        <w:t>.</w:t>
      </w:r>
      <w:r>
        <w:rPr>
          <w:snapToGrid w:val="0"/>
        </w:rPr>
        <w:tab/>
        <w:t>Wholesaler’s licence, effect and conditions of</w:t>
      </w:r>
      <w:bookmarkEnd w:id="239"/>
      <w:bookmarkEnd w:id="240"/>
    </w:p>
    <w:p>
      <w:pPr>
        <w:pStyle w:val="Subsection"/>
        <w:rPr>
          <w:snapToGrid w:val="0"/>
        </w:rPr>
      </w:pPr>
      <w:r>
        <w:rPr>
          <w:snapToGrid w:val="0"/>
        </w:rPr>
        <w:tab/>
        <w:t>(1)</w:t>
      </w:r>
      <w:r>
        <w:rPr>
          <w:snapToGrid w:val="0"/>
        </w:rPr>
        <w:tab/>
        <w:t>Subject to this Act, the licensee of a wholesaler’s licence is, during permitted hours, authorised to sell packaged liquor on or from the licensed premises, in an aggregate quantity per person of not less than 9 L, 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keepLines/>
      </w:pPr>
      <w:r>
        <w:tab/>
        <w:t>(2a)</w:t>
      </w:r>
      <w:r>
        <w:tab/>
        <w:t xml:space="preserve">The licensee of a wholesaler’s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(3)</w:t>
      </w:r>
      <w:r>
        <w:rPr>
          <w:snapToGrid w:val="0"/>
        </w:rPr>
        <w:tab/>
        <w:t>Every wholesaler’s licence is subject to the condition that — </w:t>
      </w:r>
    </w:p>
    <w:p>
      <w:pPr>
        <w:pStyle w:val="Indenta"/>
        <w:spacing w:before="100"/>
        <w:rPr>
          <w:snapToGrid w:val="0"/>
        </w:rPr>
      </w:pPr>
      <w:r>
        <w:rPr>
          <w:snapToGrid w:val="0"/>
        </w:rPr>
        <w:tab/>
        <w:t>(a)</w:t>
      </w:r>
      <w:r>
        <w:rPr>
          <w:snapToGrid w:val="0"/>
        </w:rPr>
        <w:tab/>
        <w:t>liquor may only be sold to a person during the permitted hours applicable to a liquor store licence, other than — </w:t>
      </w:r>
    </w:p>
    <w:p>
      <w:pPr>
        <w:pStyle w:val="Indenti"/>
        <w:spacing w:before="100"/>
        <w:rPr>
          <w:snapToGrid w:val="0"/>
        </w:rPr>
      </w:pPr>
      <w:r>
        <w:rPr>
          <w:snapToGrid w:val="0"/>
        </w:rPr>
        <w:tab/>
        <w:t>(i)</w:t>
      </w:r>
      <w:r>
        <w:rPr>
          <w:snapToGrid w:val="0"/>
        </w:rPr>
        <w:tab/>
        <w:t>as ship’s stores; or</w:t>
      </w:r>
    </w:p>
    <w:p>
      <w:pPr>
        <w:pStyle w:val="Indenti"/>
        <w:spacing w:before="100"/>
        <w:rPr>
          <w:snapToGrid w:val="0"/>
        </w:rPr>
      </w:pPr>
      <w:r>
        <w:rPr>
          <w:snapToGrid w:val="0"/>
        </w:rPr>
        <w:tab/>
        <w:t>(ii)</w:t>
      </w:r>
      <w:r>
        <w:rPr>
          <w:snapToGrid w:val="0"/>
        </w:rPr>
        <w:tab/>
        <w:t>to a person who is a liquor merchant or is otherwise authorised by law to sell liquor; or</w:t>
      </w:r>
    </w:p>
    <w:p>
      <w:pPr>
        <w:pStyle w:val="Indenti"/>
        <w:keepNext/>
        <w:rPr>
          <w:snapToGrid w:val="0"/>
        </w:rPr>
      </w:pPr>
      <w:r>
        <w:rPr>
          <w:snapToGrid w:val="0"/>
        </w:rPr>
        <w:tab/>
        <w:t>(iii)</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 or</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No. 73 of 2006 s. 42.] </w:t>
      </w:r>
    </w:p>
    <w:p>
      <w:pPr>
        <w:pStyle w:val="Heading5"/>
        <w:rPr>
          <w:snapToGrid w:val="0"/>
        </w:rPr>
      </w:pPr>
      <w:bookmarkStart w:id="241" w:name="_Toc406080079"/>
      <w:bookmarkStart w:id="242" w:name="_Toc423530508"/>
      <w:r>
        <w:rPr>
          <w:rStyle w:val="CharSectno"/>
        </w:rPr>
        <w:t>59</w:t>
      </w:r>
      <w:r>
        <w:rPr>
          <w:snapToGrid w:val="0"/>
        </w:rPr>
        <w:t>.</w:t>
      </w:r>
      <w:r>
        <w:rPr>
          <w:snapToGrid w:val="0"/>
        </w:rPr>
        <w:tab/>
        <w:t>Occasional licence, effect, conditions and pre-requisites for grant of</w:t>
      </w:r>
      <w:bookmarkEnd w:id="241"/>
      <w:bookmarkEnd w:id="242"/>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 and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rPr>
          <w:snapToGrid w:val="0"/>
        </w:rPr>
      </w:pPr>
      <w:r>
        <w:rPr>
          <w:snapToGrid w:val="0"/>
        </w:rPr>
        <w:tab/>
        <w:t>(2)</w:t>
      </w:r>
      <w:r>
        <w:rPr>
          <w:snapToGrid w:val="0"/>
        </w:rPr>
        <w:tab/>
        <w:t>An occasional licence shall not be granted — </w:t>
      </w:r>
    </w:p>
    <w:p>
      <w:pPr>
        <w:pStyle w:val="Indenta"/>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 or</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 or</w:t>
      </w:r>
    </w:p>
    <w:p>
      <w:pPr>
        <w:pStyle w:val="Indenti"/>
        <w:rPr>
          <w:snapToGrid w:val="0"/>
        </w:rPr>
      </w:pPr>
      <w:r>
        <w:rPr>
          <w:snapToGrid w:val="0"/>
        </w:rPr>
        <w:tab/>
        <w:t>(iii)</w:t>
      </w:r>
      <w:r>
        <w:rPr>
          <w:snapToGrid w:val="0"/>
        </w:rPr>
        <w:tab/>
        <w:t>sufficient facilities and expertise to enable the licence to be operated in a proper manner may not be provided; or</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pPr>
      <w:r>
        <w:tab/>
        <w:t>(5)</w:t>
      </w:r>
      <w:r>
        <w:tab/>
        <w:t>An occasional licence may be granted in relation to a festival or other event authorising the organiser and specified persons participating in or associated with that festival or event to sell liquor, or liquor of a specified description, during such period or on such occasions as may be specified.</w:t>
      </w:r>
    </w:p>
    <w:p>
      <w:pPr>
        <w:pStyle w:val="Subsection"/>
      </w:pPr>
      <w:r>
        <w:tab/>
        <w:t>(6A)</w:t>
      </w:r>
      <w:r>
        <w:tab/>
        <w:t>Without limiting section 64, the Director may impose a condition on an occasional licence requiring that any manager of premises that are the subject of the licence (other than a person appointed under section 100(3)) be an approved unrestricted manager.</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spacing w:before="80"/>
        <w:ind w:left="890" w:hanging="890"/>
      </w:pPr>
      <w:r>
        <w:tab/>
        <w:t xml:space="preserve">[Section 59 amended by No. 12 of 1998 s. 39(1); No. 56 of 2010 s. 12.] </w:t>
      </w:r>
    </w:p>
    <w:p>
      <w:pPr>
        <w:pStyle w:val="Heading3"/>
        <w:rPr>
          <w:snapToGrid w:val="0"/>
        </w:rPr>
      </w:pPr>
      <w:bookmarkStart w:id="243" w:name="_Toc377388869"/>
      <w:bookmarkStart w:id="244" w:name="_Toc406080080"/>
      <w:bookmarkStart w:id="245" w:name="_Toc416876067"/>
      <w:bookmarkStart w:id="246" w:name="_Toc416876421"/>
      <w:bookmarkStart w:id="247" w:name="_Toc417973103"/>
      <w:bookmarkStart w:id="248" w:name="_Toc423530509"/>
      <w:r>
        <w:rPr>
          <w:rStyle w:val="CharDivNo"/>
        </w:rPr>
        <w:t>Division 4</w:t>
      </w:r>
      <w:r>
        <w:rPr>
          <w:snapToGrid w:val="0"/>
        </w:rPr>
        <w:t> — </w:t>
      </w:r>
      <w:r>
        <w:rPr>
          <w:rStyle w:val="CharDivText"/>
        </w:rPr>
        <w:t>Permits</w:t>
      </w:r>
      <w:bookmarkEnd w:id="243"/>
      <w:bookmarkEnd w:id="244"/>
      <w:bookmarkEnd w:id="245"/>
      <w:bookmarkEnd w:id="246"/>
      <w:bookmarkEnd w:id="247"/>
      <w:bookmarkEnd w:id="248"/>
      <w:r>
        <w:rPr>
          <w:rStyle w:val="CharDivText"/>
        </w:rPr>
        <w:t xml:space="preserve"> </w:t>
      </w:r>
    </w:p>
    <w:p>
      <w:pPr>
        <w:pStyle w:val="Heading5"/>
        <w:rPr>
          <w:snapToGrid w:val="0"/>
        </w:rPr>
      </w:pPr>
      <w:bookmarkStart w:id="249" w:name="_Toc406080081"/>
      <w:bookmarkStart w:id="250" w:name="_Toc423530510"/>
      <w:r>
        <w:rPr>
          <w:rStyle w:val="CharSectno"/>
        </w:rPr>
        <w:t>60</w:t>
      </w:r>
      <w:r>
        <w:rPr>
          <w:snapToGrid w:val="0"/>
        </w:rPr>
        <w:t>.</w:t>
      </w:r>
      <w:r>
        <w:rPr>
          <w:snapToGrid w:val="0"/>
        </w:rPr>
        <w:tab/>
        <w:t>Extended trading permit, purposes, effect and conditions of</w:t>
      </w:r>
      <w:bookmarkEnd w:id="249"/>
      <w:bookmarkEnd w:id="250"/>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spacing w:before="180"/>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keepNext/>
        <w:spacing w:before="180"/>
        <w:rPr>
          <w:snapToGrid w:val="0"/>
        </w:rPr>
      </w:pPr>
      <w:r>
        <w:rPr>
          <w:snapToGrid w:val="0"/>
        </w:rPr>
        <w:tab/>
        <w:t>(3)</w:t>
      </w:r>
      <w:r>
        <w:rPr>
          <w:snapToGrid w:val="0"/>
        </w:rPr>
        <w:tab/>
        <w:t>An extended trading permit is subject to the conditions that — </w:t>
      </w:r>
    </w:p>
    <w:p>
      <w:pPr>
        <w:pStyle w:val="Indenta"/>
        <w:spacing w:before="100"/>
        <w:rPr>
          <w:snapToGrid w:val="0"/>
        </w:rPr>
      </w:pPr>
      <w:r>
        <w:rPr>
          <w:snapToGrid w:val="0"/>
        </w:rPr>
        <w:tab/>
        <w:t>(a)</w:t>
      </w:r>
      <w:r>
        <w:rPr>
          <w:snapToGrid w:val="0"/>
        </w:rPr>
        <w:tab/>
        <w:t>the licensee to whom it is issued will not participate in any arrangement whereby the benefit arising from the holding of the permit accrues to any other person, unless subsection (8) applies; and</w:t>
      </w:r>
    </w:p>
    <w:p>
      <w:pPr>
        <w:pStyle w:val="Indenta"/>
        <w:spacing w:before="100"/>
        <w:rPr>
          <w:snapToGrid w:val="0"/>
        </w:rPr>
      </w:pPr>
      <w:r>
        <w:rPr>
          <w:snapToGrid w:val="0"/>
        </w:rPr>
        <w:tab/>
        <w:t>(b)</w:t>
      </w:r>
      <w:r>
        <w:rPr>
          <w:snapToGrid w:val="0"/>
        </w:rPr>
        <w:tab/>
      </w:r>
      <w:r>
        <w:t>an approved unrestricted manager or an approved restricted manager</w:t>
      </w:r>
      <w:r>
        <w:rPr>
          <w:snapToGrid w:val="0"/>
        </w:rPr>
        <w:t xml:space="preserve"> attends at the premises specified when liquor is sold under the permit, unless the permit is issued in relation to a casino liquor licence.</w:t>
      </w:r>
    </w:p>
    <w:p>
      <w:pPr>
        <w:pStyle w:val="Subsection"/>
        <w:spacing w:before="180"/>
      </w:pPr>
      <w:r>
        <w:tab/>
        <w:t>(3a)</w:t>
      </w:r>
      <w:r>
        <w:tab/>
        <w:t>In addition to the conditions imposed by subsection (3), an extended trading permit issued for the purposes of subsection (4)(ca) or (g) is, unless the Director otherwise determines, subject to any condition prescribed for the purposes of this subsection.</w:t>
      </w:r>
    </w:p>
    <w:p>
      <w:pPr>
        <w:pStyle w:val="Subsection"/>
        <w:spacing w:before="180"/>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keepNext/>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spacing w:before="40"/>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5 years,</w:t>
      </w:r>
      <w:r>
        <w:rPr>
          <w:snapToGrid w:val="0"/>
        </w:rPr>
        <w:t xml:space="preserve"> specified; or</w:t>
      </w:r>
    </w:p>
    <w:p>
      <w:pPr>
        <w:pStyle w:val="Indenta"/>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r>
        <w:t>; or</w:t>
      </w:r>
    </w:p>
    <w:p>
      <w:pPr>
        <w:pStyle w:val="Indenta"/>
        <w:rPr>
          <w:snapToGrid w:val="0"/>
        </w:rPr>
      </w:pPr>
      <w:r>
        <w:tab/>
        <w:t>(i)</w:t>
      </w:r>
      <w:r>
        <w:tab/>
        <w:t>any other prescribed purpose.</w:t>
      </w:r>
    </w:p>
    <w:p>
      <w:pPr>
        <w:pStyle w:val="Ednotesubsection"/>
      </w:pPr>
      <w:r>
        <w:tab/>
        <w:t>[(5)</w:t>
      </w:r>
      <w:r>
        <w:tab/>
        <w:t>deleted]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ind w:left="890" w:hanging="890"/>
      </w:pPr>
      <w:r>
        <w:tab/>
        <w:t xml:space="preserve">[Section 60 amended by No. 12 of 1998 s. 40 and 97(2); No. 73 of 2006 s. 43, 107 and 108; No. 56 of 2010 s. 13.] </w:t>
      </w:r>
    </w:p>
    <w:p>
      <w:pPr>
        <w:pStyle w:val="Heading5"/>
        <w:rPr>
          <w:snapToGrid w:val="0"/>
        </w:rPr>
      </w:pPr>
      <w:bookmarkStart w:id="251" w:name="_Toc406080082"/>
      <w:bookmarkStart w:id="252" w:name="_Toc423530511"/>
      <w:r>
        <w:rPr>
          <w:rStyle w:val="CharSectno"/>
        </w:rPr>
        <w:t>61</w:t>
      </w:r>
      <w:r>
        <w:rPr>
          <w:snapToGrid w:val="0"/>
        </w:rPr>
        <w:t>.</w:t>
      </w:r>
      <w:r>
        <w:rPr>
          <w:snapToGrid w:val="0"/>
        </w:rPr>
        <w:tab/>
        <w:t>Extended trading permit for extended area (s. 60(4)(h)), pre</w:t>
      </w:r>
      <w:r>
        <w:rPr>
          <w:snapToGrid w:val="0"/>
        </w:rPr>
        <w:noBreakHyphen/>
        <w:t>requisites for grant of</w:t>
      </w:r>
      <w:bookmarkEnd w:id="251"/>
      <w:bookmarkEnd w:id="252"/>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 and</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 and</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ind w:left="890" w:hanging="890"/>
      </w:pPr>
      <w:r>
        <w:tab/>
        <w:t xml:space="preserve">[Section 61 amended by No. 14 of 1996 s. 4.] </w:t>
      </w:r>
    </w:p>
    <w:p>
      <w:pPr>
        <w:pStyle w:val="Ednotesection"/>
      </w:pPr>
      <w:r>
        <w:t>[</w:t>
      </w:r>
      <w:r>
        <w:rPr>
          <w:b/>
          <w:bCs/>
        </w:rPr>
        <w:t>61A.</w:t>
      </w:r>
      <w:r>
        <w:tab/>
        <w:t>Deleted by No. 56 of 2010 s. 28.]</w:t>
      </w:r>
    </w:p>
    <w:p>
      <w:pPr>
        <w:pStyle w:val="Heading3"/>
        <w:keepLines/>
        <w:rPr>
          <w:snapToGrid w:val="0"/>
        </w:rPr>
      </w:pPr>
      <w:bookmarkStart w:id="253" w:name="_Toc377388872"/>
      <w:bookmarkStart w:id="254" w:name="_Toc406080083"/>
      <w:bookmarkStart w:id="255" w:name="_Toc416876070"/>
      <w:bookmarkStart w:id="256" w:name="_Toc416876424"/>
      <w:bookmarkStart w:id="257" w:name="_Toc417973106"/>
      <w:bookmarkStart w:id="258" w:name="_Toc423530512"/>
      <w:r>
        <w:rPr>
          <w:rStyle w:val="CharDivNo"/>
        </w:rPr>
        <w:t>Division 5</w:t>
      </w:r>
      <w:r>
        <w:rPr>
          <w:snapToGrid w:val="0"/>
        </w:rPr>
        <w:t> — </w:t>
      </w:r>
      <w:r>
        <w:rPr>
          <w:rStyle w:val="CharDivText"/>
        </w:rPr>
        <w:t>Conditional grants or approvals</w:t>
      </w:r>
      <w:bookmarkEnd w:id="253"/>
      <w:bookmarkEnd w:id="254"/>
      <w:bookmarkEnd w:id="255"/>
      <w:bookmarkEnd w:id="256"/>
      <w:bookmarkEnd w:id="257"/>
      <w:bookmarkEnd w:id="258"/>
      <w:r>
        <w:rPr>
          <w:rStyle w:val="CharDivText"/>
        </w:rPr>
        <w:t xml:space="preserve"> </w:t>
      </w:r>
    </w:p>
    <w:p>
      <w:pPr>
        <w:pStyle w:val="Footnoteheading"/>
        <w:keepNext/>
        <w:keepLines/>
        <w:rPr>
          <w:snapToGrid w:val="0"/>
        </w:rPr>
      </w:pPr>
      <w:r>
        <w:rPr>
          <w:snapToGrid w:val="0"/>
        </w:rPr>
        <w:tab/>
        <w:t>[Heading amended by No. 12 of 1998 s. 41.]</w:t>
      </w:r>
    </w:p>
    <w:p>
      <w:pPr>
        <w:pStyle w:val="Heading5"/>
        <w:rPr>
          <w:snapToGrid w:val="0"/>
        </w:rPr>
      </w:pPr>
      <w:bookmarkStart w:id="259" w:name="_Toc406080084"/>
      <w:bookmarkStart w:id="260" w:name="_Toc423530513"/>
      <w:r>
        <w:rPr>
          <w:rStyle w:val="CharSectno"/>
        </w:rPr>
        <w:t>62</w:t>
      </w:r>
      <w:r>
        <w:rPr>
          <w:snapToGrid w:val="0"/>
        </w:rPr>
        <w:t>.</w:t>
      </w:r>
      <w:r>
        <w:rPr>
          <w:snapToGrid w:val="0"/>
        </w:rPr>
        <w:tab/>
        <w:t>Uncompleted premises, conditional grant or removal in case of</w:t>
      </w:r>
      <w:bookmarkEnd w:id="259"/>
      <w:bookmarkEnd w:id="260"/>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spacing w:before="120"/>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 and</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keepNext/>
        <w:rPr>
          <w:snapToGrid w:val="0"/>
        </w:rPr>
      </w:pPr>
      <w:r>
        <w:rPr>
          <w:snapToGrid w:val="0"/>
        </w:rPr>
        <w:tab/>
        <w:t>(c)</w:t>
      </w:r>
      <w:r>
        <w:rPr>
          <w:snapToGrid w:val="0"/>
        </w:rPr>
        <w:tab/>
        <w:t>a condition that the holder of the licence conditionally granted or removed apply on or before a specified day (</w:t>
      </w:r>
      <w:r>
        <w:rPr>
          <w:rStyle w:val="CharDefText"/>
          <w:b w:val="0"/>
          <w:i w:val="0"/>
        </w:rPr>
        <w:t>the</w:t>
      </w:r>
      <w:r>
        <w:rPr>
          <w:rStyle w:val="CharDefText"/>
        </w:rPr>
        <w:t xml:space="preserve"> required day</w:t>
      </w:r>
      <w:r>
        <w:rPr>
          <w:snapToGrid w:val="0"/>
        </w:rPr>
        <w:t>) for confirmation of the grant.</w:t>
      </w:r>
    </w:p>
    <w:p>
      <w:pPr>
        <w:pStyle w:val="Subsection"/>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 or</w:t>
      </w:r>
    </w:p>
    <w:p>
      <w:pPr>
        <w:pStyle w:val="Indenta"/>
        <w:rPr>
          <w:snapToGrid w:val="0"/>
        </w:rPr>
      </w:pPr>
      <w:r>
        <w:rPr>
          <w:snapToGrid w:val="0"/>
        </w:rPr>
        <w:tab/>
        <w:t>(b)</w:t>
      </w:r>
      <w:r>
        <w:rPr>
          <w:snapToGrid w:val="0"/>
        </w:rPr>
        <w:tab/>
        <w:t>as to a specified manner, or sequence, of the completion of the premises; or</w:t>
      </w:r>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 or</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keepNext/>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rPr>
          <w:snapToGrid w:val="0"/>
        </w:rPr>
      </w:pPr>
      <w:bookmarkStart w:id="261" w:name="_Toc406080085"/>
      <w:bookmarkStart w:id="262" w:name="_Toc423530514"/>
      <w:r>
        <w:rPr>
          <w:rStyle w:val="CharSectno"/>
        </w:rPr>
        <w:t>62A</w:t>
      </w:r>
      <w:r>
        <w:rPr>
          <w:snapToGrid w:val="0"/>
        </w:rPr>
        <w:t>.</w:t>
      </w:r>
      <w:r>
        <w:rPr>
          <w:snapToGrid w:val="0"/>
        </w:rPr>
        <w:tab/>
        <w:t>Pending certificate (s. 39 or 40) etc., conditional grant in case of</w:t>
      </w:r>
      <w:bookmarkEnd w:id="261"/>
      <w:bookmarkEnd w:id="262"/>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pPr>
        <w:pStyle w:val="Subsection"/>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ind w:left="890" w:hanging="890"/>
      </w:pPr>
      <w:r>
        <w:tab/>
        <w:t xml:space="preserve">[Section 62A inserted by No. 12 of 1998 s. 42.] </w:t>
      </w:r>
    </w:p>
    <w:p>
      <w:pPr>
        <w:pStyle w:val="Heading5"/>
        <w:rPr>
          <w:snapToGrid w:val="0"/>
        </w:rPr>
      </w:pPr>
      <w:bookmarkStart w:id="263" w:name="_Toc406080086"/>
      <w:bookmarkStart w:id="264" w:name="_Toc423530515"/>
      <w:r>
        <w:rPr>
          <w:rStyle w:val="CharSectno"/>
        </w:rPr>
        <w:t>62B</w:t>
      </w:r>
      <w:r>
        <w:rPr>
          <w:snapToGrid w:val="0"/>
        </w:rPr>
        <w:t>.</w:t>
      </w:r>
      <w:r>
        <w:rPr>
          <w:snapToGrid w:val="0"/>
        </w:rPr>
        <w:tab/>
        <w:t>Pending approval etc. (s. 77(5)), conditional approval of alteration etc. in case of</w:t>
      </w:r>
      <w:bookmarkEnd w:id="263"/>
      <w:bookmarkEnd w:id="264"/>
    </w:p>
    <w:p>
      <w:pPr>
        <w:pStyle w:val="Subsection"/>
        <w:rPr>
          <w:snapToGrid w:val="0"/>
        </w:rPr>
      </w:pPr>
      <w:r>
        <w:rPr>
          <w:snapToGrid w:val="0"/>
        </w:rPr>
        <w:tab/>
        <w:t>(1)</w:t>
      </w:r>
      <w:r>
        <w:rPr>
          <w:snapToGrid w:val="0"/>
        </w:rPr>
        <w:tab/>
        <w:t xml:space="preserve">Notwithstanding section 77, where — </w:t>
      </w:r>
    </w:p>
    <w:p>
      <w:pPr>
        <w:pStyle w:val="Indenta"/>
        <w:rPr>
          <w:snapToGrid w:val="0"/>
        </w:rPr>
      </w:pPr>
      <w:r>
        <w:rPr>
          <w:snapToGrid w:val="0"/>
        </w:rPr>
        <w:tab/>
        <w:t>(a)</w:t>
      </w:r>
      <w:r>
        <w:rPr>
          <w:snapToGrid w:val="0"/>
        </w:rPr>
        <w:tab/>
        <w:t>an application is made for an alteration or redefinition of a licensed premises; and</w:t>
      </w:r>
    </w:p>
    <w:p>
      <w:pPr>
        <w:pStyle w:val="Indenta"/>
        <w:keepLines/>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pPr>
      <w:r>
        <w:rPr>
          <w:rFonts w:ascii="Times" w:hAnsi="Times"/>
        </w:rPr>
        <w:tab/>
        <w:t xml:space="preserve">[Section 62B inserted by No. 12 of 1998 </w:t>
      </w:r>
      <w:r>
        <w:t xml:space="preserve">s. 42.] </w:t>
      </w:r>
    </w:p>
    <w:p>
      <w:pPr>
        <w:pStyle w:val="Heading3"/>
        <w:keepLines/>
        <w:rPr>
          <w:snapToGrid w:val="0"/>
        </w:rPr>
      </w:pPr>
      <w:bookmarkStart w:id="265" w:name="_Toc377388876"/>
      <w:bookmarkStart w:id="266" w:name="_Toc406080087"/>
      <w:bookmarkStart w:id="267" w:name="_Toc416876074"/>
      <w:bookmarkStart w:id="268" w:name="_Toc416876428"/>
      <w:bookmarkStart w:id="269" w:name="_Toc417973110"/>
      <w:bookmarkStart w:id="270" w:name="_Toc423530516"/>
      <w:r>
        <w:rPr>
          <w:rStyle w:val="CharDivNo"/>
        </w:rPr>
        <w:t>Division 6</w:t>
      </w:r>
      <w:r>
        <w:rPr>
          <w:snapToGrid w:val="0"/>
        </w:rPr>
        <w:t> — </w:t>
      </w:r>
      <w:r>
        <w:rPr>
          <w:rStyle w:val="CharDivText"/>
        </w:rPr>
        <w:t>Conditions, generally</w:t>
      </w:r>
      <w:bookmarkEnd w:id="265"/>
      <w:bookmarkEnd w:id="266"/>
      <w:bookmarkEnd w:id="267"/>
      <w:bookmarkEnd w:id="268"/>
      <w:bookmarkEnd w:id="269"/>
      <w:bookmarkEnd w:id="270"/>
      <w:r>
        <w:rPr>
          <w:rStyle w:val="CharDivText"/>
        </w:rPr>
        <w:t xml:space="preserve"> </w:t>
      </w:r>
    </w:p>
    <w:p>
      <w:pPr>
        <w:pStyle w:val="Heading5"/>
        <w:rPr>
          <w:snapToGrid w:val="0"/>
        </w:rPr>
      </w:pPr>
      <w:bookmarkStart w:id="271" w:name="_Toc406080088"/>
      <w:bookmarkStart w:id="272" w:name="_Toc423530517"/>
      <w:r>
        <w:rPr>
          <w:rStyle w:val="CharSectno"/>
        </w:rPr>
        <w:t>63</w:t>
      </w:r>
      <w:r>
        <w:rPr>
          <w:snapToGrid w:val="0"/>
        </w:rPr>
        <w:t>.</w:t>
      </w:r>
      <w:r>
        <w:rPr>
          <w:snapToGrid w:val="0"/>
        </w:rPr>
        <w:tab/>
        <w:t>Terms fixed and conditions imposed by Act, only some can be varied etc.</w:t>
      </w:r>
      <w:bookmarkEnd w:id="271"/>
      <w:bookmarkEnd w:id="272"/>
    </w:p>
    <w:p>
      <w:pPr>
        <w:pStyle w:val="Subsection"/>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 or</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 or</w:t>
      </w:r>
    </w:p>
    <w:p>
      <w:pPr>
        <w:pStyle w:val="Indenta"/>
        <w:rPr>
          <w:snapToGrid w:val="0"/>
        </w:rPr>
      </w:pPr>
      <w:r>
        <w:rPr>
          <w:snapToGrid w:val="0"/>
        </w:rPr>
        <w:tab/>
        <w:t>(c)</w:t>
      </w:r>
      <w:r>
        <w:rPr>
          <w:snapToGrid w:val="0"/>
        </w:rPr>
        <w:tab/>
        <w:t>vary a hotel licence in accordance with section 41(6) or (7); or</w:t>
      </w:r>
    </w:p>
    <w:p>
      <w:pPr>
        <w:pStyle w:val="Indenta"/>
        <w:rPr>
          <w:snapToGrid w:val="0"/>
        </w:rPr>
      </w:pPr>
      <w:r>
        <w:rPr>
          <w:snapToGrid w:val="0"/>
        </w:rPr>
        <w:tab/>
        <w:t>(ca)</w:t>
      </w:r>
      <w:r>
        <w:rPr>
          <w:snapToGrid w:val="0"/>
        </w:rPr>
        <w:tab/>
        <w:t>remove the restrictions on a club restricted licence so that it is converted to a club licence; or</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spacing w:before="120"/>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No. 73 of 2006 s. 45.] </w:t>
      </w:r>
    </w:p>
    <w:p>
      <w:pPr>
        <w:pStyle w:val="Heading5"/>
        <w:spacing w:before="180"/>
        <w:rPr>
          <w:snapToGrid w:val="0"/>
        </w:rPr>
      </w:pPr>
      <w:bookmarkStart w:id="273" w:name="_Toc406080089"/>
      <w:bookmarkStart w:id="274" w:name="_Toc423530518"/>
      <w:r>
        <w:rPr>
          <w:rStyle w:val="CharSectno"/>
        </w:rPr>
        <w:t>64</w:t>
      </w:r>
      <w:r>
        <w:rPr>
          <w:snapToGrid w:val="0"/>
        </w:rPr>
        <w:t>.</w:t>
      </w:r>
      <w:r>
        <w:rPr>
          <w:snapToGrid w:val="0"/>
        </w:rPr>
        <w:tab/>
        <w:t>Imposing, varying and cancelling conditions</w:t>
      </w:r>
      <w:bookmarkEnd w:id="273"/>
      <w:bookmarkEnd w:id="274"/>
      <w:r>
        <w:rPr>
          <w:snapToGrid w:val="0"/>
        </w:rPr>
        <w:t xml:space="preserve"> </w:t>
      </w:r>
    </w:p>
    <w:p>
      <w:pPr>
        <w:pStyle w:val="Subsection"/>
        <w:spacing w:before="120"/>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spacing w:before="120"/>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keepLines/>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w:t>
      </w:r>
      <w:r>
        <w:t>government</w:t>
      </w:r>
      <w:r>
        <w:rPr>
          <w:snapToGrid w:val="0"/>
        </w:rPr>
        <w:t xml:space="preserve">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in which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keepNext/>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pPr>
      <w:r>
        <w:tab/>
        <w:t>(ka)</w:t>
      </w:r>
      <w:r>
        <w:tab/>
        <w:t>require the keeping of records and provision of information to the Director; or</w:t>
      </w:r>
    </w:p>
    <w:p>
      <w:pPr>
        <w:pStyle w:val="Indenta"/>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keepNext/>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 xml:space="preserve">impose on the licence holder a monetary penalty not exceeding </w:t>
      </w:r>
      <w:r>
        <w:t xml:space="preserve">$1 000 </w:t>
      </w:r>
      <w:r>
        <w:rPr>
          <w:snapToGrid w:val="0"/>
        </w:rPr>
        <w:t>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 xml:space="preserve">[Section 64 amended by No. 56 of 1997 s. 31; No. 12 of 1998 s. 44; No. 73 of 2006 s. 46; No. 56 of 2010 s. 44.] </w:t>
      </w:r>
    </w:p>
    <w:p>
      <w:pPr>
        <w:pStyle w:val="Heading5"/>
        <w:spacing w:before="240"/>
        <w:rPr>
          <w:snapToGrid w:val="0"/>
        </w:rPr>
      </w:pPr>
      <w:bookmarkStart w:id="275" w:name="_Toc406080090"/>
      <w:bookmarkStart w:id="276" w:name="_Toc423530519"/>
      <w:r>
        <w:rPr>
          <w:rStyle w:val="CharSectno"/>
        </w:rPr>
        <w:t>65</w:t>
      </w:r>
      <w:r>
        <w:rPr>
          <w:snapToGrid w:val="0"/>
        </w:rPr>
        <w:t>.</w:t>
      </w:r>
      <w:r>
        <w:rPr>
          <w:snapToGrid w:val="0"/>
        </w:rPr>
        <w:tab/>
        <w:t>Packaged liquor, conditions relating to sale of for consumption off licensed premises</w:t>
      </w:r>
      <w:bookmarkEnd w:id="275"/>
      <w:bookmarkEnd w:id="276"/>
      <w:r>
        <w:rPr>
          <w:snapToGrid w:val="0"/>
        </w:rPr>
        <w:t xml:space="preserve"> </w:t>
      </w:r>
    </w:p>
    <w:p>
      <w:pPr>
        <w:pStyle w:val="Subsection"/>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 and</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spacing w:before="180"/>
        <w:rPr>
          <w:snapToGrid w:val="0"/>
        </w:rPr>
      </w:pPr>
      <w:r>
        <w:rPr>
          <w:snapToGrid w:val="0"/>
        </w:rPr>
        <w:tab/>
      </w:r>
      <w:r>
        <w:rPr>
          <w:snapToGrid w:val="0"/>
        </w:rPr>
        <w:tab/>
        <w:t>and a person who contravenes such a condition 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keepNext/>
        <w:spacing w:before="180"/>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spacing w:before="180"/>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tab/>
        <w:t xml:space="preserve">[Section 65 amended by No. 12 of 1998 s. 45; No. 56 of 2010 s. 69.] </w:t>
      </w:r>
    </w:p>
    <w:p>
      <w:pPr>
        <w:pStyle w:val="Heading5"/>
        <w:spacing w:before="180"/>
      </w:pPr>
      <w:bookmarkStart w:id="277" w:name="_Toc406080091"/>
      <w:bookmarkStart w:id="278" w:name="_Toc423530520"/>
      <w:r>
        <w:rPr>
          <w:rStyle w:val="CharSectno"/>
        </w:rPr>
        <w:t>65A</w:t>
      </w:r>
      <w:r>
        <w:t>.</w:t>
      </w:r>
      <w:r>
        <w:tab/>
        <w:t>Petrol station not to be established on premises from which packaged liquor is sold</w:t>
      </w:r>
      <w:bookmarkEnd w:id="277"/>
      <w:bookmarkEnd w:id="278"/>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spacing w:before="120"/>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spacing w:before="120"/>
      </w:pPr>
      <w:r>
        <w:tab/>
        <w:t>(3)</w:t>
      </w:r>
      <w:r>
        <w:tab/>
        <w:t>Subsection (2) does not apply to premises that are in a country townsite if the Director, on an application by the licensee of the premises, so orders.</w:t>
      </w:r>
    </w:p>
    <w:p>
      <w:pPr>
        <w:pStyle w:val="Subsection"/>
        <w:spacing w:before="120"/>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spacing w:before="80"/>
        <w:ind w:left="890" w:hanging="890"/>
      </w:pPr>
      <w:r>
        <w:tab/>
        <w:t>[Section 65A inserted by No. 23 of 2000 s. 6.]</w:t>
      </w:r>
    </w:p>
    <w:p>
      <w:pPr>
        <w:pStyle w:val="Heading5"/>
      </w:pPr>
      <w:bookmarkStart w:id="279" w:name="_Toc406080092"/>
      <w:bookmarkStart w:id="280" w:name="_Toc423530521"/>
      <w:r>
        <w:rPr>
          <w:rStyle w:val="CharSectno"/>
        </w:rPr>
        <w:t>65B</w:t>
      </w:r>
      <w:r>
        <w:t>.</w:t>
      </w:r>
      <w:r>
        <w:tab/>
        <w:t>Promoting liquor, regulations may prescribe conditions about</w:t>
      </w:r>
      <w:bookmarkEnd w:id="279"/>
      <w:bookmarkEnd w:id="280"/>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r>
        <w:tab/>
        <w:t>[Section 65B inserted by No. 73 of 2006 s. 47.]</w:t>
      </w:r>
    </w:p>
    <w:p>
      <w:pPr>
        <w:pStyle w:val="Heading3"/>
        <w:rPr>
          <w:snapToGrid w:val="0"/>
        </w:rPr>
      </w:pPr>
      <w:bookmarkStart w:id="281" w:name="_Toc377388882"/>
      <w:bookmarkStart w:id="282" w:name="_Toc406080093"/>
      <w:bookmarkStart w:id="283" w:name="_Toc416876080"/>
      <w:bookmarkStart w:id="284" w:name="_Toc416876434"/>
      <w:bookmarkStart w:id="285" w:name="_Toc417973116"/>
      <w:bookmarkStart w:id="286" w:name="_Toc423530522"/>
      <w:r>
        <w:rPr>
          <w:rStyle w:val="CharDivNo"/>
        </w:rPr>
        <w:t>Division 7</w:t>
      </w:r>
      <w:r>
        <w:rPr>
          <w:snapToGrid w:val="0"/>
        </w:rPr>
        <w:t> — </w:t>
      </w:r>
      <w:r>
        <w:rPr>
          <w:rStyle w:val="CharDivText"/>
        </w:rPr>
        <w:t>Applications</w:t>
      </w:r>
      <w:bookmarkEnd w:id="281"/>
      <w:bookmarkEnd w:id="282"/>
      <w:bookmarkEnd w:id="283"/>
      <w:bookmarkEnd w:id="284"/>
      <w:bookmarkEnd w:id="285"/>
      <w:bookmarkEnd w:id="286"/>
      <w:r>
        <w:rPr>
          <w:rStyle w:val="CharDivText"/>
        </w:rPr>
        <w:t xml:space="preserve"> </w:t>
      </w:r>
    </w:p>
    <w:p>
      <w:pPr>
        <w:pStyle w:val="Heading5"/>
        <w:rPr>
          <w:snapToGrid w:val="0"/>
        </w:rPr>
      </w:pPr>
      <w:bookmarkStart w:id="287" w:name="_Toc406080094"/>
      <w:bookmarkStart w:id="288" w:name="_Toc423530523"/>
      <w:r>
        <w:rPr>
          <w:rStyle w:val="CharSectno"/>
        </w:rPr>
        <w:t>66</w:t>
      </w:r>
      <w:r>
        <w:rPr>
          <w:snapToGrid w:val="0"/>
        </w:rPr>
        <w:t>.</w:t>
      </w:r>
      <w:r>
        <w:rPr>
          <w:snapToGrid w:val="0"/>
        </w:rPr>
        <w:tab/>
        <w:t>Plans and specifications of premises, requirements as to</w:t>
      </w:r>
      <w:bookmarkEnd w:id="287"/>
      <w:bookmarkEnd w:id="288"/>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keepNext/>
        <w:rPr>
          <w:snapToGrid w:val="0"/>
        </w:rPr>
      </w:pPr>
      <w:r>
        <w:rPr>
          <w:snapToGrid w:val="0"/>
        </w:rPr>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keepLines/>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289" w:name="_Toc406080095"/>
      <w:bookmarkStart w:id="290" w:name="_Toc423530524"/>
      <w:r>
        <w:rPr>
          <w:rStyle w:val="CharSectno"/>
        </w:rPr>
        <w:t>67</w:t>
      </w:r>
      <w:r>
        <w:rPr>
          <w:snapToGrid w:val="0"/>
        </w:rPr>
        <w:t>.</w:t>
      </w:r>
      <w:r>
        <w:rPr>
          <w:snapToGrid w:val="0"/>
        </w:rPr>
        <w:tab/>
        <w:t>Advertisement of applications</w:t>
      </w:r>
      <w:bookmarkEnd w:id="289"/>
      <w:bookmarkEnd w:id="290"/>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 xml:space="preserve">shall cause a copy of the notice of </w:t>
      </w:r>
      <w:r>
        <w:t>application</w:t>
      </w:r>
      <w:r>
        <w:rPr>
          <w:snapToGrid w:val="0"/>
        </w:rPr>
        <w:t xml:space="preserve"> to be publicly displayed at the office of the Director at </w:t>
      </w:r>
      <w:smartTag w:uri="urn:schemas-microsoft-com:office:smarttags" w:element="place">
        <w:smartTag w:uri="urn:schemas-microsoft-com:office:smarttags" w:element="City">
          <w:r>
            <w:rPr>
              <w:snapToGrid w:val="0"/>
            </w:rPr>
            <w:t>Perth</w:t>
          </w:r>
        </w:smartTag>
      </w:smartTag>
      <w:r>
        <w:rPr>
          <w:snapToGrid w:val="0"/>
        </w:rPr>
        <w:t>;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 xml:space="preserve">[Section 67 amended by No. 12 of 1998 s. 47; No. 73 of 2006 s. 48; No. 56 of 2010 s. 45.] </w:t>
      </w:r>
    </w:p>
    <w:p>
      <w:pPr>
        <w:pStyle w:val="Heading5"/>
        <w:rPr>
          <w:snapToGrid w:val="0"/>
        </w:rPr>
      </w:pPr>
      <w:bookmarkStart w:id="291" w:name="_Toc406080096"/>
      <w:bookmarkStart w:id="292" w:name="_Toc423530525"/>
      <w:r>
        <w:rPr>
          <w:rStyle w:val="CharSectno"/>
        </w:rPr>
        <w:t>68</w:t>
      </w:r>
      <w:r>
        <w:rPr>
          <w:snapToGrid w:val="0"/>
        </w:rPr>
        <w:t>.</w:t>
      </w:r>
      <w:r>
        <w:rPr>
          <w:snapToGrid w:val="0"/>
        </w:rPr>
        <w:tab/>
        <w:t>Form, manner, notice and public inspection of applications</w:t>
      </w:r>
      <w:bookmarkEnd w:id="291"/>
      <w:bookmarkEnd w:id="292"/>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 and</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 and</w:t>
      </w:r>
    </w:p>
    <w:p>
      <w:pPr>
        <w:pStyle w:val="Indenti"/>
        <w:rPr>
          <w:snapToGrid w:val="0"/>
        </w:rPr>
      </w:pPr>
      <w:r>
        <w:rPr>
          <w:snapToGrid w:val="0"/>
        </w:rPr>
        <w:tab/>
        <w:t>(ii)</w:t>
      </w:r>
      <w:r>
        <w:rPr>
          <w:snapToGrid w:val="0"/>
        </w:rPr>
        <w:tab/>
        <w:t>the plans and specifications, if any, required by section 66 or otherwise prescribed or required; and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 and</w:t>
      </w:r>
    </w:p>
    <w:p>
      <w:pPr>
        <w:pStyle w:val="Indenti"/>
        <w:rPr>
          <w:snapToGrid w:val="0"/>
        </w:rPr>
      </w:pPr>
      <w:r>
        <w:rPr>
          <w:snapToGrid w:val="0"/>
        </w:rPr>
        <w:tab/>
        <w:t>(iv)</w:t>
      </w:r>
      <w:r>
        <w:rPr>
          <w:snapToGrid w:val="0"/>
        </w:rPr>
        <w:tab/>
        <w:t>any consent required under section 72; and</w:t>
      </w:r>
    </w:p>
    <w:p>
      <w:pPr>
        <w:pStyle w:val="Indenti"/>
        <w:keepLines/>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by No. 73 of 2006 s. 49 and 111(2).]</w:t>
      </w:r>
    </w:p>
    <w:p>
      <w:pPr>
        <w:pStyle w:val="Heading5"/>
        <w:rPr>
          <w:snapToGrid w:val="0"/>
        </w:rPr>
      </w:pPr>
      <w:bookmarkStart w:id="293" w:name="_Toc406080097"/>
      <w:bookmarkStart w:id="294" w:name="_Toc423530526"/>
      <w:r>
        <w:rPr>
          <w:rStyle w:val="CharSectno"/>
        </w:rPr>
        <w:t>69</w:t>
      </w:r>
      <w:r>
        <w:rPr>
          <w:snapToGrid w:val="0"/>
        </w:rPr>
        <w:t>.</w:t>
      </w:r>
      <w:r>
        <w:rPr>
          <w:snapToGrid w:val="0"/>
        </w:rPr>
        <w:tab/>
        <w:t>Advertising, referring, investigating and intervening in applications</w:t>
      </w:r>
      <w:bookmarkEnd w:id="293"/>
      <w:bookmarkEnd w:id="294"/>
    </w:p>
    <w:p>
      <w:pPr>
        <w:pStyle w:val="Subsection"/>
        <w:rPr>
          <w:snapToGrid w:val="0"/>
        </w:rPr>
      </w:pPr>
      <w:r>
        <w:rPr>
          <w:snapToGrid w:val="0"/>
        </w:rPr>
        <w:tab/>
        <w:t>(1)</w:t>
      </w:r>
      <w:r>
        <w:rPr>
          <w:snapToGrid w:val="0"/>
        </w:rPr>
        <w:tab/>
        <w:t>Every notice of application must be lodged with the Director.</w:t>
      </w:r>
    </w:p>
    <w:p>
      <w:pPr>
        <w:pStyle w:val="Subsection"/>
      </w:pPr>
      <w:r>
        <w:tab/>
        <w:t>(2)</w:t>
      </w:r>
      <w:r>
        <w:tab/>
        <w:t>The Director must give to the applicant sufficient directions to enable the application to be advertised in accordance with any requirement under section 67(1).</w:t>
      </w:r>
    </w:p>
    <w:p>
      <w:pPr>
        <w:pStyle w:val="Subsection"/>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rPr>
          <w:snapToGrid w:val="0"/>
        </w:rPr>
      </w:pPr>
      <w:r>
        <w:rPr>
          <w:snapToGrid w:val="0"/>
        </w:rPr>
        <w:tab/>
        <w:t>(4)</w:t>
      </w:r>
      <w:r>
        <w:rPr>
          <w:snapToGrid w:val="0"/>
        </w:rPr>
        <w:tab/>
        <w:t xml:space="preserve">Except where an application relates to land or premises the subject of a licence which is held by the applicant and is to be surrendered if that application is granted, or where in other particular circumstances the Director determines that it is not appropriate, the Director may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spacing w:before="180"/>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spacing w:before="180"/>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 and</w:t>
      </w:r>
    </w:p>
    <w:p>
      <w:pPr>
        <w:pStyle w:val="Indenta"/>
        <w:keepNext/>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 xml:space="preserve">as to whether or not any person is a fit and proper </w:t>
      </w:r>
      <w:r>
        <w:t>person; or</w:t>
      </w:r>
    </w:p>
    <w:p>
      <w:pPr>
        <w:pStyle w:val="Indenti"/>
        <w:rPr>
          <w:snapToGrid w:val="0"/>
        </w:rPr>
      </w:pPr>
      <w:r>
        <w:rPr>
          <w:snapToGrid w:val="0"/>
        </w:rPr>
        <w:tab/>
        <w:t>(ii)</w:t>
      </w:r>
      <w:r>
        <w:rPr>
          <w:snapToGrid w:val="0"/>
        </w:rPr>
        <w:tab/>
        <w:t xml:space="preserve">on the question of whether, if a particular application were granted, public disorder or disturbance would be likely to </w:t>
      </w:r>
      <w:r>
        <w:t>result; or</w:t>
      </w:r>
    </w:p>
    <w:p>
      <w:pPr>
        <w:pStyle w:val="Indenti"/>
        <w:keepNext/>
      </w:pPr>
      <w:r>
        <w:rPr>
          <w:snapToGrid w:val="0"/>
        </w:rPr>
        <w:tab/>
        <w:t>(iii)</w:t>
      </w:r>
      <w:r>
        <w:rPr>
          <w:snapToGrid w:val="0"/>
        </w:rPr>
        <w:tab/>
        <w:t xml:space="preserve">as to the interest that any person may have in a </w:t>
      </w:r>
      <w:r>
        <w:t>licence; or</w:t>
      </w:r>
    </w:p>
    <w:p>
      <w:pPr>
        <w:pStyle w:val="Indenti"/>
        <w:rPr>
          <w:snapToGrid w:val="0"/>
        </w:rPr>
      </w:pPr>
      <w:r>
        <w:tab/>
        <w:t>(iv)</w:t>
      </w:r>
      <w:r>
        <w:tab/>
        <w:t>any other matter relevant to the public interest.</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 and</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keepNext/>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Act 1911</w:t>
      </w:r>
      <w:r>
        <w:rPr>
          <w:snapToGrid w:val="0"/>
        </w:rPr>
        <w:t>; or</w:t>
      </w:r>
    </w:p>
    <w:p>
      <w:pPr>
        <w:pStyle w:val="Indenta"/>
        <w:rPr>
          <w:snapToGrid w:val="0"/>
        </w:rPr>
      </w:pPr>
      <w:r>
        <w:rPr>
          <w:snapToGrid w:val="0"/>
        </w:rPr>
        <w:tab/>
        <w:t>(aa)</w:t>
      </w:r>
      <w:r>
        <w:rPr>
          <w:snapToGrid w:val="0"/>
        </w:rPr>
        <w:tab/>
        <w:t xml:space="preserve">the </w:t>
      </w:r>
      <w:r>
        <w:rPr>
          <w:i/>
          <w:iCs/>
          <w:snapToGrid w:val="0"/>
        </w:rPr>
        <w:t>Food Act 2008</w:t>
      </w:r>
      <w:r>
        <w:rPr>
          <w:snapToGrid w:val="0"/>
        </w:rPr>
        <w:t>; or</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w:t>
      </w:r>
      <w:r>
        <w:rPr>
          <w:i/>
          <w:iCs/>
        </w:rPr>
        <w:t xml:space="preserve"> Building Act 2011</w:t>
      </w:r>
      <w:r>
        <w:t>,</w:t>
      </w:r>
      <w:r>
        <w:rPr>
          <w:snapToGrid w:val="0"/>
        </w:rPr>
        <w:t xml:space="preserve">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keepNext/>
      </w:pPr>
      <w:r>
        <w:tab/>
        <w:t>(8a)</w:t>
      </w:r>
      <w:r>
        <w:tab/>
        <w:t>The Executive Director</w:t>
      </w:r>
      <w:r>
        <w:rPr>
          <w:i/>
        </w:rPr>
        <w:t xml:space="preserve">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Executive Director</w:t>
      </w:r>
      <w:r>
        <w:t xml:space="preserve"> means the Executive Director, Public Health as defined in the </w:t>
      </w:r>
      <w:r>
        <w:rPr>
          <w:i/>
        </w:rPr>
        <w:t>Health Act 1911</w:t>
      </w:r>
      <w:r>
        <w:t xml:space="preserve"> section 3(1) and, for the purposes of subsection (8a)(b), includes a person authorised in writing by the Executive Director;</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spacing w:before="180"/>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keepNext/>
        <w:spacing w:before="180"/>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A person, other than the Commissioner of Police or the Director, who proposes to intervene in proceedings under this section, shall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keepNext/>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by No. 14 of 1996 s. 4; No. 12 of 1998 s. 10(9) and 48; No. 73 of 2006 s. 50; No. 43 of 2008 s. 148(3); No. 56 of 2010 s. 29 and 46; No. 24 of 2011 s. 165(3).] </w:t>
      </w:r>
    </w:p>
    <w:p>
      <w:pPr>
        <w:pStyle w:val="Heading5"/>
        <w:rPr>
          <w:snapToGrid w:val="0"/>
        </w:rPr>
      </w:pPr>
      <w:bookmarkStart w:id="295" w:name="_Toc406080098"/>
      <w:bookmarkStart w:id="296" w:name="_Toc423530527"/>
      <w:r>
        <w:rPr>
          <w:rStyle w:val="CharSectno"/>
        </w:rPr>
        <w:t>70</w:t>
      </w:r>
      <w:r>
        <w:rPr>
          <w:snapToGrid w:val="0"/>
        </w:rPr>
        <w:t>.</w:t>
      </w:r>
      <w:r>
        <w:rPr>
          <w:snapToGrid w:val="0"/>
        </w:rPr>
        <w:tab/>
        <w:t>Club licence applications, intervening in</w:t>
      </w:r>
      <w:bookmarkEnd w:id="295"/>
      <w:bookmarkEnd w:id="296"/>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 and</w:t>
      </w:r>
    </w:p>
    <w:p>
      <w:pPr>
        <w:pStyle w:val="Indenta"/>
        <w:rPr>
          <w:snapToGrid w:val="0"/>
        </w:rPr>
      </w:pPr>
      <w:r>
        <w:rPr>
          <w:snapToGrid w:val="0"/>
        </w:rPr>
        <w:tab/>
        <w:t>(b)</w:t>
      </w:r>
      <w:r>
        <w:rPr>
          <w:snapToGrid w:val="0"/>
        </w:rPr>
        <w:tab/>
        <w:t>the conditions to which the licence, if granted, should be subject; and</w:t>
      </w:r>
    </w:p>
    <w:p>
      <w:pPr>
        <w:pStyle w:val="Indenta"/>
        <w:rPr>
          <w:snapToGrid w:val="0"/>
        </w:rPr>
      </w:pPr>
      <w:r>
        <w:rPr>
          <w:snapToGrid w:val="0"/>
        </w:rPr>
        <w:tab/>
        <w:t>(c)</w:t>
      </w:r>
      <w:r>
        <w:rPr>
          <w:snapToGrid w:val="0"/>
        </w:rPr>
        <w:tab/>
        <w:t>any question as to the variation or cancellation of a condition imposed; and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Ednotesection"/>
        <w:spacing w:before="240"/>
      </w:pPr>
      <w:r>
        <w:t>[</w:t>
      </w:r>
      <w:r>
        <w:rPr>
          <w:b/>
        </w:rPr>
        <w:t>71.</w:t>
      </w:r>
      <w:r>
        <w:tab/>
        <w:t>Deleted by No. 73 of 2006 s. 51.]</w:t>
      </w:r>
    </w:p>
    <w:p>
      <w:pPr>
        <w:pStyle w:val="Heading5"/>
        <w:spacing w:before="240"/>
        <w:rPr>
          <w:snapToGrid w:val="0"/>
        </w:rPr>
      </w:pPr>
      <w:bookmarkStart w:id="297" w:name="_Toc406080099"/>
      <w:bookmarkStart w:id="298" w:name="_Toc423530528"/>
      <w:r>
        <w:rPr>
          <w:rStyle w:val="CharSectno"/>
        </w:rPr>
        <w:t>72</w:t>
      </w:r>
      <w:r>
        <w:rPr>
          <w:snapToGrid w:val="0"/>
        </w:rPr>
        <w:t>.</w:t>
      </w:r>
      <w:r>
        <w:rPr>
          <w:snapToGrid w:val="0"/>
        </w:rPr>
        <w:tab/>
        <w:t>Owner etc. of premises, when consent of required; right of owner, lessee etc. to object</w:t>
      </w:r>
      <w:bookmarkEnd w:id="297"/>
      <w:bookmarkEnd w:id="298"/>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spacing w:before="60"/>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keepNext/>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by No. 12 of 1998 s. 50; No. 73 of 2006 s. 52.] </w:t>
      </w:r>
    </w:p>
    <w:p>
      <w:pPr>
        <w:pStyle w:val="Heading5"/>
        <w:rPr>
          <w:snapToGrid w:val="0"/>
        </w:rPr>
      </w:pPr>
      <w:bookmarkStart w:id="299" w:name="_Toc406080100"/>
      <w:bookmarkStart w:id="300" w:name="_Toc423530529"/>
      <w:r>
        <w:rPr>
          <w:rStyle w:val="CharSectno"/>
        </w:rPr>
        <w:t>73</w:t>
      </w:r>
      <w:r>
        <w:rPr>
          <w:snapToGrid w:val="0"/>
        </w:rPr>
        <w:t>.</w:t>
      </w:r>
      <w:r>
        <w:rPr>
          <w:snapToGrid w:val="0"/>
        </w:rPr>
        <w:tab/>
      </w:r>
      <w:smartTag w:uri="urn:schemas-microsoft-com:office:smarttags" w:element="place">
        <w:r>
          <w:rPr>
            <w:snapToGrid w:val="0"/>
          </w:rPr>
          <w:t>Ob</w:t>
        </w:r>
      </w:smartTag>
      <w:r>
        <w:rPr>
          <w:snapToGrid w:val="0"/>
        </w:rPr>
        <w:t>jecting to applications, general right and rules as to</w:t>
      </w:r>
      <w:bookmarkEnd w:id="299"/>
      <w:bookmarkEnd w:id="300"/>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w:t>
      </w:r>
      <w:r>
        <w:t xml:space="preserve"> or section 30(4) applies</w:t>
      </w:r>
      <w:r>
        <w:rPr>
          <w:snapToGrid w:val="0"/>
        </w:rPr>
        <w:t>, serve a copy of the notice on the applicant.</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 or</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keepNext/>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keepNext/>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No. 73 of 2006 s. 53, 111(3) and (4).] </w:t>
      </w:r>
    </w:p>
    <w:p>
      <w:pPr>
        <w:pStyle w:val="Heading5"/>
        <w:rPr>
          <w:snapToGrid w:val="0"/>
        </w:rPr>
      </w:pPr>
      <w:bookmarkStart w:id="301" w:name="_Toc406080101"/>
      <w:bookmarkStart w:id="302" w:name="_Toc423530530"/>
      <w:r>
        <w:rPr>
          <w:rStyle w:val="CharSectno"/>
        </w:rPr>
        <w:t>74</w:t>
      </w:r>
      <w:r>
        <w:rPr>
          <w:snapToGrid w:val="0"/>
        </w:rPr>
        <w:t>.</w:t>
      </w:r>
      <w:r>
        <w:rPr>
          <w:snapToGrid w:val="0"/>
        </w:rPr>
        <w:tab/>
        <w:t>Objecting to applications, grounds for etc.</w:t>
      </w:r>
      <w:bookmarkEnd w:id="301"/>
      <w:bookmarkEnd w:id="302"/>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keepLines/>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 or</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 and</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 or</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No. 73 of 2006 s. 54.] </w:t>
      </w:r>
    </w:p>
    <w:p>
      <w:pPr>
        <w:pStyle w:val="Heading5"/>
        <w:rPr>
          <w:snapToGrid w:val="0"/>
        </w:rPr>
      </w:pPr>
      <w:bookmarkStart w:id="303" w:name="_Toc406080102"/>
      <w:bookmarkStart w:id="304" w:name="_Toc423530531"/>
      <w:r>
        <w:rPr>
          <w:rStyle w:val="CharSectno"/>
        </w:rPr>
        <w:t>75</w:t>
      </w:r>
      <w:r>
        <w:rPr>
          <w:snapToGrid w:val="0"/>
        </w:rPr>
        <w:t>.</w:t>
      </w:r>
      <w:r>
        <w:rPr>
          <w:snapToGrid w:val="0"/>
        </w:rPr>
        <w:tab/>
        <w:t>Occasional licence, applications for</w:t>
      </w:r>
      <w:bookmarkEnd w:id="303"/>
      <w:bookmarkEnd w:id="304"/>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keepNext/>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not subject to objection, but may be made the subject of a submission or an intervention under section 69; and</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ind w:left="890" w:hanging="890"/>
      </w:pPr>
      <w:r>
        <w:tab/>
        <w:t xml:space="preserve">[Section 75 amended by No. 12 of 1998 s. 53; No. 73 of 2006 s. 55, 106 and 111(5).] </w:t>
      </w:r>
    </w:p>
    <w:p>
      <w:pPr>
        <w:pStyle w:val="Heading5"/>
        <w:keepLines w:val="0"/>
        <w:rPr>
          <w:snapToGrid w:val="0"/>
        </w:rPr>
      </w:pPr>
      <w:bookmarkStart w:id="305" w:name="_Toc406080103"/>
      <w:bookmarkStart w:id="306" w:name="_Toc423530532"/>
      <w:r>
        <w:rPr>
          <w:rStyle w:val="CharSectno"/>
        </w:rPr>
        <w:t>76</w:t>
      </w:r>
      <w:r>
        <w:rPr>
          <w:snapToGrid w:val="0"/>
        </w:rPr>
        <w:t>.</w:t>
      </w:r>
      <w:r>
        <w:rPr>
          <w:snapToGrid w:val="0"/>
        </w:rPr>
        <w:tab/>
        <w:t>Extended trading permit, applications for</w:t>
      </w:r>
      <w:bookmarkEnd w:id="305"/>
      <w:bookmarkEnd w:id="306"/>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by No. 12 of 1998 s. 54; No. 73 of 2006 s. 56 and 111(6).] </w:t>
      </w:r>
    </w:p>
    <w:p>
      <w:pPr>
        <w:pStyle w:val="Heading5"/>
        <w:keepLines w:val="0"/>
        <w:rPr>
          <w:snapToGrid w:val="0"/>
        </w:rPr>
      </w:pPr>
      <w:bookmarkStart w:id="307" w:name="_Toc406080104"/>
      <w:bookmarkStart w:id="308" w:name="_Toc423530533"/>
      <w:r>
        <w:rPr>
          <w:rStyle w:val="CharSectno"/>
        </w:rPr>
        <w:t>77</w:t>
      </w:r>
      <w:r>
        <w:rPr>
          <w:snapToGrid w:val="0"/>
        </w:rPr>
        <w:t>.</w:t>
      </w:r>
      <w:r>
        <w:rPr>
          <w:snapToGrid w:val="0"/>
        </w:rPr>
        <w:tab/>
        <w:t>No alteration of licensed premises without approval; application for approvals of alterations or redefinition of premises</w:t>
      </w:r>
      <w:bookmarkEnd w:id="307"/>
      <w:bookmarkEnd w:id="308"/>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are of a prescribed type or class.</w:t>
      </w:r>
    </w:p>
    <w:p>
      <w:pPr>
        <w:pStyle w:val="Ednotesubsection"/>
      </w:pPr>
      <w:r>
        <w:tab/>
        <w:t>[(6)</w:t>
      </w:r>
      <w:r>
        <w:tab/>
        <w:t>deleted]</w:t>
      </w:r>
    </w:p>
    <w:p>
      <w:pPr>
        <w:pStyle w:val="Subsection"/>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ind w:left="890" w:hanging="890"/>
      </w:pPr>
      <w:r>
        <w:tab/>
        <w:t>[Section 77 amended by No. 26 of 2001 s. 6(1); No. 73 of 2006 s. 57 and 110; No. 56 of 2010 s. 69.]</w:t>
      </w:r>
    </w:p>
    <w:p>
      <w:pPr>
        <w:pStyle w:val="Heading3"/>
        <w:rPr>
          <w:snapToGrid w:val="0"/>
        </w:rPr>
      </w:pPr>
      <w:bookmarkStart w:id="309" w:name="_Toc377388894"/>
      <w:bookmarkStart w:id="310" w:name="_Toc406080105"/>
      <w:bookmarkStart w:id="311" w:name="_Toc416876092"/>
      <w:bookmarkStart w:id="312" w:name="_Toc416876446"/>
      <w:bookmarkStart w:id="313" w:name="_Toc417973128"/>
      <w:bookmarkStart w:id="314" w:name="_Toc423530534"/>
      <w:r>
        <w:rPr>
          <w:rStyle w:val="CharDivNo"/>
        </w:rPr>
        <w:t>Division 8</w:t>
      </w:r>
      <w:r>
        <w:rPr>
          <w:snapToGrid w:val="0"/>
        </w:rPr>
        <w:t> — </w:t>
      </w:r>
      <w:r>
        <w:rPr>
          <w:rStyle w:val="CharDivText"/>
        </w:rPr>
        <w:t>Removals</w:t>
      </w:r>
      <w:bookmarkEnd w:id="309"/>
      <w:bookmarkEnd w:id="310"/>
      <w:bookmarkEnd w:id="311"/>
      <w:bookmarkEnd w:id="312"/>
      <w:bookmarkEnd w:id="313"/>
      <w:bookmarkEnd w:id="314"/>
      <w:r>
        <w:rPr>
          <w:rStyle w:val="CharDivText"/>
        </w:rPr>
        <w:t xml:space="preserve"> </w:t>
      </w:r>
    </w:p>
    <w:p>
      <w:pPr>
        <w:pStyle w:val="Heading5"/>
        <w:rPr>
          <w:snapToGrid w:val="0"/>
        </w:rPr>
      </w:pPr>
      <w:bookmarkStart w:id="315" w:name="_Toc406080106"/>
      <w:bookmarkStart w:id="316" w:name="_Toc423530535"/>
      <w:r>
        <w:rPr>
          <w:rStyle w:val="CharSectno"/>
        </w:rPr>
        <w:t>78</w:t>
      </w:r>
      <w:r>
        <w:rPr>
          <w:snapToGrid w:val="0"/>
        </w:rPr>
        <w:t>.</w:t>
      </w:r>
      <w:r>
        <w:rPr>
          <w:snapToGrid w:val="0"/>
        </w:rPr>
        <w:tab/>
        <w:t>Casino liquor licence not removable without authority</w:t>
      </w:r>
      <w:bookmarkEnd w:id="315"/>
      <w:bookmarkEnd w:id="316"/>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ind w:left="890" w:hanging="890"/>
      </w:pPr>
      <w:r>
        <w:tab/>
        <w:t>[Section 78 amended by No. 35 of 2003 s. 173(4).]</w:t>
      </w:r>
    </w:p>
    <w:p>
      <w:pPr>
        <w:pStyle w:val="Heading5"/>
        <w:keepNext w:val="0"/>
        <w:keepLines w:val="0"/>
        <w:rPr>
          <w:snapToGrid w:val="0"/>
        </w:rPr>
      </w:pPr>
      <w:bookmarkStart w:id="317" w:name="_Toc406080107"/>
      <w:bookmarkStart w:id="318" w:name="_Toc423530536"/>
      <w:r>
        <w:rPr>
          <w:rStyle w:val="CharSectno"/>
        </w:rPr>
        <w:t>79</w:t>
      </w:r>
      <w:r>
        <w:rPr>
          <w:snapToGrid w:val="0"/>
        </w:rPr>
        <w:t>.</w:t>
      </w:r>
      <w:r>
        <w:rPr>
          <w:snapToGrid w:val="0"/>
        </w:rPr>
        <w:tab/>
        <w:t>Licence relating to transport, when removable</w:t>
      </w:r>
      <w:bookmarkEnd w:id="317"/>
      <w:bookmarkEnd w:id="318"/>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319" w:name="_Toc406080108"/>
      <w:bookmarkStart w:id="320" w:name="_Toc423530537"/>
      <w:r>
        <w:rPr>
          <w:rStyle w:val="CharSectno"/>
        </w:rPr>
        <w:t>80</w:t>
      </w:r>
      <w:r>
        <w:rPr>
          <w:snapToGrid w:val="0"/>
        </w:rPr>
        <w:t>.</w:t>
      </w:r>
      <w:r>
        <w:rPr>
          <w:snapToGrid w:val="0"/>
        </w:rPr>
        <w:tab/>
        <w:t>Temporary removal or redefinition of licence</w:t>
      </w:r>
      <w:bookmarkEnd w:id="319"/>
      <w:bookmarkEnd w:id="320"/>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 or</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spacing w:before="100"/>
        <w:ind w:left="890" w:hanging="890"/>
      </w:pPr>
      <w:r>
        <w:tab/>
        <w:t>[Section 80 amended by No. 73 of 2006 s. 58.]</w:t>
      </w:r>
    </w:p>
    <w:p>
      <w:pPr>
        <w:pStyle w:val="Heading5"/>
        <w:rPr>
          <w:snapToGrid w:val="0"/>
        </w:rPr>
      </w:pPr>
      <w:bookmarkStart w:id="321" w:name="_Toc406080109"/>
      <w:bookmarkStart w:id="322" w:name="_Toc423530538"/>
      <w:r>
        <w:rPr>
          <w:rStyle w:val="CharSectno"/>
        </w:rPr>
        <w:t>81</w:t>
      </w:r>
      <w:r>
        <w:rPr>
          <w:snapToGrid w:val="0"/>
        </w:rPr>
        <w:t>.</w:t>
      </w:r>
      <w:r>
        <w:rPr>
          <w:snapToGrid w:val="0"/>
        </w:rPr>
        <w:tab/>
        <w:t>Applications for removal of licence</w:t>
      </w:r>
      <w:bookmarkEnd w:id="321"/>
      <w:bookmarkEnd w:id="322"/>
    </w:p>
    <w:p>
      <w:pPr>
        <w:pStyle w:val="Subsection"/>
        <w:spacing w:before="140"/>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spacing w:before="140"/>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spacing w:before="140"/>
        <w:rPr>
          <w:snapToGrid w:val="0"/>
        </w:rPr>
      </w:pPr>
      <w:r>
        <w:rPr>
          <w:snapToGrid w:val="0"/>
        </w:rPr>
        <w:tab/>
        <w:t>(3)</w:t>
      </w:r>
      <w:r>
        <w:rPr>
          <w:snapToGrid w:val="0"/>
        </w:rPr>
        <w:tab/>
        <w:t>An applicant for the removal of a licence must satisfy the licensing authority — </w:t>
      </w:r>
    </w:p>
    <w:p>
      <w:pPr>
        <w:pStyle w:val="Ednotepara"/>
        <w:spacing w:before="60"/>
        <w:rPr>
          <w:snapToGrid w:val="0"/>
        </w:rPr>
      </w:pPr>
      <w:r>
        <w:rPr>
          <w:snapToGrid w:val="0"/>
        </w:rPr>
        <w:tab/>
        <w:t>[(a)</w:t>
      </w:r>
      <w:r>
        <w:rPr>
          <w:snapToGrid w:val="0"/>
        </w:rPr>
        <w:tab/>
        <w:t xml:space="preserve">deleted] </w:t>
      </w:r>
    </w:p>
    <w:p>
      <w:pPr>
        <w:pStyle w:val="Indenta"/>
        <w:spacing w:before="60"/>
        <w:rPr>
          <w:snapToGrid w:val="0"/>
        </w:rPr>
      </w:pPr>
      <w:r>
        <w:rPr>
          <w:snapToGrid w:val="0"/>
        </w:rPr>
        <w:tab/>
        <w:t>(b)</w:t>
      </w:r>
      <w:r>
        <w:rPr>
          <w:snapToGrid w:val="0"/>
        </w:rPr>
        <w:tab/>
        <w:t>that the requirements of this Act in relation to the grant of a new licence of that class are met in relation to — </w:t>
      </w:r>
    </w:p>
    <w:p>
      <w:pPr>
        <w:pStyle w:val="Indenti"/>
        <w:spacing w:before="60"/>
        <w:rPr>
          <w:snapToGrid w:val="0"/>
        </w:rPr>
      </w:pPr>
      <w:r>
        <w:rPr>
          <w:snapToGrid w:val="0"/>
        </w:rPr>
        <w:tab/>
        <w:t>(i)</w:t>
      </w:r>
      <w:r>
        <w:rPr>
          <w:snapToGrid w:val="0"/>
        </w:rPr>
        <w:tab/>
        <w:t>the licence sought to be removed; and</w:t>
      </w:r>
    </w:p>
    <w:p>
      <w:pPr>
        <w:pStyle w:val="Indenti"/>
        <w:spacing w:before="60"/>
        <w:rPr>
          <w:snapToGrid w:val="0"/>
        </w:rPr>
      </w:pPr>
      <w:r>
        <w:rPr>
          <w:snapToGrid w:val="0"/>
        </w:rPr>
        <w:tab/>
        <w:t>(ii)</w:t>
      </w:r>
      <w:r>
        <w:rPr>
          <w:snapToGrid w:val="0"/>
        </w:rPr>
        <w:tab/>
        <w:t>the premises to which it is sought to be removed;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that adequate notice of the proposed application had been given — </w:t>
      </w:r>
    </w:p>
    <w:p>
      <w:pPr>
        <w:pStyle w:val="Indenti"/>
        <w:spacing w:before="60"/>
        <w:rPr>
          <w:snapToGrid w:val="0"/>
        </w:rPr>
      </w:pPr>
      <w:r>
        <w:rPr>
          <w:snapToGrid w:val="0"/>
        </w:rPr>
        <w:tab/>
        <w:t>(i)</w:t>
      </w:r>
      <w:r>
        <w:rPr>
          <w:snapToGrid w:val="0"/>
        </w:rPr>
        <w:tab/>
        <w:t>to the owner and any lessor or lessee of the premises to which the licence is sought to be removed; and</w:t>
      </w:r>
    </w:p>
    <w:p>
      <w:pPr>
        <w:pStyle w:val="Indenti"/>
        <w:spacing w:before="60"/>
        <w:rPr>
          <w:snapToGrid w:val="0"/>
        </w:rPr>
      </w:pPr>
      <w:r>
        <w:rPr>
          <w:snapToGrid w:val="0"/>
        </w:rPr>
        <w:tab/>
        <w:t>(ii)</w:t>
      </w:r>
      <w:r>
        <w:rPr>
          <w:snapToGrid w:val="0"/>
        </w:rPr>
        <w:tab/>
        <w:t>to the owner, and any lessor, lessee or mortgagee of the premises from which it is proposed to remove the licence;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spacing w:before="140"/>
      </w:pPr>
      <w:r>
        <w:tab/>
        <w:t>[(4)</w:t>
      </w:r>
      <w:r>
        <w:tab/>
        <w:t>deleted]</w:t>
      </w:r>
    </w:p>
    <w:p>
      <w:pPr>
        <w:pStyle w:val="Subsection"/>
        <w:keepNext/>
        <w:spacing w:before="180"/>
        <w:rPr>
          <w:snapToGrid w:val="0"/>
        </w:rPr>
      </w:pPr>
      <w:r>
        <w:rPr>
          <w:snapToGrid w:val="0"/>
        </w:rPr>
        <w:tab/>
        <w:t>(5)</w:t>
      </w:r>
      <w:r>
        <w:rPr>
          <w:snapToGrid w:val="0"/>
        </w:rPr>
        <w:tab/>
        <w:t>The removal of a licence — </w:t>
      </w:r>
    </w:p>
    <w:p>
      <w:pPr>
        <w:pStyle w:val="Indenta"/>
        <w:spacing w:before="60"/>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keepNext/>
        <w:spacing w:before="60"/>
        <w:rPr>
          <w:snapToGrid w:val="0"/>
        </w:rPr>
      </w:pPr>
      <w:r>
        <w:rPr>
          <w:snapToGrid w:val="0"/>
        </w:rPr>
        <w:tab/>
        <w:t>(b)</w:t>
      </w:r>
      <w:r>
        <w:rPr>
          <w:snapToGrid w:val="0"/>
        </w:rPr>
        <w:tab/>
        <w:t>takes effect on the date specified in that endorsement,</w:t>
      </w:r>
    </w:p>
    <w:p>
      <w:pPr>
        <w:pStyle w:val="Subsection"/>
        <w:spacing w:before="120"/>
        <w:rPr>
          <w:snapToGrid w:val="0"/>
        </w:rPr>
      </w:pPr>
      <w:r>
        <w:rPr>
          <w:snapToGrid w:val="0"/>
        </w:rPr>
        <w:tab/>
      </w:r>
      <w:r>
        <w:rPr>
          <w:snapToGrid w:val="0"/>
        </w:rPr>
        <w:tab/>
        <w:t>on an application for the proposed removal being granted.</w:t>
      </w:r>
    </w:p>
    <w:p>
      <w:pPr>
        <w:pStyle w:val="Subsection"/>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pPr>
      <w:r>
        <w:tab/>
        <w:t>(7)</w:t>
      </w:r>
      <w:r>
        <w:tab/>
        <w:t xml:space="preserve">An application for the removal of a licence cannot be made if — </w:t>
      </w:r>
    </w:p>
    <w:p>
      <w:pPr>
        <w:pStyle w:val="Indenta"/>
        <w:spacing w:before="60"/>
      </w:pPr>
      <w:r>
        <w:tab/>
        <w:t>(a)</w:t>
      </w:r>
      <w:r>
        <w:tab/>
        <w:t>the licence has been conditionally granted under section 62; and</w:t>
      </w:r>
    </w:p>
    <w:p>
      <w:pPr>
        <w:pStyle w:val="Indenta"/>
        <w:spacing w:before="60"/>
      </w:pPr>
      <w:r>
        <w:tab/>
        <w:t>(b)</w:t>
      </w:r>
      <w:r>
        <w:tab/>
        <w:t>the grant of the licence has not been confirmed under section 62(9).</w:t>
      </w:r>
    </w:p>
    <w:p>
      <w:pPr>
        <w:pStyle w:val="Footnotesection"/>
        <w:ind w:left="890" w:hanging="890"/>
      </w:pPr>
      <w:r>
        <w:tab/>
        <w:t xml:space="preserve">[Section 81 amended by No. 12 of 1998 s. 55; No. 73 of 2006 s. 59.] </w:t>
      </w:r>
    </w:p>
    <w:p>
      <w:pPr>
        <w:pStyle w:val="Heading3"/>
        <w:spacing w:before="220"/>
        <w:rPr>
          <w:snapToGrid w:val="0"/>
        </w:rPr>
      </w:pPr>
      <w:bookmarkStart w:id="323" w:name="_Toc377388899"/>
      <w:bookmarkStart w:id="324" w:name="_Toc406080110"/>
      <w:bookmarkStart w:id="325" w:name="_Toc416876097"/>
      <w:bookmarkStart w:id="326" w:name="_Toc416876451"/>
      <w:bookmarkStart w:id="327" w:name="_Toc417973133"/>
      <w:bookmarkStart w:id="328" w:name="_Toc423530539"/>
      <w:r>
        <w:rPr>
          <w:rStyle w:val="CharDivNo"/>
        </w:rPr>
        <w:t>Division 9</w:t>
      </w:r>
      <w:r>
        <w:rPr>
          <w:snapToGrid w:val="0"/>
        </w:rPr>
        <w:t> — </w:t>
      </w:r>
      <w:r>
        <w:rPr>
          <w:rStyle w:val="CharDivText"/>
        </w:rPr>
        <w:t>Transfers</w:t>
      </w:r>
      <w:bookmarkEnd w:id="323"/>
      <w:bookmarkEnd w:id="324"/>
      <w:bookmarkEnd w:id="325"/>
      <w:bookmarkEnd w:id="326"/>
      <w:bookmarkEnd w:id="327"/>
      <w:bookmarkEnd w:id="328"/>
      <w:r>
        <w:rPr>
          <w:rStyle w:val="CharDivText"/>
        </w:rPr>
        <w:t xml:space="preserve"> </w:t>
      </w:r>
    </w:p>
    <w:p>
      <w:pPr>
        <w:pStyle w:val="Heading5"/>
        <w:rPr>
          <w:snapToGrid w:val="0"/>
        </w:rPr>
      </w:pPr>
      <w:bookmarkStart w:id="329" w:name="_Toc406080111"/>
      <w:bookmarkStart w:id="330" w:name="_Toc423530540"/>
      <w:r>
        <w:rPr>
          <w:rStyle w:val="CharSectno"/>
        </w:rPr>
        <w:t>82</w:t>
      </w:r>
      <w:r>
        <w:rPr>
          <w:snapToGrid w:val="0"/>
        </w:rPr>
        <w:t>.</w:t>
      </w:r>
      <w:r>
        <w:rPr>
          <w:snapToGrid w:val="0"/>
        </w:rPr>
        <w:tab/>
        <w:t>Applications for transfer of licences</w:t>
      </w:r>
      <w:bookmarkEnd w:id="329"/>
      <w:bookmarkEnd w:id="330"/>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spacing w:before="60"/>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keepLines/>
        <w:rPr>
          <w:snapToGrid w:val="0"/>
        </w:rPr>
      </w:pPr>
      <w:r>
        <w:rPr>
          <w:snapToGrid w:val="0"/>
        </w:rPr>
        <w:tab/>
        <w:t>(b)</w:t>
      </w:r>
      <w:r>
        <w:rPr>
          <w:snapToGrid w:val="0"/>
        </w:rPr>
        <w:tab/>
        <w:t>takes effect on the date specified in that endorsement,</w:t>
      </w:r>
    </w:p>
    <w:p>
      <w:pPr>
        <w:pStyle w:val="Subsection"/>
        <w:keepNext/>
        <w:keepLines/>
        <w:rPr>
          <w:snapToGrid w:val="0"/>
        </w:rPr>
      </w:pPr>
      <w:r>
        <w:rPr>
          <w:snapToGrid w:val="0"/>
        </w:rPr>
        <w:tab/>
      </w:r>
      <w:r>
        <w:rPr>
          <w:snapToGrid w:val="0"/>
        </w:rPr>
        <w:tab/>
        <w:t>on an application for the approval of the proposed transfer being granted.</w:t>
      </w:r>
    </w:p>
    <w:p>
      <w:pPr>
        <w:pStyle w:val="Footnotesection"/>
        <w:ind w:left="890" w:hanging="890"/>
      </w:pPr>
      <w:r>
        <w:tab/>
        <w:t xml:space="preserve">[Section 82 amended by No. 12 of 1998 s. 56.] </w:t>
      </w:r>
    </w:p>
    <w:p>
      <w:pPr>
        <w:pStyle w:val="Heading5"/>
        <w:spacing w:before="240"/>
        <w:rPr>
          <w:snapToGrid w:val="0"/>
        </w:rPr>
      </w:pPr>
      <w:bookmarkStart w:id="331" w:name="_Toc406080112"/>
      <w:bookmarkStart w:id="332" w:name="_Toc423530541"/>
      <w:r>
        <w:rPr>
          <w:rStyle w:val="CharSectno"/>
        </w:rPr>
        <w:t>82A</w:t>
      </w:r>
      <w:r>
        <w:rPr>
          <w:snapToGrid w:val="0"/>
        </w:rPr>
        <w:t>.</w:t>
      </w:r>
      <w:r>
        <w:rPr>
          <w:snapToGrid w:val="0"/>
        </w:rPr>
        <w:tab/>
        <w:t>Transfer of licence between licence holders</w:t>
      </w:r>
      <w:bookmarkEnd w:id="331"/>
      <w:bookmarkEnd w:id="332"/>
      <w:r>
        <w:rPr>
          <w:snapToGrid w:val="0"/>
        </w:rPr>
        <w:t xml:space="preserve"> </w:t>
      </w:r>
    </w:p>
    <w:p>
      <w:pPr>
        <w:pStyle w:val="Subsection"/>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ind w:left="890" w:hanging="890"/>
      </w:pPr>
      <w:r>
        <w:tab/>
        <w:t xml:space="preserve">[Section 82A inserted by No. 12 of 1998 s. 57.] </w:t>
      </w:r>
    </w:p>
    <w:p>
      <w:pPr>
        <w:pStyle w:val="Heading5"/>
        <w:rPr>
          <w:snapToGrid w:val="0"/>
        </w:rPr>
      </w:pPr>
      <w:bookmarkStart w:id="333" w:name="_Toc406080113"/>
      <w:bookmarkStart w:id="334" w:name="_Toc423530542"/>
      <w:r>
        <w:rPr>
          <w:rStyle w:val="CharSectno"/>
        </w:rPr>
        <w:t>83</w:t>
      </w:r>
      <w:r>
        <w:rPr>
          <w:snapToGrid w:val="0"/>
        </w:rPr>
        <w:t>.</w:t>
      </w:r>
      <w:r>
        <w:rPr>
          <w:snapToGrid w:val="0"/>
        </w:rPr>
        <w:tab/>
        <w:t>Certain licences not transferable</w:t>
      </w:r>
      <w:bookmarkEnd w:id="333"/>
      <w:bookmarkEnd w:id="334"/>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keepNext/>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335" w:name="_Toc406080114"/>
      <w:bookmarkStart w:id="336" w:name="_Toc423530543"/>
      <w:r>
        <w:rPr>
          <w:rStyle w:val="CharSectno"/>
        </w:rPr>
        <w:t>84</w:t>
      </w:r>
      <w:r>
        <w:rPr>
          <w:snapToGrid w:val="0"/>
        </w:rPr>
        <w:t>.</w:t>
      </w:r>
      <w:r>
        <w:rPr>
          <w:snapToGrid w:val="0"/>
        </w:rPr>
        <w:tab/>
        <w:t>Pre-requisites for transfer of licence</w:t>
      </w:r>
      <w:bookmarkEnd w:id="335"/>
      <w:bookmarkEnd w:id="336"/>
    </w:p>
    <w:p>
      <w:pPr>
        <w:pStyle w:val="Subsection"/>
        <w:keepNext/>
        <w:keepLines/>
        <w:spacing w:before="200"/>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spacing w:before="100"/>
        <w:rPr>
          <w:snapToGrid w:val="0"/>
        </w:rPr>
      </w:pPr>
      <w:r>
        <w:rPr>
          <w:snapToGrid w:val="0"/>
        </w:rPr>
        <w:tab/>
        <w:t>(a)</w:t>
      </w:r>
      <w:r>
        <w:rPr>
          <w:snapToGrid w:val="0"/>
        </w:rPr>
        <w:tab/>
        <w:t>pursuant to a contract for the sale or assignment of the right of the licensee to carry on business under the licence, the licensee consenting to the application; or</w:t>
      </w:r>
    </w:p>
    <w:p>
      <w:pPr>
        <w:pStyle w:val="Indenta"/>
        <w:keepNext/>
        <w:spacing w:before="100"/>
        <w:rPr>
          <w:snapToGrid w:val="0"/>
        </w:rPr>
      </w:pPr>
      <w:r>
        <w:rPr>
          <w:snapToGrid w:val="0"/>
        </w:rPr>
        <w:tab/>
        <w:t>(b)</w:t>
      </w:r>
      <w:r>
        <w:rPr>
          <w:snapToGrid w:val="0"/>
        </w:rPr>
        <w:tab/>
        <w:t>by a person who — </w:t>
      </w:r>
    </w:p>
    <w:p>
      <w:pPr>
        <w:pStyle w:val="Indenti"/>
        <w:spacing w:before="100"/>
        <w:rPr>
          <w:snapToGrid w:val="0"/>
        </w:rPr>
      </w:pPr>
      <w:r>
        <w:rPr>
          <w:snapToGrid w:val="0"/>
        </w:rPr>
        <w:tab/>
        <w:t>(i)</w:t>
      </w:r>
      <w:r>
        <w:rPr>
          <w:snapToGrid w:val="0"/>
        </w:rPr>
        <w:tab/>
        <w:t>has under section 86 a right to carry on the business of the licensee; or</w:t>
      </w:r>
    </w:p>
    <w:p>
      <w:pPr>
        <w:pStyle w:val="Indenti"/>
        <w:spacing w:before="100"/>
        <w:rPr>
          <w:snapToGrid w:val="0"/>
        </w:rPr>
      </w:pPr>
      <w:r>
        <w:rPr>
          <w:snapToGrid w:val="0"/>
        </w:rPr>
        <w:tab/>
        <w:t>(ii)</w:t>
      </w:r>
      <w:r>
        <w:rPr>
          <w:snapToGrid w:val="0"/>
        </w:rPr>
        <w:tab/>
        <w:t xml:space="preserve">may, under section 87, be granted a protection order; </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(c)</w:t>
      </w:r>
      <w:r>
        <w:rPr>
          <w:snapToGrid w:val="0"/>
        </w:rPr>
        <w:tab/>
        <w:t>with leave of the Director,</w:t>
      </w:r>
    </w:p>
    <w:p>
      <w:pPr>
        <w:pStyle w:val="Subsection"/>
        <w:spacing w:before="180"/>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spacing w:before="180"/>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spacing w:before="100"/>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spacing w:before="100"/>
        <w:rPr>
          <w:snapToGrid w:val="0"/>
        </w:rPr>
      </w:pPr>
      <w:r>
        <w:rPr>
          <w:snapToGrid w:val="0"/>
        </w:rPr>
        <w:tab/>
        <w:t>(b)</w:t>
      </w:r>
      <w:r>
        <w:rPr>
          <w:snapToGrid w:val="0"/>
        </w:rPr>
        <w:tab/>
        <w:t>the Director has approved the proposed transfer.</w:t>
      </w:r>
    </w:p>
    <w:p>
      <w:pPr>
        <w:pStyle w:val="Subsection"/>
        <w:spacing w:before="200"/>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No. 73 of 2006 s. 60 and 111(7).] </w:t>
      </w:r>
    </w:p>
    <w:p>
      <w:pPr>
        <w:pStyle w:val="Heading5"/>
        <w:rPr>
          <w:snapToGrid w:val="0"/>
        </w:rPr>
      </w:pPr>
      <w:bookmarkStart w:id="337" w:name="_Toc406080115"/>
      <w:bookmarkStart w:id="338" w:name="_Toc423530544"/>
      <w:r>
        <w:rPr>
          <w:rStyle w:val="CharSectno"/>
        </w:rPr>
        <w:t>85</w:t>
      </w:r>
      <w:r>
        <w:rPr>
          <w:snapToGrid w:val="0"/>
        </w:rPr>
        <w:t>.</w:t>
      </w:r>
      <w:r>
        <w:rPr>
          <w:snapToGrid w:val="0"/>
        </w:rPr>
        <w:tab/>
        <w:t>Transferee to succeed to certain of transferor’s liabilities and rights</w:t>
      </w:r>
      <w:bookmarkEnd w:id="337"/>
      <w:bookmarkEnd w:id="338"/>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339" w:name="_Toc377388905"/>
      <w:bookmarkStart w:id="340" w:name="_Toc406080116"/>
      <w:bookmarkStart w:id="341" w:name="_Toc416876103"/>
      <w:bookmarkStart w:id="342" w:name="_Toc416876457"/>
      <w:bookmarkStart w:id="343" w:name="_Toc417973139"/>
      <w:bookmarkStart w:id="344" w:name="_Toc423530545"/>
      <w:r>
        <w:rPr>
          <w:rStyle w:val="CharDivNo"/>
        </w:rPr>
        <w:t>Division 10</w:t>
      </w:r>
      <w:r>
        <w:rPr>
          <w:snapToGrid w:val="0"/>
        </w:rPr>
        <w:t> — </w:t>
      </w:r>
      <w:r>
        <w:rPr>
          <w:rStyle w:val="CharDivText"/>
        </w:rPr>
        <w:t>Interim authorisations and protection orders</w:t>
      </w:r>
      <w:bookmarkEnd w:id="339"/>
      <w:bookmarkEnd w:id="340"/>
      <w:bookmarkEnd w:id="341"/>
      <w:bookmarkEnd w:id="342"/>
      <w:bookmarkEnd w:id="343"/>
      <w:bookmarkEnd w:id="344"/>
      <w:r>
        <w:rPr>
          <w:rStyle w:val="CharDivText"/>
        </w:rPr>
        <w:t xml:space="preserve"> </w:t>
      </w:r>
    </w:p>
    <w:p>
      <w:pPr>
        <w:pStyle w:val="Heading5"/>
        <w:rPr>
          <w:snapToGrid w:val="0"/>
        </w:rPr>
      </w:pPr>
      <w:bookmarkStart w:id="345" w:name="_Toc406080117"/>
      <w:bookmarkStart w:id="346" w:name="_Toc423530546"/>
      <w:r>
        <w:rPr>
          <w:rStyle w:val="CharSectno"/>
        </w:rPr>
        <w:t>86</w:t>
      </w:r>
      <w:r>
        <w:rPr>
          <w:snapToGrid w:val="0"/>
        </w:rPr>
        <w:t>.</w:t>
      </w:r>
      <w:r>
        <w:rPr>
          <w:snapToGrid w:val="0"/>
        </w:rPr>
        <w:tab/>
        <w:t>Interim authorisations to carry on business under licence</w:t>
      </w:r>
      <w:bookmarkEnd w:id="345"/>
      <w:bookmarkEnd w:id="346"/>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spacing w:before="120"/>
        <w:rPr>
          <w:snapToGrid w:val="0"/>
        </w:rPr>
      </w:pPr>
      <w:r>
        <w:rPr>
          <w:snapToGrid w:val="0"/>
        </w:rPr>
        <w:tab/>
        <w:t>(2)</w:t>
      </w:r>
      <w:r>
        <w:rPr>
          <w:snapToGrid w:val="0"/>
        </w:rPr>
        <w:tab/>
        <w:t>Subject to subsection (4), where a licensee dies — </w:t>
      </w:r>
    </w:p>
    <w:p>
      <w:pPr>
        <w:pStyle w:val="Indenta"/>
        <w:spacing w:before="60"/>
        <w:rPr>
          <w:snapToGrid w:val="0"/>
        </w:rPr>
      </w:pPr>
      <w:r>
        <w:rPr>
          <w:snapToGrid w:val="0"/>
        </w:rPr>
        <w:tab/>
        <w:t>(a)</w:t>
      </w:r>
      <w:r>
        <w:rPr>
          <w:snapToGrid w:val="0"/>
        </w:rPr>
        <w:tab/>
        <w:t>the executor or other person entitled to, or who has obtained, a grant of administration of the estate of the licensee; or</w:t>
      </w:r>
    </w:p>
    <w:p>
      <w:pPr>
        <w:pStyle w:val="Indenta"/>
        <w:spacing w:before="60"/>
        <w:rPr>
          <w:snapToGrid w:val="0"/>
        </w:rPr>
      </w:pPr>
      <w:r>
        <w:rPr>
          <w:snapToGrid w:val="0"/>
        </w:rPr>
        <w:tab/>
        <w:t>(b)</w:t>
      </w:r>
      <w:r>
        <w:rPr>
          <w:snapToGrid w:val="0"/>
        </w:rPr>
        <w:tab/>
        <w:t>a relative or legatee of the licensee, being a person approved by the Director; or</w:t>
      </w:r>
    </w:p>
    <w:p>
      <w:pPr>
        <w:pStyle w:val="Indenta"/>
        <w:spacing w:before="60"/>
        <w:rPr>
          <w:snapToGrid w:val="0"/>
        </w:rPr>
      </w:pPr>
      <w:r>
        <w:rPr>
          <w:snapToGrid w:val="0"/>
        </w:rPr>
        <w:tab/>
        <w:t>(c)</w:t>
      </w:r>
      <w:r>
        <w:rPr>
          <w:snapToGrid w:val="0"/>
        </w:rPr>
        <w:tab/>
        <w:t>a nominee of any such person who is approved by the Director,</w:t>
      </w:r>
    </w:p>
    <w:p>
      <w:pPr>
        <w:pStyle w:val="Subsection"/>
        <w:spacing w:before="100"/>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spacing w:before="120"/>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spacing w:before="60"/>
        <w:rPr>
          <w:snapToGrid w:val="0"/>
        </w:rPr>
      </w:pPr>
      <w:r>
        <w:rPr>
          <w:snapToGrid w:val="0"/>
        </w:rPr>
        <w:tab/>
        <w:t>(a)</w:t>
      </w:r>
      <w:r>
        <w:rPr>
          <w:snapToGrid w:val="0"/>
        </w:rPr>
        <w:tab/>
        <w:t>a person authorised or appointed by law to administer the affairs of the licensee; or</w:t>
      </w:r>
    </w:p>
    <w:p>
      <w:pPr>
        <w:pStyle w:val="Indenta"/>
        <w:spacing w:before="60"/>
        <w:rPr>
          <w:snapToGrid w:val="0"/>
        </w:rPr>
      </w:pPr>
      <w:r>
        <w:rPr>
          <w:snapToGrid w:val="0"/>
        </w:rPr>
        <w:tab/>
        <w:t>(b)</w:t>
      </w:r>
      <w:r>
        <w:rPr>
          <w:snapToGrid w:val="0"/>
        </w:rPr>
        <w:tab/>
        <w:t>a relative of the licensee, being a person approved by the Director; or</w:t>
      </w:r>
    </w:p>
    <w:p>
      <w:pPr>
        <w:pStyle w:val="Indenta"/>
        <w:keepLines/>
        <w:spacing w:before="60"/>
        <w:rPr>
          <w:snapToGrid w:val="0"/>
        </w:rPr>
      </w:pPr>
      <w:r>
        <w:rPr>
          <w:snapToGrid w:val="0"/>
        </w:rPr>
        <w:tab/>
        <w:t>(c)</w:t>
      </w:r>
      <w:r>
        <w:rPr>
          <w:snapToGrid w:val="0"/>
        </w:rPr>
        <w:tab/>
        <w:t>a nominee of any such person who is approved by the Director,</w:t>
      </w:r>
    </w:p>
    <w:p>
      <w:pPr>
        <w:pStyle w:val="Subsection"/>
        <w:spacing w:before="100"/>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spacing w:before="120"/>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spacing w:before="60"/>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spacing w:before="180"/>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spacing w:before="180"/>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spacing w:before="180"/>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keepNext/>
        <w:keepLines/>
        <w:spacing w:before="180"/>
        <w:rPr>
          <w:snapToGrid w:val="0"/>
        </w:rPr>
      </w:pPr>
      <w:r>
        <w:rPr>
          <w:snapToGrid w:val="0"/>
        </w:rPr>
        <w:tab/>
        <w:t>(8)</w:t>
      </w:r>
      <w:r>
        <w:rPr>
          <w:snapToGrid w:val="0"/>
        </w:rPr>
        <w:tab/>
        <w:t>Where a person applies to the Director — </w:t>
      </w:r>
    </w:p>
    <w:p>
      <w:pPr>
        <w:pStyle w:val="Indenta"/>
        <w:keepNext/>
        <w:keepLines/>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spacing w:before="180"/>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spacing w:before="180"/>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spacing w:before="180"/>
        <w:rPr>
          <w:snapToGrid w:val="0"/>
        </w:rPr>
      </w:pPr>
      <w:r>
        <w:rPr>
          <w:snapToGrid w:val="0"/>
        </w:rPr>
        <w:tab/>
        <w:t>(10)</w:t>
      </w:r>
      <w:r>
        <w:rPr>
          <w:snapToGrid w:val="0"/>
        </w:rPr>
        <w:tab/>
        <w:t>Where — </w:t>
      </w:r>
    </w:p>
    <w:p>
      <w:pPr>
        <w:pStyle w:val="Indenta"/>
        <w:keepNext/>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 or</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ind w:left="890" w:hanging="890"/>
      </w:pPr>
      <w:r>
        <w:tab/>
        <w:t xml:space="preserve">[Section 86 amended by No. 12 of 1998 s. 59; No. 10 of 2001 s. 220; No. 73 of 2006 s. 61.] </w:t>
      </w:r>
    </w:p>
    <w:p>
      <w:pPr>
        <w:pStyle w:val="Heading5"/>
        <w:keepLines w:val="0"/>
        <w:rPr>
          <w:snapToGrid w:val="0"/>
        </w:rPr>
      </w:pPr>
      <w:bookmarkStart w:id="347" w:name="_Toc406080118"/>
      <w:bookmarkStart w:id="348" w:name="_Toc423530547"/>
      <w:r>
        <w:rPr>
          <w:rStyle w:val="CharSectno"/>
        </w:rPr>
        <w:t>87</w:t>
      </w:r>
      <w:r>
        <w:rPr>
          <w:snapToGrid w:val="0"/>
        </w:rPr>
        <w:t>.</w:t>
      </w:r>
      <w:r>
        <w:rPr>
          <w:snapToGrid w:val="0"/>
        </w:rPr>
        <w:tab/>
        <w:t>Protection orders, grant and term of etc.</w:t>
      </w:r>
      <w:bookmarkEnd w:id="347"/>
      <w:bookmarkEnd w:id="348"/>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 or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 or</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 or</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spacing w:before="60"/>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 or</w:t>
      </w:r>
    </w:p>
    <w:p>
      <w:pPr>
        <w:pStyle w:val="Indenti"/>
        <w:keepNext/>
        <w:keepLines/>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 or</w:t>
      </w:r>
    </w:p>
    <w:p>
      <w:pPr>
        <w:pStyle w:val="Indenti"/>
        <w:rPr>
          <w:snapToGrid w:val="0"/>
        </w:rPr>
      </w:pPr>
      <w:r>
        <w:rPr>
          <w:snapToGrid w:val="0"/>
        </w:rPr>
        <w:tab/>
        <w:t>(iii)</w:t>
      </w:r>
      <w:r>
        <w:rPr>
          <w:snapToGrid w:val="0"/>
        </w:rPr>
        <w:tab/>
        <w:t>on the granting of a new licence in respect of those premises; or</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keepNext/>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keepNext/>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No. 73 of 2006 s. 62.] </w:t>
      </w:r>
    </w:p>
    <w:p>
      <w:pPr>
        <w:pStyle w:val="Heading5"/>
        <w:rPr>
          <w:snapToGrid w:val="0"/>
        </w:rPr>
      </w:pPr>
      <w:bookmarkStart w:id="349" w:name="_Toc406080119"/>
      <w:bookmarkStart w:id="350" w:name="_Toc423530548"/>
      <w:r>
        <w:rPr>
          <w:rStyle w:val="CharSectno"/>
        </w:rPr>
        <w:t>88</w:t>
      </w:r>
      <w:r>
        <w:rPr>
          <w:snapToGrid w:val="0"/>
        </w:rPr>
        <w:t>.</w:t>
      </w:r>
      <w:r>
        <w:rPr>
          <w:snapToGrid w:val="0"/>
        </w:rPr>
        <w:tab/>
        <w:t>Protection order, effect of</w:t>
      </w:r>
      <w:bookmarkEnd w:id="349"/>
      <w:bookmarkEnd w:id="350"/>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 or</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rPr>
          <w:snapToGrid w:val="0"/>
        </w:rPr>
      </w:pPr>
      <w:bookmarkStart w:id="351" w:name="_Toc406080120"/>
      <w:bookmarkStart w:id="352" w:name="_Toc423530549"/>
      <w:r>
        <w:rPr>
          <w:rStyle w:val="CharSectno"/>
        </w:rPr>
        <w:t>89</w:t>
      </w:r>
      <w:r>
        <w:rPr>
          <w:snapToGrid w:val="0"/>
        </w:rPr>
        <w:t>.</w:t>
      </w:r>
      <w:r>
        <w:rPr>
          <w:snapToGrid w:val="0"/>
        </w:rPr>
        <w:tab/>
        <w:t>Dispute as to terms of lease, Director’s powers in case of</w:t>
      </w:r>
      <w:bookmarkEnd w:id="351"/>
      <w:bookmarkEnd w:id="352"/>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rPr>
          <w:snapToGrid w:val="0"/>
        </w:rPr>
      </w:pPr>
      <w:bookmarkStart w:id="353" w:name="_Toc377388910"/>
      <w:bookmarkStart w:id="354" w:name="_Toc406080121"/>
      <w:bookmarkStart w:id="355" w:name="_Toc416876108"/>
      <w:bookmarkStart w:id="356" w:name="_Toc416876462"/>
      <w:bookmarkStart w:id="357" w:name="_Toc417973144"/>
      <w:bookmarkStart w:id="358" w:name="_Toc423530550"/>
      <w:r>
        <w:rPr>
          <w:rStyle w:val="CharDivNo"/>
        </w:rPr>
        <w:t>Division 11</w:t>
      </w:r>
      <w:r>
        <w:rPr>
          <w:snapToGrid w:val="0"/>
        </w:rPr>
        <w:t> — </w:t>
      </w:r>
      <w:r>
        <w:rPr>
          <w:rStyle w:val="CharDivText"/>
        </w:rPr>
        <w:t>Suspensions</w:t>
      </w:r>
      <w:bookmarkEnd w:id="353"/>
      <w:bookmarkEnd w:id="354"/>
      <w:bookmarkEnd w:id="355"/>
      <w:bookmarkEnd w:id="356"/>
      <w:bookmarkEnd w:id="357"/>
      <w:bookmarkEnd w:id="358"/>
      <w:r>
        <w:rPr>
          <w:rStyle w:val="CharDivText"/>
        </w:rPr>
        <w:t xml:space="preserve"> </w:t>
      </w:r>
    </w:p>
    <w:p>
      <w:pPr>
        <w:pStyle w:val="Ednotesection"/>
      </w:pPr>
      <w:r>
        <w:t>[</w:t>
      </w:r>
      <w:r>
        <w:rPr>
          <w:b/>
        </w:rPr>
        <w:t>90.</w:t>
      </w:r>
      <w:r>
        <w:tab/>
        <w:t>Deleted by No. 73 of 2006 s. 63.]</w:t>
      </w:r>
    </w:p>
    <w:p>
      <w:pPr>
        <w:pStyle w:val="Heading5"/>
        <w:rPr>
          <w:snapToGrid w:val="0"/>
        </w:rPr>
      </w:pPr>
      <w:bookmarkStart w:id="359" w:name="_Toc406080122"/>
      <w:bookmarkStart w:id="360" w:name="_Toc423530551"/>
      <w:r>
        <w:rPr>
          <w:rStyle w:val="CharSectno"/>
        </w:rPr>
        <w:t>91</w:t>
      </w:r>
      <w:r>
        <w:rPr>
          <w:snapToGrid w:val="0"/>
        </w:rPr>
        <w:t>.</w:t>
      </w:r>
      <w:r>
        <w:rPr>
          <w:snapToGrid w:val="0"/>
        </w:rPr>
        <w:tab/>
        <w:t>Suspension of licence or permit in the public interest</w:t>
      </w:r>
      <w:bookmarkEnd w:id="359"/>
      <w:bookmarkEnd w:id="360"/>
    </w:p>
    <w:p>
      <w:pPr>
        <w:pStyle w:val="Subsection"/>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by No. 73 of 2006 s. 64.]</w:t>
      </w:r>
    </w:p>
    <w:p>
      <w:pPr>
        <w:pStyle w:val="Heading5"/>
        <w:rPr>
          <w:snapToGrid w:val="0"/>
        </w:rPr>
      </w:pPr>
      <w:bookmarkStart w:id="361" w:name="_Toc406080123"/>
      <w:bookmarkStart w:id="362" w:name="_Toc423530552"/>
      <w:r>
        <w:rPr>
          <w:rStyle w:val="CharSectno"/>
        </w:rPr>
        <w:t>92</w:t>
      </w:r>
      <w:r>
        <w:rPr>
          <w:snapToGrid w:val="0"/>
        </w:rPr>
        <w:t>.</w:t>
      </w:r>
      <w:r>
        <w:rPr>
          <w:snapToGrid w:val="0"/>
        </w:rPr>
        <w:tab/>
        <w:t>Suspension because business has ceased etc.</w:t>
      </w:r>
      <w:bookmarkEnd w:id="361"/>
      <w:bookmarkEnd w:id="362"/>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rPr>
          <w:snapToGrid w:val="0"/>
        </w:rPr>
      </w:pPr>
      <w:bookmarkStart w:id="363" w:name="_Toc406080124"/>
      <w:bookmarkStart w:id="364" w:name="_Toc423530553"/>
      <w:r>
        <w:rPr>
          <w:rStyle w:val="CharSectno"/>
        </w:rPr>
        <w:t>92A</w:t>
      </w:r>
      <w:r>
        <w:rPr>
          <w:snapToGrid w:val="0"/>
        </w:rPr>
        <w:t>.</w:t>
      </w:r>
      <w:r>
        <w:rPr>
          <w:snapToGrid w:val="0"/>
        </w:rPr>
        <w:tab/>
        <w:t>Cancellation of suspension</w:t>
      </w:r>
      <w:bookmarkEnd w:id="363"/>
      <w:bookmarkEnd w:id="364"/>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rPr>
          <w:snapToGrid w:val="0"/>
        </w:rPr>
      </w:pPr>
      <w:bookmarkStart w:id="365" w:name="_Toc406080125"/>
      <w:bookmarkStart w:id="366" w:name="_Toc423530554"/>
      <w:r>
        <w:rPr>
          <w:rStyle w:val="CharSectno"/>
        </w:rPr>
        <w:t>93</w:t>
      </w:r>
      <w:r>
        <w:rPr>
          <w:snapToGrid w:val="0"/>
        </w:rPr>
        <w:t>.</w:t>
      </w:r>
      <w:r>
        <w:rPr>
          <w:snapToGrid w:val="0"/>
        </w:rPr>
        <w:tab/>
        <w:t>Cancellation of suspended licences</w:t>
      </w:r>
      <w:bookmarkEnd w:id="365"/>
      <w:bookmarkEnd w:id="366"/>
      <w:r>
        <w:rPr>
          <w:snapToGrid w:val="0"/>
        </w:rPr>
        <w:t xml:space="preserve"> </w:t>
      </w:r>
    </w:p>
    <w:p>
      <w:pPr>
        <w:pStyle w:val="Subsection"/>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keepNext/>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spacing w:before="120"/>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spacing w:before="140"/>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spacing w:before="140"/>
        <w:rPr>
          <w:snapToGrid w:val="0"/>
        </w:rPr>
      </w:pPr>
      <w:r>
        <w:rPr>
          <w:snapToGrid w:val="0"/>
        </w:rPr>
        <w:tab/>
        <w:t>(2)</w:t>
      </w:r>
      <w:r>
        <w:rPr>
          <w:snapToGrid w:val="0"/>
        </w:rPr>
        <w:tab/>
        <w:t>The Director may, on application, extend the period specified in a notice made under subsection (1).</w:t>
      </w:r>
    </w:p>
    <w:p>
      <w:pPr>
        <w:pStyle w:val="Footnotesection"/>
      </w:pPr>
      <w:r>
        <w:tab/>
        <w:t xml:space="preserve">[Section 93 amended by No. 12 of 1998 s. 65; No. 73 of 2006 s. 65.] </w:t>
      </w:r>
    </w:p>
    <w:p>
      <w:pPr>
        <w:pStyle w:val="Heading3"/>
        <w:keepLines/>
        <w:rPr>
          <w:snapToGrid w:val="0"/>
        </w:rPr>
      </w:pPr>
      <w:bookmarkStart w:id="367" w:name="_Toc377388915"/>
      <w:bookmarkStart w:id="368" w:name="_Toc406080126"/>
      <w:bookmarkStart w:id="369" w:name="_Toc416876113"/>
      <w:bookmarkStart w:id="370" w:name="_Toc416876467"/>
      <w:bookmarkStart w:id="371" w:name="_Toc417973149"/>
      <w:bookmarkStart w:id="372" w:name="_Toc423530555"/>
      <w:r>
        <w:rPr>
          <w:rStyle w:val="CharDivNo"/>
        </w:rPr>
        <w:t>Division 12</w:t>
      </w:r>
      <w:r>
        <w:rPr>
          <w:snapToGrid w:val="0"/>
        </w:rPr>
        <w:t> — </w:t>
      </w:r>
      <w:r>
        <w:rPr>
          <w:rStyle w:val="CharDivText"/>
        </w:rPr>
        <w:t>Surrenders</w:t>
      </w:r>
      <w:bookmarkEnd w:id="367"/>
      <w:bookmarkEnd w:id="368"/>
      <w:bookmarkEnd w:id="369"/>
      <w:bookmarkEnd w:id="370"/>
      <w:bookmarkEnd w:id="371"/>
      <w:bookmarkEnd w:id="372"/>
      <w:r>
        <w:rPr>
          <w:rStyle w:val="CharDivText"/>
        </w:rPr>
        <w:t xml:space="preserve"> </w:t>
      </w:r>
    </w:p>
    <w:p>
      <w:pPr>
        <w:pStyle w:val="Heading5"/>
        <w:keepNext w:val="0"/>
        <w:rPr>
          <w:snapToGrid w:val="0"/>
        </w:rPr>
      </w:pPr>
      <w:bookmarkStart w:id="373" w:name="_Toc406080127"/>
      <w:bookmarkStart w:id="374" w:name="_Toc423530556"/>
      <w:r>
        <w:rPr>
          <w:rStyle w:val="CharSectno"/>
        </w:rPr>
        <w:t>94</w:t>
      </w:r>
      <w:r>
        <w:rPr>
          <w:snapToGrid w:val="0"/>
        </w:rPr>
        <w:t>.</w:t>
      </w:r>
      <w:r>
        <w:rPr>
          <w:snapToGrid w:val="0"/>
        </w:rPr>
        <w:tab/>
        <w:t>Surrendering licences</w:t>
      </w:r>
      <w:bookmarkEnd w:id="373"/>
      <w:bookmarkEnd w:id="374"/>
    </w:p>
    <w:p>
      <w:pPr>
        <w:pStyle w:val="Subsection"/>
        <w:spacing w:before="140"/>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spacing w:before="60"/>
        <w:rPr>
          <w:snapToGrid w:val="0"/>
        </w:rPr>
      </w:pPr>
      <w:r>
        <w:rPr>
          <w:snapToGrid w:val="0"/>
        </w:rPr>
        <w:tab/>
        <w:t>(a)</w:t>
      </w:r>
      <w:r>
        <w:rPr>
          <w:snapToGrid w:val="0"/>
        </w:rPr>
        <w:tab/>
        <w:t>shall be deemed to be surrendered; and</w:t>
      </w:r>
    </w:p>
    <w:p>
      <w:pPr>
        <w:pStyle w:val="Indenta"/>
        <w:keepNext/>
        <w:keepLines/>
        <w:spacing w:before="60"/>
        <w:rPr>
          <w:snapToGrid w:val="0"/>
        </w:rPr>
      </w:pPr>
      <w:r>
        <w:rPr>
          <w:snapToGrid w:val="0"/>
        </w:rPr>
        <w:tab/>
        <w:t>(b)</w:t>
      </w:r>
      <w:r>
        <w:rPr>
          <w:snapToGrid w:val="0"/>
        </w:rPr>
        <w:tab/>
        <w:t>shall cease to have effect,</w:t>
      </w:r>
    </w:p>
    <w:p>
      <w:pPr>
        <w:pStyle w:val="Subsection"/>
        <w:spacing w:before="120"/>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spacing w:before="140"/>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spacing w:before="140"/>
        <w:rPr>
          <w:snapToGrid w:val="0"/>
        </w:rPr>
      </w:pPr>
      <w:r>
        <w:rPr>
          <w:snapToGrid w:val="0"/>
        </w:rPr>
        <w:tab/>
        <w:t>(3)</w:t>
      </w:r>
      <w:r>
        <w:rPr>
          <w:snapToGrid w:val="0"/>
        </w:rPr>
        <w:tab/>
        <w:t>The Director shall not give notice of acceptance of a surrender unless the Director is satisfied — </w:t>
      </w:r>
    </w:p>
    <w:p>
      <w:pPr>
        <w:pStyle w:val="Indenta"/>
        <w:spacing w:before="60"/>
        <w:rPr>
          <w:snapToGrid w:val="0"/>
        </w:rPr>
      </w:pPr>
      <w:r>
        <w:rPr>
          <w:snapToGrid w:val="0"/>
        </w:rPr>
        <w:tab/>
        <w:t>(a)</w:t>
      </w:r>
      <w:r>
        <w:rPr>
          <w:snapToGrid w:val="0"/>
        </w:rPr>
        <w:tab/>
        <w:t>except where the licence is a club licence, that the written consent of every person entitled to any freehold interest in the licensed premises has been sought; and</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 and</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375" w:name="_Toc377388917"/>
      <w:bookmarkStart w:id="376" w:name="_Toc406080128"/>
      <w:bookmarkStart w:id="377" w:name="_Toc416876115"/>
      <w:bookmarkStart w:id="378" w:name="_Toc416876469"/>
      <w:bookmarkStart w:id="379" w:name="_Toc417973151"/>
      <w:bookmarkStart w:id="380" w:name="_Toc423530557"/>
      <w:r>
        <w:rPr>
          <w:rStyle w:val="CharDivNo"/>
        </w:rPr>
        <w:t>Division 13</w:t>
      </w:r>
      <w:r>
        <w:rPr>
          <w:snapToGrid w:val="0"/>
        </w:rPr>
        <w:t> — </w:t>
      </w:r>
      <w:r>
        <w:rPr>
          <w:rStyle w:val="CharDivText"/>
        </w:rPr>
        <w:t>Disciplinary matters</w:t>
      </w:r>
      <w:bookmarkEnd w:id="375"/>
      <w:bookmarkEnd w:id="376"/>
      <w:bookmarkEnd w:id="377"/>
      <w:bookmarkEnd w:id="378"/>
      <w:bookmarkEnd w:id="379"/>
      <w:bookmarkEnd w:id="380"/>
      <w:r>
        <w:rPr>
          <w:rStyle w:val="CharDivText"/>
        </w:rPr>
        <w:t xml:space="preserve"> </w:t>
      </w:r>
    </w:p>
    <w:p>
      <w:pPr>
        <w:pStyle w:val="Heading5"/>
        <w:rPr>
          <w:snapToGrid w:val="0"/>
        </w:rPr>
      </w:pPr>
      <w:bookmarkStart w:id="381" w:name="_Toc406080129"/>
      <w:bookmarkStart w:id="382" w:name="_Toc423530558"/>
      <w:r>
        <w:rPr>
          <w:rStyle w:val="CharSectno"/>
        </w:rPr>
        <w:t>95</w:t>
      </w:r>
      <w:r>
        <w:rPr>
          <w:snapToGrid w:val="0"/>
        </w:rPr>
        <w:t>.</w:t>
      </w:r>
      <w:r>
        <w:rPr>
          <w:snapToGrid w:val="0"/>
        </w:rPr>
        <w:tab/>
        <w:t>Disciplinary action against licensees, grounds and procedure for</w:t>
      </w:r>
      <w:bookmarkEnd w:id="381"/>
      <w:bookmarkEnd w:id="382"/>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 or</w:t>
      </w:r>
    </w:p>
    <w:p>
      <w:pPr>
        <w:pStyle w:val="Indenta"/>
        <w:rPr>
          <w:snapToGrid w:val="0"/>
        </w:rPr>
      </w:pPr>
      <w:r>
        <w:rPr>
          <w:snapToGrid w:val="0"/>
        </w:rPr>
        <w:tab/>
        <w:t>(b)</w:t>
      </w:r>
      <w:r>
        <w:rPr>
          <w:snapToGrid w:val="0"/>
        </w:rPr>
        <w:tab/>
        <w:t>the licensed premises are not properly managed in accordance with this Act; or</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 or</w:t>
      </w:r>
    </w:p>
    <w:p>
      <w:pPr>
        <w:pStyle w:val="Indenti"/>
        <w:rPr>
          <w:snapToGrid w:val="0"/>
        </w:rPr>
      </w:pPr>
      <w:r>
        <w:rPr>
          <w:snapToGrid w:val="0"/>
        </w:rPr>
        <w:tab/>
        <w:t>(ii)</w:t>
      </w:r>
      <w:r>
        <w:rPr>
          <w:snapToGrid w:val="0"/>
        </w:rPr>
        <w:tab/>
        <w:t>are otherwise in an unsatisfactory condition; or</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 or</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 or</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keepNext/>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 or</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 or</w:t>
      </w:r>
    </w:p>
    <w:p>
      <w:pPr>
        <w:pStyle w:val="Indenta"/>
        <w:rPr>
          <w:snapToGrid w:val="0"/>
        </w:rPr>
      </w:pPr>
      <w:r>
        <w:rPr>
          <w:snapToGrid w:val="0"/>
        </w:rPr>
        <w:tab/>
        <w:t>(g)</w:t>
      </w:r>
      <w:r>
        <w:rPr>
          <w:snapToGrid w:val="0"/>
        </w:rPr>
        <w:tab/>
        <w:t>the licensee otherwise is, or becomes, an unsuitable person to hold a licence under this Act; or</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 or</w:t>
      </w:r>
    </w:p>
    <w:p>
      <w:pPr>
        <w:pStyle w:val="Indenta"/>
        <w:rPr>
          <w:snapToGrid w:val="0"/>
        </w:rPr>
      </w:pPr>
      <w:r>
        <w:rPr>
          <w:snapToGrid w:val="0"/>
        </w:rPr>
        <w:tab/>
        <w:t>(j)</w:t>
      </w:r>
      <w:r>
        <w:rPr>
          <w:snapToGrid w:val="0"/>
        </w:rPr>
        <w:tab/>
        <w:t>the continuation of the licence is not in the public interest or the licence has not been exercised in the public interest; or</w:t>
      </w:r>
    </w:p>
    <w:p>
      <w:pPr>
        <w:pStyle w:val="Indenta"/>
        <w:rPr>
          <w:snapToGrid w:val="0"/>
        </w:rPr>
      </w:pPr>
      <w:r>
        <w:rPr>
          <w:snapToGrid w:val="0"/>
        </w:rPr>
        <w:tab/>
        <w:t>(k)</w:t>
      </w:r>
      <w:r>
        <w:rPr>
          <w:snapToGrid w:val="0"/>
        </w:rPr>
        <w:tab/>
        <w:t>the safety, health or welfare of persons who resort to the licensed premises is endangered by an act or neglect of the licensee; or</w:t>
      </w:r>
    </w:p>
    <w:p>
      <w:pPr>
        <w:pStyle w:val="Indenta"/>
        <w:rPr>
          <w:snapToGrid w:val="0"/>
        </w:rPr>
      </w:pPr>
      <w:r>
        <w:rPr>
          <w:snapToGrid w:val="0"/>
        </w:rPr>
        <w:tab/>
        <w:t>(m)</w:t>
      </w:r>
      <w:r>
        <w:rPr>
          <w:snapToGrid w:val="0"/>
        </w:rPr>
        <w:tab/>
        <w:t>a person is convicted of unlawful gaming in respect of events that took place on the licensed premises; or</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 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 and</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keepNext/>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pPr>
      <w:r>
        <w:tab/>
        <w:t>(7a)</w:t>
      </w:r>
      <w:r>
        <w:tab/>
        <w:t>When hearing a complaint under this section, the Commission is to be constituted by 3 members, including a member who is a lawyer.</w:t>
      </w:r>
    </w:p>
    <w:p>
      <w:pPr>
        <w:pStyle w:val="Subsection"/>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 and</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widowControl w:val="0"/>
        <w:ind w:left="890" w:hanging="890"/>
      </w:pPr>
      <w:r>
        <w:tab/>
        <w:t xml:space="preserve">[Section 95 amended by No. 14 of 1996 s. 4; No. 56 of 1997 s. 33; No. 12 of 1998 s. 10(11), 35(3) and (4), 66, 70(6) and (7); No. 73 of 2006 s. 66 and 106; No. 21 of 2008 s. 675(3); No. 43 of 2008 s. 148(4).] </w:t>
      </w:r>
    </w:p>
    <w:p>
      <w:pPr>
        <w:pStyle w:val="Heading5"/>
        <w:spacing w:before="240"/>
        <w:rPr>
          <w:snapToGrid w:val="0"/>
        </w:rPr>
      </w:pPr>
      <w:bookmarkStart w:id="383" w:name="_Toc406080130"/>
      <w:bookmarkStart w:id="384" w:name="_Toc423530559"/>
      <w:r>
        <w:rPr>
          <w:rStyle w:val="CharSectno"/>
        </w:rPr>
        <w:t>96</w:t>
      </w:r>
      <w:r>
        <w:rPr>
          <w:snapToGrid w:val="0"/>
        </w:rPr>
        <w:t>.</w:t>
      </w:r>
      <w:r>
        <w:rPr>
          <w:snapToGrid w:val="0"/>
        </w:rPr>
        <w:tab/>
        <w:t>Disciplinary action, powers to take</w:t>
      </w:r>
      <w:bookmarkEnd w:id="383"/>
      <w:bookmarkEnd w:id="384"/>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 or</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 or</w:t>
      </w:r>
    </w:p>
    <w:p>
      <w:pPr>
        <w:pStyle w:val="Indenta"/>
        <w:rPr>
          <w:snapToGrid w:val="0"/>
        </w:rPr>
      </w:pPr>
      <w:r>
        <w:rPr>
          <w:snapToGrid w:val="0"/>
        </w:rPr>
        <w:tab/>
        <w:t>(c)</w:t>
      </w:r>
      <w:r>
        <w:rPr>
          <w:snapToGrid w:val="0"/>
        </w:rPr>
        <w:tab/>
        <w:t>vary or cancel a condition to which the licence is subject; or</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cancel the licence; or</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 or</w:t>
      </w:r>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spacing w:before="60"/>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 or</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 or</w:t>
      </w:r>
    </w:p>
    <w:p>
      <w:pPr>
        <w:pStyle w:val="Indenta"/>
        <w:rPr>
          <w:snapToGrid w:val="0"/>
        </w:rPr>
      </w:pPr>
      <w:r>
        <w:rPr>
          <w:snapToGrid w:val="0"/>
        </w:rPr>
        <w:tab/>
        <w:t>(j)</w:t>
      </w:r>
      <w:r>
        <w:rPr>
          <w:snapToGrid w:val="0"/>
        </w:rPr>
        <w:tab/>
        <w:t>give directions as to the conduct of the business of the licensee; or</w:t>
      </w:r>
    </w:p>
    <w:p>
      <w:pPr>
        <w:pStyle w:val="Indenta"/>
        <w:rPr>
          <w:snapToGrid w:val="0"/>
        </w:rPr>
      </w:pPr>
      <w:r>
        <w:rPr>
          <w:snapToGrid w:val="0"/>
        </w:rPr>
        <w:tab/>
        <w:t>(k)</w:t>
      </w:r>
      <w:r>
        <w:rPr>
          <w:snapToGrid w:val="0"/>
        </w:rPr>
        <w:tab/>
        <w:t>require specified action to be taken by the licensee within a specified period; or</w:t>
      </w:r>
    </w:p>
    <w:p>
      <w:pPr>
        <w:pStyle w:val="Indenta"/>
        <w:tabs>
          <w:tab w:val="left" w:pos="4845"/>
        </w:tabs>
        <w:rPr>
          <w:snapToGrid w:val="0"/>
        </w:rPr>
      </w:pPr>
      <w:r>
        <w:rPr>
          <w:snapToGrid w:val="0"/>
        </w:rPr>
        <w:tab/>
        <w:t>(m)</w:t>
      </w:r>
      <w:r>
        <w:rPr>
          <w:snapToGrid w:val="0"/>
        </w:rPr>
        <w:tab/>
        <w:t xml:space="preserve">order the licensee or a person against whom a ground of complaint was made out to pay to the Crown a monetary penalty not exceeding </w:t>
      </w:r>
      <w:r>
        <w:t>$60 000;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 or</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No. 73 of 2006 s. 106 and 111(8); No. 56 of 2010 s. 47.] </w:t>
      </w:r>
    </w:p>
    <w:p>
      <w:pPr>
        <w:pStyle w:val="Heading2"/>
      </w:pPr>
      <w:bookmarkStart w:id="385" w:name="_Toc377388920"/>
      <w:bookmarkStart w:id="386" w:name="_Toc406080131"/>
      <w:bookmarkStart w:id="387" w:name="_Toc416876118"/>
      <w:bookmarkStart w:id="388" w:name="_Toc416876472"/>
      <w:bookmarkStart w:id="389" w:name="_Toc417973154"/>
      <w:bookmarkStart w:id="390" w:name="_Toc423530560"/>
      <w:r>
        <w:rPr>
          <w:rStyle w:val="CharPartNo"/>
        </w:rPr>
        <w:t>Part 4</w:t>
      </w:r>
      <w:r>
        <w:t> — </w:t>
      </w:r>
      <w:r>
        <w:rPr>
          <w:rStyle w:val="CharPartText"/>
        </w:rPr>
        <w:t>The conduct of business</w:t>
      </w:r>
      <w:bookmarkEnd w:id="385"/>
      <w:bookmarkEnd w:id="386"/>
      <w:bookmarkEnd w:id="387"/>
      <w:bookmarkEnd w:id="388"/>
      <w:bookmarkEnd w:id="389"/>
      <w:bookmarkEnd w:id="390"/>
      <w:r>
        <w:rPr>
          <w:rStyle w:val="CharPartText"/>
        </w:rPr>
        <w:t xml:space="preserve"> </w:t>
      </w:r>
    </w:p>
    <w:p>
      <w:pPr>
        <w:pStyle w:val="Heading3"/>
        <w:rPr>
          <w:snapToGrid w:val="0"/>
        </w:rPr>
      </w:pPr>
      <w:bookmarkStart w:id="391" w:name="_Toc377388921"/>
      <w:bookmarkStart w:id="392" w:name="_Toc406080132"/>
      <w:bookmarkStart w:id="393" w:name="_Toc416876119"/>
      <w:bookmarkStart w:id="394" w:name="_Toc416876473"/>
      <w:bookmarkStart w:id="395" w:name="_Toc417973155"/>
      <w:bookmarkStart w:id="396" w:name="_Toc423530561"/>
      <w:r>
        <w:rPr>
          <w:rStyle w:val="CharDivNo"/>
        </w:rPr>
        <w:t>Division 1</w:t>
      </w:r>
      <w:r>
        <w:rPr>
          <w:snapToGrid w:val="0"/>
        </w:rPr>
        <w:t> — </w:t>
      </w:r>
      <w:r>
        <w:rPr>
          <w:rStyle w:val="CharDivText"/>
        </w:rPr>
        <w:t>Hours of trading</w:t>
      </w:r>
      <w:bookmarkEnd w:id="391"/>
      <w:bookmarkEnd w:id="392"/>
      <w:bookmarkEnd w:id="393"/>
      <w:bookmarkEnd w:id="394"/>
      <w:bookmarkEnd w:id="395"/>
      <w:bookmarkEnd w:id="396"/>
      <w:r>
        <w:rPr>
          <w:rStyle w:val="CharDivText"/>
        </w:rPr>
        <w:t xml:space="preserve"> </w:t>
      </w:r>
    </w:p>
    <w:p>
      <w:pPr>
        <w:pStyle w:val="Heading5"/>
        <w:rPr>
          <w:snapToGrid w:val="0"/>
        </w:rPr>
      </w:pPr>
      <w:bookmarkStart w:id="397" w:name="_Toc406080133"/>
      <w:bookmarkStart w:id="398" w:name="_Toc423530562"/>
      <w:r>
        <w:rPr>
          <w:rStyle w:val="CharSectno"/>
        </w:rPr>
        <w:t>97</w:t>
      </w:r>
      <w:r>
        <w:rPr>
          <w:snapToGrid w:val="0"/>
        </w:rPr>
        <w:t>.</w:t>
      </w:r>
      <w:r>
        <w:rPr>
          <w:snapToGrid w:val="0"/>
        </w:rPr>
        <w:tab/>
        <w:t>Permitted hours generally</w:t>
      </w:r>
      <w:bookmarkEnd w:id="397"/>
      <w:bookmarkEnd w:id="398"/>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spacing w:before="120"/>
      </w:pPr>
      <w:r>
        <w:tab/>
        <w:t>[(2)</w:t>
      </w:r>
      <w:r>
        <w:tab/>
        <w:t>deleted]</w:t>
      </w:r>
    </w:p>
    <w:p>
      <w:pPr>
        <w:pStyle w:val="Footnotesection"/>
        <w:keepLines w:val="0"/>
      </w:pPr>
      <w:r>
        <w:tab/>
        <w:t xml:space="preserve">[Section 97 amended by No. 12 of 1998 s. 68; No. 35 of 2003 s. 173(4); No. 73 of 2006 s. 67.] </w:t>
      </w:r>
    </w:p>
    <w:p>
      <w:pPr>
        <w:pStyle w:val="Heading5"/>
      </w:pPr>
      <w:bookmarkStart w:id="399" w:name="_Toc406080134"/>
      <w:bookmarkStart w:id="400" w:name="_Toc423530563"/>
      <w:r>
        <w:rPr>
          <w:rStyle w:val="CharSectno"/>
        </w:rPr>
        <w:t>98</w:t>
      </w:r>
      <w:r>
        <w:t>.</w:t>
      </w:r>
      <w:r>
        <w:tab/>
        <w:t>Hotel licence, permitted hours under</w:t>
      </w:r>
      <w:bookmarkEnd w:id="399"/>
      <w:bookmarkEnd w:id="400"/>
    </w:p>
    <w:p>
      <w:pPr>
        <w:pStyle w:val="Subsection"/>
      </w:pPr>
      <w:r>
        <w:tab/>
        <w:t>(1)</w:t>
      </w:r>
      <w:r>
        <w:tab/>
        <w:t xml:space="preserve">The permitted hours under a hotel licence are — </w:t>
      </w:r>
    </w:p>
    <w:p>
      <w:pPr>
        <w:pStyle w:val="Indenta"/>
      </w:pPr>
      <w:r>
        <w:tab/>
        <w:t>(a)</w:t>
      </w:r>
      <w:r>
        <w:tab/>
        <w:t>on a day other than a Sunday — from 6 a.m. to midnight;</w:t>
      </w:r>
    </w:p>
    <w:p>
      <w:pPr>
        <w:pStyle w:val="Indenta"/>
      </w:pPr>
      <w:r>
        <w:tab/>
        <w:t>(b)</w:t>
      </w:r>
      <w:r>
        <w:tab/>
        <w:t>on a Sunday — from 10 a.m. to 10 p.m.;</w:t>
      </w:r>
    </w:p>
    <w:p>
      <w:pPr>
        <w:pStyle w:val="Indenta"/>
      </w:pPr>
      <w:r>
        <w:tab/>
        <w:t>(c)</w:t>
      </w:r>
      <w:r>
        <w:tab/>
        <w:t>on a Sunday that is New Year’s Eve — from 10 p.m. to 12 midnight;</w:t>
      </w:r>
    </w:p>
    <w:p>
      <w:pPr>
        <w:pStyle w:val="Indenta"/>
      </w:pPr>
      <w:r>
        <w:tab/>
        <w:t>(d)</w:t>
      </w:r>
      <w:r>
        <w:tab/>
        <w:t>on New Year’s Day — from immediately after 12 midnight on New Year’s Eve to 2 a.m.;</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spacing w:before="80"/>
        <w:ind w:left="890" w:hanging="890"/>
      </w:pPr>
      <w:r>
        <w:tab/>
        <w:t>[Section 98 inserted by No. 73 of 2006 s. 68.]</w:t>
      </w:r>
    </w:p>
    <w:p>
      <w:pPr>
        <w:pStyle w:val="Heading5"/>
      </w:pPr>
      <w:bookmarkStart w:id="401" w:name="_Toc406080135"/>
      <w:bookmarkStart w:id="402" w:name="_Toc423530564"/>
      <w:r>
        <w:rPr>
          <w:rStyle w:val="CharSectno"/>
        </w:rPr>
        <w:t>98A</w:t>
      </w:r>
      <w:r>
        <w:t>.</w:t>
      </w:r>
      <w:r>
        <w:tab/>
        <w:t>Nightclub licence, permitted hours under</w:t>
      </w:r>
      <w:bookmarkEnd w:id="401"/>
      <w:bookmarkEnd w:id="402"/>
    </w:p>
    <w:p>
      <w:pPr>
        <w:pStyle w:val="Subsection"/>
      </w:pPr>
      <w:r>
        <w:tab/>
        <w:t>(1)</w:t>
      </w:r>
      <w:r>
        <w:tab/>
        <w:t xml:space="preserve">The permitted hours under a nightclub licence are — </w:t>
      </w:r>
    </w:p>
    <w:p>
      <w:pPr>
        <w:pStyle w:val="Indenta"/>
      </w:pPr>
      <w:r>
        <w:tab/>
        <w:t>(a)</w:t>
      </w:r>
      <w:r>
        <w:tab/>
        <w:t>on a Monday, Tuesday, Wednesday or Thursday — from 6 p.m. to 12 midnight and then continuing to 5 a.m. on the next day;</w:t>
      </w:r>
    </w:p>
    <w:p>
      <w:pPr>
        <w:pStyle w:val="Indenta"/>
      </w:pPr>
      <w:r>
        <w:tab/>
        <w:t>(b)</w:t>
      </w:r>
      <w:r>
        <w:tab/>
        <w:t>on a Friday or Saturday — from 6 p.m. to midnight and then continuing to 5 a.m. on the next day;</w:t>
      </w:r>
    </w:p>
    <w:p>
      <w:pPr>
        <w:pStyle w:val="Indenta"/>
      </w:pPr>
      <w:r>
        <w:tab/>
        <w:t>(c)</w:t>
      </w:r>
      <w:r>
        <w:tab/>
        <w:t>on a Sunday that is not New Year’s Eve — from 8 p.m. to midnight;</w:t>
      </w:r>
    </w:p>
    <w:p>
      <w:pPr>
        <w:pStyle w:val="Indenta"/>
      </w:pPr>
      <w:r>
        <w:tab/>
        <w:t>(d)</w:t>
      </w:r>
      <w:r>
        <w:tab/>
        <w:t>on a Sunday that is New Year’s Eve — from 8 p.m. to midnight and then continuing to 5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(b) or (c), as the case requires.</w:t>
      </w:r>
    </w:p>
    <w:p>
      <w:pPr>
        <w:pStyle w:val="Subsection"/>
      </w:pPr>
      <w:r>
        <w:tab/>
        <w:t>(2)</w:t>
      </w:r>
      <w:r>
        <w:tab/>
        <w:t xml:space="preserve">If Christmas Day falls on a Monday — </w:t>
      </w:r>
    </w:p>
    <w:p>
      <w:pPr>
        <w:pStyle w:val="Indenta"/>
      </w:pPr>
      <w:r>
        <w:tab/>
        <w:t>(a)</w:t>
      </w:r>
      <w:r>
        <w:tab/>
        <w:t>there are no permitted hours under a nightclub licence on that day; and</w:t>
      </w:r>
    </w:p>
    <w:p>
      <w:pPr>
        <w:pStyle w:val="Indenta"/>
        <w:keepNext/>
      </w:pPr>
      <w:r>
        <w:tab/>
        <w:t>(b)</w:t>
      </w:r>
      <w:r>
        <w:tab/>
        <w:t>there are no further permitted hours before 6 p.m. on the following day.</w:t>
      </w:r>
    </w:p>
    <w:p>
      <w:pPr>
        <w:pStyle w:val="Footnotesection"/>
        <w:spacing w:before="80"/>
        <w:ind w:left="890" w:hanging="890"/>
      </w:pPr>
      <w:r>
        <w:tab/>
        <w:t>[Section 98A inserted by No. 73 of 2006 s. 68; amended by No. 56 of 2010 s. 48.]</w:t>
      </w:r>
    </w:p>
    <w:p>
      <w:pPr>
        <w:pStyle w:val="Heading5"/>
      </w:pPr>
      <w:bookmarkStart w:id="403" w:name="_Toc406080136"/>
      <w:bookmarkStart w:id="404" w:name="_Toc423530565"/>
      <w:r>
        <w:rPr>
          <w:rStyle w:val="CharSectno"/>
        </w:rPr>
        <w:t>98B</w:t>
      </w:r>
      <w:r>
        <w:t>.</w:t>
      </w:r>
      <w:r>
        <w:tab/>
        <w:t>Casino liquor licence, permitted hours under</w:t>
      </w:r>
      <w:bookmarkEnd w:id="403"/>
      <w:bookmarkEnd w:id="404"/>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by No. 73 of 2006 s. 68.]</w:t>
      </w:r>
    </w:p>
    <w:p>
      <w:pPr>
        <w:pStyle w:val="Heading5"/>
      </w:pPr>
      <w:bookmarkStart w:id="405" w:name="_Toc406080137"/>
      <w:bookmarkStart w:id="406" w:name="_Toc423530566"/>
      <w:r>
        <w:rPr>
          <w:rStyle w:val="CharSectno"/>
        </w:rPr>
        <w:t>98C</w:t>
      </w:r>
      <w:r>
        <w:t>.</w:t>
      </w:r>
      <w:r>
        <w:tab/>
        <w:t>Special facility licence, permitted hours under</w:t>
      </w:r>
      <w:bookmarkEnd w:id="405"/>
      <w:bookmarkEnd w:id="406"/>
    </w:p>
    <w:p>
      <w:pPr>
        <w:pStyle w:val="Subsection"/>
      </w:pPr>
      <w:r>
        <w:tab/>
      </w:r>
      <w:r>
        <w:tab/>
        <w:t>The permitted hours under a special facility licence are as specified in the particular licence.</w:t>
      </w:r>
    </w:p>
    <w:p>
      <w:pPr>
        <w:pStyle w:val="Footnotesection"/>
      </w:pPr>
      <w:r>
        <w:tab/>
        <w:t>[Section 98C inserted by No. 73 of 2006 s. 68.]</w:t>
      </w:r>
    </w:p>
    <w:p>
      <w:pPr>
        <w:pStyle w:val="Heading5"/>
      </w:pPr>
      <w:bookmarkStart w:id="407" w:name="_Toc406080138"/>
      <w:bookmarkStart w:id="408" w:name="_Toc423530567"/>
      <w:r>
        <w:rPr>
          <w:rStyle w:val="CharSectno"/>
        </w:rPr>
        <w:t>98D</w:t>
      </w:r>
      <w:r>
        <w:t>.</w:t>
      </w:r>
      <w:r>
        <w:tab/>
        <w:t>Liquor store licence, permitted hours under</w:t>
      </w:r>
      <w:bookmarkEnd w:id="407"/>
      <w:bookmarkEnd w:id="408"/>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by No. 73 of 2006 s. 68.]</w:t>
      </w:r>
    </w:p>
    <w:p>
      <w:pPr>
        <w:pStyle w:val="Heading5"/>
      </w:pPr>
      <w:bookmarkStart w:id="409" w:name="_Toc406080139"/>
      <w:bookmarkStart w:id="410" w:name="_Toc423530568"/>
      <w:r>
        <w:rPr>
          <w:rStyle w:val="CharSectno"/>
        </w:rPr>
        <w:t>98E</w:t>
      </w:r>
      <w:r>
        <w:t>.</w:t>
      </w:r>
      <w:r>
        <w:tab/>
        <w:t>Club licence and club restricted licence, permitted hours under</w:t>
      </w:r>
      <w:bookmarkEnd w:id="409"/>
      <w:bookmarkEnd w:id="410"/>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by No. 73 of 2006 s. 68.]</w:t>
      </w:r>
    </w:p>
    <w:p>
      <w:pPr>
        <w:pStyle w:val="Heading5"/>
      </w:pPr>
      <w:bookmarkStart w:id="411" w:name="_Toc406080140"/>
      <w:bookmarkStart w:id="412" w:name="_Toc423530569"/>
      <w:r>
        <w:rPr>
          <w:rStyle w:val="CharSectno"/>
        </w:rPr>
        <w:t>98F</w:t>
      </w:r>
      <w:r>
        <w:t>.</w:t>
      </w:r>
      <w:r>
        <w:tab/>
        <w:t>Restaurant licence, permitted hours under</w:t>
      </w:r>
      <w:bookmarkEnd w:id="411"/>
      <w:bookmarkEnd w:id="412"/>
    </w:p>
    <w:p>
      <w:pPr>
        <w:pStyle w:val="Subsection"/>
      </w:pPr>
      <w:r>
        <w:tab/>
      </w:r>
      <w:r>
        <w:tab/>
        <w:t>The permitted hours under a restaurant licence are at any time except from 3 a.m. to 12 noon on ANZAC Day.</w:t>
      </w:r>
    </w:p>
    <w:p>
      <w:pPr>
        <w:pStyle w:val="Footnotesection"/>
      </w:pPr>
      <w:r>
        <w:tab/>
        <w:t>[Section 98F inserted by No. 73 of 2006 s. 68.]</w:t>
      </w:r>
    </w:p>
    <w:p>
      <w:pPr>
        <w:pStyle w:val="Heading5"/>
      </w:pPr>
      <w:bookmarkStart w:id="413" w:name="_Toc406080141"/>
      <w:bookmarkStart w:id="414" w:name="_Toc423530570"/>
      <w:r>
        <w:rPr>
          <w:rStyle w:val="CharSectno"/>
        </w:rPr>
        <w:t>98G</w:t>
      </w:r>
      <w:r>
        <w:t>.</w:t>
      </w:r>
      <w:r>
        <w:tab/>
        <w:t>Producer’s licence, permitted hours under</w:t>
      </w:r>
      <w:bookmarkEnd w:id="413"/>
      <w:bookmarkEnd w:id="414"/>
    </w:p>
    <w:p>
      <w:pPr>
        <w:pStyle w:val="Subsection"/>
      </w:pPr>
      <w:r>
        <w:tab/>
      </w:r>
      <w:r>
        <w:tab/>
        <w:t xml:space="preserve">The permitted hours under a producer’s licence are — </w:t>
      </w:r>
    </w:p>
    <w:p>
      <w:pPr>
        <w:pStyle w:val="Indenta"/>
      </w:pPr>
      <w:r>
        <w:tab/>
        <w:t>(a)</w:t>
      </w:r>
      <w:r>
        <w:tab/>
        <w:t>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Footnotesection"/>
      </w:pPr>
      <w:r>
        <w:tab/>
        <w:t>[Section 98G inserted by No. 73 of 2006 s. 68.]</w:t>
      </w:r>
    </w:p>
    <w:p>
      <w:pPr>
        <w:pStyle w:val="Heading5"/>
      </w:pPr>
      <w:bookmarkStart w:id="415" w:name="_Toc406080142"/>
      <w:bookmarkStart w:id="416" w:name="_Toc423530571"/>
      <w:r>
        <w:rPr>
          <w:rStyle w:val="CharSectno"/>
        </w:rPr>
        <w:t>98H</w:t>
      </w:r>
      <w:r>
        <w:t>.</w:t>
      </w:r>
      <w:r>
        <w:tab/>
        <w:t>Wholesaler’s licence, permitted hours under</w:t>
      </w:r>
      <w:bookmarkEnd w:id="415"/>
      <w:bookmarkEnd w:id="416"/>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by No. 73 of 2006 s. 68.]</w:t>
      </w:r>
    </w:p>
    <w:p>
      <w:pPr>
        <w:pStyle w:val="Heading3"/>
        <w:rPr>
          <w:snapToGrid w:val="0"/>
        </w:rPr>
      </w:pPr>
      <w:bookmarkStart w:id="417" w:name="_Toc377388932"/>
      <w:bookmarkStart w:id="418" w:name="_Toc406080143"/>
      <w:bookmarkStart w:id="419" w:name="_Toc416876130"/>
      <w:bookmarkStart w:id="420" w:name="_Toc416876484"/>
      <w:bookmarkStart w:id="421" w:name="_Toc417973166"/>
      <w:bookmarkStart w:id="422" w:name="_Toc423530572"/>
      <w:r>
        <w:rPr>
          <w:rStyle w:val="CharDivNo"/>
        </w:rPr>
        <w:t>Division 2</w:t>
      </w:r>
      <w:r>
        <w:rPr>
          <w:snapToGrid w:val="0"/>
        </w:rPr>
        <w:t> — </w:t>
      </w:r>
      <w:r>
        <w:rPr>
          <w:rStyle w:val="CharDivText"/>
        </w:rPr>
        <w:t>Maintenance of the premises</w:t>
      </w:r>
      <w:bookmarkEnd w:id="417"/>
      <w:bookmarkEnd w:id="418"/>
      <w:bookmarkEnd w:id="419"/>
      <w:bookmarkEnd w:id="420"/>
      <w:bookmarkEnd w:id="421"/>
      <w:bookmarkEnd w:id="422"/>
      <w:r>
        <w:rPr>
          <w:rStyle w:val="CharDivText"/>
        </w:rPr>
        <w:t xml:space="preserve"> </w:t>
      </w:r>
    </w:p>
    <w:p>
      <w:pPr>
        <w:pStyle w:val="Heading5"/>
        <w:spacing w:before="180"/>
        <w:rPr>
          <w:snapToGrid w:val="0"/>
        </w:rPr>
      </w:pPr>
      <w:bookmarkStart w:id="423" w:name="_Toc406080144"/>
      <w:bookmarkStart w:id="424" w:name="_Toc423530573"/>
      <w:r>
        <w:rPr>
          <w:rStyle w:val="CharSectno"/>
        </w:rPr>
        <w:t>99</w:t>
      </w:r>
      <w:r>
        <w:rPr>
          <w:snapToGrid w:val="0"/>
        </w:rPr>
        <w:t>.</w:t>
      </w:r>
      <w:r>
        <w:rPr>
          <w:snapToGrid w:val="0"/>
        </w:rPr>
        <w:tab/>
        <w:t>Duty to keep premises clean and in good repair; powers to enforce duty and require alterations</w:t>
      </w:r>
      <w:bookmarkEnd w:id="423"/>
      <w:bookmarkEnd w:id="424"/>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rPr>
          <w:snapToGrid w:val="0"/>
        </w:rPr>
      </w:pPr>
      <w:r>
        <w:rPr>
          <w:snapToGrid w:val="0"/>
        </w:rPr>
        <w:tab/>
        <w:t>(3)</w:t>
      </w:r>
      <w:r>
        <w:rPr>
          <w:snapToGrid w:val="0"/>
        </w:rPr>
        <w:tab/>
        <w:t>Where the Director determines that in the public interest — </w:t>
      </w:r>
    </w:p>
    <w:p>
      <w:pPr>
        <w:pStyle w:val="Indenta"/>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 xml:space="preserve">Where an owner or licensee fails to comply with a requirement made under subsection (2) or (3) within the time limited in that requirement, the Director may determine that a monetary penalty, not exceeding </w:t>
      </w:r>
      <w:r>
        <w:t xml:space="preserve">$1 000 </w:t>
      </w:r>
      <w:r>
        <w:rPr>
          <w:snapToGrid w:val="0"/>
        </w:rPr>
        <w:t>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No. 56 of 2010 s. 49.] </w:t>
      </w:r>
    </w:p>
    <w:p>
      <w:pPr>
        <w:pStyle w:val="Heading3"/>
        <w:keepLines/>
        <w:rPr>
          <w:snapToGrid w:val="0"/>
        </w:rPr>
      </w:pPr>
      <w:bookmarkStart w:id="425" w:name="_Toc377388934"/>
      <w:bookmarkStart w:id="426" w:name="_Toc406080145"/>
      <w:bookmarkStart w:id="427" w:name="_Toc416876132"/>
      <w:bookmarkStart w:id="428" w:name="_Toc416876486"/>
      <w:bookmarkStart w:id="429" w:name="_Toc417973168"/>
      <w:bookmarkStart w:id="430" w:name="_Toc423530574"/>
      <w:r>
        <w:rPr>
          <w:rStyle w:val="CharDivNo"/>
        </w:rPr>
        <w:t>Division 3</w:t>
      </w:r>
      <w:r>
        <w:rPr>
          <w:snapToGrid w:val="0"/>
        </w:rPr>
        <w:t> — </w:t>
      </w:r>
      <w:r>
        <w:rPr>
          <w:rStyle w:val="CharDivText"/>
        </w:rPr>
        <w:t>Supervision and management</w:t>
      </w:r>
      <w:bookmarkEnd w:id="425"/>
      <w:bookmarkEnd w:id="426"/>
      <w:bookmarkEnd w:id="427"/>
      <w:bookmarkEnd w:id="428"/>
      <w:bookmarkEnd w:id="429"/>
      <w:bookmarkEnd w:id="430"/>
      <w:r>
        <w:rPr>
          <w:rStyle w:val="CharDivText"/>
        </w:rPr>
        <w:t xml:space="preserve"> </w:t>
      </w:r>
    </w:p>
    <w:p>
      <w:pPr>
        <w:pStyle w:val="Heading4"/>
        <w:keepLines/>
        <w:spacing w:before="200"/>
      </w:pPr>
      <w:bookmarkStart w:id="431" w:name="_Toc377388935"/>
      <w:bookmarkStart w:id="432" w:name="_Toc406080146"/>
      <w:bookmarkStart w:id="433" w:name="_Toc416876133"/>
      <w:bookmarkStart w:id="434" w:name="_Toc416876487"/>
      <w:bookmarkStart w:id="435" w:name="_Toc417973169"/>
      <w:bookmarkStart w:id="436" w:name="_Toc423530575"/>
      <w:r>
        <w:t>Subdivision 1 — Licensed premises to be supervised and managed</w:t>
      </w:r>
      <w:bookmarkEnd w:id="431"/>
      <w:bookmarkEnd w:id="432"/>
      <w:bookmarkEnd w:id="433"/>
      <w:bookmarkEnd w:id="434"/>
      <w:bookmarkEnd w:id="435"/>
      <w:bookmarkEnd w:id="436"/>
    </w:p>
    <w:p>
      <w:pPr>
        <w:pStyle w:val="Footnoteheading"/>
        <w:spacing w:before="100"/>
      </w:pPr>
      <w:r>
        <w:tab/>
        <w:t>[Heading inserted by No. 56 of 2010 s. 14.]</w:t>
      </w:r>
    </w:p>
    <w:p>
      <w:pPr>
        <w:pStyle w:val="Heading5"/>
        <w:spacing w:before="180"/>
        <w:rPr>
          <w:snapToGrid w:val="0"/>
        </w:rPr>
      </w:pPr>
      <w:bookmarkStart w:id="437" w:name="_Toc406080147"/>
      <w:bookmarkStart w:id="438" w:name="_Toc423530576"/>
      <w:r>
        <w:rPr>
          <w:rStyle w:val="CharSectno"/>
        </w:rPr>
        <w:t>100</w:t>
      </w:r>
      <w:r>
        <w:rPr>
          <w:snapToGrid w:val="0"/>
        </w:rPr>
        <w:t>.</w:t>
      </w:r>
      <w:r>
        <w:rPr>
          <w:snapToGrid w:val="0"/>
        </w:rPr>
        <w:tab/>
        <w:t>Licensee’s duties</w:t>
      </w:r>
      <w:bookmarkEnd w:id="437"/>
      <w:bookmarkEnd w:id="438"/>
    </w:p>
    <w:p>
      <w:pPr>
        <w:pStyle w:val="Subsection"/>
        <w:spacing w:before="120"/>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spacing w:before="120"/>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w:t>
      </w:r>
      <w:r>
        <w:t xml:space="preserve"> person; or</w:t>
      </w:r>
    </w:p>
    <w:p>
      <w:pPr>
        <w:pStyle w:val="Indenta"/>
        <w:rPr>
          <w:snapToGrid w:val="0"/>
        </w:rPr>
      </w:pPr>
      <w:r>
        <w:tab/>
        <w:t>(b)</w:t>
      </w:r>
      <w:r>
        <w:tab/>
        <w:t xml:space="preserve">by a person </w:t>
      </w:r>
      <w:r>
        <w:rPr>
          <w:snapToGrid w:val="0"/>
        </w:rPr>
        <w:t>who is —</w:t>
      </w:r>
    </w:p>
    <w:p>
      <w:pPr>
        <w:pStyle w:val="Indenti"/>
        <w:spacing w:before="60"/>
        <w:rPr>
          <w:snapToGrid w:val="0"/>
        </w:rPr>
      </w:pPr>
      <w:r>
        <w:rPr>
          <w:snapToGrid w:val="0"/>
        </w:rPr>
        <w:tab/>
        <w:t>(i)</w:t>
      </w:r>
      <w:r>
        <w:rPr>
          <w:snapToGrid w:val="0"/>
        </w:rPr>
        <w:tab/>
        <w:t>unless subparagraph (ii) applies — an approved unrestricted manager; or</w:t>
      </w:r>
    </w:p>
    <w:p>
      <w:pPr>
        <w:pStyle w:val="Indenti"/>
        <w:spacing w:before="60"/>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rPr>
          <w:snapToGrid w:val="0"/>
        </w:rPr>
      </w:pPr>
      <w:r>
        <w:rPr>
          <w:snapToGrid w:val="0"/>
        </w:rPr>
        <w:tab/>
      </w:r>
      <w:r>
        <w:rPr>
          <w:snapToGrid w:val="0"/>
        </w:rPr>
        <w:tab/>
        <w:t>or</w:t>
      </w:r>
    </w:p>
    <w:p>
      <w:pPr>
        <w:pStyle w:val="Indenta"/>
      </w:pPr>
      <w:r>
        <w:tab/>
        <w:t>(c)</w:t>
      </w:r>
      <w:r>
        <w:tab/>
        <w:t>a person appointed by the licensee in accordance with subsection (3) to act as a temporary manager of the premises.</w:t>
      </w:r>
    </w:p>
    <w:p>
      <w:pPr>
        <w:pStyle w:val="Penstart"/>
        <w:rPr>
          <w:snapToGrid w:val="0"/>
        </w:rPr>
      </w:pPr>
      <w:r>
        <w:rPr>
          <w:snapToGrid w:val="0"/>
        </w:rPr>
        <w:tab/>
        <w:t xml:space="preserve">Penalty: </w:t>
      </w:r>
      <w:r>
        <w:t>a fine of</w:t>
      </w:r>
      <w:r>
        <w:rPr>
          <w:snapToGrid w:val="0"/>
        </w:rPr>
        <w:t xml:space="preserve"> $10 000.</w:t>
      </w:r>
    </w:p>
    <w:p>
      <w:pPr>
        <w:pStyle w:val="Subsection"/>
        <w:spacing w:before="120"/>
      </w:pPr>
      <w:r>
        <w:tab/>
        <w:t>(2a)</w:t>
      </w:r>
      <w:r>
        <w:tab/>
        <w:t>Without limiting subsection (2), the licensee is to ensure, unless the Director otherwise approves, that there is present at the licensed premises at any time when business is conducted at the premises —</w:t>
      </w:r>
    </w:p>
    <w:p>
      <w:pPr>
        <w:pStyle w:val="Indenta"/>
        <w:spacing w:before="60"/>
      </w:pPr>
      <w:r>
        <w:tab/>
        <w:t>(a)</w:t>
      </w:r>
      <w:r>
        <w:tab/>
        <w:t>a person who is —</w:t>
      </w:r>
    </w:p>
    <w:p>
      <w:pPr>
        <w:pStyle w:val="Indenti"/>
        <w:spacing w:before="60"/>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pPr>
      <w:r>
        <w:tab/>
      </w:r>
      <w:r>
        <w:tab/>
        <w:t>or</w:t>
      </w:r>
    </w:p>
    <w:p>
      <w:pPr>
        <w:pStyle w:val="Indenta"/>
      </w:pPr>
      <w:r>
        <w:tab/>
        <w:t>(b)</w:t>
      </w:r>
      <w:r>
        <w:tab/>
        <w:t>a person appointed by the licensee in accordance with subsection (3) to act as a temporary manager of the premises.</w:t>
      </w:r>
    </w:p>
    <w:p>
      <w:pPr>
        <w:pStyle w:val="Penstart"/>
      </w:pPr>
      <w:r>
        <w:tab/>
        <w:t>Penalty: a fine of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Subject to any condition imposed under subsection (</w:t>
      </w:r>
      <w:r>
        <w:t>4)</w:t>
      </w:r>
      <w:r>
        <w:rPr>
          <w:snapToGrid w:val="0"/>
        </w:rPr>
        <w:t>, a licensee may appoint a person to act as a temporary manager of licensed premises for a particular period if —</w:t>
      </w:r>
    </w:p>
    <w:p>
      <w:pPr>
        <w:pStyle w:val="Indenta"/>
      </w:pPr>
      <w:r>
        <w:tab/>
        <w:t>(a)</w:t>
      </w:r>
      <w:r>
        <w:tab/>
        <w:t>unless the Director otherwise approves, at the end of that period the premises will not have been supervised and managed by a temporary manager —</w:t>
      </w:r>
    </w:p>
    <w:p>
      <w:pPr>
        <w:pStyle w:val="Indenti"/>
      </w:pPr>
      <w:r>
        <w:tab/>
        <w:t>(i)</w:t>
      </w:r>
      <w:r>
        <w:tab/>
        <w:t>for more than 7 consecutive days; nor</w:t>
      </w:r>
    </w:p>
    <w:p>
      <w:pPr>
        <w:pStyle w:val="Indenti"/>
      </w:pPr>
      <w:r>
        <w:tab/>
        <w:t>(ii)</w:t>
      </w:r>
      <w:r>
        <w:tab/>
        <w:t>for more than 7 days in any 28 day period;</w:t>
      </w:r>
    </w:p>
    <w:p>
      <w:pPr>
        <w:pStyle w:val="Indenta"/>
      </w:pPr>
      <w:r>
        <w:tab/>
      </w:r>
      <w:r>
        <w:tab/>
        <w:t>and</w:t>
      </w:r>
    </w:p>
    <w:p>
      <w:pPr>
        <w:pStyle w:val="Indenta"/>
      </w:pPr>
      <w:r>
        <w:tab/>
        <w:t>(b)</w:t>
      </w:r>
      <w:r>
        <w:tab/>
        <w:t>the person appointed has not, at any time, been found to be not a fit and proper person to manage licensed premises.</w:t>
      </w:r>
    </w:p>
    <w:p>
      <w:pPr>
        <w:pStyle w:val="Subsection"/>
        <w:rPr>
          <w:snapToGrid w:val="0"/>
        </w:rPr>
      </w:pPr>
      <w:r>
        <w:tab/>
        <w:t>(4)</w:t>
      </w:r>
      <w:r>
        <w:tab/>
        <w:t xml:space="preserve">Without limiting section 64, the Director may impose a condition on a licence prohibiting the licensee from </w:t>
      </w:r>
      <w:r>
        <w:rPr>
          <w:snapToGrid w:val="0"/>
        </w:rPr>
        <w:t>appointing a person under subsection (3) unless the Director has approved the appointment.</w:t>
      </w:r>
    </w:p>
    <w:p>
      <w:pPr>
        <w:pStyle w:val="Subsection"/>
        <w:spacing w:before="120"/>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 xml:space="preserve">Penalty: </w:t>
      </w:r>
      <w:r>
        <w:t>a fine of</w:t>
      </w:r>
      <w:r>
        <w:rPr>
          <w:snapToGrid w:val="0"/>
        </w:rPr>
        <w:t xml:space="preserve"> $10 000.</w:t>
      </w:r>
    </w:p>
    <w:p>
      <w:pPr>
        <w:pStyle w:val="Ednotesubsection"/>
      </w:pPr>
      <w:r>
        <w:tab/>
        <w:t>[(6)</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(7)</w:t>
      </w:r>
      <w:r>
        <w:rPr>
          <w:snapToGrid w:val="0"/>
        </w:rPr>
        <w:tab/>
        <w:t>A manager of licensed premises, in relation to those premises and the conduct of business at those premises,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amended by No. 73 of 2006 s. 69 and 110; No. 56 of 2010 s. 15 and 69.] </w:t>
      </w:r>
    </w:p>
    <w:p>
      <w:pPr>
        <w:pStyle w:val="Heading5"/>
        <w:rPr>
          <w:snapToGrid w:val="0"/>
        </w:rPr>
      </w:pPr>
      <w:bookmarkStart w:id="439" w:name="_Toc406080148"/>
      <w:bookmarkStart w:id="440" w:name="_Toc423530577"/>
      <w:r>
        <w:rPr>
          <w:rStyle w:val="CharSectno"/>
        </w:rPr>
        <w:t>101</w:t>
      </w:r>
      <w:r>
        <w:rPr>
          <w:snapToGrid w:val="0"/>
        </w:rPr>
        <w:t>.</w:t>
      </w:r>
      <w:r>
        <w:rPr>
          <w:snapToGrid w:val="0"/>
        </w:rPr>
        <w:tab/>
        <w:t>Managers etc., liabilities of</w:t>
      </w:r>
      <w:bookmarkEnd w:id="439"/>
      <w:bookmarkEnd w:id="440"/>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r>
      <w:r>
        <w:t>a manager of the licensed premises, or a person permitted by the licensee to conduct, supervise or manage the business carried on under the licence, is responsible</w:t>
      </w:r>
      <w:r>
        <w:rPr>
          <w:snapToGrid w:val="0"/>
        </w:rPr>
        <w:t xml:space="preserv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a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101 amended by No. 12 of 1998 s. 72; No. 84 of 2004 s. 80; No. 73 of 2006 s. 110; No. 56 of 2010 s. 25 and 69.] </w:t>
      </w:r>
    </w:p>
    <w:p>
      <w:pPr>
        <w:pStyle w:val="Heading4"/>
      </w:pPr>
      <w:bookmarkStart w:id="441" w:name="_Toc377388938"/>
      <w:bookmarkStart w:id="442" w:name="_Toc406080149"/>
      <w:bookmarkStart w:id="443" w:name="_Toc416876136"/>
      <w:bookmarkStart w:id="444" w:name="_Toc416876490"/>
      <w:bookmarkStart w:id="445" w:name="_Toc417973172"/>
      <w:bookmarkStart w:id="446" w:name="_Toc423530578"/>
      <w:r>
        <w:t>Subdivision 2 — Approval of managers</w:t>
      </w:r>
      <w:bookmarkEnd w:id="441"/>
      <w:bookmarkEnd w:id="442"/>
      <w:bookmarkEnd w:id="443"/>
      <w:bookmarkEnd w:id="444"/>
      <w:bookmarkEnd w:id="445"/>
      <w:bookmarkEnd w:id="446"/>
    </w:p>
    <w:p>
      <w:pPr>
        <w:pStyle w:val="Footnoteheading"/>
      </w:pPr>
      <w:r>
        <w:tab/>
        <w:t>[Heading inserted by No. 56 of 2010 s. 16.]</w:t>
      </w:r>
    </w:p>
    <w:p>
      <w:pPr>
        <w:pStyle w:val="Heading5"/>
      </w:pPr>
      <w:bookmarkStart w:id="447" w:name="_Toc406080150"/>
      <w:bookmarkStart w:id="448" w:name="_Toc423530579"/>
      <w:r>
        <w:rPr>
          <w:rStyle w:val="CharSectno"/>
        </w:rPr>
        <w:t>102A</w:t>
      </w:r>
      <w:r>
        <w:t>.</w:t>
      </w:r>
      <w:r>
        <w:tab/>
        <w:t>Terms used</w:t>
      </w:r>
      <w:bookmarkEnd w:id="447"/>
      <w:bookmarkEnd w:id="448"/>
    </w:p>
    <w:p>
      <w:pPr>
        <w:pStyle w:val="Subsection"/>
      </w:pPr>
      <w:r>
        <w:tab/>
      </w:r>
      <w:r>
        <w:tab/>
        <w:t>In this Subdivision —</w:t>
      </w:r>
    </w:p>
    <w:p>
      <w:pPr>
        <w:pStyle w:val="Defstart"/>
      </w:pPr>
      <w:r>
        <w:tab/>
      </w:r>
      <w:r>
        <w:rPr>
          <w:rStyle w:val="CharDefText"/>
        </w:rPr>
        <w:t>approved manager</w:t>
      </w:r>
      <w:r>
        <w:t xml:space="preserve"> means an approved unrestricted manager or an approved restricted manager;</w:t>
      </w:r>
    </w:p>
    <w:p>
      <w:pPr>
        <w:pStyle w:val="Defstart"/>
      </w:pPr>
      <w:r>
        <w:tab/>
      </w:r>
      <w:r>
        <w:rPr>
          <w:rStyle w:val="CharDefText"/>
        </w:rPr>
        <w:t>manager’s approval</w:t>
      </w:r>
      <w:r>
        <w:t xml:space="preserve"> means an approval granted under section 102B.</w:t>
      </w:r>
    </w:p>
    <w:p>
      <w:pPr>
        <w:pStyle w:val="Footnotesection"/>
      </w:pPr>
      <w:r>
        <w:tab/>
        <w:t>[Section 102A inserted by No. 56 of 2010 s. 16.]</w:t>
      </w:r>
    </w:p>
    <w:p>
      <w:pPr>
        <w:pStyle w:val="Heading5"/>
      </w:pPr>
      <w:bookmarkStart w:id="449" w:name="_Toc406080151"/>
      <w:bookmarkStart w:id="450" w:name="_Toc423530580"/>
      <w:r>
        <w:rPr>
          <w:rStyle w:val="CharSectno"/>
        </w:rPr>
        <w:t>102B</w:t>
      </w:r>
      <w:r>
        <w:t>.</w:t>
      </w:r>
      <w:r>
        <w:tab/>
        <w:t>Applications for and granting approvals</w:t>
      </w:r>
      <w:bookmarkEnd w:id="449"/>
      <w:bookmarkEnd w:id="450"/>
    </w:p>
    <w:p>
      <w:pPr>
        <w:pStyle w:val="Subsection"/>
        <w:rPr>
          <w:snapToGrid w:val="0"/>
        </w:rPr>
      </w:pPr>
      <w:r>
        <w:rPr>
          <w:snapToGrid w:val="0"/>
        </w:rPr>
        <w:tab/>
        <w:t>(1)</w:t>
      </w:r>
      <w:r>
        <w:rPr>
          <w:snapToGrid w:val="0"/>
        </w:rPr>
        <w:tab/>
        <w:t>The Director may, in writing, approve a natural person as —</w:t>
      </w:r>
    </w:p>
    <w:p>
      <w:pPr>
        <w:pStyle w:val="Indenta"/>
        <w:rPr>
          <w:snapToGrid w:val="0"/>
        </w:rPr>
      </w:pPr>
      <w:r>
        <w:rPr>
          <w:snapToGrid w:val="0"/>
        </w:rPr>
        <w:tab/>
        <w:t>(a)</w:t>
      </w:r>
      <w:r>
        <w:rPr>
          <w:snapToGrid w:val="0"/>
        </w:rPr>
        <w:tab/>
        <w:t>an approved unrestricted manager; or</w:t>
      </w:r>
    </w:p>
    <w:p>
      <w:pPr>
        <w:pStyle w:val="Indenta"/>
        <w:rPr>
          <w:snapToGrid w:val="0"/>
        </w:rPr>
      </w:pPr>
      <w:r>
        <w:rPr>
          <w:snapToGrid w:val="0"/>
        </w:rPr>
        <w:tab/>
        <w:t>(b)</w:t>
      </w:r>
      <w:r>
        <w:rPr>
          <w:snapToGrid w:val="0"/>
        </w:rPr>
        <w:tab/>
        <w:t>an approved restricted manager.</w:t>
      </w:r>
    </w:p>
    <w:p>
      <w:pPr>
        <w:pStyle w:val="Subsection"/>
        <w:rPr>
          <w:snapToGrid w:val="0"/>
        </w:rPr>
      </w:pPr>
      <w:r>
        <w:rPr>
          <w:snapToGrid w:val="0"/>
        </w:rPr>
        <w:tab/>
        <w:t>(2)</w:t>
      </w:r>
      <w:r>
        <w:rPr>
          <w:snapToGrid w:val="0"/>
        </w:rPr>
        <w:tab/>
        <w:t>An application for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Subsection"/>
        <w:rPr>
          <w:snapToGrid w:val="0"/>
        </w:rPr>
      </w:pPr>
      <w:r>
        <w:rPr>
          <w:snapToGrid w:val="0"/>
        </w:rPr>
        <w:tab/>
        <w:t>(3)</w:t>
      </w:r>
      <w:r>
        <w:rPr>
          <w:snapToGrid w:val="0"/>
        </w:rPr>
        <w:tab/>
        <w:t>The Director must not grant a manager’s approval unless satisfied that the applicant is a fit and proper person to be approved.</w:t>
      </w:r>
    </w:p>
    <w:p>
      <w:pPr>
        <w:pStyle w:val="Subsection"/>
      </w:pPr>
      <w:r>
        <w:tab/>
        <w:t>(4)</w:t>
      </w:r>
      <w:r>
        <w:tab/>
        <w:t>In determining an application for a manager’s approval the Director may have regard to any matters prescribed by the regulations.</w:t>
      </w:r>
    </w:p>
    <w:p>
      <w:pPr>
        <w:pStyle w:val="Subsection"/>
      </w:pPr>
      <w:r>
        <w:tab/>
        <w:t>(5)</w:t>
      </w:r>
      <w:r>
        <w:tab/>
        <w:t>Unless the Director otherwise determines, if a person has applied for a manager’s approval the person is to be taken to be an approved unrestricted manager or an approved restricted manager, as the case requires, until the Director determines the application.</w:t>
      </w:r>
    </w:p>
    <w:p>
      <w:pPr>
        <w:pStyle w:val="Footnotesection"/>
      </w:pPr>
      <w:r>
        <w:tab/>
        <w:t>[Section 102B inserted by No. 56 of 2010 s. 16.]</w:t>
      </w:r>
    </w:p>
    <w:p>
      <w:pPr>
        <w:pStyle w:val="Heading5"/>
        <w:spacing w:before="180"/>
      </w:pPr>
      <w:bookmarkStart w:id="451" w:name="_Toc406080152"/>
      <w:bookmarkStart w:id="452" w:name="_Toc423530581"/>
      <w:r>
        <w:rPr>
          <w:rStyle w:val="CharSectno"/>
        </w:rPr>
        <w:t>102C</w:t>
      </w:r>
      <w:r>
        <w:t>.</w:t>
      </w:r>
      <w:r>
        <w:tab/>
        <w:t>Conditions on manager’s approval</w:t>
      </w:r>
      <w:bookmarkEnd w:id="451"/>
      <w:bookmarkEnd w:id="452"/>
    </w:p>
    <w:p>
      <w:pPr>
        <w:pStyle w:val="Subsection"/>
      </w:pPr>
      <w:r>
        <w:rPr>
          <w:snapToGrid w:val="0"/>
        </w:rPr>
        <w:tab/>
      </w:r>
      <w:r>
        <w:rPr>
          <w:snapToGrid w:val="0"/>
        </w:rPr>
        <w:tab/>
        <w:t xml:space="preserve">The Director may, in accordance with the regulations, impose any conditions on a manager’s approval that the Director thinks fit and may </w:t>
      </w:r>
      <w:r>
        <w:t>vary or remove those conditions.</w:t>
      </w:r>
    </w:p>
    <w:p>
      <w:pPr>
        <w:pStyle w:val="Footnotesection"/>
      </w:pPr>
      <w:r>
        <w:tab/>
        <w:t>[Section 102C inserted by No. 56 of 2010 s. 16.]</w:t>
      </w:r>
    </w:p>
    <w:p>
      <w:pPr>
        <w:pStyle w:val="Heading5"/>
        <w:spacing w:before="180"/>
      </w:pPr>
      <w:bookmarkStart w:id="453" w:name="_Toc406080153"/>
      <w:bookmarkStart w:id="454" w:name="_Toc423530582"/>
      <w:r>
        <w:rPr>
          <w:rStyle w:val="CharSectno"/>
        </w:rPr>
        <w:t>102D</w:t>
      </w:r>
      <w:r>
        <w:t>.</w:t>
      </w:r>
      <w:r>
        <w:tab/>
        <w:t>Duration of manager’s approval</w:t>
      </w:r>
      <w:bookmarkEnd w:id="453"/>
      <w:bookmarkEnd w:id="454"/>
    </w:p>
    <w:p>
      <w:pPr>
        <w:pStyle w:val="Subsection"/>
      </w:pPr>
      <w:r>
        <w:tab/>
        <w:t>(1)</w:t>
      </w:r>
      <w:r>
        <w:tab/>
        <w:t>A manager’s approval —</w:t>
      </w:r>
    </w:p>
    <w:p>
      <w:pPr>
        <w:pStyle w:val="Indenta"/>
      </w:pPr>
      <w:r>
        <w:tab/>
        <w:t>(a)</w:t>
      </w:r>
      <w:r>
        <w:tab/>
        <w:t>takes effect on the day on which it is granted or any later day specified in it; and</w:t>
      </w:r>
    </w:p>
    <w:p>
      <w:pPr>
        <w:pStyle w:val="Indenta"/>
      </w:pPr>
      <w:r>
        <w:tab/>
        <w:t>(b)</w:t>
      </w:r>
      <w:r>
        <w:tab/>
        <w:t>remains in force for the period prescribed by the regulations, unless before then it is revoked under section 102F.</w:t>
      </w:r>
    </w:p>
    <w:p>
      <w:pPr>
        <w:pStyle w:val="Subsection"/>
      </w:pPr>
      <w:r>
        <w:tab/>
        <w:t>(2)</w:t>
      </w:r>
      <w:r>
        <w:tab/>
        <w:t>A manager’s approval may be renewed for consecutive periods of the duration prescribed by the regulations.</w:t>
      </w:r>
    </w:p>
    <w:p>
      <w:pPr>
        <w:pStyle w:val="Footnotesection"/>
      </w:pPr>
      <w:r>
        <w:tab/>
        <w:t>[Section 102D inserted by No. 56 of 2010 s. 16.]</w:t>
      </w:r>
    </w:p>
    <w:p>
      <w:pPr>
        <w:pStyle w:val="Heading5"/>
        <w:keepNext w:val="0"/>
        <w:keepLines w:val="0"/>
        <w:spacing w:before="180"/>
      </w:pPr>
      <w:bookmarkStart w:id="455" w:name="_Toc406080154"/>
      <w:bookmarkStart w:id="456" w:name="_Toc423530583"/>
      <w:r>
        <w:rPr>
          <w:rStyle w:val="CharSectno"/>
        </w:rPr>
        <w:t>102E</w:t>
      </w:r>
      <w:r>
        <w:t>.</w:t>
      </w:r>
      <w:r>
        <w:tab/>
        <w:t>Renewal of manager’s approval</w:t>
      </w:r>
      <w:bookmarkEnd w:id="455"/>
      <w:bookmarkEnd w:id="456"/>
    </w:p>
    <w:p>
      <w:pPr>
        <w:pStyle w:val="Subsection"/>
        <w:spacing w:before="120"/>
      </w:pPr>
      <w:r>
        <w:tab/>
        <w:t>(1)</w:t>
      </w:r>
      <w:r>
        <w:tab/>
        <w:t>An approved manager may apply to the Director to renew his or her manager’s approval.</w:t>
      </w:r>
    </w:p>
    <w:p>
      <w:pPr>
        <w:pStyle w:val="Subsection"/>
        <w:rPr>
          <w:snapToGrid w:val="0"/>
        </w:rPr>
      </w:pPr>
      <w:r>
        <w:rPr>
          <w:snapToGrid w:val="0"/>
        </w:rPr>
        <w:tab/>
        <w:t>(2)</w:t>
      </w:r>
      <w:r>
        <w:rPr>
          <w:snapToGrid w:val="0"/>
        </w:rPr>
        <w:tab/>
        <w:t>An application for the renewal of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Footnotesection"/>
      </w:pPr>
      <w:r>
        <w:tab/>
        <w:t>[Section 102E inserted by No. 56 of 2010 s. 16.]</w:t>
      </w:r>
    </w:p>
    <w:p>
      <w:pPr>
        <w:pStyle w:val="Heading5"/>
      </w:pPr>
      <w:bookmarkStart w:id="457" w:name="_Toc406080155"/>
      <w:bookmarkStart w:id="458" w:name="_Toc423530584"/>
      <w:r>
        <w:rPr>
          <w:rStyle w:val="CharSectno"/>
        </w:rPr>
        <w:t>102F</w:t>
      </w:r>
      <w:r>
        <w:t>.</w:t>
      </w:r>
      <w:r>
        <w:tab/>
        <w:t>Disciplinary action against approved managers</w:t>
      </w:r>
      <w:bookmarkEnd w:id="457"/>
      <w:bookmarkEnd w:id="458"/>
    </w:p>
    <w:p>
      <w:pPr>
        <w:pStyle w:val="Subsection"/>
        <w:rPr>
          <w:snapToGrid w:val="0"/>
        </w:rPr>
      </w:pPr>
      <w:r>
        <w:rPr>
          <w:snapToGrid w:val="0"/>
        </w:rPr>
        <w:tab/>
        <w:t>(1)</w:t>
      </w:r>
      <w:r>
        <w:rPr>
          <w:snapToGrid w:val="0"/>
        </w:rPr>
        <w:tab/>
        <w:t>There are grounds for taking action against an approved manager under this section if —</w:t>
      </w:r>
    </w:p>
    <w:p>
      <w:pPr>
        <w:pStyle w:val="Indenta"/>
        <w:rPr>
          <w:snapToGrid w:val="0"/>
        </w:rPr>
      </w:pPr>
      <w:r>
        <w:rPr>
          <w:snapToGrid w:val="0"/>
        </w:rPr>
        <w:tab/>
        <w:t>(a)</w:t>
      </w:r>
      <w:r>
        <w:rPr>
          <w:snapToGrid w:val="0"/>
        </w:rPr>
        <w:tab/>
        <w:t>the approved manager has failed to supervise and manage the conduct of business at licensed premises in a proper manner; or</w:t>
      </w:r>
    </w:p>
    <w:p>
      <w:pPr>
        <w:pStyle w:val="Indenta"/>
      </w:pPr>
      <w:r>
        <w:tab/>
        <w:t>(b)</w:t>
      </w:r>
      <w:r>
        <w:tab/>
      </w:r>
      <w:r>
        <w:rPr>
          <w:snapToGrid w:val="0"/>
        </w:rPr>
        <w:t>the approved manager is no longer fit and proper to be approved; or</w:t>
      </w:r>
    </w:p>
    <w:p>
      <w:pPr>
        <w:pStyle w:val="Indenta"/>
      </w:pPr>
      <w:r>
        <w:tab/>
        <w:t>(c)</w:t>
      </w:r>
      <w:r>
        <w:tab/>
        <w:t>t</w:t>
      </w:r>
      <w:r>
        <w:rPr>
          <w:snapToGrid w:val="0"/>
        </w:rPr>
        <w:t xml:space="preserve">he approved manager </w:t>
      </w:r>
      <w:r>
        <w:t>has failed to comply with any condition on his or her manager’s approval; or</w:t>
      </w:r>
    </w:p>
    <w:p>
      <w:pPr>
        <w:pStyle w:val="Indenta"/>
        <w:rPr>
          <w:snapToGrid w:val="0"/>
        </w:rPr>
      </w:pPr>
      <w:r>
        <w:tab/>
        <w:t>(d)</w:t>
      </w:r>
      <w:r>
        <w:tab/>
        <w:t>grounds exist under the regulations for taking action under this section.</w:t>
      </w:r>
    </w:p>
    <w:p>
      <w:pPr>
        <w:pStyle w:val="Subsection"/>
        <w:rPr>
          <w:snapToGrid w:val="0"/>
        </w:rPr>
      </w:pPr>
      <w:r>
        <w:rPr>
          <w:snapToGrid w:val="0"/>
        </w:rPr>
        <w:tab/>
        <w:t>(2)</w:t>
      </w:r>
      <w:r>
        <w:rPr>
          <w:snapToGrid w:val="0"/>
        </w:rPr>
        <w:tab/>
        <w:t>If the Director is satisfied that there are grounds for taking action against an approved manager under this section the Director may, by notice in writing —</w:t>
      </w:r>
    </w:p>
    <w:p>
      <w:pPr>
        <w:pStyle w:val="Indenta"/>
        <w:rPr>
          <w:snapToGrid w:val="0"/>
        </w:rPr>
      </w:pPr>
      <w:r>
        <w:rPr>
          <w:snapToGrid w:val="0"/>
        </w:rPr>
        <w:tab/>
        <w:t>(a)</w:t>
      </w:r>
      <w:r>
        <w:rPr>
          <w:snapToGrid w:val="0"/>
        </w:rPr>
        <w:tab/>
        <w:t>revoke the manager’s approval; or</w:t>
      </w:r>
    </w:p>
    <w:p>
      <w:pPr>
        <w:pStyle w:val="Indenta"/>
        <w:rPr>
          <w:snapToGrid w:val="0"/>
        </w:rPr>
      </w:pPr>
      <w:r>
        <w:rPr>
          <w:snapToGrid w:val="0"/>
        </w:rPr>
        <w:tab/>
        <w:t>(b)</w:t>
      </w:r>
      <w:r>
        <w:rPr>
          <w:snapToGrid w:val="0"/>
        </w:rPr>
        <w:tab/>
        <w:t>suspend the manager’s approval for a specified period; or</w:t>
      </w:r>
    </w:p>
    <w:p>
      <w:pPr>
        <w:pStyle w:val="Indenta"/>
        <w:rPr>
          <w:snapToGrid w:val="0"/>
        </w:rPr>
      </w:pPr>
      <w:r>
        <w:rPr>
          <w:snapToGrid w:val="0"/>
        </w:rPr>
        <w:tab/>
        <w:t>(c)</w:t>
      </w:r>
      <w:r>
        <w:rPr>
          <w:snapToGrid w:val="0"/>
        </w:rPr>
        <w:tab/>
        <w:t>impose conditions on the manager’s approval.</w:t>
      </w:r>
    </w:p>
    <w:p>
      <w:pPr>
        <w:pStyle w:val="Subsection"/>
        <w:rPr>
          <w:snapToGrid w:val="0"/>
        </w:rPr>
      </w:pPr>
      <w:r>
        <w:rPr>
          <w:snapToGrid w:val="0"/>
        </w:rPr>
        <w:tab/>
        <w:t>(3)</w:t>
      </w:r>
      <w:r>
        <w:rPr>
          <w:snapToGrid w:val="0"/>
        </w:rPr>
        <w:tab/>
        <w:t>The Director must not take action against an approved manager under this section unless the approved manager —</w:t>
      </w:r>
    </w:p>
    <w:p>
      <w:pPr>
        <w:pStyle w:val="Indenta"/>
        <w:rPr>
          <w:snapToGrid w:val="0"/>
        </w:rPr>
      </w:pPr>
      <w:r>
        <w:rPr>
          <w:snapToGrid w:val="0"/>
        </w:rPr>
        <w:tab/>
        <w:t>(a)</w:t>
      </w:r>
      <w:r>
        <w:rPr>
          <w:snapToGrid w:val="0"/>
        </w:rPr>
        <w:tab/>
        <w:t>has been given</w:t>
      </w:r>
      <w:r>
        <w:t>, subject to section 30, details of the grounds on which the Director proposes to take that action</w:t>
      </w:r>
      <w:r>
        <w:rPr>
          <w:snapToGrid w:val="0"/>
        </w:rPr>
        <w:t>; and</w:t>
      </w:r>
    </w:p>
    <w:p>
      <w:pPr>
        <w:pStyle w:val="Indenta"/>
        <w:rPr>
          <w:snapToGrid w:val="0"/>
        </w:rPr>
      </w:pPr>
      <w:r>
        <w:rPr>
          <w:snapToGrid w:val="0"/>
        </w:rPr>
        <w:tab/>
        <w:t>(b)</w:t>
      </w:r>
      <w:r>
        <w:rPr>
          <w:snapToGrid w:val="0"/>
        </w:rPr>
        <w:tab/>
        <w:t>has been afforded a reasonable opportunity to be heard on the matter.</w:t>
      </w:r>
    </w:p>
    <w:p>
      <w:pPr>
        <w:pStyle w:val="Subsection"/>
      </w:pPr>
      <w:r>
        <w:tab/>
        <w:t>(4)</w:t>
      </w:r>
      <w:r>
        <w:tab/>
        <w:t>The Director may revoke a suspension imposed under subsection (2)(b) before the end of the specified period.</w:t>
      </w:r>
    </w:p>
    <w:p>
      <w:pPr>
        <w:pStyle w:val="Footnotesection"/>
      </w:pPr>
      <w:r>
        <w:tab/>
        <w:t>[Section 102F inserted by No. 56 of 2010 s. 16.]</w:t>
      </w:r>
    </w:p>
    <w:p>
      <w:pPr>
        <w:pStyle w:val="Heading5"/>
      </w:pPr>
      <w:bookmarkStart w:id="459" w:name="_Toc406080156"/>
      <w:bookmarkStart w:id="460" w:name="_Toc423530585"/>
      <w:r>
        <w:rPr>
          <w:rStyle w:val="CharSectno"/>
        </w:rPr>
        <w:t>102G</w:t>
      </w:r>
      <w:r>
        <w:t>.</w:t>
      </w:r>
      <w:r>
        <w:tab/>
        <w:t>Approval may be cancelled on request</w:t>
      </w:r>
      <w:bookmarkEnd w:id="459"/>
      <w:bookmarkEnd w:id="460"/>
    </w:p>
    <w:p>
      <w:pPr>
        <w:pStyle w:val="Subsection"/>
        <w:rPr>
          <w:snapToGrid w:val="0"/>
        </w:rPr>
      </w:pPr>
      <w:r>
        <w:rPr>
          <w:snapToGrid w:val="0"/>
        </w:rPr>
        <w:tab/>
      </w:r>
      <w:r>
        <w:rPr>
          <w:snapToGrid w:val="0"/>
        </w:rPr>
        <w:tab/>
        <w:t>The Director may cancel a manager’s approval at the request of the manager.</w:t>
      </w:r>
    </w:p>
    <w:p>
      <w:pPr>
        <w:pStyle w:val="Footnotesection"/>
      </w:pPr>
      <w:r>
        <w:tab/>
        <w:t>[Section 102G inserted by No. 56 of 2010 s. 16.]</w:t>
      </w:r>
    </w:p>
    <w:p>
      <w:pPr>
        <w:pStyle w:val="Heading4"/>
      </w:pPr>
      <w:bookmarkStart w:id="461" w:name="_Toc377388946"/>
      <w:bookmarkStart w:id="462" w:name="_Toc406080157"/>
      <w:bookmarkStart w:id="463" w:name="_Toc416876144"/>
      <w:bookmarkStart w:id="464" w:name="_Toc416876498"/>
      <w:bookmarkStart w:id="465" w:name="_Toc417973180"/>
      <w:bookmarkStart w:id="466" w:name="_Toc423530586"/>
      <w:r>
        <w:t>Subdivision 3 — General matters</w:t>
      </w:r>
      <w:bookmarkEnd w:id="461"/>
      <w:bookmarkEnd w:id="462"/>
      <w:bookmarkEnd w:id="463"/>
      <w:bookmarkEnd w:id="464"/>
      <w:bookmarkEnd w:id="465"/>
      <w:bookmarkEnd w:id="466"/>
    </w:p>
    <w:p>
      <w:pPr>
        <w:pStyle w:val="Footnoteheading"/>
      </w:pPr>
      <w:r>
        <w:tab/>
        <w:t>[Heading inserted by No. 56 of 2010 s. 17.]</w:t>
      </w:r>
    </w:p>
    <w:p>
      <w:pPr>
        <w:pStyle w:val="Heading5"/>
        <w:rPr>
          <w:snapToGrid w:val="0"/>
        </w:rPr>
      </w:pPr>
      <w:bookmarkStart w:id="467" w:name="_Toc406080158"/>
      <w:bookmarkStart w:id="468" w:name="_Toc423530587"/>
      <w:r>
        <w:rPr>
          <w:rStyle w:val="CharSectno"/>
        </w:rPr>
        <w:t>102</w:t>
      </w:r>
      <w:r>
        <w:rPr>
          <w:snapToGrid w:val="0"/>
        </w:rPr>
        <w:t>.</w:t>
      </w:r>
      <w:r>
        <w:rPr>
          <w:snapToGrid w:val="0"/>
        </w:rPr>
        <w:tab/>
        <w:t>Management and control of incorporated licensees, approvals required</w:t>
      </w:r>
      <w:bookmarkEnd w:id="467"/>
      <w:bookmarkEnd w:id="468"/>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by No. 73 of 2006 s. 70 and 110; No. 56 of 2010 s. 69.]</w:t>
      </w:r>
    </w:p>
    <w:p>
      <w:pPr>
        <w:pStyle w:val="Heading5"/>
        <w:spacing w:before="240"/>
        <w:rPr>
          <w:snapToGrid w:val="0"/>
        </w:rPr>
      </w:pPr>
      <w:bookmarkStart w:id="469" w:name="_Toc406080159"/>
      <w:bookmarkStart w:id="470" w:name="_Toc423530588"/>
      <w:r>
        <w:rPr>
          <w:rStyle w:val="CharSectno"/>
        </w:rPr>
        <w:t>103</w:t>
      </w:r>
      <w:r>
        <w:rPr>
          <w:snapToGrid w:val="0"/>
        </w:rPr>
        <w:t>.</w:t>
      </w:r>
      <w:r>
        <w:rPr>
          <w:snapToGrid w:val="0"/>
        </w:rPr>
        <w:tab/>
        <w:t>Owners of licensed premises to notify Director of certain matters</w:t>
      </w:r>
      <w:bookmarkEnd w:id="469"/>
      <w:bookmarkEnd w:id="470"/>
    </w:p>
    <w:p>
      <w:pPr>
        <w:pStyle w:val="Subsection"/>
        <w:keepNext/>
        <w:keepLines/>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Footnotesection"/>
      </w:pPr>
      <w:r>
        <w:tab/>
        <w:t>[Section 103 amended by No. 56 of 2010 s. 69.]</w:t>
      </w:r>
    </w:p>
    <w:p>
      <w:pPr>
        <w:pStyle w:val="Heading3"/>
        <w:keepLines/>
      </w:pPr>
      <w:bookmarkStart w:id="471" w:name="_Toc377388949"/>
      <w:bookmarkStart w:id="472" w:name="_Toc406080160"/>
      <w:bookmarkStart w:id="473" w:name="_Toc416876147"/>
      <w:bookmarkStart w:id="474" w:name="_Toc416876501"/>
      <w:bookmarkStart w:id="475" w:name="_Toc417973183"/>
      <w:bookmarkStart w:id="476" w:name="_Toc423530589"/>
      <w:r>
        <w:rPr>
          <w:rStyle w:val="CharDivNo"/>
        </w:rPr>
        <w:t>Division 3A</w:t>
      </w:r>
      <w:r>
        <w:t> — </w:t>
      </w:r>
      <w:r>
        <w:rPr>
          <w:rStyle w:val="CharDivText"/>
        </w:rPr>
        <w:t>Responsible practices in selling, supplying and serving liquor</w:t>
      </w:r>
      <w:bookmarkEnd w:id="471"/>
      <w:bookmarkEnd w:id="472"/>
      <w:bookmarkEnd w:id="473"/>
      <w:bookmarkEnd w:id="474"/>
      <w:bookmarkEnd w:id="475"/>
      <w:bookmarkEnd w:id="476"/>
    </w:p>
    <w:p>
      <w:pPr>
        <w:pStyle w:val="Footnoteheading"/>
        <w:keepNext/>
        <w:keepLines/>
      </w:pPr>
      <w:r>
        <w:tab/>
        <w:t>[Heading inserted by No. 73 of 2006 s. 71.]</w:t>
      </w:r>
    </w:p>
    <w:p>
      <w:pPr>
        <w:pStyle w:val="Heading5"/>
        <w:spacing w:before="180"/>
      </w:pPr>
      <w:bookmarkStart w:id="477" w:name="_Toc406080161"/>
      <w:bookmarkStart w:id="478" w:name="_Toc423530590"/>
      <w:r>
        <w:rPr>
          <w:rStyle w:val="CharSectno"/>
        </w:rPr>
        <w:t>103A</w:t>
      </w:r>
      <w:r>
        <w:t>.</w:t>
      </w:r>
      <w:r>
        <w:tab/>
        <w:t>Regulations about training people in responsible practices</w:t>
      </w:r>
      <w:bookmarkEnd w:id="477"/>
      <w:bookmarkEnd w:id="478"/>
    </w:p>
    <w:p>
      <w:pPr>
        <w:pStyle w:val="Subsection"/>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require licensees to maintain a register on the licensed premises that records the prescribed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w:t>
      </w:r>
      <w:r>
        <w:t xml:space="preserve"> licensee, an approved unrestricted manager or an approved restricted manager.</w:t>
      </w:r>
    </w:p>
    <w:p>
      <w:pPr>
        <w:pStyle w:val="Footnotesection"/>
      </w:pPr>
      <w:r>
        <w:tab/>
        <w:t>[Section 103A inserted by No. 73 of 2006 s. 71; amended by No. 56 of 2010 s. 25 and 50.]</w:t>
      </w:r>
    </w:p>
    <w:p>
      <w:pPr>
        <w:pStyle w:val="Heading3"/>
        <w:rPr>
          <w:snapToGrid w:val="0"/>
        </w:rPr>
      </w:pPr>
      <w:bookmarkStart w:id="479" w:name="_Toc377388951"/>
      <w:bookmarkStart w:id="480" w:name="_Toc406080162"/>
      <w:bookmarkStart w:id="481" w:name="_Toc416876149"/>
      <w:bookmarkStart w:id="482" w:name="_Toc416876503"/>
      <w:bookmarkStart w:id="483" w:name="_Toc417973185"/>
      <w:bookmarkStart w:id="484" w:name="_Toc423530591"/>
      <w:r>
        <w:rPr>
          <w:rStyle w:val="CharDivNo"/>
        </w:rPr>
        <w:t>Division 4</w:t>
      </w:r>
      <w:r>
        <w:rPr>
          <w:snapToGrid w:val="0"/>
        </w:rPr>
        <w:t> — </w:t>
      </w:r>
      <w:r>
        <w:rPr>
          <w:rStyle w:val="CharDivText"/>
        </w:rPr>
        <w:t>Profit sharing</w:t>
      </w:r>
      <w:bookmarkEnd w:id="479"/>
      <w:bookmarkEnd w:id="480"/>
      <w:bookmarkEnd w:id="481"/>
      <w:bookmarkEnd w:id="482"/>
      <w:bookmarkEnd w:id="483"/>
      <w:bookmarkEnd w:id="484"/>
      <w:r>
        <w:rPr>
          <w:rStyle w:val="CharDivText"/>
        </w:rPr>
        <w:t xml:space="preserve"> </w:t>
      </w:r>
    </w:p>
    <w:p>
      <w:pPr>
        <w:pStyle w:val="Heading5"/>
        <w:spacing w:before="180"/>
        <w:rPr>
          <w:snapToGrid w:val="0"/>
        </w:rPr>
      </w:pPr>
      <w:bookmarkStart w:id="485" w:name="_Toc406080163"/>
      <w:bookmarkStart w:id="486" w:name="_Toc423530592"/>
      <w:r>
        <w:rPr>
          <w:rStyle w:val="CharSectno"/>
        </w:rPr>
        <w:t>104</w:t>
      </w:r>
      <w:r>
        <w:rPr>
          <w:snapToGrid w:val="0"/>
        </w:rPr>
        <w:t>.</w:t>
      </w:r>
      <w:r>
        <w:rPr>
          <w:snapToGrid w:val="0"/>
        </w:rPr>
        <w:tab/>
        <w:t>Profit sharing etc. prohibited without approval</w:t>
      </w:r>
      <w:bookmarkEnd w:id="485"/>
      <w:bookmarkEnd w:id="486"/>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enters into partnership with another person in relation to the business carried on under the licence; or</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 xml:space="preserve">Penalty: </w:t>
      </w:r>
      <w:r>
        <w:t>a fine of</w:t>
      </w:r>
      <w:r>
        <w:rPr>
          <w:snapToGrid w:val="0"/>
        </w:rPr>
        <w:t xml:space="preserve"> $10 000.</w:t>
      </w:r>
    </w:p>
    <w:p>
      <w:pPr>
        <w:pStyle w:val="Subsection"/>
        <w:keepNext/>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No. 73 of 2006 s. 72, 92(2) and 110; No. 56 of 2010 s. 69.] </w:t>
      </w:r>
    </w:p>
    <w:p>
      <w:pPr>
        <w:pStyle w:val="Heading3"/>
        <w:rPr>
          <w:snapToGrid w:val="0"/>
        </w:rPr>
      </w:pPr>
      <w:bookmarkStart w:id="487" w:name="_Toc377388953"/>
      <w:bookmarkStart w:id="488" w:name="_Toc406080164"/>
      <w:bookmarkStart w:id="489" w:name="_Toc416876151"/>
      <w:bookmarkStart w:id="490" w:name="_Toc416876505"/>
      <w:bookmarkStart w:id="491" w:name="_Toc417973187"/>
      <w:bookmarkStart w:id="492" w:name="_Toc423530593"/>
      <w:r>
        <w:rPr>
          <w:rStyle w:val="CharDivNo"/>
        </w:rPr>
        <w:t>Division 5</w:t>
      </w:r>
      <w:r>
        <w:rPr>
          <w:snapToGrid w:val="0"/>
        </w:rPr>
        <w:t> — </w:t>
      </w:r>
      <w:r>
        <w:rPr>
          <w:rStyle w:val="CharDivText"/>
        </w:rPr>
        <w:t>Lodgers</w:t>
      </w:r>
      <w:bookmarkEnd w:id="487"/>
      <w:bookmarkEnd w:id="488"/>
      <w:bookmarkEnd w:id="489"/>
      <w:bookmarkEnd w:id="490"/>
      <w:bookmarkEnd w:id="491"/>
      <w:bookmarkEnd w:id="492"/>
      <w:r>
        <w:rPr>
          <w:rStyle w:val="CharDivText"/>
        </w:rPr>
        <w:t xml:space="preserve"> </w:t>
      </w:r>
    </w:p>
    <w:p>
      <w:pPr>
        <w:pStyle w:val="Heading5"/>
        <w:rPr>
          <w:snapToGrid w:val="0"/>
        </w:rPr>
      </w:pPr>
      <w:bookmarkStart w:id="493" w:name="_Toc406080165"/>
      <w:bookmarkStart w:id="494" w:name="_Toc423530594"/>
      <w:r>
        <w:rPr>
          <w:rStyle w:val="CharSectno"/>
        </w:rPr>
        <w:t>105</w:t>
      </w:r>
      <w:r>
        <w:rPr>
          <w:snapToGrid w:val="0"/>
        </w:rPr>
        <w:t>.</w:t>
      </w:r>
      <w:r>
        <w:rPr>
          <w:snapToGrid w:val="0"/>
        </w:rPr>
        <w:tab/>
        <w:t>Persons deemed lodgers of licensed premises in some cases</w:t>
      </w:r>
      <w:bookmarkEnd w:id="493"/>
      <w:bookmarkEnd w:id="494"/>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by No. 23 of 2000 s. 7; No. 73 of 2006 s. 73 and 108.]</w:t>
      </w:r>
    </w:p>
    <w:p>
      <w:pPr>
        <w:pStyle w:val="Heading5"/>
        <w:spacing w:before="180"/>
        <w:rPr>
          <w:snapToGrid w:val="0"/>
        </w:rPr>
      </w:pPr>
      <w:bookmarkStart w:id="495" w:name="_Toc406080166"/>
      <w:bookmarkStart w:id="496" w:name="_Toc423530595"/>
      <w:r>
        <w:rPr>
          <w:rStyle w:val="CharSectno"/>
        </w:rPr>
        <w:t>106</w:t>
      </w:r>
      <w:r>
        <w:rPr>
          <w:snapToGrid w:val="0"/>
        </w:rPr>
        <w:t>.</w:t>
      </w:r>
      <w:r>
        <w:rPr>
          <w:snapToGrid w:val="0"/>
        </w:rPr>
        <w:tab/>
        <w:t>Liquor supplied to lodgers etc., conditions applying to</w:t>
      </w:r>
      <w:bookmarkEnd w:id="495"/>
      <w:bookmarkEnd w:id="496"/>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rPr>
          <w:snapToGrid w:val="0"/>
        </w:rPr>
      </w:pPr>
      <w:r>
        <w:rPr>
          <w:snapToGrid w:val="0"/>
        </w:rPr>
        <w:tab/>
        <w:t>(a)</w:t>
      </w:r>
      <w:r>
        <w:rPr>
          <w:snapToGrid w:val="0"/>
        </w:rPr>
        <w:tab/>
        <w:t>the liquor shall not be supplied to, or consumed by, a juvenile; and</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pPr>
      <w:r>
        <w:tab/>
        <w:t xml:space="preserve">Penalty: </w:t>
      </w:r>
    </w:p>
    <w:p>
      <w:pPr>
        <w:pStyle w:val="Penpara"/>
      </w:pPr>
      <w:r>
        <w:tab/>
        <w:t>(a)</w:t>
      </w:r>
      <w:r>
        <w:tab/>
        <w:t>for the licensee or a manager, a fine of $10 000;</w:t>
      </w:r>
    </w:p>
    <w:p>
      <w:pPr>
        <w:pStyle w:val="Penpara"/>
        <w:keepNext/>
      </w:pPr>
      <w:r>
        <w:tab/>
        <w:t>(b)</w:t>
      </w:r>
      <w:r>
        <w:tab/>
        <w:t>for an employee or agent, a fine of $4 000;</w:t>
      </w:r>
    </w:p>
    <w:p>
      <w:pPr>
        <w:pStyle w:val="Penpara"/>
      </w:pPr>
      <w:r>
        <w:tab/>
        <w:t>(c)</w:t>
      </w:r>
      <w:r>
        <w:tab/>
        <w:t>for a lodger, a fine of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lodger, a fine of $2 000.</w:t>
      </w:r>
    </w:p>
    <w:p>
      <w:pPr>
        <w:pStyle w:val="Footnotesection"/>
        <w:ind w:left="890" w:hanging="890"/>
      </w:pPr>
      <w:r>
        <w:tab/>
        <w:t xml:space="preserve">[Section 106 amended by No. 12 of 1998 s. 74; No. 73 of 2006 s. 74 and 110; No. 56 of 2010 s. 51.] </w:t>
      </w:r>
    </w:p>
    <w:p>
      <w:pPr>
        <w:pStyle w:val="Heading5"/>
        <w:rPr>
          <w:snapToGrid w:val="0"/>
        </w:rPr>
      </w:pPr>
      <w:bookmarkStart w:id="497" w:name="_Toc406080167"/>
      <w:bookmarkStart w:id="498" w:name="_Toc423530596"/>
      <w:r>
        <w:rPr>
          <w:rStyle w:val="CharSectno"/>
        </w:rPr>
        <w:t>107</w:t>
      </w:r>
      <w:r>
        <w:rPr>
          <w:snapToGrid w:val="0"/>
        </w:rPr>
        <w:t>.</w:t>
      </w:r>
      <w:r>
        <w:rPr>
          <w:snapToGrid w:val="0"/>
        </w:rPr>
        <w:tab/>
        <w:t>Loss of lodger’s property, licensee’s liability for</w:t>
      </w:r>
      <w:bookmarkEnd w:id="497"/>
      <w:bookmarkEnd w:id="498"/>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 or</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499" w:name="_Toc377388957"/>
      <w:bookmarkStart w:id="500" w:name="_Toc406080168"/>
      <w:bookmarkStart w:id="501" w:name="_Toc416876155"/>
      <w:bookmarkStart w:id="502" w:name="_Toc416876509"/>
      <w:bookmarkStart w:id="503" w:name="_Toc417973191"/>
      <w:bookmarkStart w:id="504" w:name="_Toc423530597"/>
      <w:r>
        <w:rPr>
          <w:rStyle w:val="CharDivNo"/>
        </w:rPr>
        <w:t>Division 6</w:t>
      </w:r>
      <w:r>
        <w:rPr>
          <w:snapToGrid w:val="0"/>
        </w:rPr>
        <w:t> — </w:t>
      </w:r>
      <w:r>
        <w:rPr>
          <w:rStyle w:val="CharDivText"/>
        </w:rPr>
        <w:t>The sale and consumption of liquor, etc.</w:t>
      </w:r>
      <w:bookmarkEnd w:id="499"/>
      <w:bookmarkEnd w:id="500"/>
      <w:bookmarkEnd w:id="501"/>
      <w:bookmarkEnd w:id="502"/>
      <w:bookmarkEnd w:id="503"/>
      <w:bookmarkEnd w:id="504"/>
      <w:r>
        <w:rPr>
          <w:rStyle w:val="CharDivText"/>
        </w:rPr>
        <w:t xml:space="preserve"> </w:t>
      </w:r>
    </w:p>
    <w:p>
      <w:pPr>
        <w:pStyle w:val="Heading5"/>
      </w:pPr>
      <w:bookmarkStart w:id="505" w:name="_Toc406080169"/>
      <w:bookmarkStart w:id="506" w:name="_Toc423530598"/>
      <w:r>
        <w:rPr>
          <w:rStyle w:val="CharSectno"/>
        </w:rPr>
        <w:t>108</w:t>
      </w:r>
      <w:r>
        <w:t>.</w:t>
      </w:r>
      <w:r>
        <w:tab/>
        <w:t>Certain licensees to exhibit charges for meals and liquor</w:t>
      </w:r>
      <w:bookmarkEnd w:id="505"/>
      <w:bookmarkEnd w:id="506"/>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a fine of $2 000.</w:t>
      </w:r>
    </w:p>
    <w:p>
      <w:pPr>
        <w:pStyle w:val="Footnotesection"/>
      </w:pPr>
      <w:r>
        <w:tab/>
        <w:t>[Section 108 inserted by No. 73 of 2006 s. 75; amended by No. 56 of 2010 s. 69.]</w:t>
      </w:r>
    </w:p>
    <w:p>
      <w:pPr>
        <w:pStyle w:val="Heading5"/>
        <w:rPr>
          <w:snapToGrid w:val="0"/>
        </w:rPr>
      </w:pPr>
      <w:bookmarkStart w:id="507" w:name="_Toc406080170"/>
      <w:bookmarkStart w:id="508" w:name="_Toc423530599"/>
      <w:r>
        <w:rPr>
          <w:rStyle w:val="CharSectno"/>
        </w:rPr>
        <w:t>109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liquor, offences as to</w:t>
      </w:r>
      <w:bookmarkEnd w:id="507"/>
      <w:bookmarkEnd w:id="508"/>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is an employee or an agent of a person so authorised, and is lawfully acting in that capacity,</w:t>
      </w:r>
    </w:p>
    <w:p>
      <w:pPr>
        <w:pStyle w:val="Subsection"/>
        <w:spacing w:before="120"/>
        <w:rPr>
          <w:snapToGrid w:val="0"/>
        </w:rPr>
      </w:pPr>
      <w:r>
        <w:rPr>
          <w:snapToGrid w:val="0"/>
        </w:rPr>
        <w:tab/>
      </w:r>
      <w:r>
        <w:rPr>
          <w:snapToGrid w:val="0"/>
        </w:rPr>
        <w:tab/>
        <w:t>or the sale is deemed to have been made under such a licence or permit.</w:t>
      </w:r>
    </w:p>
    <w:p>
      <w:pPr>
        <w:pStyle w:val="Penstart"/>
      </w:pPr>
      <w:r>
        <w:tab/>
        <w:t>Penalty: a fine of $20 000 and imprisonment for 2 years, but the minimum penalty is a fine of $2 000.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spacing w:before="60"/>
        <w:rPr>
          <w:snapToGrid w:val="0"/>
        </w:rPr>
      </w:pPr>
      <w:r>
        <w:rPr>
          <w:snapToGrid w:val="0"/>
        </w:rPr>
        <w:tab/>
        <w:t>(a)</w:t>
      </w:r>
      <w:r>
        <w:rPr>
          <w:snapToGrid w:val="0"/>
        </w:rPr>
        <w:tab/>
        <w:t>carries liquor about for the purpose of sale; or</w:t>
      </w:r>
    </w:p>
    <w:p>
      <w:pPr>
        <w:pStyle w:val="Indenta"/>
        <w:spacing w:before="60"/>
        <w:rPr>
          <w:snapToGrid w:val="0"/>
        </w:rPr>
      </w:pPr>
      <w:r>
        <w:rPr>
          <w:snapToGrid w:val="0"/>
        </w:rPr>
        <w:tab/>
        <w:t>(b)</w:t>
      </w:r>
      <w:r>
        <w:rPr>
          <w:snapToGrid w:val="0"/>
        </w:rPr>
        <w:tab/>
        <w:t>offers or exposes liquor for sale at or upon any place other than a place at or upon which liquor may lawfully be sold; or</w:t>
      </w:r>
    </w:p>
    <w:p>
      <w:pPr>
        <w:pStyle w:val="Indenta"/>
        <w:spacing w:before="60"/>
        <w:rPr>
          <w:snapToGrid w:val="0"/>
        </w:rPr>
      </w:pPr>
      <w:r>
        <w:rPr>
          <w:snapToGrid w:val="0"/>
        </w:rPr>
        <w:tab/>
        <w:t>(c)</w:t>
      </w:r>
      <w:r>
        <w:rPr>
          <w:snapToGrid w:val="0"/>
        </w:rPr>
        <w:tab/>
        <w:t>carries liquor, for the purpose of sale, to a place other than a place at or upon which liquor may lawfully be sold; or</w:t>
      </w:r>
    </w:p>
    <w:p>
      <w:pPr>
        <w:pStyle w:val="Indenta"/>
        <w:spacing w:before="60"/>
        <w:rPr>
          <w:snapToGrid w:val="0"/>
        </w:rPr>
      </w:pPr>
      <w:r>
        <w:rPr>
          <w:snapToGrid w:val="0"/>
        </w:rPr>
        <w:tab/>
        <w:t>(d)</w:t>
      </w:r>
      <w:r>
        <w:rPr>
          <w:snapToGrid w:val="0"/>
        </w:rPr>
        <w:tab/>
        <w:t>employs any person, or engages any person as an agent, so to do,</w:t>
      </w:r>
    </w:p>
    <w:p>
      <w:pPr>
        <w:pStyle w:val="Subsection"/>
        <w:spacing w:before="80"/>
        <w:rPr>
          <w:snapToGrid w:val="0"/>
        </w:rPr>
      </w:pPr>
      <w:r>
        <w:rPr>
          <w:snapToGrid w:val="0"/>
        </w:rPr>
        <w:tab/>
      </w:r>
      <w:r>
        <w:rPr>
          <w:snapToGrid w:val="0"/>
        </w:rPr>
        <w:tab/>
        <w:t>commits an offence.</w:t>
      </w:r>
    </w:p>
    <w:p>
      <w:pPr>
        <w:pStyle w:val="Penstart"/>
      </w:pPr>
      <w:r>
        <w:tab/>
        <w:t>Penalty: a fine of $10 000, but the minimum penalty is a fine of $1 000.</w:t>
      </w:r>
    </w:p>
    <w:p>
      <w:pPr>
        <w:pStyle w:val="Subsection"/>
      </w:pPr>
      <w:r>
        <w:tab/>
        <w:t>(4A)</w:t>
      </w:r>
      <w:r>
        <w:tab/>
        <w:t xml:space="preserve">A licensee, or an employee or agent of a licensee (the </w:t>
      </w:r>
      <w:r>
        <w:rPr>
          <w:rStyle w:val="CharDefText"/>
        </w:rPr>
        <w:t>seller</w:t>
      </w:r>
      <w:r>
        <w:t xml:space="preserve">), commits an offence if — </w:t>
      </w:r>
    </w:p>
    <w:p>
      <w:pPr>
        <w:pStyle w:val="Indenta"/>
        <w:spacing w:before="60"/>
      </w:pPr>
      <w:r>
        <w:tab/>
        <w:t>(a)</w:t>
      </w:r>
      <w:r>
        <w:tab/>
        <w:t xml:space="preserve">the seller sells liquor to another person (the </w:t>
      </w:r>
      <w:r>
        <w:rPr>
          <w:rStyle w:val="CharDefText"/>
          <w:bCs/>
          <w:iCs/>
        </w:rPr>
        <w:t>buyer</w:t>
      </w:r>
      <w:r>
        <w:t>) whom the seller reasonably believes, or ought reasonably to believe, intends to sell the liquor in contravention of subsection (1); and</w:t>
      </w:r>
    </w:p>
    <w:p>
      <w:pPr>
        <w:pStyle w:val="Indenta"/>
        <w:keepNext/>
        <w:spacing w:before="60"/>
      </w:pPr>
      <w:r>
        <w:tab/>
        <w:t>(b)</w:t>
      </w:r>
      <w:r>
        <w:tab/>
        <w:t>the buyer sells the liquor in contravention of subsection (1).</w:t>
      </w:r>
    </w:p>
    <w:p>
      <w:pPr>
        <w:pStyle w:val="Penstart"/>
        <w:spacing w:before="60"/>
      </w:pPr>
      <w:r>
        <w:tab/>
        <w:t>Penalty: a fine of $20 000 and imprisonment for 2 years, but the minimum penalty is a fine of $2 000.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 xml:space="preserve">[Section 109 amended by No. 84 of 2004 s. 80 and 82; No. 73 of 2006 s. 76 and 110; No. 56 of 2010 s. 52.] </w:t>
      </w:r>
    </w:p>
    <w:p>
      <w:pPr>
        <w:pStyle w:val="Heading5"/>
        <w:keepLines w:val="0"/>
        <w:rPr>
          <w:snapToGrid w:val="0"/>
        </w:rPr>
      </w:pPr>
      <w:bookmarkStart w:id="509" w:name="_Toc406080171"/>
      <w:bookmarkStart w:id="510" w:name="_Toc423530600"/>
      <w:r>
        <w:rPr>
          <w:rStyle w:val="CharSectno"/>
        </w:rPr>
        <w:t>110</w:t>
      </w:r>
      <w:r>
        <w:rPr>
          <w:snapToGrid w:val="0"/>
        </w:rPr>
        <w:t>.</w:t>
      </w:r>
      <w:r>
        <w:rPr>
          <w:snapToGrid w:val="0"/>
        </w:rPr>
        <w:tab/>
        <w:t>Licensed premises and sports arenas, offences as to</w:t>
      </w:r>
      <w:bookmarkEnd w:id="509"/>
      <w:bookmarkEnd w:id="510"/>
    </w:p>
    <w:p>
      <w:pPr>
        <w:pStyle w:val="Subsection"/>
        <w:keepLines/>
        <w:widowControl w:val="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 or</w:t>
      </w:r>
    </w:p>
    <w:p>
      <w:pPr>
        <w:pStyle w:val="Indenta"/>
        <w:rPr>
          <w:snapToGrid w:val="0"/>
        </w:rPr>
      </w:pPr>
      <w:r>
        <w:rPr>
          <w:snapToGrid w:val="0"/>
        </w:rPr>
        <w:tab/>
        <w:t>(aa)</w:t>
      </w:r>
      <w:r>
        <w:rPr>
          <w:snapToGrid w:val="0"/>
        </w:rPr>
        <w:tab/>
        <w:t>acts in any way that contravenes this Act or any term or condition of the licence or permit; or</w:t>
      </w:r>
    </w:p>
    <w:p>
      <w:pPr>
        <w:pStyle w:val="Indenta"/>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rPr>
          <w:snapToGrid w:val="0"/>
        </w:rPr>
      </w:pPr>
      <w:r>
        <w:rPr>
          <w:snapToGrid w:val="0"/>
        </w:rPr>
        <w:tab/>
      </w:r>
      <w:r>
        <w:rPr>
          <w:snapToGrid w:val="0"/>
        </w:rPr>
        <w:tab/>
        <w:t>that person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 or</w:t>
      </w:r>
    </w:p>
    <w:p>
      <w:pPr>
        <w:pStyle w:val="Indenta"/>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pPr>
      <w:r>
        <w:tab/>
        <w:t>(4A)</w:t>
      </w:r>
      <w:r>
        <w:tab/>
        <w:t>A person attending a public event at a sports arena commits an offence if, without the consent of the licensee, the person —</w:t>
      </w:r>
    </w:p>
    <w:p>
      <w:pPr>
        <w:pStyle w:val="Indenta"/>
      </w:pPr>
      <w:r>
        <w:tab/>
        <w:t>(a)</w:t>
      </w:r>
      <w:r>
        <w:tab/>
        <w:t>brings into the sports arena; or</w:t>
      </w:r>
    </w:p>
    <w:p>
      <w:pPr>
        <w:pStyle w:val="Indenta"/>
      </w:pPr>
      <w:r>
        <w:tab/>
        <w:t>(b)</w:t>
      </w:r>
      <w:r>
        <w:tab/>
        <w:t>attempts to bring into the sports arena; or</w:t>
      </w:r>
    </w:p>
    <w:p>
      <w:pPr>
        <w:pStyle w:val="Indenta"/>
      </w:pPr>
      <w:r>
        <w:tab/>
        <w:t>(c)</w:t>
      </w:r>
      <w:r>
        <w:tab/>
        <w:t>has in his or her possession or control; or</w:t>
      </w:r>
    </w:p>
    <w:p>
      <w:pPr>
        <w:pStyle w:val="Indenta"/>
      </w:pPr>
      <w:r>
        <w:tab/>
        <w:t>(d)</w:t>
      </w:r>
      <w:r>
        <w:tab/>
        <w:t>consumes,</w:t>
      </w:r>
    </w:p>
    <w:p>
      <w:pPr>
        <w:pStyle w:val="Subsection"/>
        <w:spacing w:before="120"/>
      </w:pPr>
      <w:r>
        <w:tab/>
      </w:r>
      <w:r>
        <w:tab/>
        <w:t>any liquor that was not purchased in the sports arena while it was open for the purpose of holding or conducting that public event.</w:t>
      </w:r>
    </w:p>
    <w:p>
      <w:pPr>
        <w:pStyle w:val="Penstart"/>
      </w:pPr>
      <w:r>
        <w:tab/>
        <w:t>Penalty: a fine of $2 000.</w:t>
      </w:r>
    </w:p>
    <w:p>
      <w:pPr>
        <w:pStyle w:val="Subsection"/>
        <w:spacing w:before="140"/>
      </w:pPr>
      <w:r>
        <w:tab/>
        <w:t>(4B)</w:t>
      </w:r>
      <w:r>
        <w:tab/>
        <w:t>In subsection (4A) —</w:t>
      </w:r>
    </w:p>
    <w:p>
      <w:pPr>
        <w:pStyle w:val="Defstart"/>
      </w:pPr>
      <w:r>
        <w:tab/>
      </w:r>
      <w:r>
        <w:rPr>
          <w:rStyle w:val="CharDefText"/>
        </w:rPr>
        <w:t>public event</w:t>
      </w:r>
      <w:r>
        <w:t xml:space="preserve"> means —</w:t>
      </w:r>
    </w:p>
    <w:p>
      <w:pPr>
        <w:pStyle w:val="Defpara"/>
      </w:pPr>
      <w:r>
        <w:tab/>
        <w:t>(a)</w:t>
      </w:r>
      <w:r>
        <w:tab/>
        <w:t>any event, including any game or sport, that is held or conducted for public exhibition; or</w:t>
      </w:r>
    </w:p>
    <w:p>
      <w:pPr>
        <w:pStyle w:val="Defpara"/>
      </w:pPr>
      <w:r>
        <w:tab/>
        <w:t>(b)</w:t>
      </w:r>
      <w:r>
        <w:tab/>
        <w:t>any —</w:t>
      </w:r>
    </w:p>
    <w:p>
      <w:pPr>
        <w:pStyle w:val="Defsubpara"/>
      </w:pPr>
      <w:r>
        <w:tab/>
        <w:t>(i)</w:t>
      </w:r>
      <w:r>
        <w:tab/>
        <w:t>training session, practice or rehearsal; or</w:t>
      </w:r>
    </w:p>
    <w:p>
      <w:pPr>
        <w:pStyle w:val="Defsubpara"/>
      </w:pPr>
      <w:r>
        <w:tab/>
        <w:t>(ii)</w:t>
      </w:r>
      <w:r>
        <w:tab/>
        <w:t>promotional or advertising event, press conference, preview or similar activity,</w:t>
      </w:r>
    </w:p>
    <w:p>
      <w:pPr>
        <w:pStyle w:val="Defpara"/>
      </w:pPr>
      <w:r>
        <w:tab/>
      </w:r>
      <w:r>
        <w:tab/>
        <w:t>that is held or conducted for purposes other than public exhibition but which is open to the public;</w:t>
      </w:r>
    </w:p>
    <w:p>
      <w:pPr>
        <w:pStyle w:val="Defstart"/>
      </w:pPr>
      <w:r>
        <w:rPr>
          <w:b/>
        </w:rPr>
        <w:tab/>
      </w:r>
      <w:r>
        <w:rPr>
          <w:rStyle w:val="CharDefText"/>
        </w:rPr>
        <w:t>sports arena</w:t>
      </w:r>
      <w:r>
        <w:t xml:space="preserve"> means a sports arena, ground or stadium —</w:t>
      </w:r>
    </w:p>
    <w:p>
      <w:pPr>
        <w:pStyle w:val="Defpara"/>
      </w:pPr>
      <w:r>
        <w:tab/>
        <w:t>(a)</w:t>
      </w:r>
      <w:r>
        <w:tab/>
        <w:t>all or part of which is licensed premises; and</w:t>
      </w:r>
    </w:p>
    <w:p>
      <w:pPr>
        <w:pStyle w:val="Defpara"/>
      </w:pPr>
      <w:r>
        <w:tab/>
        <w:t>(b)</w:t>
      </w:r>
      <w:r>
        <w:tab/>
        <w:t>that is prescribed for the purposes of this definition.</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tab/>
        <w:t>(b)</w:t>
      </w:r>
      <w:r>
        <w:rPr>
          <w:snapToGrid w:val="0"/>
        </w:rPr>
        <w:tab/>
        <w:t>the consumption of liquor on the licensed premises ancillary to a meal provided by the licensee,</w:t>
      </w:r>
    </w:p>
    <w:p>
      <w:pPr>
        <w:pStyle w:val="Subsection"/>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keepNext/>
        <w:keepLines/>
      </w:pPr>
      <w:r>
        <w:tab/>
        <w:t>(6a)</w:t>
      </w:r>
      <w:r>
        <w:tab/>
        <w:t xml:space="preserve">Where — </w:t>
      </w:r>
    </w:p>
    <w:p>
      <w:pPr>
        <w:pStyle w:val="Indenta"/>
        <w:keepNext/>
        <w:keepLines/>
        <w:widowControl w:val="0"/>
      </w:pPr>
      <w:r>
        <w:tab/>
        <w:t>(a)</w:t>
      </w:r>
      <w:r>
        <w:tab/>
        <w:t>a licence authorises the sale of liquor for consumption on the licensed premises ancillary to a meal provided by the licensee; and</w:t>
      </w:r>
    </w:p>
    <w:p>
      <w:pPr>
        <w:pStyle w:val="Indenta"/>
      </w:pPr>
      <w:r>
        <w:tab/>
        <w:t>(b)</w:t>
      </w:r>
      <w:r>
        <w:tab/>
        <w:t>liquor is sold for that purpose,</w:t>
      </w:r>
    </w:p>
    <w:p>
      <w:pPr>
        <w:pStyle w:val="Subsection"/>
      </w:pPr>
      <w:r>
        <w:tab/>
      </w:r>
      <w:r>
        <w:tab/>
        <w:t>then, despite any other provision of this Act, it is lawful for a person subsequently to take any unconsumed portion of the liquor from the licensed premises.</w:t>
      </w:r>
    </w:p>
    <w:p>
      <w:pPr>
        <w:pStyle w:val="Subsection"/>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110 amended by No. 12 of 1998 s. 76; No. 73 of 2006 s. 77 and 110; No. 56 of 2010 s. 53 and 69.] </w:t>
      </w:r>
    </w:p>
    <w:p>
      <w:pPr>
        <w:pStyle w:val="Heading5"/>
        <w:rPr>
          <w:snapToGrid w:val="0"/>
        </w:rPr>
      </w:pPr>
      <w:bookmarkStart w:id="511" w:name="_Toc406080172"/>
      <w:bookmarkStart w:id="512" w:name="_Toc423530601"/>
      <w:r>
        <w:rPr>
          <w:rStyle w:val="CharSectno"/>
        </w:rPr>
        <w:t>111</w:t>
      </w:r>
      <w:r>
        <w:rPr>
          <w:snapToGrid w:val="0"/>
        </w:rPr>
        <w:t>.</w:t>
      </w:r>
      <w:r>
        <w:rPr>
          <w:snapToGrid w:val="0"/>
        </w:rPr>
        <w:tab/>
        <w:t>Trading outside permitted hours, offences as to</w:t>
      </w:r>
      <w:bookmarkEnd w:id="511"/>
      <w:bookmarkEnd w:id="512"/>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rPr>
          <w:snapToGrid w:val="0"/>
        </w:rPr>
      </w:pPr>
      <w:r>
        <w:rPr>
          <w:snapToGrid w:val="0"/>
        </w:rPr>
        <w:tab/>
        <w:t>(a)</w:t>
      </w:r>
      <w:r>
        <w:rPr>
          <w:snapToGrid w:val="0"/>
        </w:rPr>
        <w:tab/>
        <w:t>purchases or consumes liquor, or is in possession of liquor, on the licensed premises; or</w:t>
      </w:r>
    </w:p>
    <w:p>
      <w:pPr>
        <w:pStyle w:val="Indenta"/>
        <w:keepNext/>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ind w:left="890" w:hanging="890"/>
      </w:pPr>
      <w:r>
        <w:tab/>
        <w:t xml:space="preserve">[Section 111 amended by No. 12 of 1998 s. 77; No. 73 of 2006 s. 110; No. 56 of 2010 s. 54 and 69.] </w:t>
      </w:r>
    </w:p>
    <w:p>
      <w:pPr>
        <w:pStyle w:val="Heading5"/>
        <w:keepNext w:val="0"/>
        <w:keepLines w:val="0"/>
        <w:rPr>
          <w:snapToGrid w:val="0"/>
        </w:rPr>
      </w:pPr>
      <w:bookmarkStart w:id="513" w:name="_Toc406080173"/>
      <w:bookmarkStart w:id="514" w:name="_Toc423530602"/>
      <w:r>
        <w:rPr>
          <w:rStyle w:val="CharSectno"/>
        </w:rPr>
        <w:t>112</w:t>
      </w:r>
      <w:r>
        <w:rPr>
          <w:snapToGrid w:val="0"/>
        </w:rPr>
        <w:t>.</w:t>
      </w:r>
      <w:r>
        <w:rPr>
          <w:snapToGrid w:val="0"/>
        </w:rPr>
        <w:tab/>
        <w:t>Exceptions to s. 109, 110 and 111</w:t>
      </w:r>
      <w:bookmarkEnd w:id="513"/>
      <w:bookmarkEnd w:id="514"/>
    </w:p>
    <w:p>
      <w:pPr>
        <w:pStyle w:val="Subsection"/>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possession or consumption by any person of liquor on premises where the person resides; or</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 or</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by No. 12 of 1998 s. 78; No. 84 of 2004 s. 80.] </w:t>
      </w:r>
    </w:p>
    <w:p>
      <w:pPr>
        <w:pStyle w:val="Heading5"/>
        <w:keepNext w:val="0"/>
        <w:keepLines w:val="0"/>
        <w:rPr>
          <w:snapToGrid w:val="0"/>
        </w:rPr>
      </w:pPr>
      <w:bookmarkStart w:id="515" w:name="_Toc406080174"/>
      <w:bookmarkStart w:id="516" w:name="_Toc423530603"/>
      <w:r>
        <w:rPr>
          <w:rStyle w:val="CharSectno"/>
        </w:rPr>
        <w:t>113</w:t>
      </w:r>
      <w:r>
        <w:rPr>
          <w:snapToGrid w:val="0"/>
        </w:rPr>
        <w:t>.</w:t>
      </w:r>
      <w:r>
        <w:rPr>
          <w:snapToGrid w:val="0"/>
        </w:rPr>
        <w:tab/>
        <w:t>Offence under s. 109, 110 or 111, finding as to unlawful dealing in liquor; forfeiture of liquor</w:t>
      </w:r>
      <w:bookmarkEnd w:id="515"/>
      <w:bookmarkEnd w:id="516"/>
    </w:p>
    <w:p>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by No. 6 of 1993 s. 11; No. 49 of 1996 s. 64; No. 59 of 2006 s. 54; No. 77 of 2006 s. 4.]</w:t>
      </w:r>
    </w:p>
    <w:p>
      <w:pPr>
        <w:pStyle w:val="Heading5"/>
      </w:pPr>
      <w:bookmarkStart w:id="517" w:name="_Toc406080175"/>
      <w:bookmarkStart w:id="518" w:name="_Toc423530604"/>
      <w:r>
        <w:rPr>
          <w:rStyle w:val="CharSectno"/>
        </w:rPr>
        <w:t>113A</w:t>
      </w:r>
      <w:r>
        <w:t>.</w:t>
      </w:r>
      <w:r>
        <w:tab/>
        <w:t>Websites of some licensees, information to be displayed on</w:t>
      </w:r>
      <w:bookmarkEnd w:id="517"/>
      <w:bookmarkEnd w:id="518"/>
    </w:p>
    <w:p>
      <w:pPr>
        <w:pStyle w:val="Subsection"/>
      </w:pPr>
      <w:r>
        <w:tab/>
      </w:r>
      <w:r>
        <w:tab/>
      </w:r>
      <w:r>
        <w:rPr>
          <w:snapToGrid w:val="0"/>
        </w:rPr>
        <w:t>Where</w:t>
      </w:r>
      <w:r>
        <w:t xml:space="preserve"> — </w:t>
      </w:r>
    </w:p>
    <w:p>
      <w:pPr>
        <w:pStyle w:val="Indenta"/>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a fine of $5 000.</w:t>
      </w:r>
    </w:p>
    <w:p>
      <w:pPr>
        <w:pStyle w:val="Footnotesection"/>
        <w:ind w:left="890" w:hanging="890"/>
      </w:pPr>
      <w:r>
        <w:tab/>
        <w:t>[Section 113A inserted by No. 73 of 2006 s. 78; amended by No. 56 of 2010 s. 69.]</w:t>
      </w:r>
    </w:p>
    <w:p>
      <w:pPr>
        <w:pStyle w:val="Heading5"/>
        <w:rPr>
          <w:snapToGrid w:val="0"/>
        </w:rPr>
      </w:pPr>
      <w:bookmarkStart w:id="519" w:name="_Toc406080176"/>
      <w:bookmarkStart w:id="520" w:name="_Toc423530605"/>
      <w:r>
        <w:rPr>
          <w:rStyle w:val="CharSectno"/>
        </w:rPr>
        <w:t>114</w:t>
      </w:r>
      <w:r>
        <w:rPr>
          <w:snapToGrid w:val="0"/>
        </w:rPr>
        <w:t>.</w:t>
      </w:r>
      <w:r>
        <w:rPr>
          <w:snapToGrid w:val="0"/>
        </w:rPr>
        <w:tab/>
        <w:t>Closure of licensed premises, police powers as to</w:t>
      </w:r>
      <w:bookmarkEnd w:id="519"/>
      <w:bookmarkEnd w:id="520"/>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by No. 12 of 1998 s. 79; No. 73 of 2006 s. 79, 109 and 110; No. 56 of 2010 s. 55.] </w:t>
      </w:r>
    </w:p>
    <w:p>
      <w:pPr>
        <w:pStyle w:val="Heading5"/>
        <w:rPr>
          <w:snapToGrid w:val="0"/>
        </w:rPr>
      </w:pPr>
      <w:bookmarkStart w:id="521" w:name="_Toc406080177"/>
      <w:bookmarkStart w:id="522" w:name="_Toc423530606"/>
      <w:r>
        <w:rPr>
          <w:rStyle w:val="CharSectno"/>
        </w:rPr>
        <w:t>115</w:t>
      </w:r>
      <w:r>
        <w:rPr>
          <w:snapToGrid w:val="0"/>
        </w:rPr>
        <w:t>.</w:t>
      </w:r>
      <w:r>
        <w:rPr>
          <w:snapToGrid w:val="0"/>
        </w:rPr>
        <w:tab/>
        <w:t>Drunk etc. people, offences as to, refusal of entry to etc.</w:t>
      </w:r>
      <w:bookmarkEnd w:id="521"/>
      <w:bookmarkEnd w:id="522"/>
    </w:p>
    <w:p>
      <w:pPr>
        <w:pStyle w:val="Subsection"/>
        <w:keepNext/>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rPr>
          <w:snapToGrid w:val="0"/>
        </w:rPr>
      </w:pPr>
      <w:r>
        <w:rPr>
          <w:snapToGrid w:val="0"/>
        </w:rPr>
        <w:tab/>
      </w:r>
      <w:r>
        <w:rPr>
          <w:snapToGrid w:val="0"/>
        </w:rPr>
        <w:tab/>
        <w:t>that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rPr>
          <w:snapToGrid w:val="0"/>
        </w:rPr>
      </w:pPr>
      <w:r>
        <w:rPr>
          <w:snapToGrid w:val="0"/>
        </w:rPr>
        <w:tab/>
        <w:t>(a)</w:t>
      </w:r>
      <w:r>
        <w:rPr>
          <w:snapToGrid w:val="0"/>
        </w:rPr>
        <w:tab/>
        <w:t>sell or supply liquor, or cause or permit liquor to be sold or supplied, to a drunk person; or</w:t>
      </w:r>
    </w:p>
    <w:p>
      <w:pPr>
        <w:pStyle w:val="Indenta"/>
        <w:rPr>
          <w:snapToGrid w:val="0"/>
        </w:rPr>
      </w:pPr>
      <w:r>
        <w:rPr>
          <w:snapToGrid w:val="0"/>
        </w:rPr>
        <w:tab/>
        <w:t>(b)</w:t>
      </w:r>
      <w:r>
        <w:rPr>
          <w:snapToGrid w:val="0"/>
        </w:rPr>
        <w:tab/>
        <w:t>allow or permit a drunk person to consume liquor; or</w:t>
      </w:r>
    </w:p>
    <w:p>
      <w:pPr>
        <w:pStyle w:val="Indenta"/>
        <w:rPr>
          <w:snapToGrid w:val="0"/>
        </w:rPr>
      </w:pPr>
      <w:r>
        <w:rPr>
          <w:snapToGrid w:val="0"/>
        </w:rPr>
        <w:tab/>
        <w:t>(c)</w:t>
      </w:r>
      <w:r>
        <w:rPr>
          <w:snapToGrid w:val="0"/>
        </w:rPr>
        <w:tab/>
        <w:t>obtain or attempt to obtain liquor for consumption by a drunk person; or</w:t>
      </w:r>
    </w:p>
    <w:p>
      <w:pPr>
        <w:pStyle w:val="Indenta"/>
        <w:rPr>
          <w:snapToGrid w:val="0"/>
        </w:rPr>
      </w:pPr>
      <w:r>
        <w:rPr>
          <w:snapToGrid w:val="0"/>
        </w:rPr>
        <w:tab/>
        <w:t>(d)</w:t>
      </w:r>
      <w:r>
        <w:rPr>
          <w:snapToGrid w:val="0"/>
        </w:rPr>
        <w:tab/>
        <w:t>aid a drunk person in obtaining or consuming liquor.</w:t>
      </w:r>
    </w:p>
    <w:p>
      <w:pPr>
        <w:pStyle w:val="Penstart"/>
        <w:keepNext/>
      </w:pPr>
      <w:r>
        <w:tab/>
        <w:t xml:space="preserve">Penalty: </w:t>
      </w:r>
    </w:p>
    <w:p>
      <w:pPr>
        <w:pStyle w:val="Penpara"/>
        <w:keepNext/>
      </w:pPr>
      <w:r>
        <w:tab/>
        <w:t>(a)</w:t>
      </w:r>
      <w:r>
        <w:tab/>
        <w:t>for an offence on licensed premises —</w:t>
      </w:r>
    </w:p>
    <w:p>
      <w:pPr>
        <w:pStyle w:val="Pensubpara"/>
      </w:pPr>
      <w:r>
        <w:tab/>
        <w:t>(i)</w:t>
      </w:r>
      <w:r>
        <w:tab/>
        <w:t>for the licensee or a manager, a fine of $10 000;</w:t>
      </w:r>
    </w:p>
    <w:p>
      <w:pPr>
        <w:pStyle w:val="Pensubpara"/>
      </w:pPr>
      <w:r>
        <w:tab/>
        <w:t>(ii)</w:t>
      </w:r>
      <w:r>
        <w:tab/>
        <w:t>for an employee or agent, a fine of $4 000;</w:t>
      </w:r>
    </w:p>
    <w:p>
      <w:pPr>
        <w:pStyle w:val="Pensubpara"/>
      </w:pPr>
      <w:r>
        <w:tab/>
        <w:t>(iii)</w:t>
      </w:r>
      <w:r>
        <w:tab/>
        <w:t>for anyone else, a fine of $2 000;</w:t>
      </w:r>
    </w:p>
    <w:p>
      <w:pPr>
        <w:pStyle w:val="Penpara"/>
      </w:pPr>
      <w:r>
        <w:tab/>
        <w:t>(b)</w:t>
      </w:r>
      <w:r>
        <w:tab/>
        <w:t>for an offence on regulated premises —</w:t>
      </w:r>
    </w:p>
    <w:p>
      <w:pPr>
        <w:pStyle w:val="Pensubpara"/>
      </w:pPr>
      <w:r>
        <w:tab/>
        <w:t>(i)</w:t>
      </w:r>
      <w:r>
        <w:tab/>
        <w:t>for the owner of the regulated premises, a fine of $10 000;</w:t>
      </w:r>
    </w:p>
    <w:p>
      <w:pPr>
        <w:pStyle w:val="Pensubpara"/>
      </w:pPr>
      <w:r>
        <w:tab/>
        <w:t>(ii)</w:t>
      </w:r>
      <w:r>
        <w:tab/>
        <w:t>for anyone else, a fine of $2 000.</w:t>
      </w:r>
    </w:p>
    <w:p>
      <w:pPr>
        <w:pStyle w:val="Subsection"/>
      </w:pPr>
      <w:r>
        <w:tab/>
        <w:t>(3)</w:t>
      </w:r>
      <w:r>
        <w:tab/>
        <w:t>It is a defence to a charge of an offence against subsection (2)(a) of selling or supplying liquor to a drunk person to show that the person charged was instructed by the licensee, a manager or another person in a position of authority in relation to the person charged to sell or supply the liquor to the drunk person.</w:t>
      </w:r>
    </w:p>
    <w:p>
      <w:pPr>
        <w:pStyle w:val="Subsection"/>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 or</w:t>
      </w:r>
    </w:p>
    <w:p>
      <w:pPr>
        <w:pStyle w:val="Indenta"/>
      </w:pPr>
      <w:r>
        <w:tab/>
        <w:t>(c)</w:t>
      </w:r>
      <w:r>
        <w:tab/>
        <w:t>having been required under subsection (4) to leave the licensed premises or a part of the premises, does not do so,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a fine of $2 000.</w:t>
      </w:r>
    </w:p>
    <w:p>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 xml:space="preserve">any other person, on the request of the licensee </w:t>
      </w:r>
      <w:r>
        <w:t>or a manager</w:t>
      </w:r>
      <w:r>
        <w:rPr>
          <w:snapToGrid w:val="0"/>
        </w:rPr>
        <w:t xml:space="preserve">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pPr>
      <w:r>
        <w:tab/>
        <w:t>(9)</w:t>
      </w:r>
      <w:r>
        <w:tab/>
        <w:t>This section does not limit any other right to refuse a person entry to premises or to remove a person from premises.</w:t>
      </w:r>
    </w:p>
    <w:p>
      <w:pPr>
        <w:pStyle w:val="Footnotesection"/>
      </w:pPr>
      <w:r>
        <w:tab/>
        <w:t xml:space="preserve">[Section 115 amended by No. 12 of 1998 s. 80; No. 35 of 2003 s. 173(3); No. 73 of 2006 s. 80, 109 and 110; No. 56 of 2010 s. 25, 56 and 69.] </w:t>
      </w:r>
    </w:p>
    <w:p>
      <w:pPr>
        <w:pStyle w:val="Heading5"/>
      </w:pPr>
      <w:bookmarkStart w:id="523" w:name="_Toc406080178"/>
      <w:bookmarkStart w:id="524" w:name="_Toc423530607"/>
      <w:r>
        <w:rPr>
          <w:rStyle w:val="CharSectno"/>
        </w:rPr>
        <w:t>115AA</w:t>
      </w:r>
      <w:r>
        <w:t>.</w:t>
      </w:r>
      <w:r>
        <w:tab/>
        <w:t>Banning people from licensed premises, Commissioner of Police’s power for</w:t>
      </w:r>
      <w:bookmarkEnd w:id="523"/>
      <w:bookmarkEnd w:id="524"/>
    </w:p>
    <w:p>
      <w:pPr>
        <w:pStyle w:val="Subsection"/>
      </w:pPr>
      <w:r>
        <w:tab/>
        <w:t>(1)</w:t>
      </w:r>
      <w:r>
        <w:tab/>
        <w:t>In this section —</w:t>
      </w:r>
    </w:p>
    <w:p>
      <w:pPr>
        <w:pStyle w:val="Defstart"/>
      </w:pPr>
      <w:r>
        <w:tab/>
      </w:r>
      <w:r>
        <w:rPr>
          <w:rStyle w:val="CharDefText"/>
        </w:rPr>
        <w:t>specified</w:t>
      </w:r>
      <w:r>
        <w:t xml:space="preserve"> means specified in a notice under this section.</w:t>
      </w:r>
    </w:p>
    <w:p>
      <w:pPr>
        <w:pStyle w:val="Subsection"/>
      </w:pPr>
      <w:r>
        <w:tab/>
        <w:t>(2)</w:t>
      </w:r>
      <w:r>
        <w:tab/>
        <w:t>The Commissioner of Police may give a notice to a person prohibiting the person from entering specified licensed premises, or a specified class of licensed premises, if the Commissioner believes, on reasonable grounds, that the person has, on licensed premises —</w:t>
      </w:r>
    </w:p>
    <w:p>
      <w:pPr>
        <w:pStyle w:val="Indenta"/>
      </w:pPr>
      <w:r>
        <w:tab/>
        <w:t>(a)</w:t>
      </w:r>
      <w:r>
        <w:tab/>
        <w:t>been violent or disorderly; or</w:t>
      </w:r>
    </w:p>
    <w:p>
      <w:pPr>
        <w:pStyle w:val="Indenta"/>
      </w:pPr>
      <w:r>
        <w:tab/>
        <w:t>(b)</w:t>
      </w:r>
      <w:r>
        <w:tab/>
        <w:t>engaged in indecent behaviour; or</w:t>
      </w:r>
    </w:p>
    <w:p>
      <w:pPr>
        <w:pStyle w:val="Indenta"/>
      </w:pPr>
      <w:r>
        <w:tab/>
        <w:t>(c)</w:t>
      </w:r>
      <w:r>
        <w:tab/>
        <w:t>contravened a provision of any written law.</w:t>
      </w:r>
    </w:p>
    <w:p>
      <w:pPr>
        <w:pStyle w:val="Subsection"/>
      </w:pPr>
      <w:r>
        <w:tab/>
        <w:t>(3)</w:t>
      </w:r>
      <w:r>
        <w:tab/>
        <w:t>The notice is to be in a form approved by the Director.</w:t>
      </w:r>
    </w:p>
    <w:p>
      <w:pPr>
        <w:pStyle w:val="Subsection"/>
      </w:pPr>
      <w:r>
        <w:tab/>
        <w:t>(4)</w:t>
      </w:r>
      <w:r>
        <w:tab/>
        <w:t>The notice has effect from the day the notice is given to the person until the earliest of —</w:t>
      </w:r>
    </w:p>
    <w:p>
      <w:pPr>
        <w:pStyle w:val="Indenta"/>
      </w:pPr>
      <w:r>
        <w:tab/>
        <w:t>(a)</w:t>
      </w:r>
      <w:r>
        <w:tab/>
        <w:t>a specified day; or</w:t>
      </w:r>
    </w:p>
    <w:p>
      <w:pPr>
        <w:pStyle w:val="Indenta"/>
      </w:pPr>
      <w:r>
        <w:tab/>
        <w:t>(b)</w:t>
      </w:r>
      <w:r>
        <w:tab/>
        <w:t>if the notice is revoked under subsection (7) — the day that the notice of revocation is given to the person; or</w:t>
      </w:r>
    </w:p>
    <w:p>
      <w:pPr>
        <w:pStyle w:val="Indenta"/>
      </w:pPr>
      <w:r>
        <w:tab/>
        <w:t>(c)</w:t>
      </w:r>
      <w:r>
        <w:tab/>
        <w:t>if the decision to give the notice is quashed by the Commission under section 115AD — the day that a copy of the Commission’s decision is given to the person.</w:t>
      </w:r>
    </w:p>
    <w:p>
      <w:pPr>
        <w:pStyle w:val="Subsection"/>
      </w:pPr>
      <w:r>
        <w:tab/>
        <w:t>(5)</w:t>
      </w:r>
      <w:r>
        <w:tab/>
        <w:t>The specified day cannot be more than 12 months after the day on which the notice is served.</w:t>
      </w:r>
    </w:p>
    <w:p>
      <w:pPr>
        <w:pStyle w:val="Subsection"/>
      </w:pPr>
      <w:r>
        <w:tab/>
        <w:t>(6)</w:t>
      </w:r>
      <w:r>
        <w:tab/>
        <w:t>Except as provided in subsection (7A), a person who enters premises contrary to a notice under subsection (2) commits an offence.</w:t>
      </w:r>
    </w:p>
    <w:p>
      <w:pPr>
        <w:pStyle w:val="Penstart"/>
      </w:pPr>
      <w:r>
        <w:tab/>
        <w:t>Penalty: a fine of $10 000.</w:t>
      </w:r>
    </w:p>
    <w:p>
      <w:pPr>
        <w:pStyle w:val="Subsection"/>
      </w:pPr>
      <w:r>
        <w:tab/>
        <w:t>(7A)</w:t>
      </w:r>
      <w:r>
        <w:tab/>
        <w:t>A person does not commit an offence under subsection (6) if the person enters the premises solely for the purpose of performing duties relating to the person’s work.</w:t>
      </w:r>
    </w:p>
    <w:p>
      <w:pPr>
        <w:pStyle w:val="Subsection"/>
      </w:pPr>
      <w:r>
        <w:tab/>
        <w:t>(7)</w:t>
      </w:r>
      <w:r>
        <w:tab/>
        <w:t>The Commissioner of Police may revoke a notice under subsection (2) by giving to the person a notice of revocation.</w:t>
      </w:r>
    </w:p>
    <w:p>
      <w:pPr>
        <w:pStyle w:val="Subsection"/>
      </w:pPr>
      <w:r>
        <w:tab/>
        <w:t>(8)</w:t>
      </w:r>
      <w:r>
        <w:tab/>
        <w:t>The notice of revocation is to be in a form approved by the Director.</w:t>
      </w:r>
    </w:p>
    <w:p>
      <w:pPr>
        <w:pStyle w:val="Footnotesection"/>
      </w:pPr>
      <w:r>
        <w:tab/>
        <w:t>[Section 115AA inserted by No. 56 of 2010 s. 30.]</w:t>
      </w:r>
    </w:p>
    <w:p>
      <w:pPr>
        <w:pStyle w:val="Heading5"/>
      </w:pPr>
      <w:bookmarkStart w:id="525" w:name="_Toc406080179"/>
      <w:bookmarkStart w:id="526" w:name="_Toc423530608"/>
      <w:r>
        <w:rPr>
          <w:rStyle w:val="CharSectno"/>
        </w:rPr>
        <w:t>115AB</w:t>
      </w:r>
      <w:r>
        <w:t>.</w:t>
      </w:r>
      <w:r>
        <w:tab/>
        <w:t>Delegation by Commissioner of Police</w:t>
      </w:r>
      <w:bookmarkEnd w:id="525"/>
      <w:bookmarkEnd w:id="526"/>
    </w:p>
    <w:p>
      <w:pPr>
        <w:pStyle w:val="Subsection"/>
      </w:pPr>
      <w:r>
        <w:tab/>
        <w:t>(1)</w:t>
      </w:r>
      <w:r>
        <w:tab/>
        <w:t>The Commissioner of Police may delegate the Commissioner’s functions under section 115AA to a member of the Police Force of or above the rank of Inspector.</w:t>
      </w:r>
    </w:p>
    <w:p>
      <w:pPr>
        <w:pStyle w:val="Subsection"/>
      </w:pPr>
      <w:r>
        <w:tab/>
        <w:t>(2)</w:t>
      </w:r>
      <w:r>
        <w:tab/>
        <w:t>The delegation must be in writing signed by the Commissioner of Police.</w:t>
      </w:r>
    </w:p>
    <w:p>
      <w:pPr>
        <w:pStyle w:val="Subsection"/>
      </w:pPr>
      <w:r>
        <w:tab/>
        <w:t>(3)</w:t>
      </w:r>
      <w:r>
        <w:tab/>
        <w:t>A person to whom the duty is delegated under this section cannot delegate that duty.</w:t>
      </w:r>
    </w:p>
    <w:p>
      <w:pPr>
        <w:pStyle w:val="Subsection"/>
      </w:pPr>
      <w:r>
        <w:tab/>
        <w:t>(4)</w:t>
      </w:r>
      <w:r>
        <w:tab/>
        <w:t>A person performing the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the duty through an officer or agent.</w:t>
      </w:r>
    </w:p>
    <w:p>
      <w:pPr>
        <w:pStyle w:val="Footnotesection"/>
      </w:pPr>
      <w:r>
        <w:tab/>
        <w:t>[Section 115AB inserted by No. 56 of 2010 s. 30.]</w:t>
      </w:r>
    </w:p>
    <w:p>
      <w:pPr>
        <w:pStyle w:val="Heading5"/>
      </w:pPr>
      <w:bookmarkStart w:id="527" w:name="_Toc406080180"/>
      <w:bookmarkStart w:id="528" w:name="_Toc423530609"/>
      <w:r>
        <w:rPr>
          <w:rStyle w:val="CharSectno"/>
        </w:rPr>
        <w:t>115AC</w:t>
      </w:r>
      <w:r>
        <w:t>.</w:t>
      </w:r>
      <w:r>
        <w:tab/>
        <w:t>Publication of details of people banned under s. 115AA</w:t>
      </w:r>
      <w:bookmarkEnd w:id="527"/>
      <w:bookmarkEnd w:id="528"/>
    </w:p>
    <w:p>
      <w:pPr>
        <w:pStyle w:val="Subsection"/>
      </w:pPr>
      <w:r>
        <w:tab/>
        <w:t>(1A)</w:t>
      </w:r>
      <w:r>
        <w:tab/>
        <w:t xml:space="preserve">In this section — </w:t>
      </w:r>
    </w:p>
    <w:p>
      <w:pPr>
        <w:pStyle w:val="Defstart"/>
      </w:pPr>
      <w:r>
        <w:tab/>
      </w:r>
      <w:r>
        <w:rPr>
          <w:rStyle w:val="CharDefText"/>
        </w:rPr>
        <w:t>secure webpage</w:t>
      </w:r>
      <w:r>
        <w:t xml:space="preserve"> means a page on a website that is accessible only by —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or class of persons or a person in a prescribed circumstance.</w:t>
      </w:r>
    </w:p>
    <w:p>
      <w:pPr>
        <w:pStyle w:val="Subsection"/>
      </w:pPr>
      <w:r>
        <w:tab/>
        <w:t>(1)</w:t>
      </w:r>
      <w:r>
        <w:tab/>
        <w:t>The Commissioner of Police must publish on a secure webpage all of the following in relation to a person to whom a notice under section 115AA is given —</w:t>
      </w:r>
    </w:p>
    <w:p>
      <w:pPr>
        <w:pStyle w:val="Indenta"/>
      </w:pPr>
      <w:r>
        <w:tab/>
        <w:t>(a)</w:t>
      </w:r>
      <w:r>
        <w:tab/>
        <w:t>the name of the person;</w:t>
      </w:r>
    </w:p>
    <w:p>
      <w:pPr>
        <w:pStyle w:val="Indenta"/>
      </w:pPr>
      <w:r>
        <w:tab/>
        <w:t>(b)</w:t>
      </w:r>
      <w:r>
        <w:tab/>
        <w:t>a photograph of the person (if any is in the possession of the Commissioner);</w:t>
      </w:r>
    </w:p>
    <w:p>
      <w:pPr>
        <w:pStyle w:val="Indenta"/>
      </w:pPr>
      <w:r>
        <w:tab/>
        <w:t>(c)</w:t>
      </w:r>
      <w:r>
        <w:tab/>
        <w:t>the town or suburb where the person lives;</w:t>
      </w:r>
    </w:p>
    <w:p>
      <w:pPr>
        <w:pStyle w:val="Indenta"/>
      </w:pPr>
      <w:r>
        <w:tab/>
        <w:t>(d)</w:t>
      </w:r>
      <w:r>
        <w:tab/>
        <w:t>the licensed premises, or class of licensed premises, in relation to which the notice relates.</w:t>
      </w:r>
    </w:p>
    <w:p>
      <w:pPr>
        <w:pStyle w:val="Subsection"/>
      </w:pPr>
      <w:r>
        <w:tab/>
        <w:t>(2)</w:t>
      </w:r>
      <w:r>
        <w:tab/>
        <w:t>Subsection (1) does not permit the publication of anything that identifies, or is capable of identifying —</w:t>
      </w:r>
    </w:p>
    <w:p>
      <w:pPr>
        <w:pStyle w:val="Indenta"/>
      </w:pPr>
      <w:r>
        <w:tab/>
        <w:t>(a)</w:t>
      </w:r>
      <w:r>
        <w:tab/>
        <w:t>a child other than the person to whom the notice is given; or</w:t>
      </w:r>
    </w:p>
    <w:p>
      <w:pPr>
        <w:pStyle w:val="Indenta"/>
      </w:pPr>
      <w:r>
        <w:tab/>
        <w:t>(b)</w:t>
      </w:r>
      <w:r>
        <w:tab/>
        <w:t>the details of any offence of which the person was convicted in the Children’s Court.</w:t>
      </w:r>
    </w:p>
    <w:p>
      <w:pPr>
        <w:pStyle w:val="Subsection"/>
      </w:pPr>
      <w:r>
        <w:tab/>
        <w:t>(3)</w:t>
      </w:r>
      <w:r>
        <w:tab/>
        <w:t>Except as provided in subsection (4), a person who discloses something that has been published under subsection (1) commits an offence.</w:t>
      </w:r>
    </w:p>
    <w:p>
      <w:pPr>
        <w:pStyle w:val="Penstart"/>
      </w:pPr>
      <w:r>
        <w:tab/>
        <w:t>Penalty: a fine of $10 000.</w:t>
      </w:r>
    </w:p>
    <w:p>
      <w:pPr>
        <w:pStyle w:val="Subsection"/>
      </w:pPr>
      <w:r>
        <w:tab/>
        <w:t>(4)</w:t>
      </w:r>
      <w:r>
        <w:tab/>
        <w:t xml:space="preserve">A licensee or manager of licensed premises does not commit an offence under subsection (3) if — </w:t>
      </w:r>
    </w:p>
    <w:p>
      <w:pPr>
        <w:pStyle w:val="Indenta"/>
      </w:pPr>
      <w:r>
        <w:tab/>
        <w:t>(a)</w:t>
      </w:r>
      <w:r>
        <w:tab/>
        <w:t>he or she discloses information published under subsection (1) to a responsible person in relation to those premises; and</w:t>
      </w:r>
    </w:p>
    <w:p>
      <w:pPr>
        <w:pStyle w:val="Indenta"/>
      </w:pPr>
      <w:r>
        <w:tab/>
        <w:t>(b)</w:t>
      </w:r>
      <w:r>
        <w:tab/>
        <w:t>the disclosure is made for the purposes of enabling the responsible person to perform duties relating to the person’s work on the licensed premises.</w:t>
      </w:r>
    </w:p>
    <w:p>
      <w:pPr>
        <w:pStyle w:val="Footnotesection"/>
      </w:pPr>
      <w:r>
        <w:tab/>
        <w:t>[Section 115AC inserted by No. 56 of 2010 s. 30.]</w:t>
      </w:r>
    </w:p>
    <w:p>
      <w:pPr>
        <w:pStyle w:val="Heading5"/>
      </w:pPr>
      <w:bookmarkStart w:id="529" w:name="_Toc406080181"/>
      <w:bookmarkStart w:id="530" w:name="_Toc423530610"/>
      <w:r>
        <w:rPr>
          <w:rStyle w:val="CharSectno"/>
        </w:rPr>
        <w:t>115AD</w:t>
      </w:r>
      <w:r>
        <w:t>.</w:t>
      </w:r>
      <w:r>
        <w:tab/>
        <w:t>Review of s. 115AA notices</w:t>
      </w:r>
      <w:bookmarkEnd w:id="529"/>
      <w:bookmarkEnd w:id="530"/>
    </w:p>
    <w:p>
      <w:pPr>
        <w:pStyle w:val="Subsection"/>
      </w:pPr>
      <w:r>
        <w:tab/>
        <w:t>(1)</w:t>
      </w:r>
      <w:r>
        <w:tab/>
        <w:t>In this section —</w:t>
      </w:r>
    </w:p>
    <w:p>
      <w:pPr>
        <w:pStyle w:val="Defstart"/>
      </w:pPr>
      <w:r>
        <w:tab/>
      </w:r>
      <w:r>
        <w:rPr>
          <w:rStyle w:val="CharDefText"/>
        </w:rPr>
        <w:t>notice</w:t>
      </w:r>
      <w:r>
        <w:t xml:space="preserve"> means a notice under section 115AA(2).</w:t>
      </w:r>
    </w:p>
    <w:p>
      <w:pPr>
        <w:pStyle w:val="Subsection"/>
      </w:pPr>
      <w:r>
        <w:tab/>
        <w:t>(2)</w:t>
      </w:r>
      <w:r>
        <w:tab/>
        <w:t>This section applies if —</w:t>
      </w:r>
    </w:p>
    <w:p>
      <w:pPr>
        <w:pStyle w:val="Indenta"/>
      </w:pPr>
      <w:r>
        <w:tab/>
        <w:t>(a)</w:t>
      </w:r>
      <w:r>
        <w:tab/>
        <w:t>a notice is given to a person in respect of licensed premises; and</w:t>
      </w:r>
    </w:p>
    <w:p>
      <w:pPr>
        <w:pStyle w:val="Indenta"/>
      </w:pPr>
      <w:r>
        <w:tab/>
        <w:t>(b)</w:t>
      </w:r>
      <w:r>
        <w:tab/>
        <w:t>the notice —</w:t>
      </w:r>
    </w:p>
    <w:p>
      <w:pPr>
        <w:pStyle w:val="Indenti"/>
      </w:pPr>
      <w:r>
        <w:tab/>
        <w:t>(i)</w:t>
      </w:r>
      <w:r>
        <w:tab/>
        <w:t>has effect for one month or more; or</w:t>
      </w:r>
    </w:p>
    <w:p>
      <w:pPr>
        <w:pStyle w:val="Indenti"/>
      </w:pPr>
      <w:r>
        <w:tab/>
        <w:t>(ii)</w:t>
      </w:r>
      <w:r>
        <w:tab/>
        <w:t>has effect for any shorter period that, when added to the period of any notice previously given to the person in respect of the premises or premises of the particular class (as the case requires), results in the person being prohibited from those premises or that class of premises for a period of more than one month in any 12 month period.</w:t>
      </w:r>
    </w:p>
    <w:p>
      <w:pPr>
        <w:pStyle w:val="Subsection"/>
      </w:pPr>
      <w:r>
        <w:tab/>
        <w:t>(3)</w:t>
      </w:r>
      <w:r>
        <w:tab/>
        <w:t>Subject to subsection (4), where the person is dissatisfied with the decision of the Commissioner of Police to give the notice, the person may apply to the Commission for a review of that decision.</w:t>
      </w:r>
    </w:p>
    <w:p>
      <w:pPr>
        <w:pStyle w:val="Subsection"/>
      </w:pPr>
      <w:r>
        <w:tab/>
        <w:t>(4)</w:t>
      </w:r>
      <w:r>
        <w:tab/>
        <w:t>An application under subsection (3) must be made within a month after the applicant is served with the notice or such longer period as the Commission may allow.</w:t>
      </w:r>
    </w:p>
    <w:p>
      <w:pPr>
        <w:pStyle w:val="Subsection"/>
      </w:pPr>
      <w:r>
        <w:tab/>
        <w:t>(5)</w:t>
      </w:r>
      <w:r>
        <w:tab/>
        <w:t xml:space="preserve">The application must be — </w:t>
      </w:r>
    </w:p>
    <w:p>
      <w:pPr>
        <w:pStyle w:val="Indenta"/>
      </w:pPr>
      <w:r>
        <w:tab/>
        <w:t>(a)</w:t>
      </w:r>
      <w:r>
        <w:tab/>
        <w:t>made in a manner and form approved by the Commission; and</w:t>
      </w:r>
    </w:p>
    <w:p>
      <w:pPr>
        <w:pStyle w:val="Indenta"/>
      </w:pPr>
      <w:r>
        <w:tab/>
        <w:t>(b)</w:t>
      </w:r>
      <w:r>
        <w:tab/>
        <w:t>accompanied by the prescribed fee, if any.</w:t>
      </w:r>
    </w:p>
    <w:p>
      <w:pPr>
        <w:pStyle w:val="Subsection"/>
      </w:pPr>
      <w:r>
        <w:tab/>
        <w:t>(6)</w:t>
      </w:r>
      <w:r>
        <w:tab/>
        <w:t xml:space="preserve">When conducting a review of the decision, the Commission may have regard to — </w:t>
      </w:r>
    </w:p>
    <w:p>
      <w:pPr>
        <w:pStyle w:val="Indenta"/>
      </w:pPr>
      <w:r>
        <w:tab/>
        <w:t>(a)</w:t>
      </w:r>
      <w:r>
        <w:tab/>
        <w:t>the material that was before the Commissioner of Police when making the decision; and</w:t>
      </w:r>
    </w:p>
    <w:p>
      <w:pPr>
        <w:pStyle w:val="Indenta"/>
      </w:pPr>
      <w:r>
        <w:tab/>
        <w:t>(b)</w:t>
      </w:r>
      <w:r>
        <w:tab/>
        <w:t>any information or document provided by the applicant.</w:t>
      </w:r>
    </w:p>
    <w:p>
      <w:pPr>
        <w:pStyle w:val="Subsection"/>
      </w:pPr>
      <w:r>
        <w:tab/>
        <w:t>(7)</w:t>
      </w:r>
      <w:r>
        <w:tab/>
        <w:t>On a review under this section, the Commission may affirm, vary or quash the decision subject to the review.</w:t>
      </w:r>
    </w:p>
    <w:p>
      <w:pPr>
        <w:pStyle w:val="Subsection"/>
      </w:pPr>
      <w:r>
        <w:tab/>
        <w:t>(8)</w:t>
      </w:r>
      <w:r>
        <w:tab/>
        <w:t>The notice remains in force during the period of the review of the decision to give that notice.</w:t>
      </w:r>
    </w:p>
    <w:p>
      <w:pPr>
        <w:pStyle w:val="Footnotesection"/>
      </w:pPr>
      <w:r>
        <w:tab/>
        <w:t>[Section 115AD inserted by No. 56 of 2010 s. 30.]</w:t>
      </w:r>
    </w:p>
    <w:p>
      <w:pPr>
        <w:pStyle w:val="Heading5"/>
      </w:pPr>
      <w:bookmarkStart w:id="531" w:name="_Toc406080182"/>
      <w:bookmarkStart w:id="532" w:name="_Toc423530611"/>
      <w:r>
        <w:rPr>
          <w:rStyle w:val="CharSectno"/>
        </w:rPr>
        <w:t>115AE</w:t>
      </w:r>
      <w:r>
        <w:t>.</w:t>
      </w:r>
      <w:r>
        <w:tab/>
        <w:t>Permitting entry to premises contrary to s. 115AA notice</w:t>
      </w:r>
      <w:bookmarkEnd w:id="531"/>
      <w:bookmarkEnd w:id="532"/>
    </w:p>
    <w:p>
      <w:pPr>
        <w:pStyle w:val="Subsection"/>
      </w:pPr>
      <w:r>
        <w:tab/>
      </w:r>
      <w:r>
        <w:tab/>
        <w:t xml:space="preserve">A responsible person in relation to licensed premises commits an offence if the responsible person — </w:t>
      </w:r>
    </w:p>
    <w:p>
      <w:pPr>
        <w:pStyle w:val="Indenta"/>
      </w:pPr>
      <w:r>
        <w:tab/>
        <w:t>(a)</w:t>
      </w:r>
      <w:r>
        <w:tab/>
        <w:t>knows that a notice under section 115AA(2) has been given to a person in respect of the premises; and</w:t>
      </w:r>
    </w:p>
    <w:p>
      <w:pPr>
        <w:pStyle w:val="Indenta"/>
      </w:pPr>
      <w:r>
        <w:tab/>
        <w:t>(b)</w:t>
      </w:r>
      <w:r>
        <w:tab/>
        <w:t>permits the person to enter or remain on the premises contrary to the notice.</w:t>
      </w:r>
    </w:p>
    <w:p>
      <w:pPr>
        <w:pStyle w:val="Penstart"/>
      </w:pPr>
      <w:r>
        <w:tab/>
        <w:t>Penalty: a fine of $10 000.</w:t>
      </w:r>
    </w:p>
    <w:p>
      <w:pPr>
        <w:pStyle w:val="Footnotesection"/>
      </w:pPr>
      <w:r>
        <w:tab/>
        <w:t>[Section 115AE inserted by No. 56 of 2010 s. 30.]</w:t>
      </w:r>
    </w:p>
    <w:p>
      <w:pPr>
        <w:pStyle w:val="Heading5"/>
        <w:spacing w:before="240"/>
      </w:pPr>
      <w:bookmarkStart w:id="533" w:name="_Toc406080183"/>
      <w:bookmarkStart w:id="534" w:name="_Toc423530612"/>
      <w:r>
        <w:rPr>
          <w:rStyle w:val="CharSectno"/>
        </w:rPr>
        <w:t>115A</w:t>
      </w:r>
      <w:r>
        <w:t>.</w:t>
      </w:r>
      <w:r>
        <w:tab/>
        <w:t>Drinking water to be provided free at certain licensed premises</w:t>
      </w:r>
      <w:bookmarkEnd w:id="533"/>
      <w:bookmarkEnd w:id="534"/>
    </w:p>
    <w:p>
      <w:pPr>
        <w:pStyle w:val="Subsection"/>
        <w:spacing w:before="180"/>
      </w:pPr>
      <w:r>
        <w:tab/>
        <w:t>(1)</w:t>
      </w:r>
      <w:r>
        <w:tab/>
        <w:t>Subsection (2) applies to licensed premises at which liquor is authorised to be sold under the licence for consumption on the premises.</w:t>
      </w:r>
    </w:p>
    <w:p>
      <w:pPr>
        <w:pStyle w:val="Subsection"/>
        <w:spacing w:before="18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 xml:space="preserve">Penalty: </w:t>
      </w:r>
    </w:p>
    <w:p>
      <w:pPr>
        <w:pStyle w:val="Penpara"/>
      </w:pPr>
      <w:r>
        <w:tab/>
        <w:t>(a)</w:t>
      </w:r>
      <w:r>
        <w:tab/>
        <w:t>for the licensee, a fine of $10 000;</w:t>
      </w:r>
    </w:p>
    <w:p>
      <w:pPr>
        <w:pStyle w:val="Penpara"/>
      </w:pPr>
      <w:r>
        <w:tab/>
        <w:t>(b)</w:t>
      </w:r>
      <w:r>
        <w:tab/>
        <w:t>for a manager, a fine of $4 000.</w:t>
      </w:r>
    </w:p>
    <w:p>
      <w:pPr>
        <w:pStyle w:val="Footnotesection"/>
      </w:pPr>
      <w:r>
        <w:tab/>
        <w:t>[Section 115A inserted by No. 73 of 2006 s. 81; amended by No. 56 of 2010 s. 57.]</w:t>
      </w:r>
    </w:p>
    <w:p>
      <w:pPr>
        <w:pStyle w:val="Heading5"/>
        <w:keepLines w:val="0"/>
        <w:rPr>
          <w:snapToGrid w:val="0"/>
        </w:rPr>
      </w:pPr>
      <w:bookmarkStart w:id="535" w:name="_Toc406080184"/>
      <w:bookmarkStart w:id="536" w:name="_Toc423530613"/>
      <w:r>
        <w:rPr>
          <w:rStyle w:val="CharSectno"/>
        </w:rPr>
        <w:t>116</w:t>
      </w:r>
      <w:r>
        <w:rPr>
          <w:snapToGrid w:val="0"/>
        </w:rPr>
        <w:t>.</w:t>
      </w:r>
      <w:r>
        <w:rPr>
          <w:snapToGrid w:val="0"/>
        </w:rPr>
        <w:tab/>
        <w:t>Documents to be displayed etc. at premises and produced</w:t>
      </w:r>
      <w:bookmarkEnd w:id="535"/>
      <w:bookmarkEnd w:id="536"/>
    </w:p>
    <w:p>
      <w:pPr>
        <w:pStyle w:val="Subsection"/>
        <w:spacing w:before="180"/>
        <w:rPr>
          <w:snapToGrid w:val="0"/>
        </w:rPr>
      </w:pPr>
      <w:r>
        <w:rPr>
          <w:snapToGrid w:val="0"/>
        </w:rPr>
        <w:tab/>
        <w:t>(1)</w:t>
      </w:r>
      <w:r>
        <w:rPr>
          <w:snapToGrid w:val="0"/>
        </w:rPr>
        <w:tab/>
        <w:t>A licensee shall cause a copy of — </w:t>
      </w:r>
    </w:p>
    <w:p>
      <w:pPr>
        <w:pStyle w:val="Indenta"/>
        <w:rPr>
          <w:snapToGrid w:val="0"/>
        </w:rPr>
      </w:pPr>
      <w:r>
        <w:rPr>
          <w:snapToGrid w:val="0"/>
        </w:rPr>
        <w:tab/>
        <w:t>(a)</w:t>
      </w:r>
      <w:r>
        <w:rPr>
          <w:snapToGrid w:val="0"/>
        </w:rPr>
        <w:tab/>
        <w:t>the licence; and</w:t>
      </w:r>
    </w:p>
    <w:p>
      <w:pPr>
        <w:pStyle w:val="Indenta"/>
        <w:rPr>
          <w:snapToGrid w:val="0"/>
        </w:rPr>
      </w:pPr>
      <w:r>
        <w:rPr>
          <w:snapToGrid w:val="0"/>
        </w:rPr>
        <w:tab/>
        <w:t>(b)</w:t>
      </w:r>
      <w:r>
        <w:rPr>
          <w:snapToGrid w:val="0"/>
        </w:rPr>
        <w:tab/>
        <w:t>any permit that relates to the licence; and</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Subsection"/>
        <w:spacing w:before="180"/>
        <w:rPr>
          <w:snapToGrid w:val="0"/>
        </w:rPr>
      </w:pPr>
      <w:r>
        <w:rPr>
          <w:snapToGrid w:val="0"/>
        </w:rPr>
        <w:tab/>
      </w:r>
      <w:r>
        <w:rPr>
          <w:snapToGrid w:val="0"/>
        </w:rPr>
        <w:tab/>
        <w:t>to be kept on the licensed premises at all times, unless the Director otherwise approves.</w:t>
      </w:r>
    </w:p>
    <w:p>
      <w:pPr>
        <w:pStyle w:val="Penstart"/>
        <w:rPr>
          <w:snapToGrid w:val="0"/>
        </w:rPr>
      </w:pPr>
      <w:r>
        <w:tab/>
        <w:t>Penalty: a fine of $2 000.</w:t>
      </w:r>
    </w:p>
    <w:p>
      <w:pPr>
        <w:pStyle w:val="Subsection"/>
        <w:spacing w:before="180"/>
        <w:rPr>
          <w:snapToGrid w:val="0"/>
        </w:rPr>
      </w:pPr>
      <w:r>
        <w:rPr>
          <w:snapToGrid w:val="0"/>
        </w:rPr>
        <w:tab/>
        <w:t>(2)</w:t>
      </w:r>
      <w:r>
        <w:rPr>
          <w:snapToGrid w:val="0"/>
        </w:rPr>
        <w:tab/>
      </w:r>
      <w:r>
        <w:t>The licensee or a manager of the licensed premises</w:t>
      </w:r>
      <w:r>
        <w:rPr>
          <w:snapToGrid w:val="0"/>
        </w:rPr>
        <w:t xml:space="preserve"> shall, if so required by an authorised officer, produce for inspection a copy of the licence or of any other documents referred to in subsection (1).</w:t>
      </w:r>
    </w:p>
    <w:p>
      <w:pPr>
        <w:pStyle w:val="Penstart"/>
        <w:rPr>
          <w:snapToGrid w:val="0"/>
        </w:rPr>
      </w:pPr>
      <w:r>
        <w:tab/>
        <w:t>Penalty: a fine of $2 000.</w:t>
      </w:r>
    </w:p>
    <w:p>
      <w:pPr>
        <w:pStyle w:val="Subsection"/>
        <w:spacing w:before="180"/>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Penstart"/>
        <w:rPr>
          <w:snapToGrid w:val="0"/>
        </w:rPr>
      </w:pPr>
      <w:r>
        <w:tab/>
        <w:t>Penalty: a fine of $2 000.</w:t>
      </w:r>
    </w:p>
    <w:p>
      <w:pPr>
        <w:pStyle w:val="Subsection"/>
      </w:pPr>
      <w:r>
        <w:tab/>
        <w:t>(4)</w:t>
      </w:r>
      <w:r>
        <w:tab/>
        <w:t>A licensee shall cause to be displayed in a readily legible condition and in a conspicuous position in the licensed premises —</w:t>
      </w:r>
    </w:p>
    <w:p>
      <w:pPr>
        <w:pStyle w:val="Indenta"/>
      </w:pPr>
      <w:r>
        <w:tab/>
        <w:t>(a)</w:t>
      </w:r>
      <w:r>
        <w:tab/>
        <w:t>a copy of the licence; and</w:t>
      </w:r>
    </w:p>
    <w:p>
      <w:pPr>
        <w:pStyle w:val="Indenta"/>
      </w:pPr>
      <w:r>
        <w:tab/>
        <w:t>(b)</w:t>
      </w:r>
      <w:r>
        <w:tab/>
        <w:t>if section 100(2a) applies in relation to the premises — a notice displaying the name of each person who is supervising and managing the premises and identifying every such person as a manager.</w:t>
      </w:r>
    </w:p>
    <w:p>
      <w:pPr>
        <w:pStyle w:val="Penstart"/>
      </w:pPr>
      <w:r>
        <w:tab/>
        <w:t>Penalty: a fine of $2 000.</w:t>
      </w:r>
    </w:p>
    <w:p>
      <w:pPr>
        <w:pStyle w:val="Subsection"/>
      </w:pPr>
      <w:r>
        <w:tab/>
        <w:t>(5A)</w:t>
      </w:r>
      <w:r>
        <w:tab/>
        <w:t>The notice required by subsection (4)(b) may be combined with the notice required by subsection (5).</w:t>
      </w:r>
    </w:p>
    <w:p>
      <w:pPr>
        <w:pStyle w:val="Subsection"/>
        <w:spacing w:before="180"/>
        <w:rPr>
          <w:snapToGrid w:val="0"/>
        </w:rPr>
      </w:pPr>
      <w:r>
        <w:rPr>
          <w:snapToGrid w:val="0"/>
        </w:rPr>
        <w:tab/>
        <w:t>(5)</w:t>
      </w:r>
      <w:r>
        <w:rPr>
          <w:snapToGrid w:val="0"/>
        </w:rPr>
        <w:tab/>
        <w:t>A licensee, other than the holder of an occasional licence, shall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 xml:space="preserve">the name of the licensee, followed by the word </w:t>
      </w:r>
      <w:r>
        <w:t>“Licensee”,</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 xml:space="preserve">Penalty: </w:t>
      </w:r>
      <w:r>
        <w:t>a fine of</w:t>
      </w:r>
      <w:r>
        <w:rPr>
          <w:snapToGrid w:val="0"/>
        </w:rPr>
        <w:t xml:space="preserve"> $2 000.</w:t>
      </w:r>
    </w:p>
    <w:p>
      <w:pPr>
        <w:pStyle w:val="Footnotesection"/>
      </w:pPr>
      <w:r>
        <w:tab/>
        <w:t xml:space="preserve">[Section 116 inserted by No. 12 of 1998 s. 81; amended by No. 73 of 2006 s. 82 and 110; No. 56 of 2010 s. 18, 25, 58 and 69.] </w:t>
      </w:r>
    </w:p>
    <w:p>
      <w:pPr>
        <w:pStyle w:val="Heading5"/>
        <w:spacing w:before="180"/>
      </w:pPr>
      <w:bookmarkStart w:id="537" w:name="_Toc406080185"/>
      <w:bookmarkStart w:id="538" w:name="_Toc423530614"/>
      <w:r>
        <w:rPr>
          <w:rStyle w:val="CharSectno"/>
        </w:rPr>
        <w:t>116A</w:t>
      </w:r>
      <w:r>
        <w:t>.</w:t>
      </w:r>
      <w:r>
        <w:tab/>
        <w:t>Register of incidents at licensed premises to be maintained</w:t>
      </w:r>
      <w:bookmarkEnd w:id="537"/>
      <w:bookmarkEnd w:id="538"/>
      <w:r>
        <w:t xml:space="preserve"> </w:t>
      </w:r>
    </w:p>
    <w:p>
      <w:pPr>
        <w:pStyle w:val="Subsection"/>
        <w:spacing w:before="180"/>
      </w:pPr>
      <w:r>
        <w:tab/>
        <w:t>(1)</w:t>
      </w:r>
      <w:r>
        <w:tab/>
        <w:t>A licensee must maintain a register on the licensed premises of the incidents, of the prescribed kind, that take place at the licensed premises.</w:t>
      </w:r>
    </w:p>
    <w:p>
      <w:pPr>
        <w:pStyle w:val="Penstart"/>
        <w:spacing w:before="120"/>
      </w:pPr>
      <w:r>
        <w:tab/>
        <w:t>Penalty: a fine of $5 000.</w:t>
      </w:r>
    </w:p>
    <w:p>
      <w:pPr>
        <w:pStyle w:val="Subsection"/>
        <w:spacing w:before="180"/>
      </w:pPr>
      <w:r>
        <w:tab/>
        <w:t>(2)</w:t>
      </w:r>
      <w:r>
        <w:tab/>
        <w:t>The register is to be maintained in a form acceptable to the Director and is to contain the prescribed information.</w:t>
      </w:r>
    </w:p>
    <w:p>
      <w:pPr>
        <w:pStyle w:val="Subsection"/>
        <w:spacing w:before="180"/>
      </w:pPr>
      <w:r>
        <w:tab/>
        <w:t>(3)</w:t>
      </w:r>
      <w:r>
        <w:tab/>
        <w:t>A licensee, or the employee or agent of a licensee, must, at the request of an authorised officer, make the register available for inspection by the authorised officer.</w:t>
      </w:r>
    </w:p>
    <w:p>
      <w:pPr>
        <w:pStyle w:val="Penstart"/>
        <w:spacing w:before="120"/>
      </w:pPr>
      <w:r>
        <w:tab/>
        <w:t>Penalty: a fine of $5 000.</w:t>
      </w:r>
    </w:p>
    <w:p>
      <w:pPr>
        <w:pStyle w:val="Footnotesection"/>
      </w:pPr>
      <w:r>
        <w:tab/>
        <w:t>[Section 116A inserted by No. 73 of 2006 s. 83; amended by No. 56 of 2010 s. 59 and 69.]</w:t>
      </w:r>
    </w:p>
    <w:p>
      <w:pPr>
        <w:pStyle w:val="Heading3"/>
      </w:pPr>
      <w:bookmarkStart w:id="539" w:name="_Toc377388975"/>
      <w:bookmarkStart w:id="540" w:name="_Toc406080186"/>
      <w:bookmarkStart w:id="541" w:name="_Toc416876173"/>
      <w:bookmarkStart w:id="542" w:name="_Toc416876527"/>
      <w:bookmarkStart w:id="543" w:name="_Toc417973209"/>
      <w:bookmarkStart w:id="544" w:name="_Toc423530615"/>
      <w:r>
        <w:rPr>
          <w:rStyle w:val="CharDivNo"/>
        </w:rPr>
        <w:t>Division 7</w:t>
      </w:r>
      <w:r>
        <w:t> — </w:t>
      </w:r>
      <w:r>
        <w:rPr>
          <w:rStyle w:val="CharDivText"/>
        </w:rPr>
        <w:t>Complaints to Director</w:t>
      </w:r>
      <w:bookmarkEnd w:id="539"/>
      <w:bookmarkEnd w:id="540"/>
      <w:bookmarkEnd w:id="541"/>
      <w:bookmarkEnd w:id="542"/>
      <w:bookmarkEnd w:id="543"/>
      <w:bookmarkEnd w:id="544"/>
    </w:p>
    <w:p>
      <w:pPr>
        <w:pStyle w:val="Footnoteheading"/>
        <w:rPr>
          <w:snapToGrid w:val="0"/>
        </w:rPr>
      </w:pPr>
      <w:r>
        <w:tab/>
        <w:t>[Heading inserted by No. 73 of 2006 s. 84.]</w:t>
      </w:r>
    </w:p>
    <w:p>
      <w:pPr>
        <w:pStyle w:val="Heading5"/>
        <w:spacing w:before="240"/>
        <w:rPr>
          <w:snapToGrid w:val="0"/>
        </w:rPr>
      </w:pPr>
      <w:bookmarkStart w:id="545" w:name="_Toc406080187"/>
      <w:bookmarkStart w:id="546" w:name="_Toc423530616"/>
      <w:r>
        <w:rPr>
          <w:rStyle w:val="CharSectno"/>
        </w:rPr>
        <w:t>117</w:t>
      </w:r>
      <w:r>
        <w:rPr>
          <w:snapToGrid w:val="0"/>
        </w:rPr>
        <w:t>.</w:t>
      </w:r>
      <w:r>
        <w:rPr>
          <w:snapToGrid w:val="0"/>
        </w:rPr>
        <w:tab/>
        <w:t>Noise or behaviour related to licensed premises, complaints about</w:t>
      </w:r>
      <w:bookmarkEnd w:id="545"/>
      <w:bookmarkEnd w:id="546"/>
    </w:p>
    <w:p>
      <w:pPr>
        <w:pStyle w:val="Subsection"/>
        <w:spacing w:before="180"/>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 or</w:t>
      </w:r>
    </w:p>
    <w:p>
      <w:pPr>
        <w:pStyle w:val="Indenti"/>
        <w:rPr>
          <w:snapToGrid w:val="0"/>
        </w:rPr>
      </w:pPr>
      <w:r>
        <w:rPr>
          <w:snapToGrid w:val="0"/>
        </w:rPr>
        <w:tab/>
        <w:t>(ii)</w:t>
      </w:r>
      <w:r>
        <w:rPr>
          <w:snapToGrid w:val="0"/>
        </w:rPr>
        <w:tab/>
        <w:t>noise emanating from the licensed premises; or</w:t>
      </w:r>
    </w:p>
    <w:p>
      <w:pPr>
        <w:pStyle w:val="Indenti"/>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 or</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 or</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 or</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Next/>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keepNext/>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 or</w:t>
      </w:r>
    </w:p>
    <w:p>
      <w:pPr>
        <w:pStyle w:val="Indenta"/>
        <w:spacing w:before="90"/>
        <w:rPr>
          <w:snapToGrid w:val="0"/>
        </w:rPr>
      </w:pPr>
      <w:r>
        <w:rPr>
          <w:snapToGrid w:val="0"/>
        </w:rPr>
        <w:tab/>
        <w:t>(b)</w:t>
      </w:r>
      <w:r>
        <w:rPr>
          <w:snapToGrid w:val="0"/>
        </w:rPr>
        <w:tab/>
        <w:t>redefine, or redesignate a part of, the licensed premises; or</w:t>
      </w:r>
    </w:p>
    <w:p>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keepNext/>
        <w:spacing w:before="24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117 amended by No. 14 of 1996 s. 4; No. 12 of 1998 s. 82; No. 73 of 2006 s. 85, 106 and 110; No. 56 of 2010 s. 69.] </w:t>
      </w:r>
    </w:p>
    <w:p>
      <w:pPr>
        <w:pStyle w:val="Heading3"/>
        <w:rPr>
          <w:snapToGrid w:val="0"/>
        </w:rPr>
      </w:pPr>
      <w:bookmarkStart w:id="547" w:name="_Toc377388977"/>
      <w:bookmarkStart w:id="548" w:name="_Toc406080188"/>
      <w:bookmarkStart w:id="549" w:name="_Toc416876175"/>
      <w:bookmarkStart w:id="550" w:name="_Toc416876529"/>
      <w:bookmarkStart w:id="551" w:name="_Toc417973211"/>
      <w:bookmarkStart w:id="552" w:name="_Toc423530617"/>
      <w:r>
        <w:rPr>
          <w:rStyle w:val="CharDivNo"/>
        </w:rPr>
        <w:t>Division 8</w:t>
      </w:r>
      <w:r>
        <w:rPr>
          <w:snapToGrid w:val="0"/>
        </w:rPr>
        <w:t> — </w:t>
      </w:r>
      <w:r>
        <w:rPr>
          <w:rStyle w:val="CharDivText"/>
        </w:rPr>
        <w:t>Liquor on unlicensed premises</w:t>
      </w:r>
      <w:bookmarkEnd w:id="547"/>
      <w:bookmarkEnd w:id="548"/>
      <w:bookmarkEnd w:id="549"/>
      <w:bookmarkEnd w:id="550"/>
      <w:bookmarkEnd w:id="551"/>
      <w:bookmarkEnd w:id="552"/>
      <w:r>
        <w:rPr>
          <w:rStyle w:val="CharDivText"/>
        </w:rPr>
        <w:t xml:space="preserve"> </w:t>
      </w:r>
    </w:p>
    <w:p>
      <w:pPr>
        <w:pStyle w:val="Heading5"/>
        <w:rPr>
          <w:snapToGrid w:val="0"/>
        </w:rPr>
      </w:pPr>
      <w:bookmarkStart w:id="553" w:name="_Toc406080189"/>
      <w:bookmarkStart w:id="554" w:name="_Toc423530618"/>
      <w:r>
        <w:rPr>
          <w:rStyle w:val="CharSectno"/>
        </w:rPr>
        <w:t>118</w:t>
      </w:r>
      <w:r>
        <w:rPr>
          <w:snapToGrid w:val="0"/>
        </w:rPr>
        <w:t>.</w:t>
      </w:r>
      <w:r>
        <w:rPr>
          <w:snapToGrid w:val="0"/>
        </w:rPr>
        <w:tab/>
        <w:t>Persons purporting to be a licensee</w:t>
      </w:r>
      <w:bookmarkEnd w:id="553"/>
      <w:bookmarkEnd w:id="554"/>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 or</w:t>
      </w:r>
    </w:p>
    <w:p>
      <w:pPr>
        <w:pStyle w:val="Indenta"/>
        <w:rPr>
          <w:snapToGrid w:val="0"/>
        </w:rPr>
      </w:pPr>
      <w:r>
        <w:rPr>
          <w:snapToGrid w:val="0"/>
        </w:rPr>
        <w:tab/>
        <w:t>(b)</w:t>
      </w:r>
      <w:r>
        <w:rPr>
          <w:snapToGrid w:val="0"/>
        </w:rPr>
        <w:tab/>
        <w:t>of which that person purports to be the licensee; or</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by No. 73 of 2006 s. 110; No. 56 of 2010 s. 69.]</w:t>
      </w:r>
    </w:p>
    <w:p>
      <w:pPr>
        <w:pStyle w:val="Heading5"/>
        <w:rPr>
          <w:snapToGrid w:val="0"/>
        </w:rPr>
      </w:pPr>
      <w:bookmarkStart w:id="555" w:name="_Toc406080190"/>
      <w:bookmarkStart w:id="556" w:name="_Toc423530619"/>
      <w:r>
        <w:rPr>
          <w:rStyle w:val="CharSectno"/>
        </w:rPr>
        <w:t>119</w:t>
      </w:r>
      <w:r>
        <w:rPr>
          <w:snapToGrid w:val="0"/>
        </w:rPr>
        <w:t>.</w:t>
      </w:r>
      <w:r>
        <w:rPr>
          <w:snapToGrid w:val="0"/>
        </w:rPr>
        <w:tab/>
        <w:t>Unlicensed premises etc., offences as to</w:t>
      </w:r>
      <w:bookmarkEnd w:id="555"/>
      <w:bookmarkEnd w:id="556"/>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 or</w:t>
      </w:r>
    </w:p>
    <w:p>
      <w:pPr>
        <w:pStyle w:val="Indenta"/>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 or</w:t>
      </w:r>
    </w:p>
    <w:p>
      <w:pPr>
        <w:pStyle w:val="Indenta"/>
        <w:rPr>
          <w:snapToGrid w:val="0"/>
        </w:rPr>
      </w:pPr>
      <w:r>
        <w:rPr>
          <w:snapToGrid w:val="0"/>
        </w:rPr>
        <w:tab/>
        <w:t>(b)</w:t>
      </w:r>
      <w:r>
        <w:rPr>
          <w:snapToGrid w:val="0"/>
        </w:rPr>
        <w:tab/>
        <w:t>liquor the possession and sale of which is authorised by a licence or permit under this Act; or</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20"/>
        <w:rPr>
          <w:snapToGrid w:val="0"/>
        </w:rPr>
      </w:pPr>
      <w:r>
        <w:rPr>
          <w:snapToGrid w:val="0"/>
        </w:rPr>
        <w:tab/>
        <w:t>(4)</w:t>
      </w:r>
      <w:r>
        <w:rPr>
          <w:snapToGrid w:val="0"/>
        </w:rPr>
        <w:tab/>
        <w:t xml:space="preserve">Except </w:t>
      </w:r>
      <w:r>
        <w:t>where exempted in regulations under section 6(1)(o) or</w:t>
      </w:r>
      <w:r>
        <w:rPr>
          <w:snapToGrid w:val="0"/>
        </w:rPr>
        <w:t xml:space="preserve"> where the supply of that liquor was authorised by a licence or permit under this Act and the place where the liquor is consumed is for the time being a place to which that licence or permit applies, a person who consumes liquor — </w:t>
      </w:r>
    </w:p>
    <w:p>
      <w:pPr>
        <w:pStyle w:val="Indenta"/>
      </w:pPr>
      <w:r>
        <w:tab/>
        <w:t>(a)</w:t>
      </w:r>
      <w:r>
        <w:tab/>
        <w:t xml:space="preserve">on a road as defined in the </w:t>
      </w:r>
      <w:r>
        <w:rPr>
          <w:i/>
          <w:iCs/>
        </w:rPr>
        <w:t>Road Traffic (Administration) Act 2008</w:t>
      </w:r>
      <w:r>
        <w:t xml:space="preserve"> section 4; or</w:t>
      </w:r>
    </w:p>
    <w:p>
      <w:pPr>
        <w:pStyle w:val="Indenta"/>
        <w:rPr>
          <w:snapToGrid w:val="0"/>
        </w:rPr>
      </w:pPr>
      <w:r>
        <w:rPr>
          <w:snapToGrid w:val="0"/>
        </w:rPr>
        <w:tab/>
        <w:t>(b)</w:t>
      </w:r>
      <w:r>
        <w:rPr>
          <w:snapToGrid w:val="0"/>
        </w:rPr>
        <w:tab/>
        <w:t>within 400 m of any public hall during the conduct of any entertainment in that hall to which the public is permitted to have access; or</w:t>
      </w:r>
    </w:p>
    <w:p>
      <w:pPr>
        <w:pStyle w:val="Indenta"/>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spacing w:before="120"/>
        <w:rPr>
          <w:snapToGrid w:val="0"/>
        </w:rPr>
      </w:pPr>
      <w:r>
        <w:rPr>
          <w:snapToGrid w:val="0"/>
        </w:rPr>
        <w:tab/>
      </w:r>
      <w:r>
        <w:rPr>
          <w:snapToGrid w:val="0"/>
        </w:rPr>
        <w:tab/>
        <w:t>commits an offence.</w:t>
      </w:r>
    </w:p>
    <w:p>
      <w:pPr>
        <w:pStyle w:val="Penstart"/>
        <w:spacing w:before="60"/>
        <w:rPr>
          <w:snapToGrid w:val="0"/>
        </w:rPr>
      </w:pPr>
      <w:r>
        <w:rPr>
          <w:snapToGrid w:val="0"/>
        </w:rPr>
        <w:tab/>
      </w:r>
      <w:r>
        <w:t>Penalty: a fine of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 xml:space="preserve">is the occupier of, </w:t>
      </w:r>
      <w:r>
        <w:t>a manager of, or</w:t>
      </w:r>
      <w:r>
        <w:rPr>
          <w:snapToGrid w:val="0"/>
        </w:rPr>
        <w:t xml:space="preserve"> a person who has the control of, any place or premises to which subsection (2) or (4)(c) applies; or</w:t>
      </w:r>
    </w:p>
    <w:p>
      <w:pPr>
        <w:pStyle w:val="Indenta"/>
      </w:pPr>
      <w:r>
        <w:tab/>
        <w:t>(ba)</w:t>
      </w:r>
      <w:r>
        <w:tab/>
        <w:t>is in charge of a vehicle on a road referred to in subsection (4)(a); or</w:t>
      </w:r>
    </w:p>
    <w:p>
      <w:pPr>
        <w:pStyle w:val="Indenta"/>
        <w:rPr>
          <w:snapToGrid w:val="0"/>
        </w:rPr>
      </w:pPr>
      <w:r>
        <w:rPr>
          <w:snapToGrid w:val="0"/>
        </w:rPr>
        <w:tab/>
        <w:t>(b)</w:t>
      </w:r>
      <w:r>
        <w:rPr>
          <w:snapToGrid w:val="0"/>
        </w:rPr>
        <w:tab/>
        <w:t xml:space="preserve">is employed by, or the agent of, </w:t>
      </w:r>
      <w:r>
        <w:t>a person referred to in paragraph (a) or (ba),</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 xml:space="preserve">Penalty: </w:t>
      </w:r>
      <w:r>
        <w:t>a fine of</w:t>
      </w:r>
      <w:r>
        <w:rPr>
          <w:snapToGrid w:val="0"/>
        </w:rPr>
        <w:t xml:space="preserve"> $2 000.</w:t>
      </w:r>
    </w:p>
    <w:p>
      <w:pPr>
        <w:pStyle w:val="Subsection"/>
        <w:keepNext/>
        <w:keepLines/>
        <w:rPr>
          <w:snapToGrid w:val="0"/>
        </w:rPr>
      </w:pPr>
      <w:r>
        <w:rPr>
          <w:snapToGrid w:val="0"/>
        </w:rPr>
        <w:tab/>
        <w:t>(12)</w:t>
      </w:r>
      <w:r>
        <w:rPr>
          <w:snapToGrid w:val="0"/>
        </w:rPr>
        <w:tab/>
        <w:t>It is a defence to a charge under subsection (11) if the accused proves that he or she — </w:t>
      </w:r>
    </w:p>
    <w:p>
      <w:pPr>
        <w:pStyle w:val="Indenta"/>
        <w:spacing w:before="60"/>
        <w:rPr>
          <w:snapToGrid w:val="0"/>
        </w:rPr>
      </w:pPr>
      <w:r>
        <w:rPr>
          <w:snapToGrid w:val="0"/>
        </w:rPr>
        <w:tab/>
        <w:t>(a)</w:t>
      </w:r>
      <w:r>
        <w:rPr>
          <w:snapToGrid w:val="0"/>
        </w:rPr>
        <w:tab/>
        <w:t>was present on the premises for a lawful purpose; and</w:t>
      </w:r>
    </w:p>
    <w:p>
      <w:pPr>
        <w:pStyle w:val="Indenta"/>
        <w:spacing w:before="60"/>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by No. 84 of 2004 s. 80 and 82; No. 73 of 2006 s. 86 and 110; No. 56 of 2010 s. 25, 60 and 69; No. 8 of 2012 s. 119.] </w:t>
      </w:r>
    </w:p>
    <w:p>
      <w:pPr>
        <w:pStyle w:val="Heading3"/>
      </w:pPr>
      <w:bookmarkStart w:id="557" w:name="_Toc377388980"/>
      <w:bookmarkStart w:id="558" w:name="_Toc406080191"/>
      <w:bookmarkStart w:id="559" w:name="_Toc416876178"/>
      <w:bookmarkStart w:id="560" w:name="_Toc416876532"/>
      <w:bookmarkStart w:id="561" w:name="_Toc417973214"/>
      <w:bookmarkStart w:id="562" w:name="_Toc423530620"/>
      <w:r>
        <w:rPr>
          <w:rStyle w:val="CharDivNo"/>
        </w:rPr>
        <w:t>Division 8A</w:t>
      </w:r>
      <w:r>
        <w:t> — </w:t>
      </w:r>
      <w:r>
        <w:rPr>
          <w:rStyle w:val="CharDivText"/>
        </w:rPr>
        <w:t>Conduct of unapproved businesses on or from licensed premises</w:t>
      </w:r>
      <w:bookmarkEnd w:id="557"/>
      <w:bookmarkEnd w:id="558"/>
      <w:bookmarkEnd w:id="559"/>
      <w:bookmarkEnd w:id="560"/>
      <w:bookmarkEnd w:id="561"/>
      <w:bookmarkEnd w:id="562"/>
    </w:p>
    <w:p>
      <w:pPr>
        <w:pStyle w:val="Footnoteheading"/>
      </w:pPr>
      <w:r>
        <w:tab/>
        <w:t>[Heading inserted by No. 73 of 2006 s. 87.]</w:t>
      </w:r>
    </w:p>
    <w:p>
      <w:pPr>
        <w:pStyle w:val="Heading5"/>
      </w:pPr>
      <w:bookmarkStart w:id="563" w:name="_Toc406080192"/>
      <w:bookmarkStart w:id="564" w:name="_Toc423530621"/>
      <w:r>
        <w:rPr>
          <w:rStyle w:val="CharSectno"/>
        </w:rPr>
        <w:t>119A</w:t>
      </w:r>
      <w:r>
        <w:t>.</w:t>
      </w:r>
      <w:r>
        <w:tab/>
        <w:t>Non-liquor businesses on licensed premises, conduct of requires approval</w:t>
      </w:r>
      <w:bookmarkEnd w:id="563"/>
      <w:bookmarkEnd w:id="564"/>
    </w:p>
    <w:p>
      <w:pPr>
        <w:pStyle w:val="Subsection"/>
      </w:pPr>
      <w:r>
        <w:tab/>
        <w:t>(1)</w:t>
      </w:r>
      <w:r>
        <w:tab/>
        <w:t>In this section —</w:t>
      </w:r>
    </w:p>
    <w:p>
      <w:pPr>
        <w:pStyle w:val="Defstart"/>
        <w:spacing w:before="160"/>
      </w:pPr>
      <w:r>
        <w:tab/>
      </w:r>
      <w:r>
        <w:rPr>
          <w:rStyle w:val="CharDefText"/>
        </w:rPr>
        <w:t>non</w:t>
      </w:r>
      <w:r>
        <w:rPr>
          <w:rStyle w:val="CharDefText"/>
        </w:rPr>
        <w:noBreakHyphen/>
        <w:t>liquor business on licensed premises</w:t>
      </w:r>
      <w:r>
        <w:t xml:space="preserve"> means a business, other than a business conducted under a licence or a prescribed business, conducted on or from licensed premises.</w:t>
      </w:r>
    </w:p>
    <w:p>
      <w:pPr>
        <w:pStyle w:val="Subsection"/>
      </w:pPr>
      <w:r>
        <w:tab/>
        <w:t>(2)</w:t>
      </w:r>
      <w:r>
        <w:tab/>
        <w:t>The licensing authority may, on an application by a person under subsection (3), give approval to the person to conduct a non</w:t>
      </w:r>
      <w:r>
        <w:noBreakHyphen/>
        <w:t>liquor business on licensed premises.</w:t>
      </w:r>
    </w:p>
    <w:p>
      <w:pPr>
        <w:pStyle w:val="Subsection"/>
      </w:pPr>
      <w:r>
        <w:tab/>
        <w:t>(3)</w:t>
      </w:r>
      <w:r>
        <w:tab/>
        <w:t xml:space="preserve">The application for the approval must — </w:t>
      </w:r>
    </w:p>
    <w:p>
      <w:pPr>
        <w:pStyle w:val="Indenta"/>
        <w:spacing w:before="60"/>
      </w:pPr>
      <w:r>
        <w:tab/>
        <w:t>(a)</w:t>
      </w:r>
      <w:r>
        <w:tab/>
        <w:t>be made in a form approved by the licensing authority; and</w:t>
      </w:r>
    </w:p>
    <w:p>
      <w:pPr>
        <w:pStyle w:val="Indenta"/>
        <w:spacing w:before="60"/>
      </w:pPr>
      <w:r>
        <w:tab/>
        <w:t>(b)</w:t>
      </w:r>
      <w:r>
        <w:tab/>
        <w:t>be accompanied by the prescribed fee; and</w:t>
      </w:r>
    </w:p>
    <w:p>
      <w:pPr>
        <w:pStyle w:val="Indenta"/>
        <w:spacing w:before="60"/>
      </w:pPr>
      <w:r>
        <w:tab/>
        <w:t>(c)</w:t>
      </w:r>
      <w:r>
        <w:tab/>
        <w:t>be supported by any further or other documentation or information that the licensing authority may require.</w:t>
      </w:r>
    </w:p>
    <w:p>
      <w:pPr>
        <w:pStyle w:val="Subsection"/>
      </w:pPr>
      <w:r>
        <w:tab/>
        <w:t>(4)</w:t>
      </w:r>
      <w:r>
        <w:tab/>
        <w:t>A person who conducts a non</w:t>
      </w:r>
      <w:r>
        <w:noBreakHyphen/>
        <w:t>liquor business on licensed premises without the approval commits an offence.</w:t>
      </w:r>
    </w:p>
    <w:p>
      <w:pPr>
        <w:pStyle w:val="Penstart"/>
      </w:pPr>
      <w:r>
        <w:tab/>
        <w:t xml:space="preserve">Penalty: </w:t>
      </w:r>
    </w:p>
    <w:p>
      <w:pPr>
        <w:pStyle w:val="Penpara"/>
        <w:spacing w:before="60"/>
      </w:pPr>
      <w:r>
        <w:tab/>
        <w:t>(a)</w:t>
      </w:r>
      <w:r>
        <w:tab/>
        <w:t>for the licensee, a fine of $10 000;</w:t>
      </w:r>
    </w:p>
    <w:p>
      <w:pPr>
        <w:pStyle w:val="Penpara"/>
        <w:spacing w:before="60"/>
      </w:pPr>
      <w:r>
        <w:tab/>
        <w:t>(b)</w:t>
      </w:r>
      <w:r>
        <w:tab/>
        <w:t>for anyone else, a fine of $4 000.</w:t>
      </w:r>
    </w:p>
    <w:p>
      <w:pPr>
        <w:pStyle w:val="Subsection"/>
      </w:pPr>
      <w:r>
        <w:tab/>
        <w:t>(5)</w:t>
      </w:r>
      <w:r>
        <w:tab/>
        <w:t>A licensee who causes or permits another person to conduct a non</w:t>
      </w:r>
      <w:r>
        <w:noBreakHyphen/>
        <w:t>liquor business on licensed premises without the approval commits an offence.</w:t>
      </w:r>
    </w:p>
    <w:p>
      <w:pPr>
        <w:pStyle w:val="Penstart"/>
      </w:pPr>
      <w:r>
        <w:tab/>
        <w:t>Penalty: a fine of $10 000.</w:t>
      </w:r>
    </w:p>
    <w:p>
      <w:pPr>
        <w:pStyle w:val="Footnotesection"/>
      </w:pPr>
      <w:r>
        <w:tab/>
        <w:t>[Section 119A inserted by No. 56 of 2010 s. 61.]</w:t>
      </w:r>
    </w:p>
    <w:p>
      <w:pPr>
        <w:pStyle w:val="Heading3"/>
        <w:keepLines/>
        <w:rPr>
          <w:snapToGrid w:val="0"/>
        </w:rPr>
      </w:pPr>
      <w:bookmarkStart w:id="565" w:name="_Toc377388982"/>
      <w:bookmarkStart w:id="566" w:name="_Toc406080193"/>
      <w:bookmarkStart w:id="567" w:name="_Toc416876180"/>
      <w:bookmarkStart w:id="568" w:name="_Toc416876534"/>
      <w:bookmarkStart w:id="569" w:name="_Toc417973216"/>
      <w:bookmarkStart w:id="570" w:name="_Toc423530622"/>
      <w:r>
        <w:rPr>
          <w:rStyle w:val="CharDivNo"/>
        </w:rPr>
        <w:t>Division 9</w:t>
      </w:r>
      <w:r>
        <w:rPr>
          <w:snapToGrid w:val="0"/>
        </w:rPr>
        <w:t> — </w:t>
      </w:r>
      <w:r>
        <w:rPr>
          <w:rStyle w:val="CharDivText"/>
        </w:rPr>
        <w:t>Juveniles</w:t>
      </w:r>
      <w:bookmarkEnd w:id="565"/>
      <w:bookmarkEnd w:id="566"/>
      <w:bookmarkEnd w:id="567"/>
      <w:bookmarkEnd w:id="568"/>
      <w:bookmarkEnd w:id="569"/>
      <w:bookmarkEnd w:id="570"/>
      <w:r>
        <w:rPr>
          <w:rStyle w:val="CharDivText"/>
        </w:rPr>
        <w:t xml:space="preserve"> </w:t>
      </w:r>
    </w:p>
    <w:p>
      <w:pPr>
        <w:pStyle w:val="Heading5"/>
        <w:rPr>
          <w:snapToGrid w:val="0"/>
        </w:rPr>
      </w:pPr>
      <w:bookmarkStart w:id="571" w:name="_Toc406080194"/>
      <w:bookmarkStart w:id="572" w:name="_Toc423530623"/>
      <w:r>
        <w:rPr>
          <w:rStyle w:val="CharSectno"/>
        </w:rPr>
        <w:t>120</w:t>
      </w:r>
      <w:r>
        <w:rPr>
          <w:snapToGrid w:val="0"/>
        </w:rPr>
        <w:t>.</w:t>
      </w:r>
      <w:r>
        <w:rPr>
          <w:snapToGrid w:val="0"/>
        </w:rPr>
        <w:tab/>
        <w:t>When juveniles permitted on licensed premises</w:t>
      </w:r>
      <w:bookmarkEnd w:id="571"/>
      <w:bookmarkEnd w:id="572"/>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 and</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 xml:space="preserve">a member of the family of </w:t>
      </w:r>
      <w:r>
        <w:t>the licensee or occupier or a manager of</w:t>
      </w:r>
      <w:r>
        <w:rPr>
          <w:snapToGrid w:val="0"/>
        </w:rPr>
        <w:t xml:space="preserve">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 or</w:t>
      </w:r>
    </w:p>
    <w:p>
      <w:pPr>
        <w:pStyle w:val="Indenti"/>
        <w:keepNext/>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 or</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 or</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Footnotesection"/>
      </w:pPr>
      <w:r>
        <w:tab/>
        <w:t xml:space="preserve">[Section 120 amended by No. 56 of 2010 s. 25.] </w:t>
      </w:r>
    </w:p>
    <w:p>
      <w:pPr>
        <w:pStyle w:val="Heading5"/>
        <w:rPr>
          <w:snapToGrid w:val="0"/>
        </w:rPr>
      </w:pPr>
      <w:bookmarkStart w:id="573" w:name="_Toc406080195"/>
      <w:bookmarkStart w:id="574" w:name="_Toc423530624"/>
      <w:r>
        <w:rPr>
          <w:rStyle w:val="CharSectno"/>
        </w:rPr>
        <w:t>121</w:t>
      </w:r>
      <w:r>
        <w:rPr>
          <w:snapToGrid w:val="0"/>
        </w:rPr>
        <w:t>.</w:t>
      </w:r>
      <w:r>
        <w:rPr>
          <w:snapToGrid w:val="0"/>
        </w:rPr>
        <w:tab/>
        <w:t>Licensed premises, offences as to juveniles</w:t>
      </w:r>
      <w:bookmarkEnd w:id="573"/>
      <w:bookmarkEnd w:id="574"/>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 and</w:t>
      </w:r>
    </w:p>
    <w:p>
      <w:pPr>
        <w:pStyle w:val="Indenta"/>
      </w:pPr>
      <w:r>
        <w:tab/>
        <w:t>(b)</w:t>
      </w:r>
      <w:r>
        <w:tab/>
        <w:t>any manager who is supervising and managing the licensed premises at the time the liquor is sold or supplied; and</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the sale or supply by any other person, a fine of $4 000;</w:t>
      </w:r>
    </w:p>
    <w:p>
      <w:pPr>
        <w:pStyle w:val="Penpara"/>
      </w:pPr>
      <w:r>
        <w:tab/>
        <w:t>(c)</w:t>
      </w:r>
      <w:r>
        <w:tab/>
        <w:t>for anyone else, a fine of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anyone else, a fine of $4 000.</w:t>
      </w:r>
    </w:p>
    <w:p>
      <w:pPr>
        <w:pStyle w:val="Subsection"/>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 xml:space="preserve">Penalty: </w:t>
      </w:r>
      <w:r>
        <w:t>a fine of</w:t>
      </w:r>
      <w:r>
        <w:rPr>
          <w:snapToGrid w:val="0"/>
        </w:rPr>
        <w:t xml:space="preserve"> $2 000.</w:t>
      </w:r>
    </w:p>
    <w:p>
      <w:pPr>
        <w:pStyle w:val="Subsection"/>
        <w:keepNext/>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 and</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juvenile, a fine of $2 000.</w:t>
      </w:r>
    </w:p>
    <w:p>
      <w:pPr>
        <w:pStyle w:val="Subsection"/>
        <w:rPr>
          <w:snapToGrid w:val="0"/>
        </w:rPr>
      </w:pPr>
      <w:r>
        <w:rPr>
          <w:snapToGrid w:val="0"/>
        </w:rPr>
        <w:tab/>
        <w:t>(5)</w:t>
      </w:r>
      <w:r>
        <w:rPr>
          <w:snapToGrid w:val="0"/>
        </w:rPr>
        <w:tab/>
        <w:t>Subsection (4) does not apply — </w:t>
      </w:r>
    </w:p>
    <w:p>
      <w:pPr>
        <w:pStyle w:val="Indenta"/>
        <w:rPr>
          <w:snapToGrid w:val="0"/>
        </w:rPr>
      </w:pPr>
      <w:r>
        <w:rPr>
          <w:snapToGrid w:val="0"/>
        </w:rPr>
        <w:tab/>
        <w:t>(a)</w:t>
      </w:r>
      <w:r>
        <w:rPr>
          <w:snapToGrid w:val="0"/>
        </w:rPr>
        <w:tab/>
        <w:t>to a juvenile who is — </w:t>
      </w:r>
    </w:p>
    <w:p>
      <w:pPr>
        <w:pStyle w:val="Indenti"/>
        <w:rPr>
          <w:snapToGrid w:val="0"/>
        </w:rPr>
      </w:pPr>
      <w:r>
        <w:rPr>
          <w:snapToGrid w:val="0"/>
        </w:rPr>
        <w:tab/>
        <w:t>(i)</w:t>
      </w:r>
      <w:r>
        <w:rPr>
          <w:snapToGrid w:val="0"/>
        </w:rPr>
        <w:tab/>
        <w:t>accompanied by, and under the supervision of, a responsible adult; or</w:t>
      </w:r>
    </w:p>
    <w:p>
      <w:pPr>
        <w:pStyle w:val="Indenti"/>
        <w:rPr>
          <w:snapToGrid w:val="0"/>
        </w:rPr>
      </w:pPr>
      <w:r>
        <w:rPr>
          <w:snapToGrid w:val="0"/>
        </w:rPr>
        <w:tab/>
        <w:t>(ii)</w:t>
      </w:r>
      <w:r>
        <w:rPr>
          <w:snapToGrid w:val="0"/>
        </w:rPr>
        <w:tab/>
        <w:t>on the premises for the purpose of obtaining a meal;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to the presence on a part of the licensed premises of a juvenile at a time at which — </w:t>
      </w:r>
    </w:p>
    <w:p>
      <w:pPr>
        <w:pStyle w:val="Indenti"/>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rPr>
          <w:snapToGrid w:val="0"/>
        </w:rPr>
      </w:pPr>
      <w:r>
        <w:rPr>
          <w:snapToGrid w:val="0"/>
        </w:rPr>
        <w:tab/>
        <w:t>(ii)</w:t>
      </w:r>
      <w:r>
        <w:rPr>
          <w:snapToGrid w:val="0"/>
        </w:rPr>
        <w:tab/>
        <w:t>liquor is not sold, supplied or consumed there;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to a juvenile engaged in a training course approved by the Director, when so present in accordance with the requirements of that course; or</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keepLines/>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keepNext/>
      </w:pPr>
      <w:r>
        <w:tab/>
        <w:t>(b)</w:t>
      </w:r>
      <w:r>
        <w:tab/>
        <w:t xml:space="preserve">remains — </w:t>
      </w:r>
    </w:p>
    <w:p>
      <w:pPr>
        <w:pStyle w:val="Indenti"/>
      </w:pPr>
      <w:r>
        <w:tab/>
        <w:t>(i)</w:t>
      </w:r>
      <w:r>
        <w:tab/>
        <w:t>on any footpath; or</w:t>
      </w:r>
    </w:p>
    <w:p>
      <w:pPr>
        <w:pStyle w:val="Indenti"/>
        <w:keepNext/>
        <w:keepLines/>
      </w:pPr>
      <w:r>
        <w:tab/>
        <w:t>(ii)</w:t>
      </w:r>
      <w:r>
        <w:tab/>
        <w:t>in any area subject to the control or management of the licensee,</w:t>
      </w:r>
    </w:p>
    <w:p>
      <w:pPr>
        <w:pStyle w:val="Indenta"/>
        <w:keepLines/>
      </w:pPr>
      <w:r>
        <w:tab/>
      </w:r>
      <w:r>
        <w:tab/>
        <w:t>that is adjacent to the licensed premises,</w:t>
      </w:r>
    </w:p>
    <w:p>
      <w:pPr>
        <w:pStyle w:val="Subsection"/>
        <w:keepLines/>
      </w:pPr>
      <w:r>
        <w:tab/>
      </w:r>
      <w:r>
        <w:tab/>
        <w:t>commits an offence.</w:t>
      </w:r>
    </w:p>
    <w:p>
      <w:pPr>
        <w:pStyle w:val="Penstart"/>
      </w:pPr>
      <w:r>
        <w:tab/>
        <w:t>Penalty: a fine of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pPr>
      <w:r>
        <w:tab/>
        <w:t>(c)</w:t>
      </w:r>
      <w:r>
        <w:tab/>
        <w:t>the work carried out by the juvenile is supervised at all times; and</w:t>
      </w:r>
    </w:p>
    <w:p>
      <w:pPr>
        <w:pStyle w:val="Indenta"/>
      </w:pPr>
      <w:r>
        <w:tab/>
        <w:t>(d)</w:t>
      </w:r>
      <w:r>
        <w:tab/>
        <w:t>either —</w:t>
      </w:r>
    </w:p>
    <w:p>
      <w:pPr>
        <w:pStyle w:val="Indenti"/>
      </w:pPr>
      <w:r>
        <w:tab/>
        <w:t>(i)</w:t>
      </w:r>
      <w:r>
        <w:tab/>
        <w:t>the work carried out by the juvenile will be assessed for the purposes of a prescribed training course being undertaken by the juvenile; or</w:t>
      </w:r>
    </w:p>
    <w:p>
      <w:pPr>
        <w:pStyle w:val="Indenti"/>
      </w:pPr>
      <w:r>
        <w:tab/>
        <w:t>(ii)</w:t>
      </w:r>
      <w:r>
        <w:tab/>
        <w:t>the juvenile has successfully completed a prescribed training course the assessment for which included an assessment of the juvenile’s work while employed or engaged to serve liquor ancillary to a meal.</w:t>
      </w:r>
    </w:p>
    <w:p>
      <w:pPr>
        <w:pStyle w:val="Subsection"/>
      </w:pPr>
      <w:r>
        <w:tab/>
        <w:t>(12)</w:t>
      </w:r>
      <w:r>
        <w:tab/>
        <w:t>This section does not limit any other right to refuse a person entry to premises or to remove a person from premises.</w:t>
      </w:r>
    </w:p>
    <w:p>
      <w:pPr>
        <w:pStyle w:val="Footnotesection"/>
      </w:pPr>
      <w:r>
        <w:tab/>
        <w:t xml:space="preserve">[Section 121 amended by No. 12 of 1998 s. 83; No. 73 of 2006 s. 88, 109, 110 and 111(9); No. 56 of 2010 s. 19, 62 and 69.] </w:t>
      </w:r>
    </w:p>
    <w:p>
      <w:pPr>
        <w:pStyle w:val="Heading5"/>
        <w:rPr>
          <w:snapToGrid w:val="0"/>
        </w:rPr>
      </w:pPr>
      <w:bookmarkStart w:id="575" w:name="_Toc406080196"/>
      <w:bookmarkStart w:id="576" w:name="_Toc423530625"/>
      <w:r>
        <w:rPr>
          <w:rStyle w:val="CharSectno"/>
        </w:rPr>
        <w:t>122</w:t>
      </w:r>
      <w:r>
        <w:rPr>
          <w:snapToGrid w:val="0"/>
        </w:rPr>
        <w:t>.</w:t>
      </w:r>
      <w:r>
        <w:rPr>
          <w:snapToGrid w:val="0"/>
        </w:rPr>
        <w:tab/>
        <w:t>Regulated premises, offences as to juveniles</w:t>
      </w:r>
      <w:bookmarkEnd w:id="575"/>
      <w:bookmarkEnd w:id="576"/>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place to which a permit applies, or other premises on which liquor may lawfully be supplied; and</w:t>
      </w:r>
    </w:p>
    <w:p>
      <w:pPr>
        <w:pStyle w:val="Indenta"/>
        <w:keepLines/>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 or</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 and</w:t>
      </w:r>
    </w:p>
    <w:p>
      <w:pPr>
        <w:pStyle w:val="Indenta"/>
        <w:rPr>
          <w:snapToGrid w:val="0"/>
        </w:rPr>
      </w:pPr>
      <w:r>
        <w:rPr>
          <w:snapToGrid w:val="0"/>
        </w:rPr>
        <w:tab/>
        <w:t>(e)</w:t>
      </w:r>
      <w:r>
        <w:rPr>
          <w:snapToGrid w:val="0"/>
        </w:rPr>
        <w:tab/>
        <w:t>any premises occupied by a club in respect of which a licence is not in force; and</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pPr>
      <w:r>
        <w:tab/>
        <w:t>(2)</w:t>
      </w:r>
      <w:r>
        <w:tab/>
        <w:t xml:space="preserve">Subject to this Act, a person who — </w:t>
      </w:r>
    </w:p>
    <w:p>
      <w:pPr>
        <w:pStyle w:val="Indenta"/>
      </w:pPr>
      <w:r>
        <w:tab/>
        <w:t>(a)</w:t>
      </w:r>
      <w:r>
        <w:tab/>
        <w:t>sells or supplies, or permits the sale or supply of, liquor to; or</w:t>
      </w:r>
    </w:p>
    <w:p>
      <w:pPr>
        <w:pStyle w:val="Indenta"/>
      </w:pPr>
      <w:r>
        <w:tab/>
        <w:t>(b)</w:t>
      </w:r>
      <w:r>
        <w:tab/>
        <w:t>permits the consumption or possession of liquor by,</w:t>
      </w:r>
    </w:p>
    <w:p>
      <w:pPr>
        <w:pStyle w:val="Subsection"/>
      </w:pPr>
      <w:r>
        <w:tab/>
      </w:r>
      <w:r>
        <w:tab/>
        <w:t>a juvenile on regulated premises commits an offence.</w:t>
      </w:r>
    </w:p>
    <w:p>
      <w:pPr>
        <w:pStyle w:val="Penstart"/>
      </w:pPr>
      <w:r>
        <w:tab/>
        <w:t>Penalty: a fine of $10 000.</w:t>
      </w:r>
    </w:p>
    <w:p>
      <w:pPr>
        <w:pStyle w:val="Subsection"/>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pPr>
      <w:r>
        <w:tab/>
        <w:t xml:space="preserve">Penalty: </w:t>
      </w:r>
    </w:p>
    <w:p>
      <w:pPr>
        <w:pStyle w:val="Penpara"/>
      </w:pPr>
      <w:r>
        <w:tab/>
        <w:t>(a)</w:t>
      </w:r>
      <w:r>
        <w:tab/>
        <w:t>for a juvenile, a fine of $2 000;</w:t>
      </w:r>
    </w:p>
    <w:p>
      <w:pPr>
        <w:pStyle w:val="Penpara"/>
      </w:pPr>
      <w:r>
        <w:tab/>
        <w:t>(b)</w:t>
      </w:r>
      <w:r>
        <w:tab/>
        <w:t>for anyone else, a fine of $4 000.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pPr>
      <w:r>
        <w:tab/>
        <w:t xml:space="preserve">[Section 122 amended by No. 12 of 1998 s. 35(5); No. 73 of 2006 s. 89 and 110; No. 56 of 2010 s. 63 and 69.] </w:t>
      </w:r>
    </w:p>
    <w:p>
      <w:pPr>
        <w:pStyle w:val="Heading5"/>
        <w:rPr>
          <w:snapToGrid w:val="0"/>
        </w:rPr>
      </w:pPr>
      <w:bookmarkStart w:id="577" w:name="_Toc406080197"/>
      <w:bookmarkStart w:id="578" w:name="_Toc423530626"/>
      <w:r>
        <w:rPr>
          <w:rStyle w:val="CharSectno"/>
        </w:rPr>
        <w:t>123</w:t>
      </w:r>
      <w:r>
        <w:rPr>
          <w:snapToGrid w:val="0"/>
        </w:rPr>
        <w:t>.</w:t>
      </w:r>
      <w:r>
        <w:rPr>
          <w:snapToGrid w:val="0"/>
        </w:rPr>
        <w:tab/>
        <w:t>Possession etc. of liquor, offences by juveniles</w:t>
      </w:r>
      <w:bookmarkEnd w:id="577"/>
      <w:bookmarkEnd w:id="578"/>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 or</w:t>
      </w:r>
    </w:p>
    <w:p>
      <w:pPr>
        <w:pStyle w:val="Indenta"/>
        <w:rPr>
          <w:snapToGrid w:val="0"/>
        </w:rPr>
      </w:pPr>
      <w:r>
        <w:rPr>
          <w:snapToGrid w:val="0"/>
        </w:rPr>
        <w:tab/>
        <w:t>(b)</w:t>
      </w:r>
      <w:r>
        <w:rPr>
          <w:snapToGrid w:val="0"/>
        </w:rPr>
        <w:tab/>
        <w:t>brings liquor on to licensed or regulated premises; or</w:t>
      </w:r>
    </w:p>
    <w:p>
      <w:pPr>
        <w:pStyle w:val="Indenta"/>
        <w:rPr>
          <w:snapToGrid w:val="0"/>
        </w:rPr>
      </w:pPr>
      <w:r>
        <w:rPr>
          <w:snapToGrid w:val="0"/>
        </w:rPr>
        <w:tab/>
        <w:t>(c)</w:t>
      </w:r>
      <w:r>
        <w:rPr>
          <w:snapToGrid w:val="0"/>
        </w:rPr>
        <w:tab/>
        <w:t>consumes liquor on licensed or regulated premises,</w:t>
      </w:r>
    </w:p>
    <w:p>
      <w:pPr>
        <w:pStyle w:val="Subsection"/>
        <w:rPr>
          <w:snapToGrid w:val="0"/>
        </w:rPr>
      </w:pPr>
      <w:r>
        <w:rPr>
          <w:snapToGrid w:val="0"/>
        </w:rPr>
        <w:tab/>
      </w:r>
      <w:r>
        <w:rPr>
          <w:snapToGrid w:val="0"/>
        </w:rPr>
        <w:tab/>
        <w:t>the juvenile commits an offence.</w:t>
      </w:r>
    </w:p>
    <w:p>
      <w:pPr>
        <w:pStyle w:val="Penstart"/>
        <w:rPr>
          <w:snapToGrid w:val="0"/>
        </w:rPr>
      </w:pPr>
      <w:r>
        <w:rPr>
          <w:snapToGrid w:val="0"/>
        </w:rPr>
        <w:tab/>
        <w:t xml:space="preserve">Penalty: </w:t>
      </w:r>
      <w:r>
        <w:t>a fine of</w:t>
      </w:r>
      <w:r>
        <w:rPr>
          <w:snapToGrid w:val="0"/>
        </w:rPr>
        <w:t xml:space="preserve"> $2 000.</w:t>
      </w:r>
    </w:p>
    <w:p>
      <w:pPr>
        <w:pStyle w:val="Subsection"/>
      </w:pPr>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spacing w:before="120"/>
      </w:pPr>
      <w:r>
        <w:tab/>
        <w:t>Penalty: a fine of $2 000.</w:t>
      </w:r>
    </w:p>
    <w:p>
      <w:pPr>
        <w:pStyle w:val="Footnotesection"/>
      </w:pPr>
      <w:r>
        <w:tab/>
        <w:t>[Section 123 amended by No. 73 of 2006 s. 90 and 110; No. 56 of 2010 s. 69.]</w:t>
      </w:r>
    </w:p>
    <w:p>
      <w:pPr>
        <w:pStyle w:val="Heading5"/>
        <w:spacing w:before="240"/>
        <w:rPr>
          <w:snapToGrid w:val="0"/>
        </w:rPr>
      </w:pPr>
      <w:bookmarkStart w:id="579" w:name="_Toc406080198"/>
      <w:bookmarkStart w:id="580" w:name="_Toc423530627"/>
      <w:r>
        <w:rPr>
          <w:rStyle w:val="CharSectno"/>
        </w:rPr>
        <w:t>124</w:t>
      </w:r>
      <w:r>
        <w:rPr>
          <w:snapToGrid w:val="0"/>
        </w:rPr>
        <w:t>.</w:t>
      </w:r>
      <w:r>
        <w:rPr>
          <w:snapToGrid w:val="0"/>
        </w:rPr>
        <w:tab/>
        <w:t>Sending juveniles to obtain liquor, offence</w:t>
      </w:r>
      <w:bookmarkEnd w:id="579"/>
      <w:bookmarkEnd w:id="580"/>
    </w:p>
    <w:p>
      <w:pPr>
        <w:pStyle w:val="Subsection"/>
        <w:keepNext/>
        <w:keepLines/>
        <w:spacing w:before="180"/>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Footnotesection"/>
      </w:pPr>
      <w:r>
        <w:tab/>
        <w:t>[Section 124 amended by No. 73 of 2006 s. 110; No. 56 of 2010 s. 69.]</w:t>
      </w:r>
    </w:p>
    <w:p>
      <w:pPr>
        <w:pStyle w:val="Heading5"/>
        <w:spacing w:before="240"/>
        <w:rPr>
          <w:snapToGrid w:val="0"/>
        </w:rPr>
      </w:pPr>
      <w:bookmarkStart w:id="581" w:name="_Toc406080199"/>
      <w:bookmarkStart w:id="582" w:name="_Toc423530628"/>
      <w:r>
        <w:rPr>
          <w:rStyle w:val="CharSectno"/>
        </w:rPr>
        <w:t>125</w:t>
      </w:r>
      <w:r>
        <w:rPr>
          <w:snapToGrid w:val="0"/>
        </w:rPr>
        <w:t>.</w:t>
      </w:r>
      <w:r>
        <w:rPr>
          <w:snapToGrid w:val="0"/>
        </w:rPr>
        <w:tab/>
        <w:t>Defences to offences under this Division</w:t>
      </w:r>
      <w:bookmarkEnd w:id="581"/>
      <w:bookmarkEnd w:id="582"/>
    </w:p>
    <w:p>
      <w:pPr>
        <w:pStyle w:val="Subsection"/>
        <w:spacing w:before="180"/>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spacing w:before="100"/>
        <w:rPr>
          <w:snapToGrid w:val="0"/>
        </w:rPr>
      </w:pPr>
      <w:r>
        <w:rPr>
          <w:snapToGrid w:val="0"/>
        </w:rPr>
        <w:tab/>
        <w:t>(a)</w:t>
      </w:r>
      <w:r>
        <w:rPr>
          <w:snapToGrid w:val="0"/>
        </w:rPr>
        <w:tab/>
        <w:t>that the juvenile to whom liquor was sold or supplied is —</w:t>
      </w:r>
    </w:p>
    <w:p>
      <w:pPr>
        <w:pStyle w:val="Indenti"/>
        <w:spacing w:before="100"/>
        <w:rPr>
          <w:snapToGrid w:val="0"/>
        </w:rPr>
      </w:pPr>
      <w:r>
        <w:rPr>
          <w:snapToGrid w:val="0"/>
        </w:rPr>
        <w:tab/>
        <w:t>(i)</w:t>
      </w:r>
      <w:r>
        <w:rPr>
          <w:snapToGrid w:val="0"/>
        </w:rPr>
        <w:tab/>
        <w:t xml:space="preserve">a member of the family of the </w:t>
      </w:r>
      <w:r>
        <w:t>licensee or occupier or a manager</w:t>
      </w:r>
      <w:r>
        <w:rPr>
          <w:snapToGrid w:val="0"/>
        </w:rPr>
        <w:t xml:space="preserve"> of, or of a person employed on, the regulated premises and resides there, and that the supply was gratuitous; or</w:t>
      </w:r>
    </w:p>
    <w:p>
      <w:pPr>
        <w:pStyle w:val="Indenti"/>
        <w:spacing w:before="100"/>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spacing w:before="100"/>
        <w:rPr>
          <w:snapToGrid w:val="0"/>
        </w:rPr>
      </w:pPr>
      <w:r>
        <w:rPr>
          <w:snapToGrid w:val="0"/>
        </w:rPr>
        <w:tab/>
      </w:r>
      <w:r>
        <w:rPr>
          <w:snapToGrid w:val="0"/>
        </w:rPr>
        <w:tab/>
        <w:t>or</w:t>
      </w:r>
    </w:p>
    <w:p>
      <w:pPr>
        <w:pStyle w:val="Indenta"/>
        <w:keepNext/>
        <w:spacing w:before="100"/>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where the offence is alleged to have occurred on regulated premises, if the accused is the </w:t>
      </w:r>
      <w:r>
        <w:t>licensee or occupier or a manager</w:t>
      </w:r>
      <w:r>
        <w:rPr>
          <w:snapToGrid w:val="0"/>
        </w:rPr>
        <w:t xml:space="preserve">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pPr>
      <w:r>
        <w:tab/>
        <w:t>(3)</w:t>
      </w:r>
      <w:r>
        <w:tab/>
        <w:t xml:space="preserve">In this </w:t>
      </w:r>
      <w:r>
        <w:rPr>
          <w:snapToGrid w:val="0"/>
        </w:rPr>
        <w:t>section</w:t>
      </w:r>
      <w:r>
        <w:t xml:space="preserve"> — </w:t>
      </w:r>
    </w:p>
    <w:p>
      <w:pPr>
        <w:pStyle w:val="Defstart"/>
      </w:pPr>
      <w:r>
        <w:tab/>
      </w:r>
      <w:r>
        <w:rPr>
          <w:rStyle w:val="CharDefText"/>
        </w:rPr>
        <w:t>member of the family</w:t>
      </w:r>
      <w:r>
        <w:t>, in relation to a person, includes a de facto partner of the person.</w:t>
      </w:r>
    </w:p>
    <w:p>
      <w:pPr>
        <w:pStyle w:val="Footnotesection"/>
        <w:ind w:left="890" w:hanging="890"/>
      </w:pPr>
      <w:r>
        <w:tab/>
        <w:t xml:space="preserve">[Section 125 amended by No. 12 of 1998 s. 84; No. 28 of 2003 s. 106; No. 84 of 2004 s. 80 and 82; No. 56 of 2010 s. 25.] </w:t>
      </w:r>
    </w:p>
    <w:p>
      <w:pPr>
        <w:pStyle w:val="Heading5"/>
        <w:keepNext w:val="0"/>
        <w:keepLines w:val="0"/>
        <w:rPr>
          <w:snapToGrid w:val="0"/>
        </w:rPr>
      </w:pPr>
      <w:bookmarkStart w:id="583" w:name="_Toc406080200"/>
      <w:bookmarkStart w:id="584" w:name="_Toc423530629"/>
      <w:r>
        <w:rPr>
          <w:rStyle w:val="CharSectno"/>
        </w:rPr>
        <w:t>126</w:t>
      </w:r>
      <w:r>
        <w:rPr>
          <w:snapToGrid w:val="0"/>
        </w:rPr>
        <w:t>.</w:t>
      </w:r>
      <w:r>
        <w:rPr>
          <w:snapToGrid w:val="0"/>
        </w:rPr>
        <w:tab/>
        <w:t>Suspected juveniles, authorised persons’ powers as to, offences by</w:t>
      </w:r>
      <w:bookmarkEnd w:id="583"/>
      <w:bookmarkEnd w:id="584"/>
    </w:p>
    <w:p>
      <w:pPr>
        <w:pStyle w:val="Subsection"/>
        <w:spacing w:before="200"/>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spacing w:before="100"/>
        <w:rPr>
          <w:snapToGrid w:val="0"/>
        </w:rPr>
      </w:pPr>
      <w:r>
        <w:rPr>
          <w:snapToGrid w:val="0"/>
        </w:rPr>
        <w:tab/>
        <w:t>(a)</w:t>
      </w:r>
      <w:r>
        <w:rPr>
          <w:snapToGrid w:val="0"/>
        </w:rPr>
        <w:tab/>
        <w:t>may require the juvenile or suspected juvenile to state his or her age; and</w:t>
      </w:r>
    </w:p>
    <w:p>
      <w:pPr>
        <w:pStyle w:val="Indenta"/>
        <w:spacing w:before="100"/>
        <w:rPr>
          <w:snapToGrid w:val="0"/>
        </w:rPr>
      </w:pPr>
      <w:r>
        <w:rPr>
          <w:snapToGrid w:val="0"/>
        </w:rPr>
        <w:tab/>
        <w:t>(b)</w:t>
      </w:r>
      <w:r>
        <w:rPr>
          <w:snapToGrid w:val="0"/>
        </w:rPr>
        <w:tab/>
        <w:t>if the age stated is false, or appears to be false — </w:t>
      </w:r>
    </w:p>
    <w:p>
      <w:pPr>
        <w:pStyle w:val="Indenti"/>
        <w:spacing w:before="100"/>
        <w:rPr>
          <w:snapToGrid w:val="0"/>
        </w:rPr>
      </w:pPr>
      <w:r>
        <w:rPr>
          <w:snapToGrid w:val="0"/>
        </w:rPr>
        <w:tab/>
        <w:t>(i)</w:t>
      </w:r>
      <w:r>
        <w:rPr>
          <w:snapToGrid w:val="0"/>
        </w:rPr>
        <w:tab/>
        <w:t>may require the juvenile or suspected juvenile to produce as evidence of that age — </w:t>
      </w:r>
    </w:p>
    <w:p>
      <w:pPr>
        <w:pStyle w:val="IndentI0"/>
        <w:spacing w:before="100"/>
        <w:rPr>
          <w:snapToGrid w:val="0"/>
        </w:rPr>
      </w:pPr>
      <w:r>
        <w:rPr>
          <w:snapToGrid w:val="0"/>
        </w:rPr>
        <w:tab/>
        <w:t>(I)</w:t>
      </w:r>
      <w:r>
        <w:rPr>
          <w:snapToGrid w:val="0"/>
        </w:rPr>
        <w:tab/>
        <w:t>a current Australian driver’s licence with a photograph; or</w:t>
      </w:r>
    </w:p>
    <w:p>
      <w:pPr>
        <w:pStyle w:val="IndentI0"/>
        <w:spacing w:before="100"/>
        <w:rPr>
          <w:snapToGrid w:val="0"/>
        </w:rPr>
      </w:pPr>
      <w:r>
        <w:rPr>
          <w:snapToGrid w:val="0"/>
        </w:rPr>
        <w:tab/>
        <w:t>(II)</w:t>
      </w:r>
      <w:r>
        <w:rPr>
          <w:snapToGrid w:val="0"/>
        </w:rPr>
        <w:tab/>
        <w:t>a current passport; or</w:t>
      </w:r>
    </w:p>
    <w:p>
      <w:pPr>
        <w:pStyle w:val="IndentI0"/>
        <w:spacing w:before="100"/>
        <w:rPr>
          <w:snapToGrid w:val="0"/>
        </w:rPr>
      </w:pPr>
      <w:r>
        <w:rPr>
          <w:snapToGrid w:val="0"/>
        </w:rPr>
        <w:tab/>
        <w:t>(III)</w:t>
      </w:r>
      <w:r>
        <w:rPr>
          <w:snapToGrid w:val="0"/>
        </w:rPr>
        <w:tab/>
        <w:t xml:space="preserve">another prescribed document; </w:t>
      </w:r>
    </w:p>
    <w:p>
      <w:pPr>
        <w:pStyle w:val="Indenti"/>
        <w:spacing w:before="100"/>
        <w:rPr>
          <w:snapToGrid w:val="0"/>
        </w:rPr>
      </w:pPr>
      <w:r>
        <w:rPr>
          <w:snapToGrid w:val="0"/>
        </w:rPr>
        <w:tab/>
      </w:r>
      <w:r>
        <w:rPr>
          <w:snapToGrid w:val="0"/>
        </w:rPr>
        <w:tab/>
        <w:t>and</w:t>
      </w:r>
    </w:p>
    <w:p>
      <w:pPr>
        <w:pStyle w:val="Indenti"/>
        <w:spacing w:before="100"/>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spacing w:before="200"/>
        <w:rPr>
          <w:snapToGrid w:val="0"/>
        </w:rPr>
      </w:pPr>
      <w:r>
        <w:rPr>
          <w:snapToGrid w:val="0"/>
        </w:rPr>
        <w:tab/>
        <w:t>(2)</w:t>
      </w:r>
      <w:r>
        <w:rPr>
          <w:snapToGrid w:val="0"/>
        </w:rPr>
        <w:tab/>
        <w:t>A person who — </w:t>
      </w:r>
    </w:p>
    <w:p>
      <w:pPr>
        <w:pStyle w:val="Indenta"/>
        <w:spacing w:before="100"/>
        <w:rPr>
          <w:snapToGrid w:val="0"/>
        </w:rPr>
      </w:pPr>
      <w:r>
        <w:rPr>
          <w:snapToGrid w:val="0"/>
        </w:rPr>
        <w:tab/>
        <w:t>(a)</w:t>
      </w:r>
      <w:r>
        <w:rPr>
          <w:snapToGrid w:val="0"/>
        </w:rPr>
        <w:tab/>
        <w:t>fails, without reasonable excuse, to comply with a requirement under subsection (1); or</w:t>
      </w:r>
    </w:p>
    <w:p>
      <w:pPr>
        <w:pStyle w:val="Indenta"/>
        <w:spacing w:before="100"/>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spacing w:before="200"/>
        <w:rPr>
          <w:snapToGrid w:val="0"/>
        </w:rPr>
      </w:pPr>
      <w:r>
        <w:rPr>
          <w:snapToGrid w:val="0"/>
        </w:rPr>
        <w:tab/>
      </w:r>
      <w:r>
        <w:rPr>
          <w:snapToGrid w:val="0"/>
        </w:rPr>
        <w:tab/>
        <w:t>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spacing w:before="200"/>
      </w:pPr>
      <w:r>
        <w:tab/>
        <w:t>(2a)</w:t>
      </w:r>
      <w:r>
        <w:tab/>
        <w:t>If an authorised person suspects on reasonable grounds that a document produced by a juvenile under subsection (1)(b) is a forged, false or counterfeit document, the authorised person may confiscate the document.</w:t>
      </w:r>
    </w:p>
    <w:p>
      <w:pPr>
        <w:pStyle w:val="Subsection"/>
        <w:spacing w:before="180"/>
      </w:pPr>
      <w:r>
        <w:tab/>
        <w:t>(2b)</w:t>
      </w:r>
      <w:r>
        <w:tab/>
        <w:t>An authorised person who confiscates a document under subsection (2a) must deal with the document in accordance with the regulations.</w:t>
      </w:r>
    </w:p>
    <w:p>
      <w:pPr>
        <w:pStyle w:val="Subsection"/>
        <w:spacing w:before="180"/>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spacing w:before="180"/>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spacing w:before="180"/>
      </w:pPr>
      <w:r>
        <w:tab/>
        <w:t>(5)</w:t>
      </w:r>
      <w:r>
        <w:tab/>
        <w:t xml:space="preserve">A person who — </w:t>
      </w:r>
    </w:p>
    <w:p>
      <w:pPr>
        <w:pStyle w:val="Indenta"/>
      </w:pPr>
      <w:r>
        <w:tab/>
        <w:t>(a)</w:t>
      </w:r>
      <w:r>
        <w:tab/>
        <w:t>has been required to leave and has left, or been removed from, licensed premises or regulated premises under this section; and</w:t>
      </w:r>
    </w:p>
    <w:p>
      <w:pPr>
        <w:pStyle w:val="Indenta"/>
      </w:pPr>
      <w:r>
        <w:tab/>
        <w:t>(b)</w:t>
      </w:r>
      <w:r>
        <w:tab/>
        <w:t xml:space="preserve">remains — </w:t>
      </w:r>
    </w:p>
    <w:p>
      <w:pPr>
        <w:pStyle w:val="Indenti"/>
      </w:pPr>
      <w:r>
        <w:tab/>
        <w:t>(i)</w:t>
      </w:r>
      <w:r>
        <w:tab/>
        <w:t>on any footpath; or</w:t>
      </w:r>
    </w:p>
    <w:p>
      <w:pPr>
        <w:pStyle w:val="Indenti"/>
        <w:keepNext/>
      </w:pPr>
      <w:r>
        <w:tab/>
        <w:t>(ii)</w:t>
      </w:r>
      <w:r>
        <w:tab/>
        <w:t>in any area subject to the control or management of the licensee or occupier of the regulated premises,</w:t>
      </w:r>
    </w:p>
    <w:p>
      <w:pPr>
        <w:pStyle w:val="Indenta"/>
      </w:pPr>
      <w:r>
        <w:tab/>
      </w:r>
      <w:r>
        <w:tab/>
        <w:t>that is adjacent to the licensed premises or regulated premises,</w:t>
      </w:r>
    </w:p>
    <w:p>
      <w:pPr>
        <w:pStyle w:val="Subsection"/>
      </w:pPr>
      <w:r>
        <w:tab/>
      </w:r>
      <w:r>
        <w:tab/>
        <w:t>commits an offence.</w:t>
      </w:r>
    </w:p>
    <w:p>
      <w:pPr>
        <w:pStyle w:val="Penstart"/>
      </w:pPr>
      <w:r>
        <w:tab/>
        <w:t>Penalty: a fine of $2 000.</w:t>
      </w:r>
    </w:p>
    <w:p>
      <w:pPr>
        <w:pStyle w:val="Subsection"/>
      </w:pPr>
      <w:r>
        <w:tab/>
        <w:t>(6)</w:t>
      </w:r>
      <w:r>
        <w:tab/>
        <w:t>This section does not limit any other right to remove a person from premises.</w:t>
      </w:r>
    </w:p>
    <w:p>
      <w:pPr>
        <w:pStyle w:val="Footnotesection"/>
      </w:pPr>
      <w:r>
        <w:tab/>
        <w:t xml:space="preserve">[Section 126 amended by No. 12 of 1998 s. 85; No. 73 of 2006 s. 91, 109 and 110; No. 56 of 2010 s. 69.] </w:t>
      </w:r>
    </w:p>
    <w:p>
      <w:pPr>
        <w:pStyle w:val="Heading5"/>
      </w:pPr>
      <w:bookmarkStart w:id="585" w:name="_Toc406080201"/>
      <w:bookmarkStart w:id="586" w:name="_Toc423530630"/>
      <w:r>
        <w:rPr>
          <w:rStyle w:val="CharSectno"/>
        </w:rPr>
        <w:t>126A</w:t>
      </w:r>
      <w:r>
        <w:t>.</w:t>
      </w:r>
      <w:r>
        <w:tab/>
        <w:t>Entertainment for juveniles on licensed premises, application for approval of</w:t>
      </w:r>
      <w:bookmarkEnd w:id="585"/>
      <w:bookmarkEnd w:id="586"/>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pPr>
      <w:r>
        <w:tab/>
        <w:t>[Section 126A inserted by No. 73 of 2006 s. 92(1).]</w:t>
      </w:r>
    </w:p>
    <w:p>
      <w:pPr>
        <w:pStyle w:val="Heading5"/>
      </w:pPr>
      <w:bookmarkStart w:id="587" w:name="_Toc406080202"/>
      <w:bookmarkStart w:id="588" w:name="_Toc423530631"/>
      <w:r>
        <w:rPr>
          <w:rStyle w:val="CharSectno"/>
        </w:rPr>
        <w:t>126B</w:t>
      </w:r>
      <w:r>
        <w:t>.</w:t>
      </w:r>
      <w:r>
        <w:tab/>
        <w:t>Entertainment for juveniles on licensed premises, approval of</w:t>
      </w:r>
      <w:bookmarkEnd w:id="587"/>
      <w:bookmarkEnd w:id="588"/>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by No. 73 of 2006 s. 92(1).]</w:t>
      </w:r>
    </w:p>
    <w:p>
      <w:pPr>
        <w:pStyle w:val="Heading3"/>
      </w:pPr>
      <w:bookmarkStart w:id="589" w:name="_Toc377388992"/>
      <w:bookmarkStart w:id="590" w:name="_Toc406080203"/>
      <w:bookmarkStart w:id="591" w:name="_Toc416876190"/>
      <w:bookmarkStart w:id="592" w:name="_Toc416876544"/>
      <w:bookmarkStart w:id="593" w:name="_Toc417973226"/>
      <w:bookmarkStart w:id="594" w:name="_Toc423530632"/>
      <w:r>
        <w:rPr>
          <w:rStyle w:val="CharDivNo"/>
        </w:rPr>
        <w:t>Division 10</w:t>
      </w:r>
      <w:r>
        <w:t> — </w:t>
      </w:r>
      <w:r>
        <w:rPr>
          <w:rStyle w:val="CharDivText"/>
        </w:rPr>
        <w:t>Miscellaneous</w:t>
      </w:r>
      <w:bookmarkEnd w:id="589"/>
      <w:bookmarkEnd w:id="590"/>
      <w:bookmarkEnd w:id="591"/>
      <w:bookmarkEnd w:id="592"/>
      <w:bookmarkEnd w:id="593"/>
      <w:bookmarkEnd w:id="594"/>
    </w:p>
    <w:p>
      <w:pPr>
        <w:pStyle w:val="Footnoteheading"/>
      </w:pPr>
      <w:r>
        <w:tab/>
        <w:t>[Heading inserted by No. 73 of 2006 s. 93.]</w:t>
      </w:r>
    </w:p>
    <w:p>
      <w:pPr>
        <w:pStyle w:val="Heading5"/>
      </w:pPr>
      <w:bookmarkStart w:id="595" w:name="_Toc406080204"/>
      <w:bookmarkStart w:id="596" w:name="_Toc423530633"/>
      <w:r>
        <w:rPr>
          <w:rStyle w:val="CharSectno"/>
        </w:rPr>
        <w:t>126C</w:t>
      </w:r>
      <w:r>
        <w:t>.</w:t>
      </w:r>
      <w:r>
        <w:tab/>
        <w:t>Crowd controllers to be authorised when exercising powers of removal</w:t>
      </w:r>
      <w:bookmarkEnd w:id="595"/>
      <w:bookmarkEnd w:id="596"/>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or occupier or a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or occupier or a manager may withdraw the authority referred to in subsection (2) at any time by written notice given to the crowd controller or the crowd control agent.</w:t>
      </w:r>
    </w:p>
    <w:p>
      <w:pPr>
        <w:pStyle w:val="Footnotesection"/>
      </w:pPr>
      <w:r>
        <w:tab/>
        <w:t>[Section 126C inserted by No. 73 of 2006 s. 93; amended by No. 56 of 2010 s. 25.]</w:t>
      </w:r>
    </w:p>
    <w:p>
      <w:pPr>
        <w:pStyle w:val="Heading5"/>
      </w:pPr>
      <w:bookmarkStart w:id="597" w:name="_Toc406080205"/>
      <w:bookmarkStart w:id="598" w:name="_Toc423530634"/>
      <w:r>
        <w:rPr>
          <w:rStyle w:val="CharSectno"/>
        </w:rPr>
        <w:t>126D</w:t>
      </w:r>
      <w:r>
        <w:t>.</w:t>
      </w:r>
      <w:r>
        <w:tab/>
        <w:t>Undesirable liquor products, declaration of and offence as to</w:t>
      </w:r>
      <w:bookmarkEnd w:id="597"/>
      <w:bookmarkEnd w:id="598"/>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keepNext/>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pPr>
      <w:r>
        <w:tab/>
        <w:t>(5)</w:t>
      </w:r>
      <w:r>
        <w:tab/>
        <w:t>A failure to comply with subsection (3) does not affect the validity of the regulation concerned.</w:t>
      </w:r>
    </w:p>
    <w:p>
      <w:pPr>
        <w:pStyle w:val="Footnotesection"/>
      </w:pPr>
      <w:r>
        <w:tab/>
        <w:t>[Section 126D inserted by No. 73 of 2006 s. 93; amended by No. 56 of 2010 s. 64.]</w:t>
      </w:r>
    </w:p>
    <w:p>
      <w:pPr>
        <w:pStyle w:val="Heading5"/>
      </w:pPr>
      <w:bookmarkStart w:id="599" w:name="_Toc406080206"/>
      <w:bookmarkStart w:id="600" w:name="_Toc423530635"/>
      <w:r>
        <w:rPr>
          <w:rStyle w:val="CharSectno"/>
        </w:rPr>
        <w:t>126E</w:t>
      </w:r>
      <w:r>
        <w:t>.</w:t>
      </w:r>
      <w:r>
        <w:tab/>
        <w:t>Special events, operation of Act may be modified for</w:t>
      </w:r>
      <w:bookmarkEnd w:id="599"/>
      <w:bookmarkEnd w:id="600"/>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by No. 73 of 2006 s. 93.]</w:t>
      </w:r>
    </w:p>
    <w:p>
      <w:pPr>
        <w:pStyle w:val="Heading2"/>
      </w:pPr>
      <w:bookmarkStart w:id="601" w:name="_Toc377388996"/>
      <w:bookmarkStart w:id="602" w:name="_Toc406080207"/>
      <w:bookmarkStart w:id="603" w:name="_Toc416876194"/>
      <w:bookmarkStart w:id="604" w:name="_Toc416876548"/>
      <w:bookmarkStart w:id="605" w:name="_Toc417973230"/>
      <w:bookmarkStart w:id="606" w:name="_Toc423530636"/>
      <w:r>
        <w:rPr>
          <w:rStyle w:val="CharPartNo"/>
        </w:rPr>
        <w:t>Part 5</w:t>
      </w:r>
      <w:r>
        <w:t> — </w:t>
      </w:r>
      <w:r>
        <w:rPr>
          <w:rStyle w:val="CharPartText"/>
        </w:rPr>
        <w:t>Financial provisions</w:t>
      </w:r>
      <w:bookmarkEnd w:id="601"/>
      <w:bookmarkEnd w:id="602"/>
      <w:bookmarkEnd w:id="603"/>
      <w:bookmarkEnd w:id="604"/>
      <w:bookmarkEnd w:id="605"/>
      <w:bookmarkEnd w:id="606"/>
      <w:r>
        <w:rPr>
          <w:rStyle w:val="CharPartText"/>
        </w:rPr>
        <w:t xml:space="preserve"> </w:t>
      </w:r>
    </w:p>
    <w:p>
      <w:pPr>
        <w:pStyle w:val="Heading3"/>
        <w:spacing w:before="220"/>
        <w:rPr>
          <w:snapToGrid w:val="0"/>
        </w:rPr>
      </w:pPr>
      <w:bookmarkStart w:id="607" w:name="_Toc377388997"/>
      <w:bookmarkStart w:id="608" w:name="_Toc406080208"/>
      <w:bookmarkStart w:id="609" w:name="_Toc416876195"/>
      <w:bookmarkStart w:id="610" w:name="_Toc416876549"/>
      <w:bookmarkStart w:id="611" w:name="_Toc417973231"/>
      <w:bookmarkStart w:id="612" w:name="_Toc423530637"/>
      <w:r>
        <w:rPr>
          <w:rStyle w:val="CharDivNo"/>
        </w:rPr>
        <w:t>Division 1</w:t>
      </w:r>
      <w:r>
        <w:rPr>
          <w:snapToGrid w:val="0"/>
        </w:rPr>
        <w:t> — </w:t>
      </w:r>
      <w:r>
        <w:rPr>
          <w:rStyle w:val="CharDivText"/>
        </w:rPr>
        <w:t>Licence fees</w:t>
      </w:r>
      <w:bookmarkEnd w:id="607"/>
      <w:bookmarkEnd w:id="608"/>
      <w:bookmarkEnd w:id="609"/>
      <w:bookmarkEnd w:id="610"/>
      <w:bookmarkEnd w:id="611"/>
      <w:bookmarkEnd w:id="612"/>
      <w:r>
        <w:rPr>
          <w:rStyle w:val="CharDivText"/>
        </w:rPr>
        <w:t xml:space="preserve"> </w:t>
      </w:r>
    </w:p>
    <w:p>
      <w:pPr>
        <w:pStyle w:val="Heading5"/>
        <w:rPr>
          <w:snapToGrid w:val="0"/>
        </w:rPr>
      </w:pPr>
      <w:bookmarkStart w:id="613" w:name="_Toc406080209"/>
      <w:bookmarkStart w:id="614" w:name="_Toc423530638"/>
      <w:r>
        <w:rPr>
          <w:rStyle w:val="CharSectno"/>
        </w:rPr>
        <w:t>127</w:t>
      </w:r>
      <w:r>
        <w:rPr>
          <w:snapToGrid w:val="0"/>
        </w:rPr>
        <w:t>.</w:t>
      </w:r>
      <w:r>
        <w:rPr>
          <w:snapToGrid w:val="0"/>
        </w:rPr>
        <w:tab/>
        <w:t>Payment of licence fees</w:t>
      </w:r>
      <w:bookmarkEnd w:id="613"/>
      <w:bookmarkEnd w:id="614"/>
    </w:p>
    <w:p>
      <w:pPr>
        <w:pStyle w:val="Subsection"/>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No. 73 of 2006 s. 94.] </w:t>
      </w:r>
    </w:p>
    <w:p>
      <w:pPr>
        <w:pStyle w:val="Heading5"/>
        <w:rPr>
          <w:snapToGrid w:val="0"/>
        </w:rPr>
      </w:pPr>
      <w:bookmarkStart w:id="615" w:name="_Toc406080210"/>
      <w:bookmarkStart w:id="616" w:name="_Toc423530639"/>
      <w:r>
        <w:rPr>
          <w:rStyle w:val="CharSectno"/>
        </w:rPr>
        <w:t>128</w:t>
      </w:r>
      <w:r>
        <w:rPr>
          <w:snapToGrid w:val="0"/>
        </w:rPr>
        <w:t>.</w:t>
      </w:r>
      <w:r>
        <w:rPr>
          <w:snapToGrid w:val="0"/>
        </w:rPr>
        <w:tab/>
        <w:t>Regulations about licence fees</w:t>
      </w:r>
      <w:bookmarkEnd w:id="615"/>
      <w:bookmarkEnd w:id="616"/>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 xml:space="preserve">all or any of the following — </w:t>
      </w:r>
    </w:p>
    <w:p>
      <w:pPr>
        <w:pStyle w:val="Indenti"/>
      </w:pPr>
      <w:r>
        <w:tab/>
        <w:t>(i)</w:t>
      </w:r>
      <w:r>
        <w:tab/>
        <w:t>the class of licence;</w:t>
      </w:r>
    </w:p>
    <w:p>
      <w:pPr>
        <w:pStyle w:val="Indenti"/>
      </w:pPr>
      <w:r>
        <w:tab/>
        <w:t>(ii)</w:t>
      </w:r>
      <w:r>
        <w:tab/>
        <w:t>any restrictions or conditions imposed in relation to the licence;</w:t>
      </w:r>
    </w:p>
    <w:p>
      <w:pPr>
        <w:pStyle w:val="Indenti"/>
      </w:pPr>
      <w:r>
        <w:tab/>
        <w:t>(iii)</w:t>
      </w:r>
      <w:r>
        <w:tab/>
        <w:t>the type of premises;</w:t>
      </w:r>
    </w:p>
    <w:p>
      <w:pPr>
        <w:pStyle w:val="Indenti"/>
      </w:pPr>
      <w:r>
        <w:tab/>
        <w:t>(iv)</w:t>
      </w:r>
      <w:r>
        <w:tab/>
        <w:t>the location of the premises;</w:t>
      </w:r>
    </w:p>
    <w:p>
      <w:pPr>
        <w:pStyle w:val="Indenti"/>
      </w:pPr>
      <w:r>
        <w:tab/>
        <w:t>(v)</w:t>
      </w:r>
      <w:r>
        <w:tab/>
        <w:t>the capacity of the premises;</w:t>
      </w:r>
    </w:p>
    <w:p>
      <w:pPr>
        <w:pStyle w:val="Indenti"/>
      </w:pPr>
      <w:r>
        <w:tab/>
        <w:t>(vi)</w:t>
      </w:r>
      <w:r>
        <w:tab/>
        <w:t>the trading hours;</w:t>
      </w:r>
    </w:p>
    <w:p>
      <w:pPr>
        <w:pStyle w:val="Indenti"/>
      </w:pPr>
      <w:r>
        <w:tab/>
        <w:t>(vii)</w:t>
      </w:r>
      <w:r>
        <w:tab/>
        <w:t>the convictions for offences under this Act, if any, of the applicant for the licence;</w:t>
      </w:r>
    </w:p>
    <w:p>
      <w:pPr>
        <w:pStyle w:val="Indenti"/>
      </w:pPr>
      <w:r>
        <w:tab/>
        <w:t>(viii)</w:t>
      </w:r>
      <w:r>
        <w:tab/>
        <w:t>the disciplinary action under Part 3 Division 13, if any, taken against the applicant for the licence;</w:t>
      </w:r>
    </w:p>
    <w:p>
      <w:pPr>
        <w:pStyle w:val="Indenti"/>
      </w:pPr>
      <w:r>
        <w:tab/>
        <w:t>(ix)</w:t>
      </w:r>
      <w:r>
        <w:tab/>
        <w:t>any other criteria prescribed in the regulations;</w:t>
      </w:r>
    </w:p>
    <w:p>
      <w:pPr>
        <w:pStyle w:val="Indenta"/>
      </w:pPr>
      <w:r>
        <w:tab/>
      </w:r>
      <w:r>
        <w:tab/>
        <w:t>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by No. 56 of 1997 s. 35; amended by No. 73 of 2006 s. 95; No. 56 of 2010 s. 31.] </w:t>
      </w:r>
    </w:p>
    <w:p>
      <w:pPr>
        <w:pStyle w:val="Heading3"/>
        <w:keepLines/>
        <w:rPr>
          <w:snapToGrid w:val="0"/>
        </w:rPr>
      </w:pPr>
      <w:bookmarkStart w:id="617" w:name="_Toc377389000"/>
      <w:bookmarkStart w:id="618" w:name="_Toc406080211"/>
      <w:bookmarkStart w:id="619" w:name="_Toc416876198"/>
      <w:bookmarkStart w:id="620" w:name="_Toc416876552"/>
      <w:bookmarkStart w:id="621" w:name="_Toc417973234"/>
      <w:bookmarkStart w:id="622" w:name="_Toc423530640"/>
      <w:r>
        <w:rPr>
          <w:rStyle w:val="CharDivNo"/>
        </w:rPr>
        <w:t>Division 2</w:t>
      </w:r>
      <w:r>
        <w:rPr>
          <w:snapToGrid w:val="0"/>
        </w:rPr>
        <w:t> — </w:t>
      </w:r>
      <w:r>
        <w:rPr>
          <w:rStyle w:val="CharDivText"/>
        </w:rPr>
        <w:t>Subsidies</w:t>
      </w:r>
      <w:bookmarkEnd w:id="617"/>
      <w:bookmarkEnd w:id="618"/>
      <w:bookmarkEnd w:id="619"/>
      <w:bookmarkEnd w:id="620"/>
      <w:bookmarkEnd w:id="621"/>
      <w:bookmarkEnd w:id="622"/>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rPr>
          <w:snapToGrid w:val="0"/>
        </w:rPr>
      </w:pPr>
      <w:bookmarkStart w:id="623" w:name="_Toc406080212"/>
      <w:bookmarkStart w:id="624" w:name="_Toc423530641"/>
      <w:r>
        <w:rPr>
          <w:rStyle w:val="CharSectno"/>
        </w:rPr>
        <w:t>129</w:t>
      </w:r>
      <w:r>
        <w:rPr>
          <w:snapToGrid w:val="0"/>
        </w:rPr>
        <w:t>.</w:t>
      </w:r>
      <w:r>
        <w:rPr>
          <w:snapToGrid w:val="0"/>
        </w:rPr>
        <w:tab/>
        <w:t>Terms used</w:t>
      </w:r>
      <w:bookmarkEnd w:id="623"/>
      <w:bookmarkEnd w:id="624"/>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rPr>
          <w:snapToGrid w:val="0"/>
        </w:rPr>
      </w:pPr>
      <w:bookmarkStart w:id="625" w:name="_Toc406080213"/>
      <w:bookmarkStart w:id="626" w:name="_Toc423530642"/>
      <w:r>
        <w:rPr>
          <w:rStyle w:val="CharSectno"/>
        </w:rPr>
        <w:t>130</w:t>
      </w:r>
      <w:r>
        <w:rPr>
          <w:snapToGrid w:val="0"/>
        </w:rPr>
        <w:t>.</w:t>
      </w:r>
      <w:r>
        <w:rPr>
          <w:snapToGrid w:val="0"/>
        </w:rPr>
        <w:tab/>
        <w:t>Subsidies for wholesalers and producers</w:t>
      </w:r>
      <w:bookmarkEnd w:id="625"/>
      <w:bookmarkEnd w:id="626"/>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keepNext/>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rPr>
          <w:snapToGrid w:val="0"/>
        </w:rPr>
      </w:pPr>
      <w:bookmarkStart w:id="627" w:name="_Toc406080214"/>
      <w:bookmarkStart w:id="628" w:name="_Toc423530643"/>
      <w:r>
        <w:rPr>
          <w:rStyle w:val="CharSectno"/>
        </w:rPr>
        <w:t>131</w:t>
      </w:r>
      <w:r>
        <w:rPr>
          <w:snapToGrid w:val="0"/>
        </w:rPr>
        <w:t>.</w:t>
      </w:r>
      <w:r>
        <w:rPr>
          <w:snapToGrid w:val="0"/>
        </w:rPr>
        <w:tab/>
        <w:t>Application for a subsidy</w:t>
      </w:r>
      <w:bookmarkEnd w:id="627"/>
      <w:bookmarkEnd w:id="628"/>
      <w:r>
        <w:rPr>
          <w:snapToGrid w:val="0"/>
        </w:rPr>
        <w:t xml:space="preserve"> </w:t>
      </w:r>
    </w:p>
    <w:p>
      <w:pPr>
        <w:pStyle w:val="Subsection"/>
        <w:rPr>
          <w:snapToGrid w:val="0"/>
        </w:rPr>
      </w:pPr>
      <w:r>
        <w:rPr>
          <w:snapToGrid w:val="0"/>
        </w:rPr>
        <w:tab/>
        <w:t>(1)</w:t>
      </w:r>
      <w:r>
        <w:rPr>
          <w:snapToGrid w:val="0"/>
        </w:rPr>
        <w:tab/>
        <w:t>Application for a subsidy is to be made in accordance with the regulations.</w:t>
      </w:r>
    </w:p>
    <w:p>
      <w:pPr>
        <w:pStyle w:val="Subsection"/>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rPr>
          <w:snapToGrid w:val="0"/>
        </w:rPr>
      </w:pPr>
      <w:bookmarkStart w:id="629" w:name="_Toc406080215"/>
      <w:bookmarkStart w:id="630" w:name="_Toc423530644"/>
      <w:r>
        <w:rPr>
          <w:rStyle w:val="CharSectno"/>
        </w:rPr>
        <w:t>132</w:t>
      </w:r>
      <w:r>
        <w:rPr>
          <w:snapToGrid w:val="0"/>
        </w:rPr>
        <w:t>.</w:t>
      </w:r>
      <w:r>
        <w:rPr>
          <w:snapToGrid w:val="0"/>
        </w:rPr>
        <w:tab/>
        <w:t>Director to pay subsidies</w:t>
      </w:r>
      <w:bookmarkEnd w:id="629"/>
      <w:bookmarkEnd w:id="630"/>
      <w:r>
        <w:rPr>
          <w:snapToGrid w:val="0"/>
        </w:rPr>
        <w:t xml:space="preserve"> </w:t>
      </w:r>
    </w:p>
    <w:p>
      <w:pPr>
        <w:pStyle w:val="Subsection"/>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rPr>
          <w:snapToGrid w:val="0"/>
        </w:rPr>
      </w:pPr>
      <w:bookmarkStart w:id="631" w:name="_Toc406080216"/>
      <w:bookmarkStart w:id="632" w:name="_Toc423530645"/>
      <w:r>
        <w:rPr>
          <w:rStyle w:val="CharSectno"/>
        </w:rPr>
        <w:t>133</w:t>
      </w:r>
      <w:r>
        <w:rPr>
          <w:snapToGrid w:val="0"/>
        </w:rPr>
        <w:t>.</w:t>
      </w:r>
      <w:r>
        <w:rPr>
          <w:snapToGrid w:val="0"/>
        </w:rPr>
        <w:tab/>
        <w:t>Consolidated Account appropriated</w:t>
      </w:r>
      <w:bookmarkEnd w:id="631"/>
      <w:bookmarkEnd w:id="632"/>
    </w:p>
    <w:p>
      <w:pPr>
        <w:pStyle w:val="Subsection"/>
        <w:rPr>
          <w:snapToGrid w:val="0"/>
        </w:rPr>
      </w:pPr>
      <w:r>
        <w:rPr>
          <w:snapToGrid w:val="0"/>
        </w:rPr>
        <w:tab/>
      </w:r>
      <w:r>
        <w:rPr>
          <w:snapToGrid w:val="0"/>
        </w:rPr>
        <w:tab/>
        <w:t>The money required to pay subsidies is to be charged to the Consolidated Account which is appropriated accordingly.</w:t>
      </w:r>
    </w:p>
    <w:p>
      <w:pPr>
        <w:pStyle w:val="Footnotesection"/>
      </w:pPr>
      <w:r>
        <w:tab/>
        <w:t>[Section 133 inserted by No. 56 of 1997 s. 36; amended by No. 77 of 2006 s. 4.]</w:t>
      </w:r>
    </w:p>
    <w:p>
      <w:pPr>
        <w:pStyle w:val="Heading5"/>
        <w:rPr>
          <w:snapToGrid w:val="0"/>
        </w:rPr>
      </w:pPr>
      <w:bookmarkStart w:id="633" w:name="_Toc406080217"/>
      <w:bookmarkStart w:id="634" w:name="_Toc423530646"/>
      <w:r>
        <w:rPr>
          <w:rStyle w:val="CharSectno"/>
        </w:rPr>
        <w:t>134</w:t>
      </w:r>
      <w:r>
        <w:rPr>
          <w:snapToGrid w:val="0"/>
        </w:rPr>
        <w:t>.</w:t>
      </w:r>
      <w:r>
        <w:rPr>
          <w:snapToGrid w:val="0"/>
        </w:rPr>
        <w:tab/>
        <w:t>Correcting incorrect subsidy payments</w:t>
      </w:r>
      <w:bookmarkEnd w:id="633"/>
      <w:bookmarkEnd w:id="634"/>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 by No. 56 of 1997 s. 36.]</w:t>
      </w:r>
    </w:p>
    <w:p>
      <w:pPr>
        <w:pStyle w:val="Heading5"/>
        <w:rPr>
          <w:snapToGrid w:val="0"/>
        </w:rPr>
      </w:pPr>
      <w:bookmarkStart w:id="635" w:name="_Toc406080218"/>
      <w:bookmarkStart w:id="636" w:name="_Toc423530647"/>
      <w:r>
        <w:rPr>
          <w:rStyle w:val="CharSectno"/>
        </w:rPr>
        <w:t>135</w:t>
      </w:r>
      <w:r>
        <w:rPr>
          <w:snapToGrid w:val="0"/>
        </w:rPr>
        <w:t>.</w:t>
      </w:r>
      <w:r>
        <w:rPr>
          <w:snapToGrid w:val="0"/>
        </w:rPr>
        <w:tab/>
        <w:t>Failure to correct incorrect subsidy application</w:t>
      </w:r>
      <w:bookmarkEnd w:id="635"/>
      <w:bookmarkEnd w:id="636"/>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rPr>
          <w:snapToGrid w:val="0"/>
        </w:rPr>
      </w:pPr>
      <w:r>
        <w:rPr>
          <w:snapToGrid w:val="0"/>
        </w:rPr>
        <w:tab/>
      </w:r>
      <w:r>
        <w:rPr>
          <w:snapToGrid w:val="0"/>
        </w:rPr>
        <w:tab/>
        <w:t>and the Director may suspend the operation of any licence held by that person until the amount is paid.</w:t>
      </w:r>
    </w:p>
    <w:p>
      <w:pPr>
        <w:pStyle w:val="Subsection"/>
        <w:keepNext/>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 amended by No. 56 of 2010 s. 69.]</w:t>
      </w:r>
    </w:p>
    <w:p>
      <w:pPr>
        <w:pStyle w:val="Heading5"/>
        <w:rPr>
          <w:snapToGrid w:val="0"/>
        </w:rPr>
      </w:pPr>
      <w:bookmarkStart w:id="637" w:name="_Toc406080219"/>
      <w:bookmarkStart w:id="638" w:name="_Toc423530648"/>
      <w:r>
        <w:rPr>
          <w:rStyle w:val="CharSectno"/>
        </w:rPr>
        <w:t>136</w:t>
      </w:r>
      <w:r>
        <w:rPr>
          <w:snapToGrid w:val="0"/>
        </w:rPr>
        <w:t>.</w:t>
      </w:r>
      <w:r>
        <w:rPr>
          <w:snapToGrid w:val="0"/>
        </w:rPr>
        <w:tab/>
        <w:t>Minister may order subsidies to cease</w:t>
      </w:r>
      <w:bookmarkEnd w:id="637"/>
      <w:bookmarkEnd w:id="638"/>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spacing w:before="240"/>
        <w:ind w:left="890" w:hanging="890"/>
      </w:pPr>
      <w:r>
        <w:t>[</w:t>
      </w:r>
      <w:r>
        <w:rPr>
          <w:b/>
        </w:rPr>
        <w:t>137, 138.</w:t>
      </w:r>
      <w:r>
        <w:rPr>
          <w:b/>
        </w:rPr>
        <w:tab/>
      </w:r>
      <w:r>
        <w:t xml:space="preserve">Deleted by No. 56 of 1997 s. 36.] </w:t>
      </w:r>
    </w:p>
    <w:p>
      <w:pPr>
        <w:pStyle w:val="Heading3"/>
        <w:keepLines/>
        <w:spacing w:before="280"/>
        <w:rPr>
          <w:snapToGrid w:val="0"/>
        </w:rPr>
      </w:pPr>
      <w:bookmarkStart w:id="639" w:name="_Toc377389009"/>
      <w:bookmarkStart w:id="640" w:name="_Toc406080220"/>
      <w:bookmarkStart w:id="641" w:name="_Toc416876207"/>
      <w:bookmarkStart w:id="642" w:name="_Toc416876561"/>
      <w:bookmarkStart w:id="643" w:name="_Toc417973243"/>
      <w:bookmarkStart w:id="644" w:name="_Toc423530649"/>
      <w:r>
        <w:rPr>
          <w:rStyle w:val="CharDivNo"/>
        </w:rPr>
        <w:t>Division 3</w:t>
      </w:r>
      <w:r>
        <w:rPr>
          <w:snapToGrid w:val="0"/>
        </w:rPr>
        <w:t> — </w:t>
      </w:r>
      <w:r>
        <w:rPr>
          <w:rStyle w:val="CharDivText"/>
        </w:rPr>
        <w:t>Power of Commission with respect to moneys due</w:t>
      </w:r>
      <w:bookmarkEnd w:id="639"/>
      <w:bookmarkEnd w:id="640"/>
      <w:bookmarkEnd w:id="641"/>
      <w:bookmarkEnd w:id="642"/>
      <w:bookmarkEnd w:id="643"/>
      <w:bookmarkEnd w:id="644"/>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 by No. 56 of 1997 s. 37; No. 73 of 2006 s. 96.]</w:t>
      </w:r>
    </w:p>
    <w:p>
      <w:pPr>
        <w:pStyle w:val="Ednotesection"/>
        <w:keepNext/>
        <w:keepLines/>
        <w:spacing w:before="240"/>
      </w:pPr>
      <w:r>
        <w:t>[</w:t>
      </w:r>
      <w:r>
        <w:rPr>
          <w:b/>
        </w:rPr>
        <w:t>139</w:t>
      </w:r>
      <w:r>
        <w:rPr>
          <w:b/>
        </w:rPr>
        <w:noBreakHyphen/>
        <w:t>142.</w:t>
      </w:r>
      <w:r>
        <w:rPr>
          <w:b/>
        </w:rPr>
        <w:tab/>
      </w:r>
      <w:r>
        <w:t xml:space="preserve">Deleted by No. 56 of 1997 s. 38.] </w:t>
      </w:r>
    </w:p>
    <w:p>
      <w:pPr>
        <w:pStyle w:val="Heading5"/>
        <w:spacing w:before="240"/>
        <w:rPr>
          <w:snapToGrid w:val="0"/>
        </w:rPr>
      </w:pPr>
      <w:bookmarkStart w:id="645" w:name="_Toc406080221"/>
      <w:bookmarkStart w:id="646" w:name="_Toc423530650"/>
      <w:r>
        <w:rPr>
          <w:rStyle w:val="CharSectno"/>
        </w:rPr>
        <w:t>143</w:t>
      </w:r>
      <w:r>
        <w:rPr>
          <w:snapToGrid w:val="0"/>
        </w:rPr>
        <w:t>.</w:t>
      </w:r>
      <w:r>
        <w:rPr>
          <w:snapToGrid w:val="0"/>
        </w:rPr>
        <w:tab/>
        <w:t>Order for payment of money</w:t>
      </w:r>
      <w:bookmarkEnd w:id="645"/>
      <w:bookmarkEnd w:id="646"/>
      <w:r>
        <w:rPr>
          <w:snapToGrid w:val="0"/>
        </w:rPr>
        <w:t xml:space="preserve"> </w:t>
      </w:r>
    </w:p>
    <w:p>
      <w:pPr>
        <w:pStyle w:val="Subsection"/>
        <w:spacing w:before="180"/>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spacing w:before="180"/>
        <w:rPr>
          <w:snapToGrid w:val="0"/>
        </w:rPr>
      </w:pPr>
      <w:r>
        <w:rPr>
          <w:snapToGrid w:val="0"/>
        </w:rPr>
        <w:tab/>
        <w:t>(2)</w:t>
      </w:r>
      <w:r>
        <w:rPr>
          <w:snapToGrid w:val="0"/>
        </w:rPr>
        <w:tab/>
        <w:t>Where an order is made under subsection (1) against a body corporate and — </w:t>
      </w:r>
    </w:p>
    <w:p>
      <w:pPr>
        <w:pStyle w:val="Indenta"/>
        <w:rPr>
          <w:snapToGrid w:val="0"/>
        </w:rPr>
      </w:pPr>
      <w:r>
        <w:rPr>
          <w:snapToGrid w:val="0"/>
        </w:rPr>
        <w:tab/>
        <w:t>(a)</w:t>
      </w:r>
      <w:r>
        <w:rPr>
          <w:snapToGrid w:val="0"/>
        </w:rPr>
        <w:tab/>
        <w:t>the body corporate is dissolved; or</w:t>
      </w:r>
    </w:p>
    <w:p>
      <w:pPr>
        <w:pStyle w:val="Indenta"/>
        <w:keepNext/>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No. 73 of 2006 s. 106.] </w:t>
      </w:r>
    </w:p>
    <w:p>
      <w:pPr>
        <w:pStyle w:val="Ednotesection"/>
        <w:ind w:left="890" w:hanging="890"/>
      </w:pPr>
      <w:r>
        <w:t>[</w:t>
      </w:r>
      <w:r>
        <w:rPr>
          <w:b/>
        </w:rPr>
        <w:t>144.</w:t>
      </w:r>
      <w:r>
        <w:rPr>
          <w:b/>
        </w:rPr>
        <w:tab/>
      </w:r>
      <w:r>
        <w:t xml:space="preserve">Deleted by No. 56 of 1997 s. 40.] </w:t>
      </w:r>
    </w:p>
    <w:p>
      <w:pPr>
        <w:pStyle w:val="Heading3"/>
        <w:keepNext w:val="0"/>
        <w:rPr>
          <w:snapToGrid w:val="0"/>
        </w:rPr>
      </w:pPr>
      <w:bookmarkStart w:id="647" w:name="_Toc377389011"/>
      <w:bookmarkStart w:id="648" w:name="_Toc406080222"/>
      <w:bookmarkStart w:id="649" w:name="_Toc416876209"/>
      <w:bookmarkStart w:id="650" w:name="_Toc416876563"/>
      <w:bookmarkStart w:id="651" w:name="_Toc417973245"/>
      <w:bookmarkStart w:id="652" w:name="_Toc423530651"/>
      <w:r>
        <w:rPr>
          <w:rStyle w:val="CharDivNo"/>
        </w:rPr>
        <w:t>Division 4</w:t>
      </w:r>
      <w:r>
        <w:rPr>
          <w:snapToGrid w:val="0"/>
        </w:rPr>
        <w:t> — </w:t>
      </w:r>
      <w:r>
        <w:rPr>
          <w:rStyle w:val="CharDivText"/>
        </w:rPr>
        <w:t>Records and returns</w:t>
      </w:r>
      <w:bookmarkEnd w:id="647"/>
      <w:bookmarkEnd w:id="648"/>
      <w:bookmarkEnd w:id="649"/>
      <w:bookmarkEnd w:id="650"/>
      <w:bookmarkEnd w:id="651"/>
      <w:bookmarkEnd w:id="652"/>
      <w:r>
        <w:rPr>
          <w:rStyle w:val="CharDivText"/>
        </w:rPr>
        <w:t xml:space="preserve"> </w:t>
      </w:r>
    </w:p>
    <w:p>
      <w:pPr>
        <w:pStyle w:val="Heading5"/>
        <w:keepNext w:val="0"/>
        <w:spacing w:before="160"/>
        <w:rPr>
          <w:snapToGrid w:val="0"/>
        </w:rPr>
      </w:pPr>
      <w:bookmarkStart w:id="653" w:name="_Toc406080223"/>
      <w:bookmarkStart w:id="654" w:name="_Toc423530652"/>
      <w:r>
        <w:rPr>
          <w:rStyle w:val="CharSectno"/>
        </w:rPr>
        <w:t>145</w:t>
      </w:r>
      <w:r>
        <w:rPr>
          <w:snapToGrid w:val="0"/>
        </w:rPr>
        <w:t>.</w:t>
      </w:r>
      <w:r>
        <w:rPr>
          <w:snapToGrid w:val="0"/>
        </w:rPr>
        <w:tab/>
        <w:t>Records of liquor transactions to be kept by licensees etc.</w:t>
      </w:r>
      <w:bookmarkEnd w:id="653"/>
      <w:bookmarkEnd w:id="654"/>
    </w:p>
    <w:p>
      <w:pPr>
        <w:pStyle w:val="Subsection"/>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spacing w:before="200"/>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spacing w:before="200"/>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spacing w:before="200"/>
        <w:rPr>
          <w:snapToGrid w:val="0"/>
        </w:rPr>
      </w:pPr>
      <w:r>
        <w:rPr>
          <w:snapToGrid w:val="0"/>
        </w:rPr>
        <w:tab/>
        <w:t>(3)</w:t>
      </w:r>
      <w:r>
        <w:rPr>
          <w:snapToGrid w:val="0"/>
        </w:rPr>
        <w:tab/>
        <w:t>A person who is required by this section to make a record shall — </w:t>
      </w:r>
    </w:p>
    <w:p>
      <w:pPr>
        <w:pStyle w:val="Indenta"/>
        <w:spacing w:before="100"/>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spacing w:before="100"/>
        <w:rPr>
          <w:snapToGrid w:val="0"/>
        </w:rPr>
      </w:pPr>
      <w:r>
        <w:rPr>
          <w:snapToGrid w:val="0"/>
        </w:rPr>
        <w:tab/>
        <w:t>(b)</w:t>
      </w:r>
      <w:r>
        <w:rPr>
          <w:snapToGrid w:val="0"/>
        </w:rPr>
        <w:tab/>
        <w:t>make the record available for inspection by an authorised officer.</w:t>
      </w:r>
    </w:p>
    <w:p>
      <w:pPr>
        <w:pStyle w:val="Subsection"/>
        <w:spacing w:before="200"/>
        <w:rPr>
          <w:snapToGrid w:val="0"/>
        </w:rPr>
      </w:pPr>
      <w:r>
        <w:rPr>
          <w:snapToGrid w:val="0"/>
        </w:rPr>
        <w:tab/>
        <w:t>(4)</w:t>
      </w:r>
      <w:r>
        <w:rPr>
          <w:snapToGrid w:val="0"/>
        </w:rPr>
        <w:tab/>
        <w:t>A person who — </w:t>
      </w:r>
    </w:p>
    <w:p>
      <w:pPr>
        <w:pStyle w:val="Indenta"/>
        <w:spacing w:before="100"/>
        <w:rPr>
          <w:snapToGrid w:val="0"/>
        </w:rPr>
      </w:pPr>
      <w:r>
        <w:rPr>
          <w:snapToGrid w:val="0"/>
        </w:rPr>
        <w:tab/>
        <w:t>(a)</w:t>
      </w:r>
      <w:r>
        <w:rPr>
          <w:snapToGrid w:val="0"/>
        </w:rPr>
        <w:tab/>
        <w:t>fails to make, maintain, keep or retain a record, as required by this section; or</w:t>
      </w:r>
    </w:p>
    <w:p>
      <w:pPr>
        <w:pStyle w:val="Indenta"/>
        <w:spacing w:before="100"/>
        <w:rPr>
          <w:snapToGrid w:val="0"/>
        </w:rPr>
      </w:pPr>
      <w:r>
        <w:rPr>
          <w:snapToGrid w:val="0"/>
        </w:rPr>
        <w:tab/>
        <w:t>(b)</w:t>
      </w:r>
      <w:r>
        <w:rPr>
          <w:snapToGrid w:val="0"/>
        </w:rPr>
        <w:tab/>
        <w:t>fails to make the record available for inspection by an authorised officer; or</w:t>
      </w:r>
    </w:p>
    <w:p>
      <w:pPr>
        <w:pStyle w:val="Indenta"/>
        <w:spacing w:before="100"/>
        <w:rPr>
          <w:snapToGrid w:val="0"/>
        </w:rPr>
      </w:pPr>
      <w:r>
        <w:rPr>
          <w:snapToGrid w:val="0"/>
        </w:rPr>
        <w:tab/>
        <w:t>(c)</w:t>
      </w:r>
      <w:r>
        <w:rPr>
          <w:snapToGrid w:val="0"/>
        </w:rPr>
        <w:tab/>
        <w:t>includes in such a record information that is false or misleading in a material particular,</w:t>
      </w:r>
    </w:p>
    <w:p>
      <w:pPr>
        <w:pStyle w:val="Subsection"/>
        <w:spacing w:before="20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spacing w:before="60"/>
        <w:ind w:left="890" w:hanging="890"/>
      </w:pPr>
      <w:r>
        <w:tab/>
        <w:t xml:space="preserve">[Section 145 amended by No. 56 of 1997 s. 41; No. 12 of 1998 s. 86; No. 73 of 2006 s. 110; No. 56 of 2010 s. 69.] </w:t>
      </w:r>
    </w:p>
    <w:p>
      <w:pPr>
        <w:pStyle w:val="Heading5"/>
        <w:rPr>
          <w:snapToGrid w:val="0"/>
        </w:rPr>
      </w:pPr>
      <w:bookmarkStart w:id="655" w:name="_Toc406080224"/>
      <w:bookmarkStart w:id="656" w:name="_Toc423530653"/>
      <w:r>
        <w:rPr>
          <w:rStyle w:val="CharSectno"/>
        </w:rPr>
        <w:t>146</w:t>
      </w:r>
      <w:r>
        <w:rPr>
          <w:snapToGrid w:val="0"/>
        </w:rPr>
        <w:t>.</w:t>
      </w:r>
      <w:r>
        <w:rPr>
          <w:snapToGrid w:val="0"/>
        </w:rPr>
        <w:tab/>
        <w:t>Information to be given to Director in returns</w:t>
      </w:r>
      <w:bookmarkEnd w:id="655"/>
      <w:bookmarkEnd w:id="656"/>
    </w:p>
    <w:p>
      <w:pPr>
        <w:pStyle w:val="Subsection"/>
        <w:spacing w:before="200"/>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spacing w:before="100"/>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relating to the assessment of a subsidy,</w:t>
      </w:r>
    </w:p>
    <w:p>
      <w:pPr>
        <w:pStyle w:val="Subsection"/>
        <w:spacing w:before="200"/>
        <w:rPr>
          <w:snapToGrid w:val="0"/>
        </w:rPr>
      </w:pPr>
      <w:r>
        <w:rPr>
          <w:snapToGrid w:val="0"/>
        </w:rPr>
        <w:tab/>
      </w:r>
      <w:r>
        <w:rPr>
          <w:snapToGrid w:val="0"/>
        </w:rPr>
        <w:tab/>
        <w:t>in respect of such period, or in relation to such circumstances, as the Director may require or as is prescribed.</w:t>
      </w:r>
    </w:p>
    <w:p>
      <w:pPr>
        <w:pStyle w:val="Penstart"/>
        <w:spacing w:before="100"/>
        <w:rPr>
          <w:snapToGrid w:val="0"/>
        </w:rPr>
      </w:pPr>
      <w:r>
        <w:rPr>
          <w:snapToGrid w:val="0"/>
        </w:rPr>
        <w:tab/>
        <w:t xml:space="preserve">Penalty: </w:t>
      </w:r>
      <w:r>
        <w:t>a fine of</w:t>
      </w:r>
      <w:r>
        <w:rPr>
          <w:snapToGrid w:val="0"/>
        </w:rPr>
        <w:t xml:space="preserve"> $10 000.</w:t>
      </w:r>
    </w:p>
    <w:p>
      <w:pPr>
        <w:pStyle w:val="Subsection"/>
        <w:spacing w:before="200"/>
        <w:rPr>
          <w:snapToGrid w:val="0"/>
        </w:rPr>
      </w:pPr>
      <w:r>
        <w:rPr>
          <w:snapToGrid w:val="0"/>
        </w:rPr>
        <w:tab/>
        <w:t>(2)</w:t>
      </w:r>
      <w:r>
        <w:rPr>
          <w:snapToGrid w:val="0"/>
        </w:rPr>
        <w:tab/>
        <w:t>Returns required under this section shall — </w:t>
      </w:r>
    </w:p>
    <w:p>
      <w:pPr>
        <w:pStyle w:val="Indenta"/>
        <w:spacing w:before="100"/>
        <w:rPr>
          <w:snapToGrid w:val="0"/>
        </w:rPr>
      </w:pPr>
      <w:r>
        <w:rPr>
          <w:snapToGrid w:val="0"/>
        </w:rPr>
        <w:tab/>
        <w:t>(a)</w:t>
      </w:r>
      <w:r>
        <w:rPr>
          <w:snapToGrid w:val="0"/>
        </w:rPr>
        <w:tab/>
        <w:t>be lodged at such times, or periodic intervals, as are prescribed or as may be specified by the Director; and</w:t>
      </w:r>
    </w:p>
    <w:p>
      <w:pPr>
        <w:pStyle w:val="Indenta"/>
        <w:spacing w:before="100"/>
        <w:rPr>
          <w:snapToGrid w:val="0"/>
        </w:rPr>
      </w:pPr>
      <w:r>
        <w:rPr>
          <w:snapToGrid w:val="0"/>
        </w:rPr>
        <w:tab/>
        <w:t>(b)</w:t>
      </w:r>
      <w:r>
        <w:rPr>
          <w:snapToGrid w:val="0"/>
        </w:rPr>
        <w:tab/>
        <w:t>be prepared in a form acceptable to the Director; and</w:t>
      </w:r>
    </w:p>
    <w:p>
      <w:pPr>
        <w:pStyle w:val="Indenta"/>
        <w:spacing w:before="100"/>
        <w:rPr>
          <w:snapToGrid w:val="0"/>
        </w:rPr>
      </w:pPr>
      <w:r>
        <w:rPr>
          <w:snapToGrid w:val="0"/>
        </w:rPr>
        <w:tab/>
        <w:t>(c)</w:t>
      </w:r>
      <w:r>
        <w:rPr>
          <w:snapToGrid w:val="0"/>
        </w:rPr>
        <w:tab/>
        <w:t>be verified in such manner and by such a person as may be prescribed.</w:t>
      </w:r>
    </w:p>
    <w:p>
      <w:pPr>
        <w:pStyle w:val="Ednotesubsection"/>
        <w:spacing w:before="200"/>
      </w:pPr>
      <w:r>
        <w:tab/>
        <w:t>[(3)</w:t>
      </w:r>
      <w:r>
        <w:noBreakHyphen/>
        <w:t>(6)</w:t>
      </w:r>
      <w:r>
        <w:tab/>
        <w:t>deleted]</w:t>
      </w:r>
    </w:p>
    <w:p>
      <w:pPr>
        <w:pStyle w:val="Subsection"/>
        <w:spacing w:before="200"/>
        <w:rPr>
          <w:snapToGrid w:val="0"/>
        </w:rPr>
      </w:pPr>
      <w:r>
        <w:rPr>
          <w:snapToGrid w:val="0"/>
        </w:rPr>
        <w:tab/>
        <w:t>(7)</w:t>
      </w:r>
      <w:r>
        <w:rPr>
          <w:snapToGrid w:val="0"/>
        </w:rPr>
        <w:tab/>
        <w:t>The Director may, in writing — </w:t>
      </w:r>
    </w:p>
    <w:p>
      <w:pPr>
        <w:pStyle w:val="Indenta"/>
        <w:spacing w:before="100"/>
        <w:rPr>
          <w:snapToGrid w:val="0"/>
        </w:rPr>
      </w:pPr>
      <w:r>
        <w:rPr>
          <w:snapToGrid w:val="0"/>
        </w:rPr>
        <w:tab/>
        <w:t>(a)</w:t>
      </w:r>
      <w:r>
        <w:rPr>
          <w:snapToGrid w:val="0"/>
        </w:rPr>
        <w:tab/>
        <w:t>allow an extension of the time within which a return should be lodged; or</w:t>
      </w:r>
    </w:p>
    <w:p>
      <w:pPr>
        <w:pStyle w:val="Indenta"/>
        <w:spacing w:before="100"/>
        <w:rPr>
          <w:snapToGrid w:val="0"/>
        </w:rPr>
      </w:pPr>
      <w:r>
        <w:rPr>
          <w:snapToGrid w:val="0"/>
        </w:rPr>
        <w:tab/>
        <w:t>(b)</w:t>
      </w:r>
      <w:r>
        <w:rPr>
          <w:snapToGrid w:val="0"/>
        </w:rPr>
        <w:tab/>
        <w:t>direct that a requirement of this section shall not have effect in relation to a particular licence.</w:t>
      </w:r>
    </w:p>
    <w:p>
      <w:pPr>
        <w:pStyle w:val="Footnotesection"/>
        <w:spacing w:before="200"/>
        <w:ind w:left="890" w:hanging="890"/>
      </w:pPr>
      <w:r>
        <w:tab/>
        <w:t xml:space="preserve">[Section 146 amended by No. 56 of 1997 s. 42; No. 73 of 2006 s. 110; No. 56 of 2010 s. 69.] </w:t>
      </w:r>
    </w:p>
    <w:p>
      <w:pPr>
        <w:pStyle w:val="Heading3"/>
        <w:rPr>
          <w:snapToGrid w:val="0"/>
        </w:rPr>
      </w:pPr>
      <w:bookmarkStart w:id="657" w:name="_Toc377389014"/>
      <w:bookmarkStart w:id="658" w:name="_Toc406080225"/>
      <w:bookmarkStart w:id="659" w:name="_Toc416876212"/>
      <w:bookmarkStart w:id="660" w:name="_Toc416876566"/>
      <w:bookmarkStart w:id="661" w:name="_Toc417973248"/>
      <w:bookmarkStart w:id="662" w:name="_Toc423530654"/>
      <w:r>
        <w:rPr>
          <w:rStyle w:val="CharDivNo"/>
        </w:rPr>
        <w:t>Division 5</w:t>
      </w:r>
      <w:r>
        <w:rPr>
          <w:snapToGrid w:val="0"/>
        </w:rPr>
        <w:t> — </w:t>
      </w:r>
      <w:r>
        <w:rPr>
          <w:rStyle w:val="CharDivText"/>
        </w:rPr>
        <w:t>Recovery of illegal gains</w:t>
      </w:r>
      <w:bookmarkEnd w:id="657"/>
      <w:bookmarkEnd w:id="658"/>
      <w:bookmarkEnd w:id="659"/>
      <w:bookmarkEnd w:id="660"/>
      <w:bookmarkEnd w:id="661"/>
      <w:bookmarkEnd w:id="662"/>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663" w:name="_Toc406080226"/>
      <w:bookmarkStart w:id="664" w:name="_Toc423530655"/>
      <w:r>
        <w:rPr>
          <w:rStyle w:val="CharSectno"/>
        </w:rPr>
        <w:t>147</w:t>
      </w:r>
      <w:r>
        <w:rPr>
          <w:snapToGrid w:val="0"/>
        </w:rPr>
        <w:t>.</w:t>
      </w:r>
      <w:r>
        <w:rPr>
          <w:snapToGrid w:val="0"/>
        </w:rPr>
        <w:tab/>
        <w:t>Illegal gains, estimation and recovery of</w:t>
      </w:r>
      <w:bookmarkEnd w:id="663"/>
      <w:bookmarkEnd w:id="664"/>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No. 73 of 2006 s. 106.] </w:t>
      </w:r>
    </w:p>
    <w:p>
      <w:pPr>
        <w:pStyle w:val="Heading3"/>
        <w:rPr>
          <w:snapToGrid w:val="0"/>
        </w:rPr>
      </w:pPr>
      <w:bookmarkStart w:id="665" w:name="_Toc377389016"/>
      <w:bookmarkStart w:id="666" w:name="_Toc406080227"/>
      <w:bookmarkStart w:id="667" w:name="_Toc416876214"/>
      <w:bookmarkStart w:id="668" w:name="_Toc416876568"/>
      <w:bookmarkStart w:id="669" w:name="_Toc417973250"/>
      <w:bookmarkStart w:id="670" w:name="_Toc423530656"/>
      <w:r>
        <w:rPr>
          <w:rStyle w:val="CharDivNo"/>
        </w:rPr>
        <w:t>Division 6</w:t>
      </w:r>
      <w:r>
        <w:rPr>
          <w:snapToGrid w:val="0"/>
        </w:rPr>
        <w:t> — </w:t>
      </w:r>
      <w:r>
        <w:rPr>
          <w:rStyle w:val="CharDivText"/>
        </w:rPr>
        <w:t>Information</w:t>
      </w:r>
      <w:bookmarkEnd w:id="665"/>
      <w:bookmarkEnd w:id="666"/>
      <w:bookmarkEnd w:id="667"/>
      <w:bookmarkEnd w:id="668"/>
      <w:bookmarkEnd w:id="669"/>
      <w:bookmarkEnd w:id="670"/>
      <w:r>
        <w:rPr>
          <w:rStyle w:val="CharDivText"/>
        </w:rPr>
        <w:t xml:space="preserve"> </w:t>
      </w:r>
    </w:p>
    <w:p>
      <w:pPr>
        <w:pStyle w:val="Heading5"/>
        <w:rPr>
          <w:snapToGrid w:val="0"/>
        </w:rPr>
      </w:pPr>
      <w:bookmarkStart w:id="671" w:name="_Toc406080228"/>
      <w:bookmarkStart w:id="672" w:name="_Toc423530657"/>
      <w:r>
        <w:rPr>
          <w:rStyle w:val="CharSectno"/>
        </w:rPr>
        <w:t>148</w:t>
      </w:r>
      <w:r>
        <w:rPr>
          <w:snapToGrid w:val="0"/>
        </w:rPr>
        <w:t>.</w:t>
      </w:r>
      <w:r>
        <w:rPr>
          <w:snapToGrid w:val="0"/>
        </w:rPr>
        <w:tab/>
        <w:t>Information etc., Director’s powers to obtain</w:t>
      </w:r>
      <w:bookmarkEnd w:id="671"/>
      <w:bookmarkEnd w:id="672"/>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673" w:name="_Toc406080229"/>
      <w:bookmarkStart w:id="674" w:name="_Toc423530658"/>
      <w:r>
        <w:rPr>
          <w:rStyle w:val="CharSectno"/>
        </w:rPr>
        <w:t>149</w:t>
      </w:r>
      <w:r>
        <w:rPr>
          <w:snapToGrid w:val="0"/>
        </w:rPr>
        <w:t>.</w:t>
      </w:r>
      <w:r>
        <w:rPr>
          <w:snapToGrid w:val="0"/>
        </w:rPr>
        <w:tab/>
        <w:t>Use of information, Director’s powers as to</w:t>
      </w:r>
      <w:bookmarkEnd w:id="673"/>
      <w:bookmarkEnd w:id="674"/>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675" w:name="_Toc406080230"/>
      <w:bookmarkStart w:id="676" w:name="_Toc423530659"/>
      <w:r>
        <w:rPr>
          <w:rStyle w:val="CharSectno"/>
        </w:rPr>
        <w:t>150</w:t>
      </w:r>
      <w:r>
        <w:rPr>
          <w:snapToGrid w:val="0"/>
        </w:rPr>
        <w:t>.</w:t>
      </w:r>
      <w:r>
        <w:rPr>
          <w:snapToGrid w:val="0"/>
        </w:rPr>
        <w:tab/>
        <w:t>Premises and records, Director’s right of access to etc.</w:t>
      </w:r>
      <w:bookmarkEnd w:id="675"/>
      <w:bookmarkEnd w:id="676"/>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150 amended by No. 56 of 1997 s. 46; No. 12 of 1998 s. 97(1); No. 73 of 2006 s. 110; No. 56 of 2010 s. 69.] </w:t>
      </w:r>
    </w:p>
    <w:p>
      <w:pPr>
        <w:pStyle w:val="Heading5"/>
        <w:rPr>
          <w:snapToGrid w:val="0"/>
        </w:rPr>
      </w:pPr>
      <w:bookmarkStart w:id="677" w:name="_Toc406080231"/>
      <w:bookmarkStart w:id="678" w:name="_Toc423530660"/>
      <w:r>
        <w:rPr>
          <w:rStyle w:val="CharSectno"/>
        </w:rPr>
        <w:t>151</w:t>
      </w:r>
      <w:r>
        <w:rPr>
          <w:snapToGrid w:val="0"/>
        </w:rPr>
        <w:t>.</w:t>
      </w:r>
      <w:r>
        <w:rPr>
          <w:snapToGrid w:val="0"/>
        </w:rPr>
        <w:tab/>
        <w:t>Licensing authority may assist other authorities</w:t>
      </w:r>
      <w:bookmarkEnd w:id="677"/>
      <w:bookmarkEnd w:id="678"/>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679" w:name="_Toc406080232"/>
      <w:bookmarkStart w:id="680" w:name="_Toc423530661"/>
      <w:r>
        <w:rPr>
          <w:rStyle w:val="CharSectno"/>
        </w:rPr>
        <w:t>152</w:t>
      </w:r>
      <w:r>
        <w:rPr>
          <w:snapToGrid w:val="0"/>
        </w:rPr>
        <w:t>.</w:t>
      </w:r>
      <w:r>
        <w:rPr>
          <w:snapToGrid w:val="0"/>
        </w:rPr>
        <w:tab/>
        <w:t>Disclosure of information by officials</w:t>
      </w:r>
      <w:bookmarkEnd w:id="679"/>
      <w:bookmarkEnd w:id="680"/>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[Section 152 amended by No. 73 of 2006 s. 110; No. 56 of 2010 s. 69.]</w:t>
      </w:r>
    </w:p>
    <w:p>
      <w:pPr>
        <w:pStyle w:val="Heading2"/>
      </w:pPr>
      <w:bookmarkStart w:id="681" w:name="_Toc377389022"/>
      <w:bookmarkStart w:id="682" w:name="_Toc406080233"/>
      <w:bookmarkStart w:id="683" w:name="_Toc416876220"/>
      <w:bookmarkStart w:id="684" w:name="_Toc416876574"/>
      <w:bookmarkStart w:id="685" w:name="_Toc417973256"/>
      <w:bookmarkStart w:id="686" w:name="_Toc423530662"/>
      <w:r>
        <w:rPr>
          <w:rStyle w:val="CharPartNo"/>
        </w:rPr>
        <w:t>Part 5A</w:t>
      </w:r>
      <w:r>
        <w:rPr>
          <w:rStyle w:val="CharDivNo"/>
        </w:rPr>
        <w:t> </w:t>
      </w:r>
      <w:r>
        <w:t>—</w:t>
      </w:r>
      <w:r>
        <w:rPr>
          <w:rStyle w:val="CharDivText"/>
        </w:rPr>
        <w:t> </w:t>
      </w:r>
      <w:r>
        <w:rPr>
          <w:rStyle w:val="CharPartText"/>
        </w:rPr>
        <w:t>Prohibition orders</w:t>
      </w:r>
      <w:bookmarkEnd w:id="681"/>
      <w:bookmarkEnd w:id="682"/>
      <w:bookmarkEnd w:id="683"/>
      <w:bookmarkEnd w:id="684"/>
      <w:bookmarkEnd w:id="685"/>
      <w:bookmarkEnd w:id="686"/>
    </w:p>
    <w:p>
      <w:pPr>
        <w:pStyle w:val="Footnoteheading"/>
      </w:pPr>
      <w:r>
        <w:tab/>
        <w:t>[Heading inserted by No. 73 of 2006 s. 97.]</w:t>
      </w:r>
    </w:p>
    <w:p>
      <w:pPr>
        <w:pStyle w:val="Heading5"/>
        <w:spacing w:before="240"/>
      </w:pPr>
      <w:bookmarkStart w:id="687" w:name="_Toc406080234"/>
      <w:bookmarkStart w:id="688" w:name="_Toc423530663"/>
      <w:r>
        <w:rPr>
          <w:rStyle w:val="CharSectno"/>
        </w:rPr>
        <w:t>152A</w:t>
      </w:r>
      <w:r>
        <w:t>.</w:t>
      </w:r>
      <w:r>
        <w:tab/>
        <w:t>Terms used</w:t>
      </w:r>
      <w:bookmarkEnd w:id="687"/>
      <w:bookmarkEnd w:id="688"/>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t>
      </w:r>
      <w:smartTag w:uri="urn:schemas-microsoft-com:office:smarttags" w:element="place">
        <w:smartTag w:uri="urn:schemas-microsoft-com:office:smarttags" w:element="State">
          <w:r>
            <w:rPr>
              <w:i/>
            </w:rPr>
            <w:t>Western Australia</w:t>
          </w:r>
        </w:smartTag>
      </w:smartTag>
      <w:r>
        <w:rPr>
          <w:i/>
        </w:rPr>
        <w:t>) Act 2004</w:t>
      </w:r>
      <w:r>
        <w:t>.</w:t>
      </w:r>
    </w:p>
    <w:p>
      <w:pPr>
        <w:pStyle w:val="Footnotesection"/>
      </w:pPr>
      <w:r>
        <w:tab/>
        <w:t>[Section 152A inserted by No. 73 of 2006 s. 97.]</w:t>
      </w:r>
    </w:p>
    <w:p>
      <w:pPr>
        <w:pStyle w:val="Heading5"/>
        <w:spacing w:before="240"/>
      </w:pPr>
      <w:bookmarkStart w:id="689" w:name="_Toc406080235"/>
      <w:bookmarkStart w:id="690" w:name="_Toc423530664"/>
      <w:r>
        <w:rPr>
          <w:rStyle w:val="CharSectno"/>
        </w:rPr>
        <w:t>152B</w:t>
      </w:r>
      <w:r>
        <w:t>.</w:t>
      </w:r>
      <w:r>
        <w:tab/>
        <w:t>Commissioner of Police may apply for prohibition orders</w:t>
      </w:r>
      <w:bookmarkEnd w:id="689"/>
      <w:bookmarkEnd w:id="690"/>
    </w:p>
    <w:p>
      <w:pPr>
        <w:pStyle w:val="Subsection"/>
        <w:spacing w:before="180"/>
      </w:pPr>
      <w:r>
        <w:tab/>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Footnotesection"/>
      </w:pPr>
      <w:r>
        <w:tab/>
        <w:t>[Section 152B inserted by No. 73 of 2006 s. 97.]</w:t>
      </w:r>
    </w:p>
    <w:p>
      <w:pPr>
        <w:pStyle w:val="Heading5"/>
      </w:pPr>
      <w:bookmarkStart w:id="691" w:name="_Toc406080236"/>
      <w:bookmarkStart w:id="692" w:name="_Toc423530665"/>
      <w:r>
        <w:rPr>
          <w:rStyle w:val="CharSectno"/>
        </w:rPr>
        <w:t>152C</w:t>
      </w:r>
      <w:r>
        <w:t>.</w:t>
      </w:r>
      <w:r>
        <w:tab/>
        <w:t>Evidence in support of s. 152B application</w:t>
      </w:r>
      <w:bookmarkEnd w:id="691"/>
      <w:bookmarkEnd w:id="692"/>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by No. 73 of 2006 s. 97.]</w:t>
      </w:r>
    </w:p>
    <w:p>
      <w:pPr>
        <w:pStyle w:val="Heading5"/>
      </w:pPr>
      <w:bookmarkStart w:id="693" w:name="_Toc406080237"/>
      <w:bookmarkStart w:id="694" w:name="_Toc423530666"/>
      <w:r>
        <w:rPr>
          <w:rStyle w:val="CharSectno"/>
        </w:rPr>
        <w:t>152D</w:t>
      </w:r>
      <w:r>
        <w:t>.</w:t>
      </w:r>
      <w:r>
        <w:tab/>
        <w:t>Notice of s. 152B application etc. to be given to relevant person</w:t>
      </w:r>
      <w:bookmarkEnd w:id="693"/>
      <w:bookmarkEnd w:id="694"/>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by No. 73 of 2006 s. 97.]</w:t>
      </w:r>
    </w:p>
    <w:p>
      <w:pPr>
        <w:pStyle w:val="Heading5"/>
      </w:pPr>
      <w:bookmarkStart w:id="695" w:name="_Toc406080238"/>
      <w:bookmarkStart w:id="696" w:name="_Toc423530667"/>
      <w:r>
        <w:rPr>
          <w:rStyle w:val="CharSectno"/>
        </w:rPr>
        <w:t>152E</w:t>
      </w:r>
      <w:r>
        <w:t>.</w:t>
      </w:r>
      <w:r>
        <w:tab/>
        <w:t>Director may make prohibition orders</w:t>
      </w:r>
      <w:bookmarkEnd w:id="695"/>
      <w:bookmarkEnd w:id="696"/>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by No. 73 of 2006 s. 97.]</w:t>
      </w:r>
    </w:p>
    <w:p>
      <w:pPr>
        <w:pStyle w:val="Heading5"/>
        <w:keepLines w:val="0"/>
      </w:pPr>
      <w:bookmarkStart w:id="697" w:name="_Toc406080239"/>
      <w:bookmarkStart w:id="698" w:name="_Toc423530668"/>
      <w:r>
        <w:rPr>
          <w:rStyle w:val="CharSectno"/>
        </w:rPr>
        <w:t>152F</w:t>
      </w:r>
      <w:r>
        <w:t>.</w:t>
      </w:r>
      <w:r>
        <w:tab/>
        <w:t>Term of prohibition orders</w:t>
      </w:r>
      <w:bookmarkEnd w:id="697"/>
      <w:bookmarkEnd w:id="698"/>
    </w:p>
    <w:p>
      <w:pPr>
        <w:pStyle w:val="Subsection"/>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by No. 73 of 2006 s. 97.]</w:t>
      </w:r>
    </w:p>
    <w:p>
      <w:pPr>
        <w:pStyle w:val="Heading5"/>
      </w:pPr>
      <w:bookmarkStart w:id="699" w:name="_Toc406080240"/>
      <w:bookmarkStart w:id="700" w:name="_Toc423530669"/>
      <w:r>
        <w:rPr>
          <w:rStyle w:val="CharSectno"/>
        </w:rPr>
        <w:t>152G</w:t>
      </w:r>
      <w:r>
        <w:t>.</w:t>
      </w:r>
      <w:r>
        <w:tab/>
        <w:t>Applications to vary or revoke prohibition orders</w:t>
      </w:r>
      <w:bookmarkEnd w:id="699"/>
      <w:bookmarkEnd w:id="700"/>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by No. 73 of 2006 s. 97.]</w:t>
      </w:r>
    </w:p>
    <w:p>
      <w:pPr>
        <w:pStyle w:val="Heading5"/>
      </w:pPr>
      <w:bookmarkStart w:id="701" w:name="_Toc406080241"/>
      <w:bookmarkStart w:id="702" w:name="_Toc423530670"/>
      <w:r>
        <w:rPr>
          <w:rStyle w:val="CharSectno"/>
        </w:rPr>
        <w:t>152H</w:t>
      </w:r>
      <w:r>
        <w:t>.</w:t>
      </w:r>
      <w:r>
        <w:tab/>
        <w:t>Evidence in support of s. 152G application</w:t>
      </w:r>
      <w:bookmarkEnd w:id="701"/>
      <w:bookmarkEnd w:id="702"/>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by No. 73 of 2006 s. 97.]</w:t>
      </w:r>
    </w:p>
    <w:p>
      <w:pPr>
        <w:pStyle w:val="Heading5"/>
      </w:pPr>
      <w:bookmarkStart w:id="703" w:name="_Toc406080242"/>
      <w:bookmarkStart w:id="704" w:name="_Toc423530671"/>
      <w:r>
        <w:rPr>
          <w:rStyle w:val="CharSectno"/>
        </w:rPr>
        <w:t>152I</w:t>
      </w:r>
      <w:r>
        <w:t>.</w:t>
      </w:r>
      <w:r>
        <w:tab/>
        <w:t>Notice of s. 152G application etc. to be given to respondent</w:t>
      </w:r>
      <w:bookmarkEnd w:id="703"/>
      <w:bookmarkEnd w:id="704"/>
    </w:p>
    <w:p>
      <w:pPr>
        <w:pStyle w:val="Subsection"/>
        <w:keepNext/>
        <w:keepLines/>
      </w:pPr>
      <w:r>
        <w:tab/>
        <w:t>(1)</w:t>
      </w:r>
      <w:r>
        <w:tab/>
        <w:t xml:space="preserve">The Director is to give the respondent a written notice that — </w:t>
      </w:r>
    </w:p>
    <w:p>
      <w:pPr>
        <w:pStyle w:val="Indenta"/>
        <w:spacing w:before="70"/>
      </w:pPr>
      <w:r>
        <w:tab/>
        <w:t>(a)</w:t>
      </w:r>
      <w:r>
        <w:tab/>
        <w:t>states that the application has been made and explains the proposed effect of the order applied for; and</w:t>
      </w:r>
    </w:p>
    <w:p>
      <w:pPr>
        <w:pStyle w:val="Indenta"/>
        <w:spacing w:before="70"/>
      </w:pPr>
      <w:r>
        <w:tab/>
        <w:t>(b)</w:t>
      </w:r>
      <w:r>
        <w:tab/>
        <w:t>describes the information and documents provided in support of the application; and</w:t>
      </w:r>
    </w:p>
    <w:p>
      <w:pPr>
        <w:pStyle w:val="Indenta"/>
        <w:spacing w:before="70"/>
      </w:pPr>
      <w:r>
        <w:tab/>
        <w:t>(c)</w:t>
      </w:r>
      <w:r>
        <w:tab/>
        <w:t>informs the respondent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152I inserted by No. 73 of 2006 s. 97.]</w:t>
      </w:r>
    </w:p>
    <w:p>
      <w:pPr>
        <w:pStyle w:val="Heading5"/>
      </w:pPr>
      <w:bookmarkStart w:id="705" w:name="_Toc406080243"/>
      <w:bookmarkStart w:id="706" w:name="_Toc423530672"/>
      <w:r>
        <w:rPr>
          <w:rStyle w:val="CharSectno"/>
        </w:rPr>
        <w:t>152J</w:t>
      </w:r>
      <w:r>
        <w:t>.</w:t>
      </w:r>
      <w:r>
        <w:tab/>
        <w:t>Director may vary or revoke prohibition orders</w:t>
      </w:r>
      <w:bookmarkEnd w:id="705"/>
      <w:bookmarkEnd w:id="706"/>
    </w:p>
    <w:p>
      <w:pPr>
        <w:pStyle w:val="Subsection"/>
      </w:pPr>
      <w:r>
        <w:tab/>
        <w:t>(1)</w:t>
      </w:r>
      <w:r>
        <w:tab/>
        <w:t xml:space="preserve">The Director may dispose of the application — </w:t>
      </w:r>
    </w:p>
    <w:p>
      <w:pPr>
        <w:pStyle w:val="Indenta"/>
        <w:spacing w:before="70"/>
      </w:pPr>
      <w:r>
        <w:tab/>
        <w:t>(a)</w:t>
      </w:r>
      <w:r>
        <w:tab/>
        <w:t>by making an order that varies or revokes a prohibition order; or</w:t>
      </w:r>
    </w:p>
    <w:p>
      <w:pPr>
        <w:pStyle w:val="Indenta"/>
        <w:spacing w:before="70"/>
      </w:pPr>
      <w:r>
        <w:tab/>
        <w:t>(b)</w:t>
      </w:r>
      <w:r>
        <w:tab/>
        <w:t>by dismissing the application; or</w:t>
      </w:r>
    </w:p>
    <w:p>
      <w:pPr>
        <w:pStyle w:val="Indenta"/>
        <w:spacing w:before="70"/>
      </w:pPr>
      <w:r>
        <w:tab/>
        <w:t>(c)</w:t>
      </w:r>
      <w:r>
        <w:tab/>
        <w:t>at the request of the applicant — by discontinuing the application.</w:t>
      </w:r>
    </w:p>
    <w:p>
      <w:pPr>
        <w:pStyle w:val="Subsection"/>
      </w:pPr>
      <w:r>
        <w:tab/>
        <w:t>(2)</w:t>
      </w:r>
      <w:r>
        <w:tab/>
        <w:t xml:space="preserve">The Director may make an order varying or revoking a prohibition order only if satisfied that it is in the public interest to do so — </w:t>
      </w:r>
    </w:p>
    <w:p>
      <w:pPr>
        <w:pStyle w:val="Indenta"/>
        <w:spacing w:before="70"/>
      </w:pPr>
      <w:r>
        <w:tab/>
        <w:t>(a)</w:t>
      </w:r>
      <w:r>
        <w:tab/>
        <w:t>having given the respondent a reasonable opportunity to make submissions or to be heard in relation to the application; and</w:t>
      </w:r>
    </w:p>
    <w:p>
      <w:pPr>
        <w:pStyle w:val="Indenta"/>
        <w:spacing w:before="70"/>
      </w:pPr>
      <w:r>
        <w:tab/>
        <w:t>(b)</w:t>
      </w:r>
      <w:r>
        <w:tab/>
        <w:t xml:space="preserve">having regard to — </w:t>
      </w:r>
    </w:p>
    <w:p>
      <w:pPr>
        <w:pStyle w:val="Indenti"/>
        <w:spacing w:before="70"/>
      </w:pPr>
      <w:r>
        <w:tab/>
        <w:t>(i)</w:t>
      </w:r>
      <w:r>
        <w:tab/>
        <w:t>any information or document provided by the applicant in or with the application; and</w:t>
      </w:r>
    </w:p>
    <w:p>
      <w:pPr>
        <w:pStyle w:val="Indenti"/>
        <w:spacing w:before="70"/>
      </w:pPr>
      <w:r>
        <w:tab/>
        <w:t>(ii)</w:t>
      </w:r>
      <w:r>
        <w:tab/>
        <w:t>any information or document provided by the respondent under paragraph (a).</w:t>
      </w:r>
    </w:p>
    <w:p>
      <w:pPr>
        <w:pStyle w:val="Footnotesection"/>
      </w:pPr>
      <w:r>
        <w:tab/>
        <w:t>[Section 152J inserted by No. 73 of 2006 s. 97.]</w:t>
      </w:r>
    </w:p>
    <w:p>
      <w:pPr>
        <w:pStyle w:val="Heading5"/>
      </w:pPr>
      <w:bookmarkStart w:id="707" w:name="_Toc406080244"/>
      <w:bookmarkStart w:id="708" w:name="_Toc423530673"/>
      <w:r>
        <w:rPr>
          <w:rStyle w:val="CharSectno"/>
        </w:rPr>
        <w:t>152K</w:t>
      </w:r>
      <w:r>
        <w:t>.</w:t>
      </w:r>
      <w:r>
        <w:tab/>
        <w:t>Service and publication of prohibition orders</w:t>
      </w:r>
      <w:bookmarkEnd w:id="707"/>
      <w:bookmarkEnd w:id="708"/>
    </w:p>
    <w:p>
      <w:pPr>
        <w:pStyle w:val="Subsection"/>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(2A)</w:t>
      </w:r>
      <w:r>
        <w:tab/>
        <w:t xml:space="preserve">If the Director makes a prohibition order, the Director may publish all or any of the following information or material in relation to the relevant person if that information or material was provided with the application of the Commissioner of Police under section 152B — </w:t>
      </w:r>
    </w:p>
    <w:p>
      <w:pPr>
        <w:pStyle w:val="Indenta"/>
      </w:pPr>
      <w:r>
        <w:tab/>
        <w:t>(a)</w:t>
      </w:r>
      <w:r>
        <w:tab/>
        <w:t>the name of the relevant person;</w:t>
      </w:r>
    </w:p>
    <w:p>
      <w:pPr>
        <w:pStyle w:val="Indenta"/>
      </w:pPr>
      <w:r>
        <w:tab/>
        <w:t>(b)</w:t>
      </w:r>
      <w:r>
        <w:tab/>
        <w:t>a photograph of the relevant person;</w:t>
      </w:r>
    </w:p>
    <w:p>
      <w:pPr>
        <w:pStyle w:val="Indenta"/>
      </w:pPr>
      <w:r>
        <w:tab/>
        <w:t>(c)</w:t>
      </w:r>
      <w:r>
        <w:tab/>
        <w:t>the town or suburb where the relevant person lives;</w:t>
      </w:r>
    </w:p>
    <w:p>
      <w:pPr>
        <w:pStyle w:val="Indenta"/>
      </w:pPr>
      <w:r>
        <w:tab/>
        <w:t>(d)</w:t>
      </w:r>
      <w:r>
        <w:tab/>
        <w:t>the licensed premises, or class of licensed premises, in relation to which the order relates.</w:t>
      </w:r>
    </w:p>
    <w:p>
      <w:pPr>
        <w:pStyle w:val="Subsection"/>
      </w:pPr>
      <w:r>
        <w:tab/>
        <w:t>(2B)</w:t>
      </w:r>
      <w:r>
        <w:tab/>
        <w:t>Subsection (2A) does not permit the publication of anything that identifies, or is capable of identifying —</w:t>
      </w:r>
    </w:p>
    <w:p>
      <w:pPr>
        <w:pStyle w:val="Indenta"/>
      </w:pPr>
      <w:r>
        <w:tab/>
        <w:t>(a)</w:t>
      </w:r>
      <w:r>
        <w:tab/>
        <w:t>a child other than the relevant person; or</w:t>
      </w:r>
    </w:p>
    <w:p>
      <w:pPr>
        <w:pStyle w:val="Indenta"/>
      </w:pPr>
      <w:r>
        <w:tab/>
        <w:t>(c)</w:t>
      </w:r>
      <w:r>
        <w:tab/>
        <w:t>the details of any offence of which the relevant person was convicted in the Children’s Court.</w:t>
      </w:r>
    </w:p>
    <w:p>
      <w:pPr>
        <w:pStyle w:val="Subsection"/>
      </w:pPr>
      <w:r>
        <w:tab/>
        <w:t>(2C)</w:t>
      </w:r>
      <w:r>
        <w:tab/>
        <w:t>A person may republish in any manner something that has been published under subsection (2A).</w:t>
      </w:r>
    </w:p>
    <w:p>
      <w:pPr>
        <w:pStyle w:val="Subsection"/>
        <w:keepNext/>
      </w:pPr>
      <w:r>
        <w:tab/>
        <w:t>(2)</w:t>
      </w:r>
      <w:r>
        <w:tab/>
        <w:t>If the Director makes an order varying or revoking a prohibition order, the Director is to give a copy of the order to the applicant and the respondent.</w:t>
      </w:r>
    </w:p>
    <w:p>
      <w:pPr>
        <w:pStyle w:val="Footnotesection"/>
      </w:pPr>
      <w:r>
        <w:tab/>
        <w:t>[Section 152K inserted by No. 73 of 2006 s. 97; amended by No. 56 of 2010 s. 32.]</w:t>
      </w:r>
    </w:p>
    <w:p>
      <w:pPr>
        <w:pStyle w:val="Heading5"/>
      </w:pPr>
      <w:bookmarkStart w:id="709" w:name="_Toc406080245"/>
      <w:bookmarkStart w:id="710" w:name="_Toc423530674"/>
      <w:r>
        <w:rPr>
          <w:rStyle w:val="CharSectno"/>
        </w:rPr>
        <w:t>152L</w:t>
      </w:r>
      <w:r>
        <w:t>.</w:t>
      </w:r>
      <w:r>
        <w:tab/>
        <w:t>Failing to comply with prohibition orders</w:t>
      </w:r>
      <w:bookmarkEnd w:id="709"/>
      <w:bookmarkEnd w:id="710"/>
    </w:p>
    <w:p>
      <w:pPr>
        <w:pStyle w:val="Subsection"/>
      </w:pPr>
      <w:r>
        <w:tab/>
        <w:t>(1)</w:t>
      </w:r>
      <w:r>
        <w:tab/>
        <w:t>A person given a copy of a prohibition order under section 152K(1)(a) who fails, without reasonable excuse, to comply with the order commits an offence.</w:t>
      </w:r>
    </w:p>
    <w:p>
      <w:pPr>
        <w:pStyle w:val="Penstart"/>
      </w:pPr>
      <w:r>
        <w:tab/>
        <w:t>Penalty: a fine of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a fine of $10 000.</w:t>
      </w:r>
    </w:p>
    <w:p>
      <w:pPr>
        <w:pStyle w:val="Footnotesection"/>
      </w:pPr>
      <w:r>
        <w:tab/>
        <w:t>[Section 152L inserted by No. 73 of 2006 s. 97; amended by No. 56 of 2010 s. 69.]</w:t>
      </w:r>
    </w:p>
    <w:p>
      <w:pPr>
        <w:pStyle w:val="Heading5"/>
      </w:pPr>
      <w:bookmarkStart w:id="711" w:name="_Toc406080246"/>
      <w:bookmarkStart w:id="712" w:name="_Toc423530675"/>
      <w:r>
        <w:rPr>
          <w:rStyle w:val="CharSectno"/>
        </w:rPr>
        <w:t>152M</w:t>
      </w:r>
      <w:r>
        <w:t>.</w:t>
      </w:r>
      <w:r>
        <w:tab/>
        <w:t>Permitting entry to premises contrary to prohibition order</w:t>
      </w:r>
      <w:bookmarkEnd w:id="711"/>
      <w:bookmarkEnd w:id="712"/>
    </w:p>
    <w:p>
      <w:pPr>
        <w:pStyle w:val="Subsection"/>
      </w:pPr>
      <w:r>
        <w:tab/>
      </w:r>
      <w:r>
        <w:tab/>
        <w:t xml:space="preserve">A responsible person in relation to licensed premises commits an offence if the responsible person — </w:t>
      </w:r>
    </w:p>
    <w:p>
      <w:pPr>
        <w:pStyle w:val="Indenta"/>
      </w:pPr>
      <w:r>
        <w:tab/>
        <w:t>(a)</w:t>
      </w:r>
      <w:r>
        <w:tab/>
        <w:t>knows that a prohibition order has been made against a person in respect of the premises; and</w:t>
      </w:r>
    </w:p>
    <w:p>
      <w:pPr>
        <w:pStyle w:val="Indenta"/>
      </w:pPr>
      <w:r>
        <w:tab/>
        <w:t>(b)</w:t>
      </w:r>
      <w:r>
        <w:tab/>
        <w:t>permits the person to enter or remain on the premises contrary to the order.</w:t>
      </w:r>
    </w:p>
    <w:p>
      <w:pPr>
        <w:pStyle w:val="Penstart"/>
      </w:pPr>
      <w:r>
        <w:tab/>
        <w:t>Penalty: a fine of $10 000.</w:t>
      </w:r>
    </w:p>
    <w:p>
      <w:pPr>
        <w:pStyle w:val="Footnotesection"/>
      </w:pPr>
      <w:r>
        <w:tab/>
        <w:t>[Section 152M inserted by No. 56 of 2010 s. 33.]</w:t>
      </w:r>
    </w:p>
    <w:p>
      <w:pPr>
        <w:pStyle w:val="Heading5"/>
      </w:pPr>
      <w:bookmarkStart w:id="713" w:name="_Toc406080247"/>
      <w:bookmarkStart w:id="714" w:name="_Toc423530676"/>
      <w:r>
        <w:rPr>
          <w:rStyle w:val="CharSectno"/>
        </w:rPr>
        <w:t>152NA</w:t>
      </w:r>
      <w:r>
        <w:t>.</w:t>
      </w:r>
      <w:r>
        <w:tab/>
        <w:t xml:space="preserve">Relationship with </w:t>
      </w:r>
      <w:r>
        <w:rPr>
          <w:i/>
        </w:rPr>
        <w:t>Criminal Organisations Control Act 2012</w:t>
      </w:r>
      <w:bookmarkEnd w:id="713"/>
      <w:bookmarkEnd w:id="714"/>
    </w:p>
    <w:p>
      <w:pPr>
        <w:pStyle w:val="Subsection"/>
      </w:pPr>
      <w:r>
        <w:tab/>
      </w:r>
      <w:r>
        <w:tab/>
        <w:t xml:space="preserve">A prohibition order is of no effect to the extent that it conflicts with or duplicates a condition of an interim control order or a control order under the </w:t>
      </w:r>
      <w:r>
        <w:rPr>
          <w:i/>
        </w:rPr>
        <w:t>Criminal Organisations Control Act 2012</w:t>
      </w:r>
      <w:r>
        <w:t xml:space="preserve"> that applies to the relevant person.</w:t>
      </w:r>
    </w:p>
    <w:p>
      <w:pPr>
        <w:pStyle w:val="Footnotesection"/>
      </w:pPr>
      <w:r>
        <w:tab/>
        <w:t>[Section 152NA inserted by No. 49 of 2012 s. 178.]</w:t>
      </w:r>
    </w:p>
    <w:p>
      <w:pPr>
        <w:pStyle w:val="Heading2"/>
      </w:pPr>
      <w:bookmarkStart w:id="715" w:name="_Toc377389037"/>
      <w:bookmarkStart w:id="716" w:name="_Toc406080248"/>
      <w:bookmarkStart w:id="717" w:name="_Toc416876235"/>
      <w:bookmarkStart w:id="718" w:name="_Toc416876589"/>
      <w:bookmarkStart w:id="719" w:name="_Toc417973271"/>
      <w:bookmarkStart w:id="720" w:name="_Toc423530677"/>
      <w:r>
        <w:rPr>
          <w:rStyle w:val="CharPartNo"/>
        </w:rPr>
        <w:t>Part 5B</w:t>
      </w:r>
      <w:r>
        <w:rPr>
          <w:rStyle w:val="CharDivNo"/>
        </w:rPr>
        <w:t> </w:t>
      </w:r>
      <w:r>
        <w:t>—</w:t>
      </w:r>
      <w:r>
        <w:rPr>
          <w:rStyle w:val="CharDivText"/>
        </w:rPr>
        <w:t> </w:t>
      </w:r>
      <w:r>
        <w:rPr>
          <w:rStyle w:val="CharPartText"/>
        </w:rPr>
        <w:t>Liquor restricted premises</w:t>
      </w:r>
      <w:bookmarkEnd w:id="715"/>
      <w:bookmarkEnd w:id="716"/>
      <w:bookmarkEnd w:id="717"/>
      <w:bookmarkEnd w:id="718"/>
      <w:bookmarkEnd w:id="719"/>
      <w:bookmarkEnd w:id="720"/>
    </w:p>
    <w:p>
      <w:pPr>
        <w:pStyle w:val="Footnoteheading"/>
      </w:pPr>
      <w:r>
        <w:tab/>
        <w:t>[Heading inserted by No. 56 of 2010 s. 26.]</w:t>
      </w:r>
    </w:p>
    <w:p>
      <w:pPr>
        <w:pStyle w:val="Heading5"/>
      </w:pPr>
      <w:bookmarkStart w:id="721" w:name="_Toc406080249"/>
      <w:bookmarkStart w:id="722" w:name="_Toc423530678"/>
      <w:r>
        <w:rPr>
          <w:rStyle w:val="CharSectno"/>
        </w:rPr>
        <w:t>152N</w:t>
      </w:r>
      <w:r>
        <w:t>.</w:t>
      </w:r>
      <w:r>
        <w:tab/>
        <w:t>Terms used</w:t>
      </w:r>
      <w:bookmarkEnd w:id="721"/>
      <w:bookmarkEnd w:id="722"/>
    </w:p>
    <w:p>
      <w:pPr>
        <w:pStyle w:val="Subsection"/>
      </w:pPr>
      <w:r>
        <w:tab/>
      </w:r>
      <w:r>
        <w:tab/>
        <w:t>In this Part —</w:t>
      </w:r>
    </w:p>
    <w:p>
      <w:pPr>
        <w:pStyle w:val="Defstart"/>
      </w:pPr>
      <w:r>
        <w:tab/>
      </w:r>
      <w:r>
        <w:rPr>
          <w:rStyle w:val="CharDefText"/>
        </w:rPr>
        <w:t>applicant</w:t>
      </w:r>
      <w:r>
        <w:t>, in relation to a liquor restriction declaration, means the person on whose application the declaration was granted;</w:t>
      </w:r>
    </w:p>
    <w:p>
      <w:pPr>
        <w:pStyle w:val="Defstart"/>
      </w:pPr>
      <w:r>
        <w:tab/>
      </w:r>
      <w:r>
        <w:rPr>
          <w:rStyle w:val="CharDefText"/>
        </w:rPr>
        <w:t>liquor restricted premises</w:t>
      </w:r>
      <w:r>
        <w:t xml:space="preserve"> means premises that are the subject of a liquor restriction declaration that is in force;</w:t>
      </w:r>
    </w:p>
    <w:p>
      <w:pPr>
        <w:pStyle w:val="Defstart"/>
      </w:pPr>
      <w:r>
        <w:tab/>
      </w:r>
      <w:r>
        <w:rPr>
          <w:rStyle w:val="CharDefText"/>
        </w:rPr>
        <w:t>liquor restriction declaration</w:t>
      </w:r>
      <w:r>
        <w:t xml:space="preserve"> means a declaration made under section 152P;</w:t>
      </w:r>
    </w:p>
    <w:p>
      <w:pPr>
        <w:pStyle w:val="Defstart"/>
      </w:pPr>
      <w:r>
        <w:tab/>
      </w:r>
      <w:r>
        <w:rPr>
          <w:rStyle w:val="CharDefText"/>
        </w:rPr>
        <w:t>occupier</w:t>
      </w:r>
      <w:r>
        <w:t>, in relation to premises, means a person who is, or is entitled to be, in occupation or control of the premises, whether exclusively or jointly or in common with other persons.</w:t>
      </w:r>
    </w:p>
    <w:p>
      <w:pPr>
        <w:pStyle w:val="Footnotesection"/>
      </w:pPr>
      <w:r>
        <w:tab/>
        <w:t>[Section 152N inserted by No. 56 of 2010 s. 26.]</w:t>
      </w:r>
    </w:p>
    <w:p>
      <w:pPr>
        <w:pStyle w:val="Heading5"/>
      </w:pPr>
      <w:bookmarkStart w:id="723" w:name="_Toc406080250"/>
      <w:bookmarkStart w:id="724" w:name="_Toc423530679"/>
      <w:r>
        <w:rPr>
          <w:rStyle w:val="CharSectno"/>
        </w:rPr>
        <w:t>152O</w:t>
      </w:r>
      <w:r>
        <w:t>.</w:t>
      </w:r>
      <w:r>
        <w:tab/>
        <w:t>Liquor on liquor restricted premises, offences as to</w:t>
      </w:r>
      <w:bookmarkEnd w:id="723"/>
      <w:bookmarkEnd w:id="724"/>
    </w:p>
    <w:p>
      <w:pPr>
        <w:pStyle w:val="Subsection"/>
        <w:rPr>
          <w:snapToGrid w:val="0"/>
        </w:rPr>
      </w:pPr>
      <w:r>
        <w:tab/>
        <w:t>(1)</w:t>
      </w:r>
      <w:r>
        <w:tab/>
        <w:t>A</w:t>
      </w:r>
      <w:r>
        <w:rPr>
          <w:snapToGrid w:val="0"/>
        </w:rPr>
        <w:t xml:space="preserve"> person who —</w:t>
      </w:r>
    </w:p>
    <w:p>
      <w:pPr>
        <w:pStyle w:val="Indenta"/>
        <w:rPr>
          <w:snapToGrid w:val="0"/>
        </w:rPr>
      </w:pPr>
      <w:r>
        <w:rPr>
          <w:snapToGrid w:val="0"/>
        </w:rPr>
        <w:tab/>
        <w:t>(a)</w:t>
      </w:r>
      <w:r>
        <w:rPr>
          <w:snapToGrid w:val="0"/>
        </w:rPr>
        <w:tab/>
        <w:t>brings liquor onto; or</w:t>
      </w:r>
    </w:p>
    <w:p>
      <w:pPr>
        <w:pStyle w:val="Indenta"/>
        <w:rPr>
          <w:snapToGrid w:val="0"/>
        </w:rPr>
      </w:pPr>
      <w:r>
        <w:rPr>
          <w:snapToGrid w:val="0"/>
        </w:rPr>
        <w:tab/>
        <w:t>(b)</w:t>
      </w:r>
      <w:r>
        <w:rPr>
          <w:snapToGrid w:val="0"/>
        </w:rPr>
        <w:tab/>
        <w:t>causes liquor to be brought onto; or</w:t>
      </w:r>
    </w:p>
    <w:p>
      <w:pPr>
        <w:pStyle w:val="Indenta"/>
        <w:rPr>
          <w:snapToGrid w:val="0"/>
        </w:rPr>
      </w:pPr>
      <w:r>
        <w:rPr>
          <w:snapToGrid w:val="0"/>
        </w:rPr>
        <w:tab/>
        <w:t>(c)</w:t>
      </w:r>
      <w:r>
        <w:rPr>
          <w:snapToGrid w:val="0"/>
        </w:rPr>
        <w:tab/>
        <w:t>has in his or her possession or control any liquor on; or</w:t>
      </w:r>
    </w:p>
    <w:p>
      <w:pPr>
        <w:pStyle w:val="Indenta"/>
        <w:rPr>
          <w:snapToGrid w:val="0"/>
        </w:rPr>
      </w:pPr>
      <w:r>
        <w:rPr>
          <w:snapToGrid w:val="0"/>
        </w:rPr>
        <w:tab/>
        <w:t>(d)</w:t>
      </w:r>
      <w:r>
        <w:rPr>
          <w:snapToGrid w:val="0"/>
        </w:rPr>
        <w:tab/>
        <w:t>consumes liquor on,</w:t>
      </w:r>
    </w:p>
    <w:p>
      <w:pPr>
        <w:pStyle w:val="Subsection"/>
        <w:rPr>
          <w:snapToGrid w:val="0"/>
        </w:rPr>
      </w:pPr>
      <w:r>
        <w:rPr>
          <w:snapToGrid w:val="0"/>
        </w:rPr>
        <w:tab/>
      </w:r>
      <w:r>
        <w:rPr>
          <w:snapToGrid w:val="0"/>
        </w:rPr>
        <w:tab/>
        <w:t>liquor restricted premises commits an offence.</w:t>
      </w:r>
    </w:p>
    <w:p>
      <w:pPr>
        <w:pStyle w:val="Penstart"/>
        <w:rPr>
          <w:snapToGrid w:val="0"/>
        </w:rPr>
      </w:pPr>
      <w:r>
        <w:rPr>
          <w:snapToGrid w:val="0"/>
        </w:rPr>
        <w:tab/>
        <w:t>Penalty: a fine of $2 000.</w:t>
      </w:r>
    </w:p>
    <w:p>
      <w:pPr>
        <w:pStyle w:val="Subsection"/>
      </w:pPr>
      <w:r>
        <w:tab/>
        <w:t>(2)</w:t>
      </w:r>
      <w:r>
        <w:tab/>
        <w:t>Subsection (1)(a), (b) and (c) do not apply if —</w:t>
      </w:r>
    </w:p>
    <w:p>
      <w:pPr>
        <w:pStyle w:val="Indenta"/>
      </w:pPr>
      <w:r>
        <w:tab/>
        <w:t>(a)</w:t>
      </w:r>
      <w:r>
        <w:tab/>
        <w:t>the person in possession of the liquor is passing through a part of the liquor restricted premises that is open to the public or through which the person has a right of access; and</w:t>
      </w:r>
    </w:p>
    <w:p>
      <w:pPr>
        <w:pStyle w:val="Indenta"/>
        <w:keepNext/>
      </w:pPr>
      <w:r>
        <w:tab/>
        <w:t>(b)</w:t>
      </w:r>
      <w:r>
        <w:tab/>
        <w:t>the liquor —</w:t>
      </w:r>
    </w:p>
    <w:p>
      <w:pPr>
        <w:pStyle w:val="Indenti"/>
      </w:pPr>
      <w:r>
        <w:tab/>
        <w:t>(i)</w:t>
      </w:r>
      <w:r>
        <w:tab/>
        <w:t>is in an unopened container or a container that having been opened is securely re</w:t>
      </w:r>
      <w:r>
        <w:noBreakHyphen/>
        <w:t>closed; and</w:t>
      </w:r>
    </w:p>
    <w:p>
      <w:pPr>
        <w:pStyle w:val="Indenti"/>
      </w:pPr>
      <w:r>
        <w:tab/>
        <w:t>(ii)</w:t>
      </w:r>
      <w:r>
        <w:tab/>
        <w:t>is intended for consumption off the liquor restricted premises.</w:t>
      </w:r>
    </w:p>
    <w:p>
      <w:pPr>
        <w:pStyle w:val="Subsection"/>
      </w:pPr>
      <w:r>
        <w:tab/>
        <w:t>(3)</w:t>
      </w:r>
      <w:r>
        <w:tab/>
        <w:t>It is a defence to a charge of an offence against subsection (1) to show that the person charged —</w:t>
      </w:r>
    </w:p>
    <w:p>
      <w:pPr>
        <w:pStyle w:val="Indenta"/>
      </w:pPr>
      <w:r>
        <w:tab/>
        <w:t>(a)</w:t>
      </w:r>
      <w:r>
        <w:tab/>
        <w:t>did not know; and</w:t>
      </w:r>
    </w:p>
    <w:p>
      <w:pPr>
        <w:pStyle w:val="Indenta"/>
      </w:pPr>
      <w:r>
        <w:tab/>
        <w:t>(b)</w:t>
      </w:r>
      <w:r>
        <w:tab/>
        <w:t>could not reasonably have been expected to know,</w:t>
      </w:r>
    </w:p>
    <w:p>
      <w:pPr>
        <w:pStyle w:val="Subsection"/>
      </w:pPr>
      <w:r>
        <w:tab/>
      </w:r>
      <w:r>
        <w:tab/>
        <w:t>that the premises were liquor restricted premises.</w:t>
      </w:r>
    </w:p>
    <w:p>
      <w:pPr>
        <w:pStyle w:val="Footnotesection"/>
      </w:pPr>
      <w:r>
        <w:tab/>
        <w:t>[Section 152O inserted by No. 56 of 2010 s. 26.]</w:t>
      </w:r>
    </w:p>
    <w:p>
      <w:pPr>
        <w:pStyle w:val="Heading5"/>
      </w:pPr>
      <w:bookmarkStart w:id="725" w:name="_Toc406080251"/>
      <w:bookmarkStart w:id="726" w:name="_Toc423530680"/>
      <w:r>
        <w:rPr>
          <w:rStyle w:val="CharSectno"/>
        </w:rPr>
        <w:t>152P</w:t>
      </w:r>
      <w:r>
        <w:t>.</w:t>
      </w:r>
      <w:r>
        <w:tab/>
        <w:t>Declaration of liquor restricted premises</w:t>
      </w:r>
      <w:bookmarkEnd w:id="725"/>
      <w:bookmarkEnd w:id="726"/>
    </w:p>
    <w:p>
      <w:pPr>
        <w:pStyle w:val="Subsection"/>
      </w:pPr>
      <w:r>
        <w:tab/>
        <w:t>(1)</w:t>
      </w:r>
      <w:r>
        <w:tab/>
        <w:t>The Director may, by notice in writing, declare any of, or any part of, the following to be liquor restricted premises —</w:t>
      </w:r>
    </w:p>
    <w:p>
      <w:pPr>
        <w:pStyle w:val="Indenta"/>
      </w:pPr>
      <w:r>
        <w:tab/>
        <w:t>(a)</w:t>
      </w:r>
      <w:r>
        <w:tab/>
        <w:t>residential premises;</w:t>
      </w:r>
    </w:p>
    <w:p>
      <w:pPr>
        <w:pStyle w:val="Indenta"/>
      </w:pPr>
      <w:r>
        <w:tab/>
        <w:t>(b)</w:t>
      </w:r>
      <w:r>
        <w:tab/>
        <w:t>non</w:t>
      </w:r>
      <w:r>
        <w:noBreakHyphen/>
        <w:t>residential private premises, even if all or part of the premises is open to the public;</w:t>
      </w:r>
    </w:p>
    <w:p>
      <w:pPr>
        <w:pStyle w:val="Indenta"/>
      </w:pPr>
      <w:r>
        <w:tab/>
        <w:t>(c)</w:t>
      </w:r>
      <w:r>
        <w:tab/>
        <w:t>Crown land that is occupied by a person who has a right to exclusive possession of the land.</w:t>
      </w:r>
    </w:p>
    <w:p>
      <w:pPr>
        <w:pStyle w:val="Subsection"/>
      </w:pPr>
      <w:r>
        <w:tab/>
        <w:t>(2)</w:t>
      </w:r>
      <w:r>
        <w:tab/>
        <w:t>A declaration may be made so as to declare premises to be a liquor restricted premises —</w:t>
      </w:r>
    </w:p>
    <w:p>
      <w:pPr>
        <w:pStyle w:val="Indenta"/>
      </w:pPr>
      <w:r>
        <w:tab/>
        <w:t>(a)</w:t>
      </w:r>
      <w:r>
        <w:tab/>
        <w:t>at all times; or</w:t>
      </w:r>
    </w:p>
    <w:p>
      <w:pPr>
        <w:pStyle w:val="Indenta"/>
      </w:pPr>
      <w:r>
        <w:tab/>
        <w:t>(b)</w:t>
      </w:r>
      <w:r>
        <w:tab/>
        <w:t>only during such periods as are specified in the declaration.</w:t>
      </w:r>
    </w:p>
    <w:p>
      <w:pPr>
        <w:pStyle w:val="Subsection"/>
      </w:pPr>
      <w:r>
        <w:tab/>
        <w:t>(3)</w:t>
      </w:r>
      <w:r>
        <w:tab/>
        <w:t>A declaration may be made subject to any exemptions or conditions the Director thinks fit.</w:t>
      </w:r>
    </w:p>
    <w:p>
      <w:pPr>
        <w:pStyle w:val="Subsection"/>
      </w:pPr>
      <w:r>
        <w:tab/>
        <w:t>(4)</w:t>
      </w:r>
      <w:r>
        <w:tab/>
        <w:t>The Director may exercise a power under subsection (1) on the application of —</w:t>
      </w:r>
    </w:p>
    <w:p>
      <w:pPr>
        <w:pStyle w:val="Indenta"/>
      </w:pPr>
      <w:r>
        <w:tab/>
        <w:t>(a)</w:t>
      </w:r>
      <w:r>
        <w:tab/>
        <w:t>an owner or occupier of the premises; or</w:t>
      </w:r>
    </w:p>
    <w:p>
      <w:pPr>
        <w:pStyle w:val="Indenta"/>
      </w:pPr>
      <w:r>
        <w:tab/>
        <w:t>(b)</w:t>
      </w:r>
      <w:r>
        <w:tab/>
        <w:t>a person who is, in relation to the premises, in a prescribed class of persons.</w:t>
      </w:r>
    </w:p>
    <w:p>
      <w:pPr>
        <w:pStyle w:val="Footnotesection"/>
        <w:spacing w:before="100"/>
        <w:ind w:left="890" w:hanging="890"/>
      </w:pPr>
      <w:r>
        <w:tab/>
        <w:t>[Section 152P inserted by No. 56 of 2010 s. 26.]</w:t>
      </w:r>
    </w:p>
    <w:p>
      <w:pPr>
        <w:pStyle w:val="Heading5"/>
        <w:spacing w:before="180"/>
      </w:pPr>
      <w:bookmarkStart w:id="727" w:name="_Toc406080252"/>
      <w:bookmarkStart w:id="728" w:name="_Toc423530681"/>
      <w:r>
        <w:rPr>
          <w:rStyle w:val="CharSectno"/>
        </w:rPr>
        <w:t>152Q</w:t>
      </w:r>
      <w:r>
        <w:t>.</w:t>
      </w:r>
      <w:r>
        <w:tab/>
        <w:t>Liquor restriction declarations, power to make</w:t>
      </w:r>
      <w:bookmarkEnd w:id="727"/>
      <w:bookmarkEnd w:id="728"/>
    </w:p>
    <w:p>
      <w:pPr>
        <w:pStyle w:val="Subsection"/>
        <w:spacing w:before="120"/>
      </w:pPr>
      <w:r>
        <w:tab/>
        <w:t>(1)</w:t>
      </w:r>
      <w:r>
        <w:tab/>
        <w:t>The Director may make a liquor restriction declaration if satisfied that making the declaration —</w:t>
      </w:r>
    </w:p>
    <w:p>
      <w:pPr>
        <w:pStyle w:val="Indenta"/>
        <w:spacing w:before="60"/>
      </w:pPr>
      <w:r>
        <w:tab/>
        <w:t>(a)</w:t>
      </w:r>
      <w:r>
        <w:tab/>
        <w:t>either —</w:t>
      </w:r>
    </w:p>
    <w:p>
      <w:pPr>
        <w:pStyle w:val="Indenti"/>
        <w:spacing w:before="60"/>
      </w:pPr>
      <w:r>
        <w:tab/>
        <w:t>(i)</w:t>
      </w:r>
      <w:r>
        <w:tab/>
        <w:t>reflects the wishes of the majority of the occupiers of the premises; or</w:t>
      </w:r>
    </w:p>
    <w:p>
      <w:pPr>
        <w:pStyle w:val="Indenti"/>
        <w:spacing w:before="60"/>
      </w:pPr>
      <w:r>
        <w:tab/>
        <w:t>(ii)</w:t>
      </w:r>
      <w:r>
        <w:tab/>
        <w:t>is in the public interest, despite not reflecting the wishes of the majority of the occupiers of the premises;</w:t>
      </w:r>
    </w:p>
    <w:p>
      <w:pPr>
        <w:pStyle w:val="Indenta"/>
        <w:spacing w:before="60"/>
      </w:pPr>
      <w:r>
        <w:tab/>
      </w:r>
      <w:r>
        <w:tab/>
        <w:t>and</w:t>
      </w:r>
    </w:p>
    <w:p>
      <w:pPr>
        <w:pStyle w:val="Indenta"/>
        <w:spacing w:before="60"/>
      </w:pPr>
      <w:r>
        <w:tab/>
        <w:t>(b)</w:t>
      </w:r>
      <w:r>
        <w:tab/>
        <w:t>is reasonable in the circumstances.</w:t>
      </w:r>
    </w:p>
    <w:p>
      <w:pPr>
        <w:pStyle w:val="Subsection"/>
        <w:spacing w:before="120"/>
      </w:pPr>
      <w:r>
        <w:tab/>
        <w:t>(2)</w:t>
      </w:r>
      <w:r>
        <w:tab/>
        <w:t>The Director may make a liquor restriction declaration in relation to all or part of the premises to which the application relates.</w:t>
      </w:r>
    </w:p>
    <w:p>
      <w:pPr>
        <w:pStyle w:val="Subsection"/>
        <w:spacing w:before="120"/>
      </w:pPr>
      <w:r>
        <w:tab/>
        <w:t>(3)</w:t>
      </w:r>
      <w:r>
        <w:tab/>
        <w:t>If the applicant is not the sole owner and occupier of premises to which an application relates the Director must not declare the premises to be liquor restricted premises unless the Director is satisfied that each other person who owns or occupies any part of the premises —</w:t>
      </w:r>
    </w:p>
    <w:p>
      <w:pPr>
        <w:pStyle w:val="Indenta"/>
      </w:pPr>
      <w:r>
        <w:tab/>
        <w:t>(a)</w:t>
      </w:r>
      <w:r>
        <w:tab/>
        <w:t>consents to the declaration being made; or</w:t>
      </w:r>
    </w:p>
    <w:p>
      <w:pPr>
        <w:pStyle w:val="Indenta"/>
      </w:pPr>
      <w:r>
        <w:tab/>
        <w:t>(b)</w:t>
      </w:r>
      <w:r>
        <w:tab/>
        <w:t>has —</w:t>
      </w:r>
    </w:p>
    <w:p>
      <w:pPr>
        <w:pStyle w:val="Indenti"/>
      </w:pPr>
      <w:r>
        <w:tab/>
        <w:t>(i)</w:t>
      </w:r>
      <w:r>
        <w:tab/>
        <w:t>been informed of the application; and</w:t>
      </w:r>
    </w:p>
    <w:p>
      <w:pPr>
        <w:pStyle w:val="Indenti"/>
      </w:pPr>
      <w:r>
        <w:tab/>
        <w:t>(ii)</w:t>
      </w:r>
      <w:r>
        <w:tab/>
        <w:t>had a reasonable opportunity to make submissions to the Director.</w:t>
      </w:r>
    </w:p>
    <w:p>
      <w:pPr>
        <w:pStyle w:val="Subsection"/>
        <w:spacing w:before="120"/>
      </w:pPr>
      <w:r>
        <w:tab/>
        <w:t>(4)</w:t>
      </w:r>
      <w:r>
        <w:tab/>
        <w:t>For the purposes of deciding whether to declare premises to be liquor restricted premises the Director may consult with all or any of the following persons —</w:t>
      </w:r>
    </w:p>
    <w:p>
      <w:pPr>
        <w:pStyle w:val="Indenta"/>
      </w:pPr>
      <w:r>
        <w:tab/>
        <w:t>(a)</w:t>
      </w:r>
      <w:r>
        <w:tab/>
        <w:t>owners or occupiers of the premises the subject of the application;</w:t>
      </w:r>
    </w:p>
    <w:p>
      <w:pPr>
        <w:pStyle w:val="Indenta"/>
      </w:pPr>
      <w:r>
        <w:tab/>
        <w:t>(b)</w:t>
      </w:r>
      <w:r>
        <w:tab/>
        <w:t>owners or occupiers of premises near the premises the subject of the application;</w:t>
      </w:r>
    </w:p>
    <w:p>
      <w:pPr>
        <w:pStyle w:val="Indenta"/>
      </w:pPr>
      <w:r>
        <w:tab/>
        <w:t>(c)</w:t>
      </w:r>
      <w:r>
        <w:tab/>
        <w:t>the Commissioner of Police;</w:t>
      </w:r>
    </w:p>
    <w:p>
      <w:pPr>
        <w:pStyle w:val="Indenta"/>
      </w:pPr>
      <w:r>
        <w:tab/>
        <w:t>(d)</w:t>
      </w:r>
      <w:r>
        <w:tab/>
        <w:t>the relevant local government;</w:t>
      </w:r>
    </w:p>
    <w:p>
      <w:pPr>
        <w:pStyle w:val="Indenta"/>
      </w:pPr>
      <w:r>
        <w:tab/>
        <w:t>(e)</w:t>
      </w:r>
      <w:r>
        <w:tab/>
        <w:t>any other person, body or authority the Director considers may be able to provide information relevant to the application.</w:t>
      </w:r>
    </w:p>
    <w:p>
      <w:pPr>
        <w:pStyle w:val="Subsection"/>
        <w:spacing w:before="180"/>
      </w:pPr>
      <w:r>
        <w:tab/>
        <w:t>(5)</w:t>
      </w:r>
      <w:r>
        <w:tab/>
        <w:t>If the Director refuses to make a liquor restriction declaration the Director must notify the applicant of the refusal and the grounds on which it was made.</w:t>
      </w:r>
    </w:p>
    <w:p>
      <w:pPr>
        <w:pStyle w:val="Footnotesection"/>
      </w:pPr>
      <w:r>
        <w:tab/>
        <w:t>[Section 152Q inserted by No. 56 of 2010 s. 26.]</w:t>
      </w:r>
    </w:p>
    <w:p>
      <w:pPr>
        <w:pStyle w:val="Heading5"/>
        <w:spacing w:before="240"/>
      </w:pPr>
      <w:bookmarkStart w:id="729" w:name="_Toc406080253"/>
      <w:bookmarkStart w:id="730" w:name="_Toc423530682"/>
      <w:r>
        <w:rPr>
          <w:rStyle w:val="CharSectno"/>
        </w:rPr>
        <w:t>152R</w:t>
      </w:r>
      <w:r>
        <w:t>.</w:t>
      </w:r>
      <w:r>
        <w:tab/>
        <w:t>Service etc. of liquor restriction declarations</w:t>
      </w:r>
      <w:bookmarkEnd w:id="729"/>
      <w:bookmarkEnd w:id="730"/>
    </w:p>
    <w:p>
      <w:pPr>
        <w:pStyle w:val="Subsection"/>
        <w:spacing w:before="180"/>
      </w:pPr>
      <w:r>
        <w:tab/>
        <w:t>(1)</w:t>
      </w:r>
      <w:r>
        <w:tab/>
        <w:t>On making a liquor restriction declaration the Director must give a copy of the declaration to —</w:t>
      </w:r>
    </w:p>
    <w:p>
      <w:pPr>
        <w:pStyle w:val="Indenta"/>
      </w:pPr>
      <w:r>
        <w:tab/>
        <w:t>(a)</w:t>
      </w:r>
      <w:r>
        <w:tab/>
        <w:t>the applicant; and</w:t>
      </w:r>
    </w:p>
    <w:p>
      <w:pPr>
        <w:pStyle w:val="Indenta"/>
      </w:pPr>
      <w:r>
        <w:tab/>
        <w:t>(b)</w:t>
      </w:r>
      <w:r>
        <w:tab/>
        <w:t>the Commissioner of Police.</w:t>
      </w:r>
    </w:p>
    <w:p>
      <w:pPr>
        <w:pStyle w:val="Subsection"/>
        <w:spacing w:before="180"/>
      </w:pPr>
      <w:r>
        <w:tab/>
        <w:t>(2)</w:t>
      </w:r>
      <w:r>
        <w:tab/>
        <w:t>On making a liquor restriction declaration the Director must give notice of the declaration to each other person who owns or occupies any part of the liquor restricted premises.</w:t>
      </w:r>
    </w:p>
    <w:p>
      <w:pPr>
        <w:pStyle w:val="Subsection"/>
        <w:spacing w:before="180"/>
      </w:pPr>
      <w:r>
        <w:tab/>
        <w:t>(3)</w:t>
      </w:r>
      <w:r>
        <w:tab/>
        <w:t>A notice under subsection (2) —</w:t>
      </w:r>
    </w:p>
    <w:p>
      <w:pPr>
        <w:pStyle w:val="Indenta"/>
      </w:pPr>
      <w:r>
        <w:tab/>
        <w:t>(a)</w:t>
      </w:r>
      <w:r>
        <w:tab/>
        <w:t>must comply with section 152S(3)(a); and</w:t>
      </w:r>
    </w:p>
    <w:p>
      <w:pPr>
        <w:pStyle w:val="Indenta"/>
      </w:pPr>
      <w:r>
        <w:tab/>
        <w:t>(b)</w:t>
      </w:r>
      <w:r>
        <w:tab/>
        <w:t>may be given in person or by post.</w:t>
      </w:r>
    </w:p>
    <w:p>
      <w:pPr>
        <w:pStyle w:val="Subsection"/>
        <w:spacing w:before="180"/>
      </w:pPr>
      <w:r>
        <w:tab/>
        <w:t>(4)</w:t>
      </w:r>
      <w:r>
        <w:tab/>
        <w:t>A failure to give notice as required by subsection (2) does not affect the validity of the declaration.</w:t>
      </w:r>
    </w:p>
    <w:p>
      <w:pPr>
        <w:pStyle w:val="Footnotesection"/>
      </w:pPr>
      <w:r>
        <w:tab/>
        <w:t>[Section 152R inserted by No. 56 of 2010 s. 26.]</w:t>
      </w:r>
    </w:p>
    <w:p>
      <w:pPr>
        <w:pStyle w:val="Heading5"/>
      </w:pPr>
      <w:bookmarkStart w:id="731" w:name="_Toc406080254"/>
      <w:bookmarkStart w:id="732" w:name="_Toc423530683"/>
      <w:r>
        <w:rPr>
          <w:rStyle w:val="CharSectno"/>
        </w:rPr>
        <w:t>152S</w:t>
      </w:r>
      <w:r>
        <w:t>.</w:t>
      </w:r>
      <w:r>
        <w:tab/>
        <w:t>Notice of liquor restriction declaration to be displayed at premises</w:t>
      </w:r>
      <w:bookmarkEnd w:id="731"/>
      <w:bookmarkEnd w:id="732"/>
    </w:p>
    <w:p>
      <w:pPr>
        <w:pStyle w:val="Subsection"/>
        <w:keepNext/>
        <w:keepLines/>
      </w:pPr>
      <w:r>
        <w:tab/>
        <w:t>(1)</w:t>
      </w:r>
      <w:r>
        <w:tab/>
        <w:t>As soon as practicable after a liquor restriction declaration is made the applicant must cause a notice about the declaration to be displayed at the liquor restricted premises.</w:t>
      </w:r>
    </w:p>
    <w:p>
      <w:pPr>
        <w:pStyle w:val="Penstart"/>
      </w:pPr>
      <w:r>
        <w:tab/>
        <w:t>Penalty: a fine of $2 000.</w:t>
      </w:r>
    </w:p>
    <w:p>
      <w:pPr>
        <w:pStyle w:val="Subsection"/>
      </w:pPr>
      <w:r>
        <w:tab/>
        <w:t>(2)</w:t>
      </w:r>
      <w:r>
        <w:tab/>
        <w:t>The applicant must ensure that the notice remains on display at all times while the declaration is in force.</w:t>
      </w:r>
    </w:p>
    <w:p>
      <w:pPr>
        <w:pStyle w:val="Penstart"/>
      </w:pPr>
      <w:r>
        <w:tab/>
        <w:t>Penalty: a fine of $2 000.</w:t>
      </w:r>
    </w:p>
    <w:p>
      <w:pPr>
        <w:pStyle w:val="Subsection"/>
      </w:pPr>
      <w:r>
        <w:tab/>
        <w:t>(3)</w:t>
      </w:r>
      <w:r>
        <w:tab/>
        <w:t>The notice must —</w:t>
      </w:r>
    </w:p>
    <w:p>
      <w:pPr>
        <w:pStyle w:val="Indenta"/>
      </w:pPr>
      <w:r>
        <w:tab/>
        <w:t>(a)</w:t>
      </w:r>
      <w:r>
        <w:tab/>
        <w:t>include —</w:t>
      </w:r>
    </w:p>
    <w:p>
      <w:pPr>
        <w:pStyle w:val="Indenti"/>
      </w:pPr>
      <w:r>
        <w:tab/>
        <w:t>(i)</w:t>
      </w:r>
      <w:r>
        <w:tab/>
        <w:t>a statement that the premises are liquor restricted premises; and</w:t>
      </w:r>
    </w:p>
    <w:p>
      <w:pPr>
        <w:pStyle w:val="Indenti"/>
      </w:pPr>
      <w:r>
        <w:tab/>
        <w:t>(ii)</w:t>
      </w:r>
      <w:r>
        <w:tab/>
        <w:t>a description or diagram of the area that is subject to the declaration in sufficient detail for it to be clearly identified; and</w:t>
      </w:r>
    </w:p>
    <w:p>
      <w:pPr>
        <w:pStyle w:val="Indenti"/>
      </w:pPr>
      <w:r>
        <w:tab/>
        <w:t>(iii)</w:t>
      </w:r>
      <w:r>
        <w:tab/>
        <w:t>a copy of the declaration; and</w:t>
      </w:r>
    </w:p>
    <w:p>
      <w:pPr>
        <w:pStyle w:val="Indenti"/>
      </w:pPr>
      <w:r>
        <w:tab/>
        <w:t>(iv)</w:t>
      </w:r>
      <w:r>
        <w:tab/>
        <w:t>a statement as to the effect of section 152O;</w:t>
      </w:r>
    </w:p>
    <w:p>
      <w:pPr>
        <w:pStyle w:val="Indenta"/>
      </w:pPr>
      <w:r>
        <w:tab/>
      </w:r>
      <w:r>
        <w:tab/>
        <w:t>and</w:t>
      </w:r>
    </w:p>
    <w:p>
      <w:pPr>
        <w:pStyle w:val="Indenta"/>
      </w:pPr>
      <w:r>
        <w:tab/>
        <w:t>(b)</w:t>
      </w:r>
      <w:r>
        <w:tab/>
        <w:t>be displayed in a conspicuous position on the premises; and</w:t>
      </w:r>
    </w:p>
    <w:p>
      <w:pPr>
        <w:pStyle w:val="Indenta"/>
      </w:pPr>
      <w:r>
        <w:tab/>
        <w:t>(c)</w:t>
      </w:r>
      <w:r>
        <w:tab/>
        <w:t>be in a readily legible condition; and</w:t>
      </w:r>
    </w:p>
    <w:p>
      <w:pPr>
        <w:pStyle w:val="Indenta"/>
      </w:pPr>
      <w:r>
        <w:tab/>
        <w:t>(d)</w:t>
      </w:r>
      <w:r>
        <w:tab/>
        <w:t>comply with any requirements prescribed in the regulations.</w:t>
      </w:r>
    </w:p>
    <w:p>
      <w:pPr>
        <w:pStyle w:val="Subsection"/>
      </w:pPr>
      <w:r>
        <w:tab/>
        <w:t>(4)</w:t>
      </w:r>
      <w:r>
        <w:tab/>
        <w:t>If the declaration is varied under section 152U, the notice must be changed accordingly.</w:t>
      </w:r>
    </w:p>
    <w:p>
      <w:pPr>
        <w:pStyle w:val="Subsection"/>
      </w:pPr>
      <w:r>
        <w:tab/>
        <w:t>(5)</w:t>
      </w:r>
      <w:r>
        <w:tab/>
        <w:t>A person must not remove, deface or otherwise interfere with a notice displayed as required by this section.</w:t>
      </w:r>
    </w:p>
    <w:p>
      <w:pPr>
        <w:pStyle w:val="Penstart"/>
      </w:pPr>
      <w:r>
        <w:tab/>
        <w:t>Penalty: a fine of $2 000.</w:t>
      </w:r>
    </w:p>
    <w:p>
      <w:pPr>
        <w:pStyle w:val="Footnotesection"/>
      </w:pPr>
      <w:r>
        <w:tab/>
        <w:t>[Section 152S inserted by No. 56 of 2010 s. 26.]</w:t>
      </w:r>
    </w:p>
    <w:p>
      <w:pPr>
        <w:pStyle w:val="Heading5"/>
      </w:pPr>
      <w:bookmarkStart w:id="733" w:name="_Toc406080255"/>
      <w:bookmarkStart w:id="734" w:name="_Toc423530684"/>
      <w:r>
        <w:rPr>
          <w:rStyle w:val="CharSectno"/>
        </w:rPr>
        <w:t>152T</w:t>
      </w:r>
      <w:r>
        <w:t>.</w:t>
      </w:r>
      <w:r>
        <w:tab/>
        <w:t>Duration of liquor restriction declarations</w:t>
      </w:r>
      <w:bookmarkEnd w:id="733"/>
      <w:bookmarkEnd w:id="734"/>
    </w:p>
    <w:p>
      <w:pPr>
        <w:pStyle w:val="Subsection"/>
      </w:pPr>
      <w:r>
        <w:tab/>
        <w:t>(1)</w:t>
      </w:r>
      <w:r>
        <w:tab/>
        <w:t>A liquor restriction declaration comes into force when it is made or at any later time specified in the declaration.</w:t>
      </w:r>
    </w:p>
    <w:p>
      <w:pPr>
        <w:pStyle w:val="Subsection"/>
      </w:pPr>
      <w:r>
        <w:tab/>
        <w:t>(2)</w:t>
      </w:r>
      <w:r>
        <w:tab/>
        <w:t>A liquor restriction declaration ceases to be in force when the first of the following occurs —</w:t>
      </w:r>
    </w:p>
    <w:p>
      <w:pPr>
        <w:pStyle w:val="Indenta"/>
      </w:pPr>
      <w:r>
        <w:tab/>
        <w:t>(a)</w:t>
      </w:r>
      <w:r>
        <w:tab/>
        <w:t>if the declaration was granted for a specified period — that period expires;</w:t>
      </w:r>
    </w:p>
    <w:p>
      <w:pPr>
        <w:pStyle w:val="Indenta"/>
      </w:pPr>
      <w:r>
        <w:tab/>
        <w:t>(b)</w:t>
      </w:r>
      <w:r>
        <w:tab/>
        <w:t>the Director revokes the declaration;</w:t>
      </w:r>
    </w:p>
    <w:p>
      <w:pPr>
        <w:pStyle w:val="Indenta"/>
      </w:pPr>
      <w:r>
        <w:tab/>
        <w:t>(c)</w:t>
      </w:r>
      <w:r>
        <w:tab/>
        <w:t>the applicant ceases to be a person who could apply for the declaration.</w:t>
      </w:r>
    </w:p>
    <w:p>
      <w:pPr>
        <w:pStyle w:val="Subsection"/>
        <w:spacing w:before="120"/>
      </w:pPr>
      <w:r>
        <w:tab/>
        <w:t>(3)</w:t>
      </w:r>
      <w:r>
        <w:tab/>
        <w:t>The applicant for a declaration must give written notice to the Director if the person ceases to be a person who could apply for the declaration, unless the declaration has already ceased to be in force under subsection (2)(a) or (b).</w:t>
      </w:r>
    </w:p>
    <w:p>
      <w:pPr>
        <w:pStyle w:val="Penstart"/>
      </w:pPr>
      <w:r>
        <w:tab/>
        <w:t>Penalty: a fine of $2 000.</w:t>
      </w:r>
    </w:p>
    <w:p>
      <w:pPr>
        <w:pStyle w:val="Footnotesection"/>
      </w:pPr>
      <w:r>
        <w:tab/>
        <w:t>[Section 152T inserted by No. 56 of 2010 s. 26.]</w:t>
      </w:r>
    </w:p>
    <w:p>
      <w:pPr>
        <w:pStyle w:val="Heading5"/>
        <w:spacing w:before="180"/>
      </w:pPr>
      <w:bookmarkStart w:id="735" w:name="_Toc406080256"/>
      <w:bookmarkStart w:id="736" w:name="_Toc423530685"/>
      <w:r>
        <w:rPr>
          <w:rStyle w:val="CharSectno"/>
        </w:rPr>
        <w:t>152U</w:t>
      </w:r>
      <w:r>
        <w:t>.</w:t>
      </w:r>
      <w:r>
        <w:tab/>
        <w:t>Varying liquor restriction declarations</w:t>
      </w:r>
      <w:bookmarkEnd w:id="735"/>
      <w:bookmarkEnd w:id="736"/>
    </w:p>
    <w:p>
      <w:pPr>
        <w:pStyle w:val="Subsection"/>
        <w:spacing w:before="120"/>
      </w:pPr>
      <w:r>
        <w:tab/>
        <w:t>(1)</w:t>
      </w:r>
      <w:r>
        <w:tab/>
        <w:t>The Director may vary a liquor restriction declaration if the Director is satisfied that varying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pPr>
      <w:r>
        <w:tab/>
      </w:r>
      <w:r>
        <w:tab/>
        <w:t>and</w:t>
      </w:r>
    </w:p>
    <w:p>
      <w:pPr>
        <w:pStyle w:val="Indenta"/>
      </w:pPr>
      <w:r>
        <w:tab/>
        <w:t>(b)</w:t>
      </w:r>
      <w:r>
        <w:tab/>
        <w:t>is reasonable in the circumstances.</w:t>
      </w:r>
    </w:p>
    <w:p>
      <w:pPr>
        <w:pStyle w:val="Subsection"/>
        <w:spacing w:before="120"/>
      </w:pPr>
      <w:r>
        <w:tab/>
        <w:t>(2)</w:t>
      </w:r>
      <w:r>
        <w:tab/>
        <w:t>Without limiting the variations that may be made under subsection (1) a declaration may be varied to do any or all of following —</w:t>
      </w:r>
    </w:p>
    <w:p>
      <w:pPr>
        <w:pStyle w:val="Indenta"/>
      </w:pPr>
      <w:r>
        <w:tab/>
        <w:t>(a)</w:t>
      </w:r>
      <w:r>
        <w:tab/>
        <w:t>change the area to which the declaration relates;</w:t>
      </w:r>
    </w:p>
    <w:p>
      <w:pPr>
        <w:pStyle w:val="Indenta"/>
      </w:pPr>
      <w:r>
        <w:tab/>
        <w:t>(b)</w:t>
      </w:r>
      <w:r>
        <w:tab/>
        <w:t>change the periods during which the premises is a liquor restricted premises;</w:t>
      </w:r>
    </w:p>
    <w:p>
      <w:pPr>
        <w:pStyle w:val="Indenta"/>
      </w:pPr>
      <w:r>
        <w:tab/>
        <w:t>(c)</w:t>
      </w:r>
      <w:r>
        <w:tab/>
        <w:t>create or change exemptions to, or conditions on, the declaration;</w:t>
      </w:r>
    </w:p>
    <w:p>
      <w:pPr>
        <w:pStyle w:val="Indenta"/>
      </w:pPr>
      <w:r>
        <w:tab/>
        <w:t>(d)</w:t>
      </w:r>
      <w:r>
        <w:tab/>
        <w:t>change the duration of the declaration.</w:t>
      </w:r>
    </w:p>
    <w:p>
      <w:pPr>
        <w:pStyle w:val="Subsection"/>
      </w:pPr>
      <w:r>
        <w:tab/>
        <w:t>(3)</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(4)</w:t>
      </w:r>
      <w:r>
        <w:tab/>
        <w:t>The Director must not vary a liquor restriction declaration unless the Director is satisfied that each person who owns or occupies any part of the premises —</w:t>
      </w:r>
    </w:p>
    <w:p>
      <w:pPr>
        <w:pStyle w:val="Indenta"/>
      </w:pPr>
      <w:r>
        <w:tab/>
        <w:t>(a)</w:t>
      </w:r>
      <w:r>
        <w:tab/>
        <w:t>consents to the variation being made; or</w:t>
      </w:r>
    </w:p>
    <w:p>
      <w:pPr>
        <w:pStyle w:val="Indenta"/>
      </w:pPr>
      <w:r>
        <w:tab/>
        <w:t>(b)</w:t>
      </w:r>
      <w:r>
        <w:tab/>
        <w:t>has —</w:t>
      </w:r>
    </w:p>
    <w:p>
      <w:pPr>
        <w:pStyle w:val="Indenti"/>
      </w:pPr>
      <w:r>
        <w:tab/>
        <w:t>(i)</w:t>
      </w:r>
      <w:r>
        <w:tab/>
        <w:t>been informed of the proposed variation; and</w:t>
      </w:r>
    </w:p>
    <w:p>
      <w:pPr>
        <w:pStyle w:val="Indenti"/>
      </w:pPr>
      <w:r>
        <w:tab/>
        <w:t>(ii)</w:t>
      </w:r>
      <w:r>
        <w:tab/>
        <w:t>had a reasonable opportunity to make submissions to the Director.</w:t>
      </w:r>
    </w:p>
    <w:p>
      <w:pPr>
        <w:pStyle w:val="Subsection"/>
      </w:pPr>
      <w:r>
        <w:tab/>
        <w:t>(5)</w:t>
      </w:r>
      <w:r>
        <w:tab/>
        <w:t>Section 152Q(4) and (5) apply, with any necessary modifications, to the exercise by the Director of a power under subsection (1).</w:t>
      </w:r>
    </w:p>
    <w:p>
      <w:pPr>
        <w:pStyle w:val="Footnotesection"/>
      </w:pPr>
      <w:r>
        <w:tab/>
        <w:t>[Section 152U inserted by No. 56 of 2010 s. 26.]</w:t>
      </w:r>
    </w:p>
    <w:p>
      <w:pPr>
        <w:pStyle w:val="Heading5"/>
      </w:pPr>
      <w:bookmarkStart w:id="737" w:name="_Toc406080257"/>
      <w:bookmarkStart w:id="738" w:name="_Toc423530686"/>
      <w:r>
        <w:rPr>
          <w:rStyle w:val="CharSectno"/>
        </w:rPr>
        <w:t>152V</w:t>
      </w:r>
      <w:r>
        <w:t>.</w:t>
      </w:r>
      <w:r>
        <w:tab/>
        <w:t>Revoking liquor restriction declarations</w:t>
      </w:r>
      <w:bookmarkEnd w:id="737"/>
      <w:bookmarkEnd w:id="738"/>
    </w:p>
    <w:p>
      <w:pPr>
        <w:pStyle w:val="Subsection"/>
      </w:pPr>
      <w:r>
        <w:tab/>
        <w:t>(1)</w:t>
      </w:r>
      <w:r>
        <w:tab/>
        <w:t>The Director may revoke a liquor restriction declaration if the Director is satisfied that the continuation of the declaration —</w:t>
      </w:r>
    </w:p>
    <w:p>
      <w:pPr>
        <w:pStyle w:val="Indenta"/>
      </w:pPr>
      <w:r>
        <w:tab/>
        <w:t>(a)</w:t>
      </w:r>
      <w:r>
        <w:tab/>
        <w:t>does not reflect the wishes of the majority of the occupiers of the premises; or</w:t>
      </w:r>
    </w:p>
    <w:p>
      <w:pPr>
        <w:pStyle w:val="Indenta"/>
      </w:pPr>
      <w:r>
        <w:tab/>
        <w:t>(b)</w:t>
      </w:r>
      <w:r>
        <w:tab/>
        <w:t>is not in the public interest; or</w:t>
      </w:r>
    </w:p>
    <w:p>
      <w:pPr>
        <w:pStyle w:val="Indenta"/>
      </w:pPr>
      <w:r>
        <w:tab/>
        <w:t>(c)</w:t>
      </w:r>
      <w:r>
        <w:tab/>
        <w:t>is not reasonable in the circumstances.</w:t>
      </w:r>
    </w:p>
    <w:p>
      <w:pPr>
        <w:pStyle w:val="Subsection"/>
      </w:pPr>
      <w:r>
        <w:tab/>
        <w:t>(2)</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(3)</w:t>
      </w:r>
      <w:r>
        <w:tab/>
        <w:t>The Director must not revoke a liquor restriction declaration unless the Director is satisfied that each person who owns or occupies any part of the premises —</w:t>
      </w:r>
    </w:p>
    <w:p>
      <w:pPr>
        <w:pStyle w:val="Indenta"/>
      </w:pPr>
      <w:r>
        <w:tab/>
        <w:t>(a)</w:t>
      </w:r>
      <w:r>
        <w:tab/>
        <w:t>consents to the revocation being made; or</w:t>
      </w:r>
    </w:p>
    <w:p>
      <w:pPr>
        <w:pStyle w:val="Indenta"/>
      </w:pPr>
      <w:r>
        <w:tab/>
        <w:t>(b)</w:t>
      </w:r>
      <w:r>
        <w:tab/>
        <w:t>has —</w:t>
      </w:r>
    </w:p>
    <w:p>
      <w:pPr>
        <w:pStyle w:val="Indenti"/>
      </w:pPr>
      <w:r>
        <w:tab/>
        <w:t>(i)</w:t>
      </w:r>
      <w:r>
        <w:tab/>
        <w:t>been informed of the proposed revocation; and</w:t>
      </w:r>
    </w:p>
    <w:p>
      <w:pPr>
        <w:pStyle w:val="Indenti"/>
      </w:pPr>
      <w:r>
        <w:tab/>
        <w:t>(ii)</w:t>
      </w:r>
      <w:r>
        <w:tab/>
        <w:t>had a reasonable opportunity to make submissions to the Director.</w:t>
      </w:r>
    </w:p>
    <w:p>
      <w:pPr>
        <w:pStyle w:val="Subsection"/>
      </w:pPr>
      <w:r>
        <w:tab/>
        <w:t>(4)</w:t>
      </w:r>
      <w:r>
        <w:tab/>
        <w:t>Section 152Q(4) and (5) apply, with any necessary modifications, to the exercise by the Director of a power under subsection (1).</w:t>
      </w:r>
    </w:p>
    <w:p>
      <w:pPr>
        <w:pStyle w:val="Footnotesection"/>
      </w:pPr>
      <w:r>
        <w:tab/>
        <w:t>[Section 152V inserted by No. 56 of 2010 s. 26.]</w:t>
      </w:r>
    </w:p>
    <w:p>
      <w:pPr>
        <w:pStyle w:val="Heading5"/>
      </w:pPr>
      <w:bookmarkStart w:id="739" w:name="_Toc406080258"/>
      <w:bookmarkStart w:id="740" w:name="_Toc423530687"/>
      <w:r>
        <w:rPr>
          <w:rStyle w:val="CharSectno"/>
        </w:rPr>
        <w:t>152W</w:t>
      </w:r>
      <w:r>
        <w:t>.</w:t>
      </w:r>
      <w:r>
        <w:tab/>
        <w:t>Applications generally</w:t>
      </w:r>
      <w:bookmarkEnd w:id="739"/>
      <w:bookmarkEnd w:id="740"/>
    </w:p>
    <w:p>
      <w:pPr>
        <w:pStyle w:val="Subsection"/>
      </w:pPr>
      <w:r>
        <w:tab/>
        <w:t>(1)</w:t>
      </w:r>
      <w:r>
        <w:tab/>
        <w:t>In this section —</w:t>
      </w:r>
    </w:p>
    <w:p>
      <w:pPr>
        <w:pStyle w:val="Defstart"/>
      </w:pPr>
      <w:r>
        <w:tab/>
      </w:r>
      <w:r>
        <w:rPr>
          <w:rStyle w:val="CharDefText"/>
        </w:rPr>
        <w:t>application</w:t>
      </w:r>
      <w:r>
        <w:t xml:space="preserve"> means any application for the purposes of this Part.</w:t>
      </w:r>
    </w:p>
    <w:p>
      <w:pPr>
        <w:pStyle w:val="Subsection"/>
      </w:pPr>
      <w:r>
        <w:rPr>
          <w:snapToGrid w:val="0"/>
        </w:rPr>
        <w:tab/>
        <w:t>(2)</w:t>
      </w:r>
      <w:r>
        <w:rPr>
          <w:snapToGrid w:val="0"/>
        </w:rPr>
        <w:tab/>
      </w:r>
      <w:r>
        <w:t xml:space="preserve">An </w:t>
      </w:r>
      <w:r>
        <w:rPr>
          <w:snapToGrid w:val="0"/>
        </w:rPr>
        <w:t>application must be made to the Director in</w:t>
      </w:r>
      <w:r>
        <w:t xml:space="preserve"> the form and manner approved by the Director.</w:t>
      </w:r>
    </w:p>
    <w:p>
      <w:pPr>
        <w:pStyle w:val="Subsection"/>
      </w:pPr>
      <w:r>
        <w:tab/>
        <w:t>(3)</w:t>
      </w:r>
      <w:r>
        <w:tab/>
        <w:t>An application must be accompanied by the prescribed fee.</w:t>
      </w:r>
    </w:p>
    <w:p>
      <w:pPr>
        <w:pStyle w:val="Subsection"/>
      </w:pPr>
      <w:r>
        <w:tab/>
        <w:t>(4)</w:t>
      </w:r>
      <w:r>
        <w:tab/>
        <w:t>An applicant must provide the Director with any information or document that the Director reasonably requires.</w:t>
      </w:r>
    </w:p>
    <w:p>
      <w:pPr>
        <w:pStyle w:val="Subsection"/>
      </w:pPr>
      <w:r>
        <w:tab/>
        <w:t>(5)</w:t>
      </w:r>
      <w:r>
        <w:tab/>
        <w:t>If an applicant does not comply with the requirements of this Part for the making of the application the Director —</w:t>
      </w:r>
    </w:p>
    <w:p>
      <w:pPr>
        <w:pStyle w:val="Indenta"/>
      </w:pPr>
      <w:r>
        <w:tab/>
        <w:t>(a)</w:t>
      </w:r>
      <w:r>
        <w:tab/>
        <w:t>may accept the application if the Director considers it appropriate to do so; or</w:t>
      </w:r>
    </w:p>
    <w:p>
      <w:pPr>
        <w:pStyle w:val="Indenta"/>
      </w:pPr>
      <w:r>
        <w:tab/>
        <w:t>(b)</w:t>
      </w:r>
      <w:r>
        <w:tab/>
        <w:t>may decline to deal with the application and, if so, must advise the applicant accordingly.</w:t>
      </w:r>
    </w:p>
    <w:p>
      <w:pPr>
        <w:pStyle w:val="Footnotesection"/>
      </w:pPr>
      <w:r>
        <w:tab/>
        <w:t>[Section 152W inserted by No. 56 of 2010 s. 26.]</w:t>
      </w:r>
    </w:p>
    <w:p>
      <w:pPr>
        <w:pStyle w:val="Heading5"/>
      </w:pPr>
      <w:bookmarkStart w:id="741" w:name="_Toc406080259"/>
      <w:bookmarkStart w:id="742" w:name="_Toc423530688"/>
      <w:r>
        <w:rPr>
          <w:rStyle w:val="CharSectno"/>
        </w:rPr>
        <w:t>152X</w:t>
      </w:r>
      <w:r>
        <w:t>.</w:t>
      </w:r>
      <w:r>
        <w:tab/>
        <w:t>Decisions under Part 5B not subject to review under s. 25</w:t>
      </w:r>
      <w:bookmarkEnd w:id="741"/>
      <w:bookmarkEnd w:id="742"/>
    </w:p>
    <w:p>
      <w:pPr>
        <w:pStyle w:val="Subsection"/>
      </w:pPr>
      <w:r>
        <w:tab/>
      </w:r>
      <w:r>
        <w:tab/>
        <w:t>A decision made by the Director under this Part is not subject to review under section 25.</w:t>
      </w:r>
    </w:p>
    <w:p>
      <w:pPr>
        <w:pStyle w:val="Footnotesection"/>
      </w:pPr>
      <w:r>
        <w:tab/>
        <w:t>[Section 152X inserted by No. 56 of 2010 s. 26.]</w:t>
      </w:r>
    </w:p>
    <w:p>
      <w:pPr>
        <w:pStyle w:val="Heading2"/>
      </w:pPr>
      <w:bookmarkStart w:id="743" w:name="_Toc377389049"/>
      <w:bookmarkStart w:id="744" w:name="_Toc406080260"/>
      <w:bookmarkStart w:id="745" w:name="_Toc416876247"/>
      <w:bookmarkStart w:id="746" w:name="_Toc416876601"/>
      <w:bookmarkStart w:id="747" w:name="_Toc417973283"/>
      <w:bookmarkStart w:id="748" w:name="_Toc423530689"/>
      <w:r>
        <w:rPr>
          <w:rStyle w:val="CharPartNo"/>
        </w:rPr>
        <w:t>Part 6</w:t>
      </w:r>
      <w:r>
        <w:rPr>
          <w:rStyle w:val="CharDivNo"/>
        </w:rPr>
        <w:t> </w:t>
      </w:r>
      <w:r>
        <w:t>—</w:t>
      </w:r>
      <w:r>
        <w:rPr>
          <w:rStyle w:val="CharDivText"/>
        </w:rPr>
        <w:t> </w:t>
      </w:r>
      <w:r>
        <w:rPr>
          <w:rStyle w:val="CharPartText"/>
        </w:rPr>
        <w:t>Enforcement</w:t>
      </w:r>
      <w:bookmarkEnd w:id="743"/>
      <w:bookmarkEnd w:id="744"/>
      <w:bookmarkEnd w:id="745"/>
      <w:bookmarkEnd w:id="746"/>
      <w:bookmarkEnd w:id="747"/>
      <w:bookmarkEnd w:id="748"/>
      <w:r>
        <w:rPr>
          <w:rStyle w:val="CharPartText"/>
        </w:rPr>
        <w:t xml:space="preserve"> </w:t>
      </w:r>
    </w:p>
    <w:p>
      <w:pPr>
        <w:pStyle w:val="Heading5"/>
        <w:rPr>
          <w:snapToGrid w:val="0"/>
        </w:rPr>
      </w:pPr>
      <w:bookmarkStart w:id="749" w:name="_Toc406080261"/>
      <w:bookmarkStart w:id="750" w:name="_Toc423530690"/>
      <w:r>
        <w:rPr>
          <w:rStyle w:val="CharSectno"/>
        </w:rPr>
        <w:t>153</w:t>
      </w:r>
      <w:r>
        <w:rPr>
          <w:snapToGrid w:val="0"/>
        </w:rPr>
        <w:t>.</w:t>
      </w:r>
      <w:r>
        <w:rPr>
          <w:snapToGrid w:val="0"/>
        </w:rPr>
        <w:tab/>
        <w:t>Authorised officers etc., functions and reports of</w:t>
      </w:r>
      <w:bookmarkEnd w:id="749"/>
      <w:bookmarkEnd w:id="750"/>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 and</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by No. 14 of 1996 s. 4; No. 73 of 2006 s. 106.] </w:t>
      </w:r>
    </w:p>
    <w:p>
      <w:pPr>
        <w:pStyle w:val="Heading5"/>
        <w:rPr>
          <w:snapToGrid w:val="0"/>
        </w:rPr>
      </w:pPr>
      <w:bookmarkStart w:id="751" w:name="_Toc406080262"/>
      <w:bookmarkStart w:id="752" w:name="_Toc423530691"/>
      <w:r>
        <w:rPr>
          <w:rStyle w:val="CharSectno"/>
        </w:rPr>
        <w:t>154</w:t>
      </w:r>
      <w:r>
        <w:rPr>
          <w:snapToGrid w:val="0"/>
        </w:rPr>
        <w:t>.</w:t>
      </w:r>
      <w:r>
        <w:rPr>
          <w:snapToGrid w:val="0"/>
        </w:rPr>
        <w:tab/>
        <w:t>Authorised officers, powers of entry etc., offences as to</w:t>
      </w:r>
      <w:bookmarkEnd w:id="751"/>
      <w:bookmarkEnd w:id="752"/>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 and</w:t>
      </w:r>
    </w:p>
    <w:p>
      <w:pPr>
        <w:pStyle w:val="Indenta"/>
        <w:rPr>
          <w:snapToGrid w:val="0"/>
        </w:rPr>
      </w:pPr>
      <w:r>
        <w:rPr>
          <w:snapToGrid w:val="0"/>
        </w:rPr>
        <w:tab/>
        <w:t>(b)</w:t>
      </w:r>
      <w:r>
        <w:rPr>
          <w:snapToGrid w:val="0"/>
        </w:rPr>
        <w:tab/>
        <w:t>inspect licensed premises or regulated premises; and</w:t>
      </w:r>
    </w:p>
    <w:p>
      <w:pPr>
        <w:pStyle w:val="Indenta"/>
        <w:rPr>
          <w:snapToGrid w:val="0"/>
        </w:rPr>
      </w:pPr>
      <w:r>
        <w:rPr>
          <w:snapToGrid w:val="0"/>
        </w:rPr>
        <w:tab/>
        <w:t>(c)</w:t>
      </w:r>
      <w:r>
        <w:rPr>
          <w:snapToGrid w:val="0"/>
        </w:rPr>
        <w:tab/>
        <w:t>examine each room and part of the premises; and</w:t>
      </w:r>
    </w:p>
    <w:p>
      <w:pPr>
        <w:pStyle w:val="Indenta"/>
        <w:rPr>
          <w:snapToGrid w:val="0"/>
        </w:rPr>
      </w:pPr>
      <w:r>
        <w:rPr>
          <w:snapToGrid w:val="0"/>
        </w:rPr>
        <w:tab/>
        <w:t>(d)</w:t>
      </w:r>
      <w:r>
        <w:rPr>
          <w:snapToGrid w:val="0"/>
        </w:rPr>
        <w:tab/>
        <w:t>take an account of any or all liquor that is on the premises; and</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(f)</w:t>
      </w:r>
      <w:r>
        <w:rPr>
          <w:snapToGrid w:val="0"/>
        </w:rPr>
        <w:tab/>
        <w:t xml:space="preserve">require the licensee </w:t>
      </w:r>
      <w:r>
        <w:t>or a manager of the premises to</w:t>
      </w:r>
      <w:r>
        <w:rPr>
          <w:snapToGrid w:val="0"/>
        </w:rPr>
        <w:t xml:space="preserve"> provide any information or assistance reasonably required by the authorised officer relating to any matter within the duties of the licensee or manager; and</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 and</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 xml:space="preserve">hinders an authorised officer in the exercise of powers conferred by this Act; or </w:t>
      </w:r>
    </w:p>
    <w:p>
      <w:pPr>
        <w:pStyle w:val="Indenta"/>
        <w:rPr>
          <w:snapToGrid w:val="0"/>
        </w:rPr>
      </w:pPr>
      <w:r>
        <w:rPr>
          <w:snapToGrid w:val="0"/>
        </w:rPr>
        <w:tab/>
        <w:t>(b)</w:t>
      </w:r>
      <w:r>
        <w:rPr>
          <w:snapToGrid w:val="0"/>
        </w:rPr>
        <w:tab/>
        <w:t>fails, without reasonable excuse, to comply with a requirement of an authorised officer, under this Act; or</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No. 73 of 2006 s. 110; No. 56 of 2010 s. 25 and 69.] </w:t>
      </w:r>
    </w:p>
    <w:p>
      <w:pPr>
        <w:pStyle w:val="Heading5"/>
        <w:rPr>
          <w:snapToGrid w:val="0"/>
        </w:rPr>
      </w:pPr>
      <w:bookmarkStart w:id="753" w:name="_Toc406080263"/>
      <w:bookmarkStart w:id="754" w:name="_Toc423530692"/>
      <w:r>
        <w:rPr>
          <w:rStyle w:val="CharSectno"/>
        </w:rPr>
        <w:t>155</w:t>
      </w:r>
      <w:r>
        <w:rPr>
          <w:snapToGrid w:val="0"/>
        </w:rPr>
        <w:t>.</w:t>
      </w:r>
      <w:r>
        <w:rPr>
          <w:snapToGrid w:val="0"/>
        </w:rPr>
        <w:tab/>
      </w:r>
      <w:smartTag w:uri="urn:schemas-microsoft-com:office:smarttags" w:element="place">
        <w:r>
          <w:rPr>
            <w:snapToGrid w:val="0"/>
          </w:rPr>
          <w:t>Po</w:t>
        </w:r>
      </w:smartTag>
      <w:r>
        <w:rPr>
          <w:snapToGrid w:val="0"/>
        </w:rPr>
        <w:t>lice, powers of to enter, seize liquor etc.</w:t>
      </w:r>
      <w:bookmarkEnd w:id="753"/>
      <w:bookmarkEnd w:id="754"/>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 and</w:t>
      </w:r>
    </w:p>
    <w:p>
      <w:pPr>
        <w:pStyle w:val="Indenta"/>
        <w:rPr>
          <w:snapToGrid w:val="0"/>
        </w:rPr>
      </w:pPr>
      <w:r>
        <w:rPr>
          <w:snapToGrid w:val="0"/>
        </w:rPr>
        <w:tab/>
        <w:t>(b)</w:t>
      </w:r>
      <w:r>
        <w:rPr>
          <w:snapToGrid w:val="0"/>
        </w:rPr>
        <w:tab/>
        <w:t>ensure the proper and lawful exercise of any licence granted or permit issued under this Act; and</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spacing w:before="180"/>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spacing w:before="180"/>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spacing w:before="180"/>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spacing w:before="180"/>
      </w:pPr>
      <w:r>
        <w:tab/>
        <w:t>(6)</w:t>
      </w:r>
      <w:r>
        <w:tab/>
        <w:t>If a person is contravening section 110(4A) a member of the Police Force may seize an opened or unopened container of liquor involved in the contravention.</w:t>
      </w:r>
    </w:p>
    <w:p>
      <w:pPr>
        <w:pStyle w:val="Subsection"/>
        <w:spacing w:before="180"/>
      </w:pPr>
      <w:r>
        <w:tab/>
        <w:t>(7)</w:t>
      </w:r>
      <w:r>
        <w:tab/>
        <w:t>If a person is contravening section 119 a member of the Police Force may seize a container of liquor in the person’s possession if —</w:t>
      </w:r>
    </w:p>
    <w:p>
      <w:pPr>
        <w:pStyle w:val="Indenta"/>
      </w:pPr>
      <w:r>
        <w:tab/>
        <w:t>(a)</w:t>
      </w:r>
      <w:r>
        <w:tab/>
        <w:t>the container is opened; or</w:t>
      </w:r>
    </w:p>
    <w:p>
      <w:pPr>
        <w:pStyle w:val="Indenta"/>
      </w:pPr>
      <w:r>
        <w:tab/>
        <w:t>(b)</w:t>
      </w:r>
      <w:r>
        <w:tab/>
        <w:t>the container is unopened and either —</w:t>
      </w:r>
    </w:p>
    <w:p>
      <w:pPr>
        <w:pStyle w:val="Indenti"/>
      </w:pPr>
      <w:r>
        <w:tab/>
        <w:t>(i)</w:t>
      </w:r>
      <w:r>
        <w:tab/>
        <w:t>the person is consuming liquor during a period, and in an area, specified in a special event notice under section 126E; or</w:t>
      </w:r>
    </w:p>
    <w:p>
      <w:pPr>
        <w:pStyle w:val="Indenti"/>
      </w:pPr>
      <w:r>
        <w:tab/>
        <w:t>(ii)</w:t>
      </w:r>
      <w:r>
        <w:tab/>
        <w:t>the member of the Police Force believes on reasonable grounds that the person has caused, is causing or is likely to cause, undue offence, annoyance, disturbance or inconvenience to other persons in the vicinity.</w:t>
      </w:r>
    </w:p>
    <w:p>
      <w:pPr>
        <w:pStyle w:val="Subsection"/>
      </w:pPr>
      <w:r>
        <w:tab/>
        <w:t>(8)</w:t>
      </w:r>
      <w:r>
        <w:tab/>
        <w:t>If a person is contravening section 152O(1) a member of the Police Force may seize an opened or unopened container of liquor involved in the contravention.</w:t>
      </w:r>
    </w:p>
    <w:p>
      <w:pPr>
        <w:pStyle w:val="Subsection"/>
      </w:pPr>
      <w:r>
        <w:tab/>
        <w:t>(9)</w:t>
      </w:r>
      <w:r>
        <w:tab/>
        <w:t>Despite subsection (5), a member of the Police Force who seizes a container of liquor under subsection (6), (7) or (8) must dispose of it as soon as is practicable after it is seized.</w:t>
      </w:r>
    </w:p>
    <w:p>
      <w:pPr>
        <w:pStyle w:val="Footnotesection"/>
      </w:pPr>
      <w:r>
        <w:tab/>
        <w:t>[Section 155 amended by No. 70 of 2004 s. 82; No. 59 of 2006 s. 55; No. 73 of 2006 s. 98 and 109; No. 56 of 2010 s. 65.]</w:t>
      </w:r>
    </w:p>
    <w:p>
      <w:pPr>
        <w:pStyle w:val="Heading5"/>
        <w:rPr>
          <w:snapToGrid w:val="0"/>
        </w:rPr>
      </w:pPr>
      <w:bookmarkStart w:id="755" w:name="_Toc406080264"/>
      <w:bookmarkStart w:id="756" w:name="_Toc423530693"/>
      <w:r>
        <w:rPr>
          <w:rStyle w:val="CharSectno"/>
        </w:rPr>
        <w:t>156</w:t>
      </w:r>
      <w:r>
        <w:rPr>
          <w:snapToGrid w:val="0"/>
        </w:rPr>
        <w:t>.</w:t>
      </w:r>
      <w:r>
        <w:rPr>
          <w:snapToGrid w:val="0"/>
        </w:rPr>
        <w:tab/>
        <w:t>Local governments, functions of</w:t>
      </w:r>
      <w:bookmarkEnd w:id="755"/>
      <w:bookmarkEnd w:id="756"/>
    </w:p>
    <w:p>
      <w:pPr>
        <w:pStyle w:val="Subsection"/>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ind w:left="890" w:hanging="890"/>
      </w:pPr>
      <w:r>
        <w:tab/>
        <w:t xml:space="preserve">[Section 156 amended by No. 14 of 1996 s. 4; No. 84 of 2004 s. 80.] </w:t>
      </w:r>
    </w:p>
    <w:p>
      <w:pPr>
        <w:pStyle w:val="Heading5"/>
        <w:rPr>
          <w:snapToGrid w:val="0"/>
        </w:rPr>
      </w:pPr>
      <w:bookmarkStart w:id="757" w:name="_Toc406080265"/>
      <w:bookmarkStart w:id="758" w:name="_Toc423530694"/>
      <w:r>
        <w:rPr>
          <w:rStyle w:val="CharSectno"/>
        </w:rPr>
        <w:t>157</w:t>
      </w:r>
      <w:r>
        <w:rPr>
          <w:snapToGrid w:val="0"/>
        </w:rPr>
        <w:t>.</w:t>
      </w:r>
      <w:r>
        <w:rPr>
          <w:snapToGrid w:val="0"/>
        </w:rPr>
        <w:tab/>
        <w:t>Evasion of fees due etc., offence</w:t>
      </w:r>
      <w:bookmarkEnd w:id="757"/>
      <w:bookmarkEnd w:id="758"/>
    </w:p>
    <w:p>
      <w:pPr>
        <w:pStyle w:val="Subsection"/>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rPr>
          <w:snapToGrid w:val="0"/>
        </w:rPr>
      </w:pPr>
      <w:r>
        <w:rPr>
          <w:snapToGrid w:val="0"/>
        </w:rPr>
        <w:tab/>
        <w:t xml:space="preserve">Penalty: </w:t>
      </w:r>
      <w:r>
        <w:t>a fine of</w:t>
      </w:r>
      <w:r>
        <w:rPr>
          <w:snapToGrid w:val="0"/>
        </w:rPr>
        <w:t xml:space="preserve"> $10 000 and treble the amount of any licence fee or other money attempted to be evaded.</w:t>
      </w:r>
    </w:p>
    <w:p>
      <w:pPr>
        <w:pStyle w:val="Footnotesection"/>
        <w:keepLines w:val="0"/>
        <w:spacing w:before="80"/>
        <w:ind w:left="890" w:hanging="890"/>
      </w:pPr>
      <w:r>
        <w:tab/>
        <w:t xml:space="preserve">[Section 157 amended by No. 12 of 1998 s. 87; No. 84 of 2004 s. 80; No. 56 of 2010 s. 69.] </w:t>
      </w:r>
    </w:p>
    <w:p>
      <w:pPr>
        <w:pStyle w:val="Heading5"/>
        <w:rPr>
          <w:snapToGrid w:val="0"/>
        </w:rPr>
      </w:pPr>
      <w:bookmarkStart w:id="759" w:name="_Toc406080266"/>
      <w:bookmarkStart w:id="760" w:name="_Toc423530695"/>
      <w:r>
        <w:rPr>
          <w:rStyle w:val="CharSectno"/>
        </w:rPr>
        <w:t>158</w:t>
      </w:r>
      <w:r>
        <w:rPr>
          <w:snapToGrid w:val="0"/>
        </w:rPr>
        <w:t>.</w:t>
      </w:r>
      <w:r>
        <w:rPr>
          <w:snapToGrid w:val="0"/>
        </w:rPr>
        <w:tab/>
        <w:t>Failing to comply with licensing authority’s requirements etc., offence</w:t>
      </w:r>
      <w:bookmarkEnd w:id="759"/>
      <w:bookmarkEnd w:id="760"/>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by No. 73 of 2006 s. 110; No. 56 of 2010 s. 69.]</w:t>
      </w:r>
    </w:p>
    <w:p>
      <w:pPr>
        <w:pStyle w:val="Heading5"/>
        <w:rPr>
          <w:snapToGrid w:val="0"/>
        </w:rPr>
      </w:pPr>
      <w:bookmarkStart w:id="761" w:name="_Toc406080267"/>
      <w:bookmarkStart w:id="762" w:name="_Toc423530696"/>
      <w:r>
        <w:rPr>
          <w:rStyle w:val="CharSectno"/>
        </w:rPr>
        <w:t>159</w:t>
      </w:r>
      <w:r>
        <w:rPr>
          <w:snapToGrid w:val="0"/>
        </w:rPr>
        <w:t>.</w:t>
      </w:r>
      <w:r>
        <w:rPr>
          <w:snapToGrid w:val="0"/>
        </w:rPr>
        <w:tab/>
        <w:t>False or misleading statements and records, offence</w:t>
      </w:r>
      <w:bookmarkEnd w:id="761"/>
      <w:bookmarkEnd w:id="762"/>
    </w:p>
    <w:p>
      <w:pPr>
        <w:pStyle w:val="Subsection"/>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159 amended by No. 73 of 2006 s. 110; No. 56 of 2010 s. 69.]</w:t>
      </w:r>
    </w:p>
    <w:p>
      <w:pPr>
        <w:pStyle w:val="Heading5"/>
        <w:rPr>
          <w:snapToGrid w:val="0"/>
        </w:rPr>
      </w:pPr>
      <w:bookmarkStart w:id="763" w:name="_Toc406080268"/>
      <w:bookmarkStart w:id="764" w:name="_Toc423530697"/>
      <w:r>
        <w:rPr>
          <w:rStyle w:val="CharSectno"/>
        </w:rPr>
        <w:t>160</w:t>
      </w:r>
      <w:r>
        <w:rPr>
          <w:snapToGrid w:val="0"/>
        </w:rPr>
        <w:t>.</w:t>
      </w:r>
      <w:r>
        <w:rPr>
          <w:snapToGrid w:val="0"/>
        </w:rPr>
        <w:tab/>
        <w:t>Information about offences, power to obtain</w:t>
      </w:r>
      <w:bookmarkEnd w:id="763"/>
      <w:bookmarkEnd w:id="764"/>
    </w:p>
    <w:p>
      <w:pPr>
        <w:pStyle w:val="Subsection"/>
        <w:rPr>
          <w:snapToGrid w:val="0"/>
        </w:rPr>
      </w:pPr>
      <w:r>
        <w:rPr>
          <w:snapToGrid w:val="0"/>
        </w:rPr>
        <w:tab/>
        <w:t>(1)</w:t>
      </w:r>
      <w:r>
        <w:rPr>
          <w:snapToGrid w:val="0"/>
        </w:rPr>
        <w:tab/>
        <w:t>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demand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If any person, without reasonable excuse, refuses or fails to supply any particulars or evidence when required to do so by any authorised officer under this section, and persists in the refusal or failure after being cautioned by the authorised officer, 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 xml:space="preserve">[Section 160 amended by No. 12 of 1998 s. 88; No. 73 of 2006 s. 110; No. 56 of 2010 s. 69.] </w:t>
      </w:r>
    </w:p>
    <w:p>
      <w:pPr>
        <w:pStyle w:val="Heading5"/>
        <w:spacing w:before="180"/>
        <w:rPr>
          <w:snapToGrid w:val="0"/>
        </w:rPr>
      </w:pPr>
      <w:bookmarkStart w:id="765" w:name="_Toc406080269"/>
      <w:bookmarkStart w:id="766" w:name="_Toc423530698"/>
      <w:r>
        <w:rPr>
          <w:rStyle w:val="CharSectno"/>
        </w:rPr>
        <w:t>161</w:t>
      </w:r>
      <w:r>
        <w:rPr>
          <w:snapToGrid w:val="0"/>
        </w:rPr>
        <w:t>.</w:t>
      </w:r>
      <w:r>
        <w:rPr>
          <w:snapToGrid w:val="0"/>
        </w:rPr>
        <w:tab/>
        <w:t>Search warrants, issue and execution of</w:t>
      </w:r>
      <w:bookmarkEnd w:id="765"/>
      <w:bookmarkEnd w:id="766"/>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 and</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 and</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 and</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spacing w:before="180"/>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spacing w:before="180"/>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 and</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spacing w:before="180"/>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spacing w:before="180"/>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spacing w:before="180"/>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 and</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161 amended by No. 56 of 1997 s. 48; No. 84 of 2004 s. 80; No. 73 of 2006 s. 109 and 110; No. 56 of 2010 s. 69.] </w:t>
      </w:r>
    </w:p>
    <w:p>
      <w:pPr>
        <w:pStyle w:val="Heading5"/>
        <w:rPr>
          <w:snapToGrid w:val="0"/>
        </w:rPr>
      </w:pPr>
      <w:bookmarkStart w:id="767" w:name="_Toc406080270"/>
      <w:bookmarkStart w:id="768" w:name="_Toc423530699"/>
      <w:r>
        <w:rPr>
          <w:rStyle w:val="CharSectno"/>
        </w:rPr>
        <w:t>162</w:t>
      </w:r>
      <w:r>
        <w:rPr>
          <w:snapToGrid w:val="0"/>
        </w:rPr>
        <w:t>.</w:t>
      </w:r>
      <w:r>
        <w:rPr>
          <w:snapToGrid w:val="0"/>
        </w:rPr>
        <w:tab/>
        <w:t>Separate offences and continuing offences</w:t>
      </w:r>
      <w:bookmarkEnd w:id="767"/>
      <w:bookmarkEnd w:id="768"/>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r>
        <w:tab/>
        <w:t xml:space="preserve">[Section 162 amended by No. 84 of 2004 s. 80.] </w:t>
      </w:r>
    </w:p>
    <w:p>
      <w:pPr>
        <w:pStyle w:val="Heading5"/>
        <w:rPr>
          <w:snapToGrid w:val="0"/>
        </w:rPr>
      </w:pPr>
      <w:bookmarkStart w:id="769" w:name="_Toc406080271"/>
      <w:bookmarkStart w:id="770" w:name="_Toc423530700"/>
      <w:r>
        <w:rPr>
          <w:rStyle w:val="CharSectno"/>
        </w:rPr>
        <w:t>163</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liquor, presumption of in some cases</w:t>
      </w:r>
      <w:bookmarkEnd w:id="769"/>
      <w:bookmarkEnd w:id="770"/>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 or</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771" w:name="_Toc406080272"/>
      <w:bookmarkStart w:id="772" w:name="_Toc423530701"/>
      <w:r>
        <w:rPr>
          <w:rStyle w:val="CharSectno"/>
        </w:rPr>
        <w:t>164</w:t>
      </w:r>
      <w:r>
        <w:rPr>
          <w:snapToGrid w:val="0"/>
        </w:rPr>
        <w:t>.</w:t>
      </w:r>
      <w:r>
        <w:rPr>
          <w:snapToGrid w:val="0"/>
        </w:rPr>
        <w:tab/>
        <w:t>Bodies corporate and partnerships, offences by</w:t>
      </w:r>
      <w:bookmarkEnd w:id="771"/>
      <w:bookmarkEnd w:id="772"/>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pPr>
      <w:r>
        <w:tab/>
        <w:t>(b)</w:t>
      </w:r>
      <w:r>
        <w:tab/>
        <w:t>if the offence was committed in respect of licensed premises, any manager who was supervising and managing the premises at the time the offence was committed shall also be deemed to have committed an offence unless it is proved that —</w:t>
      </w:r>
    </w:p>
    <w:p>
      <w:pPr>
        <w:pStyle w:val="Indenti"/>
      </w:pPr>
      <w:r>
        <w:tab/>
        <w:t>(i)</w:t>
      </w:r>
      <w:r>
        <w:tab/>
        <w:t>such direction had been given; and</w:t>
      </w:r>
    </w:p>
    <w:p>
      <w:pPr>
        <w:pStyle w:val="Indenti"/>
      </w:pPr>
      <w:r>
        <w:tab/>
        <w:t>(ii)</w:t>
      </w:r>
      <w:r>
        <w:tab/>
        <w:t>such supervision had been exercised or caused to be exercised,</w:t>
      </w:r>
    </w:p>
    <w:p>
      <w:pPr>
        <w:pStyle w:val="Indenta"/>
      </w:pPr>
      <w:r>
        <w:tab/>
      </w:r>
      <w:r>
        <w:tab/>
        <w:t>by that manager as were reasonably necessary to ensure that an offence against this Act would not be committed,</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pPr>
      <w:r>
        <w:tab/>
        <w:t>(b)</w:t>
      </w:r>
      <w:r>
        <w:tab/>
        <w:t xml:space="preserve">the Commission may impose a penalty under section 96 on any manager who was supervising and managing the premises at the time </w:t>
      </w:r>
      <w:r>
        <w:rPr>
          <w:snapToGrid w:val="0"/>
        </w:rPr>
        <w:t>the grounds upon which the complaint was made occurred</w:t>
      </w:r>
      <w:r>
        <w:t>, as well as on the licensee, unless it is proved that —</w:t>
      </w:r>
    </w:p>
    <w:p>
      <w:pPr>
        <w:pStyle w:val="Indenti"/>
      </w:pPr>
      <w:r>
        <w:tab/>
        <w:t>(i)</w:t>
      </w:r>
      <w:r>
        <w:tab/>
        <w:t>such direction had been given; and</w:t>
      </w:r>
    </w:p>
    <w:p>
      <w:pPr>
        <w:pStyle w:val="Indenti"/>
        <w:keepNext/>
      </w:pPr>
      <w:r>
        <w:tab/>
        <w:t>(ii)</w:t>
      </w:r>
      <w:r>
        <w:tab/>
        <w:t>such supervision had been exercised or caused to be exercised,</w:t>
      </w:r>
    </w:p>
    <w:p>
      <w:pPr>
        <w:pStyle w:val="Indenta"/>
      </w:pPr>
      <w:r>
        <w:tab/>
      </w:r>
      <w:r>
        <w:tab/>
        <w:t>by that manager as were reasonably necessary to ensure that the grounds upon which the complaint was made would not occur.</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by No. 12 of 1998 s. 89; No. 10 of 2001 s. 220; No. 84 of 2004 s. 80; No. 73 of 2006 s. 106; No. 56 of 2010 s. 20.] </w:t>
      </w:r>
    </w:p>
    <w:p>
      <w:pPr>
        <w:pStyle w:val="Heading5"/>
        <w:rPr>
          <w:snapToGrid w:val="0"/>
        </w:rPr>
      </w:pPr>
      <w:bookmarkStart w:id="773" w:name="_Toc406080273"/>
      <w:bookmarkStart w:id="774" w:name="_Toc423530702"/>
      <w:r>
        <w:rPr>
          <w:rStyle w:val="CharSectno"/>
        </w:rPr>
        <w:t>165</w:t>
      </w:r>
      <w:r>
        <w:rPr>
          <w:snapToGrid w:val="0"/>
        </w:rPr>
        <w:t>.</w:t>
      </w:r>
      <w:r>
        <w:rPr>
          <w:snapToGrid w:val="0"/>
        </w:rPr>
        <w:tab/>
        <w:t>Licensee liable for act of employee etc.</w:t>
      </w:r>
      <w:bookmarkEnd w:id="773"/>
      <w:bookmarkEnd w:id="774"/>
      <w:r>
        <w:rPr>
          <w:snapToGrid w:val="0"/>
        </w:rPr>
        <w:t xml:space="preserve"> </w:t>
      </w:r>
    </w:p>
    <w:p>
      <w:pPr>
        <w:pStyle w:val="Subsection"/>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pPr>
      <w:r>
        <w:tab/>
        <w:t>(4)</w:t>
      </w:r>
      <w:r>
        <w:tab/>
        <w:t xml:space="preserve">In this section — </w:t>
      </w:r>
    </w:p>
    <w:p>
      <w:pPr>
        <w:pStyle w:val="Defstart"/>
      </w:pPr>
      <w:r>
        <w:rPr>
          <w:b/>
        </w:rPr>
        <w:tab/>
      </w:r>
      <w:r>
        <w:rPr>
          <w:rStyle w:val="CharDefText"/>
        </w:rPr>
        <w:t>employee</w:t>
      </w:r>
      <w:r>
        <w:t xml:space="preserve">, of the licensee, includes — </w:t>
      </w:r>
    </w:p>
    <w:p>
      <w:pPr>
        <w:pStyle w:val="Defpara"/>
      </w:pPr>
      <w:r>
        <w:tab/>
        <w:t>(a)</w:t>
      </w:r>
      <w:r>
        <w:tab/>
        <w:t>a person engaged under a contract for services by the licensee; and</w:t>
      </w:r>
    </w:p>
    <w:p>
      <w:pPr>
        <w:pStyle w:val="Defpara"/>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by No. 84 of 2004 s. 80; No. 73 of 2006 s. 99.] </w:t>
      </w:r>
    </w:p>
    <w:p>
      <w:pPr>
        <w:pStyle w:val="Heading5"/>
        <w:rPr>
          <w:snapToGrid w:val="0"/>
        </w:rPr>
      </w:pPr>
      <w:bookmarkStart w:id="775" w:name="_Toc406080274"/>
      <w:bookmarkStart w:id="776" w:name="_Toc423530703"/>
      <w:r>
        <w:rPr>
          <w:rStyle w:val="CharSectno"/>
        </w:rPr>
        <w:t>166</w:t>
      </w:r>
      <w:r>
        <w:rPr>
          <w:snapToGrid w:val="0"/>
        </w:rPr>
        <w:t>.</w:t>
      </w:r>
      <w:r>
        <w:rPr>
          <w:snapToGrid w:val="0"/>
        </w:rPr>
        <w:tab/>
        <w:t>General penalty</w:t>
      </w:r>
      <w:bookmarkEnd w:id="775"/>
      <w:bookmarkEnd w:id="776"/>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w:t>
      </w:r>
      <w:r>
        <w:t xml:space="preserve"> of a fine</w:t>
      </w:r>
      <w:r>
        <w:rPr>
          <w:snapToGrid w:val="0"/>
        </w:rPr>
        <w:t xml:space="preserve"> not exceeding $2 000.</w:t>
      </w:r>
    </w:p>
    <w:p>
      <w:pPr>
        <w:pStyle w:val="Footnotesection"/>
      </w:pPr>
      <w:r>
        <w:tab/>
        <w:t>[Section 166 amended by No. 73 of 2006 s. 110; No. 56 of 2010 s. 66.]</w:t>
      </w:r>
    </w:p>
    <w:p>
      <w:pPr>
        <w:pStyle w:val="Heading5"/>
        <w:rPr>
          <w:snapToGrid w:val="0"/>
        </w:rPr>
      </w:pPr>
      <w:bookmarkStart w:id="777" w:name="_Toc406080275"/>
      <w:bookmarkStart w:id="778" w:name="_Toc423530704"/>
      <w:r>
        <w:rPr>
          <w:rStyle w:val="CharSectno"/>
        </w:rPr>
        <w:t>167</w:t>
      </w:r>
      <w:r>
        <w:rPr>
          <w:snapToGrid w:val="0"/>
        </w:rPr>
        <w:t>.</w:t>
      </w:r>
      <w:r>
        <w:rPr>
          <w:snapToGrid w:val="0"/>
        </w:rPr>
        <w:tab/>
        <w:t>Infringement notices</w:t>
      </w:r>
      <w:bookmarkEnd w:id="777"/>
      <w:bookmarkEnd w:id="77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No. 73 of 2006 s. 100.] </w:t>
      </w:r>
    </w:p>
    <w:p>
      <w:pPr>
        <w:pStyle w:val="Heading5"/>
        <w:spacing w:before="180"/>
        <w:rPr>
          <w:snapToGrid w:val="0"/>
        </w:rPr>
      </w:pPr>
      <w:bookmarkStart w:id="779" w:name="_Toc406080276"/>
      <w:bookmarkStart w:id="780" w:name="_Toc423530705"/>
      <w:r>
        <w:rPr>
          <w:rStyle w:val="CharSectno"/>
        </w:rPr>
        <w:t>168</w:t>
      </w:r>
      <w:r>
        <w:rPr>
          <w:snapToGrid w:val="0"/>
        </w:rPr>
        <w:t>.</w:t>
      </w:r>
      <w:r>
        <w:rPr>
          <w:snapToGrid w:val="0"/>
        </w:rPr>
        <w:tab/>
        <w:t>Prosecutions, institution of</w:t>
      </w:r>
      <w:bookmarkEnd w:id="779"/>
      <w:bookmarkEnd w:id="780"/>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r>
        <w:tab/>
        <w:t xml:space="preserve">[Section 168 amended by No. 84 of 2004 s. 80.] </w:t>
      </w:r>
    </w:p>
    <w:p>
      <w:pPr>
        <w:pStyle w:val="Heading5"/>
        <w:spacing w:before="180"/>
        <w:rPr>
          <w:snapToGrid w:val="0"/>
        </w:rPr>
      </w:pPr>
      <w:bookmarkStart w:id="781" w:name="_Toc406080277"/>
      <w:bookmarkStart w:id="782" w:name="_Toc423530706"/>
      <w:r>
        <w:rPr>
          <w:rStyle w:val="CharSectno"/>
        </w:rPr>
        <w:t>169</w:t>
      </w:r>
      <w:r>
        <w:rPr>
          <w:snapToGrid w:val="0"/>
        </w:rPr>
        <w:t>.</w:t>
      </w:r>
      <w:r>
        <w:rPr>
          <w:snapToGrid w:val="0"/>
        </w:rPr>
        <w:tab/>
        <w:t>Prosecutions, hearing of and limitation periods for</w:t>
      </w:r>
      <w:bookmarkEnd w:id="781"/>
      <w:bookmarkEnd w:id="782"/>
    </w:p>
    <w:p>
      <w:pPr>
        <w:pStyle w:val="Subsection"/>
      </w:pPr>
      <w:r>
        <w:tab/>
        <w:t>(1)</w:t>
      </w:r>
      <w:r>
        <w:tab/>
        <w:t xml:space="preserve">A court of summary jurisdiction hearing and determining a charge of an offence under this Act is to be constituted by a magistrate if — </w:t>
      </w:r>
    </w:p>
    <w:p>
      <w:pPr>
        <w:pStyle w:val="Indenta"/>
      </w:pPr>
      <w:r>
        <w:tab/>
        <w:t>(a)</w:t>
      </w:r>
      <w:r>
        <w:tab/>
        <w:t>the penalty for the offence is a fine of more than $2 000; or</w:t>
      </w:r>
    </w:p>
    <w:p>
      <w:pPr>
        <w:pStyle w:val="Indenta"/>
      </w:pPr>
      <w:r>
        <w:tab/>
        <w:t>(b)</w:t>
      </w:r>
      <w:r>
        <w:tab/>
        <w:t>the person charged with the offence is a licensee, a manager or an employee or agent of a licensee.</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No. 56 of 2010 s. 67.] </w:t>
      </w:r>
    </w:p>
    <w:p>
      <w:pPr>
        <w:pStyle w:val="Heading5"/>
        <w:rPr>
          <w:snapToGrid w:val="0"/>
        </w:rPr>
      </w:pPr>
      <w:bookmarkStart w:id="783" w:name="_Toc406080278"/>
      <w:bookmarkStart w:id="784" w:name="_Toc423530707"/>
      <w:r>
        <w:rPr>
          <w:rStyle w:val="CharSectno"/>
        </w:rPr>
        <w:t>170</w:t>
      </w:r>
      <w:r>
        <w:rPr>
          <w:snapToGrid w:val="0"/>
        </w:rPr>
        <w:t>.</w:t>
      </w:r>
      <w:r>
        <w:rPr>
          <w:snapToGrid w:val="0"/>
        </w:rPr>
        <w:tab/>
        <w:t>Evidentiary provisions as to proof of certain facts</w:t>
      </w:r>
      <w:bookmarkEnd w:id="783"/>
      <w:bookmarkEnd w:id="784"/>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w:t>
      </w:r>
    </w:p>
    <w:p>
      <w:pPr>
        <w:pStyle w:val="Heading5"/>
        <w:rPr>
          <w:snapToGrid w:val="0"/>
        </w:rPr>
      </w:pPr>
      <w:bookmarkStart w:id="785" w:name="_Toc406080279"/>
      <w:bookmarkStart w:id="786" w:name="_Toc423530708"/>
      <w:r>
        <w:rPr>
          <w:rStyle w:val="CharSectno"/>
        </w:rPr>
        <w:t>171</w:t>
      </w:r>
      <w:r>
        <w:rPr>
          <w:snapToGrid w:val="0"/>
        </w:rPr>
        <w:t>.</w:t>
      </w:r>
      <w:r>
        <w:rPr>
          <w:snapToGrid w:val="0"/>
        </w:rPr>
        <w:tab/>
        <w:t>Accomplices, who are not, evidence of</w:t>
      </w:r>
      <w:bookmarkEnd w:id="785"/>
      <w:bookmarkEnd w:id="786"/>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rPr>
          <w:snapToGrid w:val="0"/>
        </w:rPr>
      </w:pPr>
      <w:r>
        <w:rPr>
          <w:snapToGrid w:val="0"/>
        </w:rPr>
        <w:tab/>
      </w:r>
      <w:r>
        <w:rPr>
          <w:snapToGrid w:val="0"/>
        </w:rPr>
        <w:tab/>
        <w:t>unless the court suspects the truth of that evidence.</w:t>
      </w:r>
    </w:p>
    <w:p>
      <w:pPr>
        <w:pStyle w:val="Subsection"/>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787" w:name="_Toc406080280"/>
      <w:bookmarkStart w:id="788" w:name="_Toc423530709"/>
      <w:r>
        <w:rPr>
          <w:rStyle w:val="CharSectno"/>
        </w:rPr>
        <w:t>172</w:t>
      </w:r>
      <w:r>
        <w:rPr>
          <w:snapToGrid w:val="0"/>
        </w:rPr>
        <w:t>.</w:t>
      </w:r>
      <w:r>
        <w:rPr>
          <w:snapToGrid w:val="0"/>
        </w:rPr>
        <w:tab/>
        <w:t>Averments in charges, proof of certain documents and facts</w:t>
      </w:r>
      <w:bookmarkEnd w:id="787"/>
      <w:bookmarkEnd w:id="788"/>
    </w:p>
    <w:p>
      <w:pPr>
        <w:pStyle w:val="Subsection"/>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 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 or</w:t>
      </w:r>
    </w:p>
    <w:p>
      <w:pPr>
        <w:pStyle w:val="Indenti"/>
        <w:rPr>
          <w:snapToGrid w:val="0"/>
        </w:rPr>
      </w:pPr>
      <w:r>
        <w:rPr>
          <w:snapToGrid w:val="0"/>
        </w:rPr>
        <w:tab/>
        <w:t>(ii)</w:t>
      </w:r>
      <w:r>
        <w:rPr>
          <w:snapToGrid w:val="0"/>
        </w:rPr>
        <w:tab/>
        <w:t>licensed in respect of any specified premises; or</w:t>
      </w:r>
    </w:p>
    <w:p>
      <w:pPr>
        <w:pStyle w:val="Indenti"/>
        <w:rPr>
          <w:snapToGrid w:val="0"/>
        </w:rPr>
      </w:pPr>
      <w:r>
        <w:rPr>
          <w:snapToGrid w:val="0"/>
        </w:rPr>
        <w:tab/>
        <w:t>(iii)</w:t>
      </w:r>
      <w:r>
        <w:rPr>
          <w:snapToGrid w:val="0"/>
        </w:rPr>
        <w:tab/>
        <w:t>the holder of a specified permit; or</w:t>
      </w:r>
    </w:p>
    <w:p>
      <w:pPr>
        <w:pStyle w:val="Indenti"/>
        <w:keepNext/>
      </w:pPr>
      <w:r>
        <w:tab/>
        <w:t>(iv)</w:t>
      </w:r>
      <w:r>
        <w:tab/>
        <w:t>an approved unrestricted manager or an approved restricted manager;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 or</w:t>
      </w:r>
    </w:p>
    <w:p>
      <w:pPr>
        <w:pStyle w:val="Indenta"/>
        <w:rPr>
          <w:snapToGrid w:val="0"/>
        </w:rPr>
      </w:pPr>
      <w:r>
        <w:rPr>
          <w:snapToGrid w:val="0"/>
        </w:rPr>
        <w:tab/>
        <w:t>(d)</w:t>
      </w:r>
      <w:r>
        <w:rPr>
          <w:snapToGrid w:val="0"/>
        </w:rPr>
        <w:tab/>
        <w:t>that a part of any premises specified was a reception area, or declared to be out of bounds to juveniles; or</w:t>
      </w:r>
    </w:p>
    <w:p>
      <w:pPr>
        <w:pStyle w:val="Indenta"/>
        <w:rPr>
          <w:snapToGrid w:val="0"/>
        </w:rPr>
      </w:pPr>
      <w:r>
        <w:rPr>
          <w:snapToGrid w:val="0"/>
        </w:rPr>
        <w:tab/>
        <w:t>(e)</w:t>
      </w:r>
      <w:r>
        <w:rPr>
          <w:snapToGrid w:val="0"/>
        </w:rPr>
        <w:tab/>
        <w:t>that a person named in the charge is, or was on a specified date, a juvenile; or</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 or</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 or</w:t>
      </w:r>
    </w:p>
    <w:p>
      <w:pPr>
        <w:pStyle w:val="Indenta"/>
        <w:rPr>
          <w:snapToGrid w:val="0"/>
        </w:rPr>
      </w:pPr>
      <w:r>
        <w:rPr>
          <w:snapToGrid w:val="0"/>
        </w:rPr>
        <w:tab/>
        <w:t>(h)</w:t>
      </w:r>
      <w:r>
        <w:rPr>
          <w:snapToGrid w:val="0"/>
        </w:rPr>
        <w:tab/>
        <w:t>that a person named in the charge is, or was on a specified date, an authorised officer or an officer of the licensing authority; or</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 or</w:t>
      </w:r>
    </w:p>
    <w:p>
      <w:pPr>
        <w:pStyle w:val="Indenta"/>
        <w:rPr>
          <w:snapToGrid w:val="0"/>
        </w:rPr>
      </w:pPr>
      <w:r>
        <w:rPr>
          <w:snapToGrid w:val="0"/>
        </w:rPr>
        <w:tab/>
        <w:t>(k)</w:t>
      </w:r>
      <w:r>
        <w:rPr>
          <w:snapToGrid w:val="0"/>
        </w:rPr>
        <w:tab/>
        <w:t>that a delegation by the Director under this Act is, or was on a specified date, subject to specified conditions; or</w:t>
      </w:r>
    </w:p>
    <w:p>
      <w:pPr>
        <w:pStyle w:val="Indenta"/>
        <w:rPr>
          <w:snapToGrid w:val="0"/>
        </w:rPr>
      </w:pPr>
      <w:r>
        <w:rPr>
          <w:snapToGrid w:val="0"/>
        </w:rPr>
        <w:tab/>
        <w:t>(m)</w:t>
      </w:r>
      <w:r>
        <w:rPr>
          <w:snapToGrid w:val="0"/>
        </w:rPr>
        <w:tab/>
        <w:t>that a person named in the charge is (or is not), or was (or was not) on a specified date — </w:t>
      </w:r>
    </w:p>
    <w:p>
      <w:pPr>
        <w:pStyle w:val="Indenti"/>
        <w:spacing w:before="60"/>
        <w:rPr>
          <w:snapToGrid w:val="0"/>
        </w:rPr>
      </w:pPr>
      <w:r>
        <w:rPr>
          <w:snapToGrid w:val="0"/>
        </w:rPr>
        <w:tab/>
        <w:t>(i)</w:t>
      </w:r>
      <w:r>
        <w:rPr>
          <w:snapToGrid w:val="0"/>
        </w:rPr>
        <w:tab/>
        <w:t>a lodger of specified licensed premises; or</w:t>
      </w:r>
    </w:p>
    <w:p>
      <w:pPr>
        <w:pStyle w:val="Indenti"/>
        <w:spacing w:before="60"/>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spacing w:before="40"/>
        <w:rPr>
          <w:snapToGrid w:val="0"/>
        </w:rPr>
      </w:pPr>
      <w:r>
        <w:rPr>
          <w:snapToGrid w:val="0"/>
        </w:rPr>
        <w:tab/>
      </w:r>
      <w:r>
        <w:rPr>
          <w:snapToGrid w:val="0"/>
        </w:rPr>
        <w:tab/>
        <w:t>or</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 or</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 or</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 and</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keepNext/>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spacing w:before="70"/>
        <w:rPr>
          <w:snapToGrid w:val="0"/>
        </w:rPr>
      </w:pPr>
      <w:r>
        <w:rPr>
          <w:snapToGrid w:val="0"/>
        </w:rPr>
        <w:tab/>
        <w:t>(a)</w:t>
      </w:r>
      <w:r>
        <w:rPr>
          <w:snapToGrid w:val="0"/>
        </w:rPr>
        <w:tab/>
        <w:t>that a specified person is liable for the payment of a specified licence fee or penalty in respect of a specified period; or</w:t>
      </w:r>
    </w:p>
    <w:p>
      <w:pPr>
        <w:pStyle w:val="Indenta"/>
        <w:spacing w:before="70"/>
        <w:rPr>
          <w:snapToGrid w:val="0"/>
        </w:rPr>
      </w:pPr>
      <w:r>
        <w:rPr>
          <w:snapToGrid w:val="0"/>
        </w:rPr>
        <w:tab/>
        <w:t>(b)</w:t>
      </w:r>
      <w:r>
        <w:rPr>
          <w:snapToGrid w:val="0"/>
        </w:rPr>
        <w:tab/>
        <w:t>that a specified person held a specified licence at a specified time or during a specified period; or</w:t>
      </w:r>
    </w:p>
    <w:p>
      <w:pPr>
        <w:pStyle w:val="Indenta"/>
        <w:spacing w:before="70"/>
        <w:rPr>
          <w:snapToGrid w:val="0"/>
        </w:rPr>
      </w:pPr>
      <w:r>
        <w:rPr>
          <w:snapToGrid w:val="0"/>
        </w:rPr>
        <w:tab/>
        <w:t>(c)</w:t>
      </w:r>
      <w:r>
        <w:rPr>
          <w:snapToGrid w:val="0"/>
        </w:rPr>
        <w:tab/>
        <w:t>that a return required by section 145 to be lodged by a specified person had not been lodged in accordance with that section; or</w:t>
      </w:r>
    </w:p>
    <w:p>
      <w:pPr>
        <w:pStyle w:val="Indenta"/>
        <w:spacing w:before="70"/>
        <w:rPr>
          <w:snapToGrid w:val="0"/>
        </w:rPr>
      </w:pPr>
      <w:r>
        <w:rPr>
          <w:snapToGrid w:val="0"/>
        </w:rPr>
        <w:tab/>
        <w:t>(d)</w:t>
      </w:r>
      <w:r>
        <w:rPr>
          <w:snapToGrid w:val="0"/>
        </w:rPr>
        <w:tab/>
        <w:t>that a subsidy of a specified amount was paid to a specified person on a specified day in relation to a specified period; or</w:t>
      </w:r>
    </w:p>
    <w:p>
      <w:pPr>
        <w:pStyle w:val="Indenta"/>
        <w:spacing w:before="70"/>
        <w:rPr>
          <w:snapToGrid w:val="0"/>
        </w:rPr>
      </w:pPr>
      <w:r>
        <w:rPr>
          <w:snapToGrid w:val="0"/>
        </w:rPr>
        <w:tab/>
        <w:t>(e)</w:t>
      </w:r>
      <w:r>
        <w:rPr>
          <w:snapToGrid w:val="0"/>
        </w:rPr>
        <w:tab/>
        <w:t>that specified conditions were imposed on a specified person by the Director under section 130(2); or</w:t>
      </w:r>
    </w:p>
    <w:p>
      <w:pPr>
        <w:pStyle w:val="Indenta"/>
        <w:spacing w:before="70"/>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spacing w:before="70"/>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4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spacing w:before="60"/>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spacing w:before="60"/>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No. 73 of 2006 s. 101 and 106; No. 56 of 2010 s. 21.] </w:t>
      </w:r>
    </w:p>
    <w:p>
      <w:pPr>
        <w:pStyle w:val="Heading5"/>
      </w:pPr>
      <w:bookmarkStart w:id="789" w:name="_Toc406080281"/>
      <w:bookmarkStart w:id="790" w:name="_Toc423530710"/>
      <w:r>
        <w:rPr>
          <w:rStyle w:val="CharSectno"/>
        </w:rPr>
        <w:t>172A</w:t>
      </w:r>
      <w:r>
        <w:t>.</w:t>
      </w:r>
      <w:r>
        <w:tab/>
        <w:t>Forfeiture of liquor etc. on conviction or payment of modified penalty</w:t>
      </w:r>
      <w:bookmarkEnd w:id="789"/>
      <w:bookmarkEnd w:id="790"/>
    </w:p>
    <w:p>
      <w:pPr>
        <w:pStyle w:val="Subsection"/>
        <w:spacing w:before="14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4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spacing w:before="60"/>
        <w:ind w:left="890" w:hanging="890"/>
      </w:pPr>
      <w:r>
        <w:tab/>
        <w:t>[Section 172A inserted by No. 59 of 2006 s. 56.]</w:t>
      </w:r>
    </w:p>
    <w:p>
      <w:pPr>
        <w:pStyle w:val="Heading2"/>
      </w:pPr>
      <w:bookmarkStart w:id="791" w:name="_Toc377389071"/>
      <w:bookmarkStart w:id="792" w:name="_Toc406080282"/>
      <w:bookmarkStart w:id="793" w:name="_Toc416876269"/>
      <w:bookmarkStart w:id="794" w:name="_Toc416876623"/>
      <w:bookmarkStart w:id="795" w:name="_Toc417973305"/>
      <w:bookmarkStart w:id="796" w:name="_Toc423530711"/>
      <w:r>
        <w:rPr>
          <w:rStyle w:val="CharPartNo"/>
        </w:rPr>
        <w:t>Part 7</w:t>
      </w:r>
      <w:r>
        <w:rPr>
          <w:rStyle w:val="CharDivNo"/>
        </w:rPr>
        <w:t> </w:t>
      </w:r>
      <w:r>
        <w:t>—</w:t>
      </w:r>
      <w:r>
        <w:rPr>
          <w:rStyle w:val="CharDivText"/>
        </w:rPr>
        <w:t> </w:t>
      </w:r>
      <w:r>
        <w:rPr>
          <w:rStyle w:val="CharPartText"/>
        </w:rPr>
        <w:t>General</w:t>
      </w:r>
      <w:bookmarkEnd w:id="791"/>
      <w:bookmarkEnd w:id="792"/>
      <w:bookmarkEnd w:id="793"/>
      <w:bookmarkEnd w:id="794"/>
      <w:bookmarkEnd w:id="795"/>
      <w:bookmarkEnd w:id="796"/>
      <w:r>
        <w:rPr>
          <w:rStyle w:val="CharPartText"/>
        </w:rPr>
        <w:t xml:space="preserve"> </w:t>
      </w:r>
    </w:p>
    <w:p>
      <w:pPr>
        <w:pStyle w:val="Heading5"/>
        <w:rPr>
          <w:snapToGrid w:val="0"/>
        </w:rPr>
      </w:pPr>
      <w:bookmarkStart w:id="797" w:name="_Toc406080283"/>
      <w:bookmarkStart w:id="798" w:name="_Toc423530712"/>
      <w:r>
        <w:rPr>
          <w:rStyle w:val="CharSectno"/>
        </w:rPr>
        <w:t>173</w:t>
      </w:r>
      <w:r>
        <w:rPr>
          <w:snapToGrid w:val="0"/>
        </w:rPr>
        <w:t>.</w:t>
      </w:r>
      <w:r>
        <w:rPr>
          <w:snapToGrid w:val="0"/>
        </w:rPr>
        <w:tab/>
        <w:t>Pending review etc. not to affect liability</w:t>
      </w:r>
      <w:bookmarkEnd w:id="797"/>
      <w:bookmarkEnd w:id="798"/>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799" w:name="_Toc406080284"/>
      <w:bookmarkStart w:id="800" w:name="_Toc423530713"/>
      <w:r>
        <w:rPr>
          <w:rStyle w:val="CharSectno"/>
        </w:rPr>
        <w:t>174</w:t>
      </w:r>
      <w:r>
        <w:rPr>
          <w:snapToGrid w:val="0"/>
        </w:rPr>
        <w:t>.</w:t>
      </w:r>
      <w:r>
        <w:rPr>
          <w:snapToGrid w:val="0"/>
        </w:rPr>
        <w:tab/>
        <w:t>Service of documents</w:t>
      </w:r>
      <w:bookmarkEnd w:id="799"/>
      <w:bookmarkEnd w:id="800"/>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801" w:name="_Toc406080285"/>
      <w:bookmarkStart w:id="802" w:name="_Toc423530714"/>
      <w:r>
        <w:rPr>
          <w:rStyle w:val="CharSectno"/>
        </w:rPr>
        <w:t>174A</w:t>
      </w:r>
      <w:r>
        <w:t>.</w:t>
      </w:r>
      <w:r>
        <w:tab/>
      </w:r>
      <w:r>
        <w:rPr>
          <w:i/>
          <w:iCs/>
        </w:rPr>
        <w:t>Criminal and Found Property Disposal Act 2006</w:t>
      </w:r>
      <w:r>
        <w:rPr>
          <w:iCs/>
        </w:rPr>
        <w:t xml:space="preserve">, </w:t>
      </w:r>
      <w:r>
        <w:t>application of</w:t>
      </w:r>
      <w:bookmarkEnd w:id="801"/>
      <w:bookmarkEnd w:id="802"/>
    </w:p>
    <w:p>
      <w:pPr>
        <w:pStyle w:val="Subsection"/>
      </w:pPr>
      <w:r>
        <w:tab/>
        <w:t>(1)</w:t>
      </w:r>
      <w:r>
        <w:tab/>
        <w:t xml:space="preserve">The </w:t>
      </w:r>
      <w:r>
        <w:rPr>
          <w:i/>
          <w:iCs/>
        </w:rPr>
        <w:t xml:space="preserve">Criminal and Found Property Disposal Act 2006 </w:t>
      </w:r>
      <w:r>
        <w:t>applies to and in respect of any thing that is seized or forfeited under this Act except any thing that is seized and disposed of in accordance with section 155(9).</w:t>
      </w:r>
    </w:p>
    <w:p>
      <w:pPr>
        <w:pStyle w:val="Subsection"/>
      </w:pPr>
      <w:r>
        <w:tab/>
        <w:t>(2)</w:t>
      </w:r>
      <w:r>
        <w:tab/>
        <w:t xml:space="preserve">For the purposes of the </w:t>
      </w:r>
      <w:r>
        <w:rPr>
          <w:i/>
          <w:iCs/>
        </w:rPr>
        <w:t>Criminal and Found Property Disposal Act 2006</w:t>
      </w:r>
      <w:r>
        <w:t xml:space="preserve"> the department of the Public Service that principally assists the Minister to administer this Act is a prescribed agency.</w:t>
      </w:r>
    </w:p>
    <w:p>
      <w:pPr>
        <w:pStyle w:val="Footnotesection"/>
      </w:pPr>
      <w:r>
        <w:tab/>
        <w:t>[Section 174A inserted by No. 59 of 2006 s. 57; amended by No. 56 of 2010 s. 68.]</w:t>
      </w:r>
    </w:p>
    <w:p>
      <w:pPr>
        <w:pStyle w:val="Heading5"/>
        <w:rPr>
          <w:snapToGrid w:val="0"/>
        </w:rPr>
      </w:pPr>
      <w:bookmarkStart w:id="803" w:name="_Toc406080286"/>
      <w:bookmarkStart w:id="804" w:name="_Toc423530715"/>
      <w:r>
        <w:rPr>
          <w:rStyle w:val="CharSectno"/>
        </w:rPr>
        <w:t>175</w:t>
      </w:r>
      <w:r>
        <w:rPr>
          <w:snapToGrid w:val="0"/>
        </w:rPr>
        <w:t>.</w:t>
      </w:r>
      <w:r>
        <w:rPr>
          <w:snapToGrid w:val="0"/>
        </w:rPr>
        <w:tab/>
        <w:t>Regulations</w:t>
      </w:r>
      <w:bookmarkEnd w:id="803"/>
      <w:bookmarkEnd w:id="80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 and</w:t>
      </w:r>
    </w:p>
    <w:p>
      <w:pPr>
        <w:pStyle w:val="Indenta"/>
        <w:rPr>
          <w:snapToGrid w:val="0"/>
        </w:rPr>
      </w:pPr>
      <w:r>
        <w:rPr>
          <w:snapToGrid w:val="0"/>
        </w:rPr>
        <w:tab/>
        <w:t>(b)</w:t>
      </w:r>
      <w:r>
        <w:rPr>
          <w:snapToGrid w:val="0"/>
        </w:rPr>
        <w:tab/>
        <w:t>other fees payable to the licensing authority; and</w:t>
      </w:r>
    </w:p>
    <w:p>
      <w:pPr>
        <w:pStyle w:val="Indenta"/>
        <w:rPr>
          <w:snapToGrid w:val="0"/>
        </w:rPr>
      </w:pPr>
      <w:r>
        <w:rPr>
          <w:snapToGrid w:val="0"/>
        </w:rPr>
        <w:tab/>
        <w:t>(c)</w:t>
      </w:r>
      <w:r>
        <w:rPr>
          <w:snapToGrid w:val="0"/>
        </w:rPr>
        <w:tab/>
      </w:r>
      <w:r>
        <w:t xml:space="preserve">Commission </w:t>
      </w:r>
      <w:r>
        <w:rPr>
          <w:snapToGrid w:val="0"/>
        </w:rPr>
        <w:t>fees, and the expenses allowable to witnesses; and</w:t>
      </w:r>
    </w:p>
    <w:p>
      <w:pPr>
        <w:pStyle w:val="Indenta"/>
        <w:rPr>
          <w:snapToGrid w:val="0"/>
        </w:rPr>
      </w:pPr>
      <w:r>
        <w:rPr>
          <w:snapToGrid w:val="0"/>
        </w:rPr>
        <w:tab/>
        <w:t>(ca)</w:t>
      </w:r>
      <w:r>
        <w:rPr>
          <w:snapToGrid w:val="0"/>
        </w:rPr>
        <w:tab/>
        <w:t>conditions for the granting of special facility licences; and</w:t>
      </w:r>
    </w:p>
    <w:p>
      <w:pPr>
        <w:pStyle w:val="Indenta"/>
        <w:rPr>
          <w:snapToGrid w:val="0"/>
        </w:rPr>
      </w:pPr>
      <w:r>
        <w:rPr>
          <w:snapToGrid w:val="0"/>
        </w:rPr>
        <w:tab/>
        <w:t>(cb)</w:t>
      </w:r>
      <w:r>
        <w:rPr>
          <w:snapToGrid w:val="0"/>
        </w:rPr>
        <w:tab/>
        <w:t>conditions for the granting of producers’ licences; and</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 and</w:t>
      </w:r>
    </w:p>
    <w:p>
      <w:pPr>
        <w:pStyle w:val="Indenta"/>
      </w:pPr>
      <w:r>
        <w:tab/>
        <w:t>(cd)</w:t>
      </w:r>
      <w:r>
        <w:tab/>
        <w:t>limiting the permitted opening hours that may be authorised by an extended trading permit issued for the purpose referred to in section 60(4)(g); and</w:t>
      </w:r>
    </w:p>
    <w:p>
      <w:pPr>
        <w:pStyle w:val="Indenta"/>
      </w:pPr>
      <w:r>
        <w:tab/>
        <w:t>(ce)</w:t>
      </w:r>
      <w:r>
        <w:tab/>
        <w:t>regulating entry to licensed premises after a time of the day or night specified in the regulations; and</w:t>
      </w:r>
    </w:p>
    <w:p>
      <w:pPr>
        <w:pStyle w:val="Indenta"/>
        <w:rPr>
          <w:snapToGrid w:val="0"/>
        </w:rPr>
      </w:pPr>
      <w:r>
        <w:rPr>
          <w:snapToGrid w:val="0"/>
        </w:rPr>
        <w:tab/>
        <w:t>(d)</w:t>
      </w:r>
      <w:r>
        <w:rPr>
          <w:snapToGrid w:val="0"/>
        </w:rPr>
        <w:tab/>
        <w:t>advertising, and the content of notices; and</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w:t>
      </w:r>
      <w:r>
        <w:t xml:space="preserve"> used; and</w:t>
      </w:r>
    </w:p>
    <w:p>
      <w:pPr>
        <w:pStyle w:val="Indenta"/>
        <w:rPr>
          <w:snapToGrid w:val="0"/>
        </w:rPr>
      </w:pPr>
      <w:r>
        <w:tab/>
        <w:t>(g)</w:t>
      </w:r>
      <w:r>
        <w:tab/>
      </w:r>
      <w:r>
        <w:rPr>
          <w:snapToGrid w:val="0"/>
        </w:rPr>
        <w:t>the approval and conduct of managers.</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keepNext/>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by No. 56 of 1997 s. 50; No. 12 of 1998 s. 94; No. 73 of 2006 s. 102 and 106; No. 56 of 2010 s. 22 and 34.] </w:t>
      </w:r>
    </w:p>
    <w:p>
      <w:pPr>
        <w:pStyle w:val="Ednotesection"/>
      </w:pPr>
      <w:r>
        <w:t>[</w:t>
      </w:r>
      <w:r>
        <w:rPr>
          <w:b/>
          <w:bCs/>
        </w:rPr>
        <w:t>176.</w:t>
      </w:r>
      <w:r>
        <w:tab/>
        <w:t>Omitted under the Reprints Act 1984 s. 7(4)(f).]</w:t>
      </w:r>
    </w:p>
    <w:p>
      <w:pPr>
        <w:pStyle w:val="Heading5"/>
        <w:rPr>
          <w:snapToGrid w:val="0"/>
        </w:rPr>
      </w:pPr>
      <w:bookmarkStart w:id="805" w:name="_Toc406080287"/>
      <w:bookmarkStart w:id="806" w:name="_Toc423530716"/>
      <w:r>
        <w:rPr>
          <w:rStyle w:val="CharSectno"/>
        </w:rPr>
        <w:t>177</w:t>
      </w:r>
      <w:r>
        <w:rPr>
          <w:snapToGrid w:val="0"/>
        </w:rPr>
        <w:t>.</w:t>
      </w:r>
      <w:r>
        <w:rPr>
          <w:snapToGrid w:val="0"/>
        </w:rPr>
        <w:tab/>
        <w:t>Transitional provisions (Sch. 1)</w:t>
      </w:r>
      <w:bookmarkEnd w:id="805"/>
      <w:bookmarkEnd w:id="806"/>
    </w:p>
    <w:p>
      <w:pPr>
        <w:pStyle w:val="Subsection"/>
        <w:rPr>
          <w:snapToGrid w:val="0"/>
        </w:rPr>
      </w:pPr>
      <w:r>
        <w:rPr>
          <w:snapToGrid w:val="0"/>
        </w:rPr>
        <w:tab/>
      </w:r>
      <w:r>
        <w:rPr>
          <w:snapToGrid w:val="0"/>
        </w:rPr>
        <w:tab/>
        <w:t>Schedule 1, which contains transitional provisions, has effect.</w:t>
      </w:r>
    </w:p>
    <w:p>
      <w:pPr>
        <w:pStyle w:val="Heading5"/>
      </w:pPr>
      <w:bookmarkStart w:id="807" w:name="_Toc406080288"/>
      <w:bookmarkStart w:id="808" w:name="_Toc423530717"/>
      <w:r>
        <w:rPr>
          <w:rStyle w:val="CharSectno"/>
        </w:rPr>
        <w:t>177A</w:t>
      </w:r>
      <w:r>
        <w:t>.</w:t>
      </w:r>
      <w:r>
        <w:tab/>
        <w:t xml:space="preserve">Transitional provisions for </w:t>
      </w:r>
      <w:r>
        <w:rPr>
          <w:i/>
        </w:rPr>
        <w:t>Liquor and Gaming Legislation Amendment Act 2006</w:t>
      </w:r>
      <w:r>
        <w:t xml:space="preserve"> </w:t>
      </w:r>
      <w:r>
        <w:rPr>
          <w:snapToGrid w:val="0"/>
        </w:rPr>
        <w:t>(Sch. 1A)</w:t>
      </w:r>
      <w:bookmarkEnd w:id="807"/>
      <w:bookmarkEnd w:id="808"/>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by No. 73 of 2006 s. 103.]</w:t>
      </w:r>
    </w:p>
    <w:p>
      <w:pPr>
        <w:pStyle w:val="Heading5"/>
      </w:pPr>
      <w:bookmarkStart w:id="809" w:name="_Toc406080289"/>
      <w:bookmarkStart w:id="810" w:name="_Toc423530718"/>
      <w:r>
        <w:rPr>
          <w:rStyle w:val="CharSectno"/>
        </w:rPr>
        <w:t>177B</w:t>
      </w:r>
      <w:r>
        <w:t>.</w:t>
      </w:r>
      <w:r>
        <w:tab/>
        <w:t xml:space="preserve">Transitional provisions for </w:t>
      </w:r>
      <w:r>
        <w:rPr>
          <w:i/>
          <w:iCs/>
        </w:rPr>
        <w:t>Liquor Control Amendment Act 2010</w:t>
      </w:r>
      <w:r>
        <w:rPr>
          <w:iCs/>
        </w:rPr>
        <w:t xml:space="preserve"> </w:t>
      </w:r>
      <w:r>
        <w:rPr>
          <w:snapToGrid w:val="0"/>
        </w:rPr>
        <w:t>(Sch. 1B)</w:t>
      </w:r>
      <w:bookmarkEnd w:id="809"/>
      <w:bookmarkEnd w:id="810"/>
    </w:p>
    <w:p>
      <w:pPr>
        <w:pStyle w:val="Subsection"/>
      </w:pPr>
      <w:r>
        <w:tab/>
      </w:r>
      <w:r>
        <w:tab/>
        <w:t xml:space="preserve">Schedule 1B sets out transitional provisions relating to amendments made to this Act by the </w:t>
      </w:r>
      <w:r>
        <w:rPr>
          <w:i/>
        </w:rPr>
        <w:t>Liquor Control Amendment Act 2010</w:t>
      </w:r>
      <w:r>
        <w:t>.</w:t>
      </w:r>
    </w:p>
    <w:p>
      <w:pPr>
        <w:pStyle w:val="Footnotesection"/>
      </w:pPr>
      <w:r>
        <w:tab/>
        <w:t xml:space="preserve">[Section 177B inserted by No. 56 of 2010 s. 23.] </w:t>
      </w:r>
    </w:p>
    <w:p>
      <w:pPr>
        <w:pStyle w:val="Heading5"/>
        <w:rPr>
          <w:snapToGrid w:val="0"/>
        </w:rPr>
      </w:pPr>
      <w:bookmarkStart w:id="811" w:name="_Toc406080290"/>
      <w:bookmarkStart w:id="812" w:name="_Toc423530719"/>
      <w:r>
        <w:rPr>
          <w:rStyle w:val="CharSectno"/>
        </w:rPr>
        <w:t>178</w:t>
      </w:r>
      <w:r>
        <w:rPr>
          <w:snapToGrid w:val="0"/>
        </w:rPr>
        <w:t>.</w:t>
      </w:r>
      <w:r>
        <w:rPr>
          <w:snapToGrid w:val="0"/>
        </w:rPr>
        <w:tab/>
        <w:t>Review of Act</w:t>
      </w:r>
      <w:bookmarkEnd w:id="811"/>
      <w:bookmarkEnd w:id="812"/>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 xml:space="preserve">[Section 178 amended by No. 12 of 1998 s. 95.] </w:t>
      </w:r>
    </w:p>
    <w:p>
      <w:pPr>
        <w:sectPr>
          <w:headerReference w:type="even" r:id="rId21"/>
          <w:headerReference w:type="default" r:id="rId22"/>
          <w:foot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813" w:name="_Toc377389080"/>
      <w:bookmarkStart w:id="814" w:name="_Toc406080291"/>
      <w:bookmarkStart w:id="815" w:name="_Toc416876278"/>
      <w:bookmarkStart w:id="816" w:name="_Toc416876632"/>
      <w:bookmarkStart w:id="817" w:name="_Toc417973314"/>
      <w:bookmarkStart w:id="818" w:name="_Toc423530720"/>
      <w:r>
        <w:rPr>
          <w:rStyle w:val="CharSchNo"/>
        </w:rPr>
        <w:t>Schedule 1</w:t>
      </w:r>
      <w:r>
        <w:rPr>
          <w:rStyle w:val="CharSDivNo"/>
        </w:rPr>
        <w:t> </w:t>
      </w:r>
      <w:r>
        <w:t>—</w:t>
      </w:r>
      <w:r>
        <w:rPr>
          <w:rStyle w:val="CharSDivText"/>
        </w:rPr>
        <w:t> </w:t>
      </w:r>
      <w:r>
        <w:rPr>
          <w:rStyle w:val="CharSchText"/>
        </w:rPr>
        <w:t>Transitional provisions</w:t>
      </w:r>
      <w:bookmarkEnd w:id="813"/>
      <w:bookmarkEnd w:id="814"/>
      <w:bookmarkEnd w:id="815"/>
      <w:bookmarkEnd w:id="816"/>
      <w:bookmarkEnd w:id="817"/>
      <w:bookmarkEnd w:id="818"/>
    </w:p>
    <w:p>
      <w:pPr>
        <w:pStyle w:val="yShoulderClause"/>
        <w:rPr>
          <w:snapToGrid w:val="0"/>
        </w:rPr>
      </w:pPr>
      <w:r>
        <w:rPr>
          <w:snapToGrid w:val="0"/>
        </w:rPr>
        <w:t>[s. 177]</w:t>
      </w:r>
    </w:p>
    <w:p>
      <w:pPr>
        <w:pStyle w:val="yFootnoteheading"/>
      </w:pPr>
      <w:r>
        <w:tab/>
        <w:t>[Heading amended by No. 19 of 2010 s. 4.]</w:t>
      </w:r>
    </w:p>
    <w:p>
      <w:pPr>
        <w:pStyle w:val="yHeading5"/>
        <w:rPr>
          <w:snapToGrid w:val="0"/>
        </w:rPr>
      </w:pPr>
      <w:bookmarkStart w:id="819" w:name="_Toc406080292"/>
      <w:bookmarkStart w:id="820" w:name="_Toc423530721"/>
      <w:r>
        <w:rPr>
          <w:rStyle w:val="CharSClsNo"/>
        </w:rPr>
        <w:t>1</w:t>
      </w:r>
      <w:r>
        <w:rPr>
          <w:snapToGrid w:val="0"/>
        </w:rPr>
        <w:t>.</w:t>
      </w:r>
      <w:r>
        <w:rPr>
          <w:snapToGrid w:val="0"/>
        </w:rPr>
        <w:tab/>
        <w:t>Terms used</w:t>
      </w:r>
      <w:bookmarkEnd w:id="819"/>
      <w:bookmarkEnd w:id="820"/>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appointed day</w:t>
      </w:r>
      <w:r>
        <w:t xml:space="preserve"> means the day on which the </w:t>
      </w:r>
      <w:r>
        <w:rPr>
          <w:i/>
        </w:rPr>
        <w:t>Liquor Act 1970</w:t>
      </w:r>
      <w:r>
        <w:rPr>
          <w:vertAlign w:val="superscript"/>
        </w:rPr>
        <w:t> 2</w:t>
      </w:r>
      <w:r>
        <w:t xml:space="preserve"> is repealed by this Act;</w:t>
      </w:r>
    </w:p>
    <w:p>
      <w:pPr>
        <w:pStyle w:val="yDefstart"/>
      </w:pPr>
      <w: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repealed Act</w:t>
      </w:r>
      <w:r>
        <w:t xml:space="preserve"> means the </w:t>
      </w:r>
      <w:r>
        <w:rPr>
          <w:i/>
        </w:rPr>
        <w:t>Liquor Act 1970</w:t>
      </w:r>
      <w:r>
        <w:rPr>
          <w:vertAlign w:val="superscript"/>
        </w:rPr>
        <w:t> 2</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821" w:name="_Toc406080293"/>
      <w:bookmarkStart w:id="822" w:name="_Toc423530722"/>
      <w:r>
        <w:rPr>
          <w:rStyle w:val="CharSClsNo"/>
        </w:rPr>
        <w:t>2</w:t>
      </w:r>
      <w:r>
        <w:rPr>
          <w:snapToGrid w:val="0"/>
        </w:rPr>
        <w:t>.</w:t>
      </w:r>
      <w:r>
        <w:rPr>
          <w:snapToGrid w:val="0"/>
        </w:rPr>
        <w:tab/>
        <w:t>Continuing effect of convictions, forfeitures etc.</w:t>
      </w:r>
      <w:bookmarkEnd w:id="821"/>
      <w:bookmarkEnd w:id="822"/>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823" w:name="_Toc406080294"/>
      <w:bookmarkStart w:id="824" w:name="_Toc423530723"/>
      <w:r>
        <w:rPr>
          <w:rStyle w:val="CharSClsNo"/>
        </w:rPr>
        <w:t>3</w:t>
      </w:r>
      <w:r>
        <w:rPr>
          <w:snapToGrid w:val="0"/>
        </w:rPr>
        <w:t>.</w:t>
      </w:r>
      <w:r>
        <w:rPr>
          <w:snapToGrid w:val="0"/>
        </w:rPr>
        <w:tab/>
        <w:t>Proceedings part heard, rules of court, and appointments under repealed Act</w:t>
      </w:r>
      <w:bookmarkEnd w:id="823"/>
      <w:bookmarkEnd w:id="824"/>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 xml:space="preserve">as the judge under section 9 of the repealed Act, is deemed to have been appointed as the </w:t>
      </w:r>
      <w:smartTag w:uri="urn:schemas-microsoft-com:office:smarttags" w:element="Street">
        <w:smartTag w:uri="urn:schemas-microsoft-com:office:smarttags" w:element="address">
          <w:r>
            <w:rPr>
              <w:snapToGrid w:val="0"/>
            </w:rPr>
            <w:t>Liquor Licensing Court</w:t>
          </w:r>
        </w:smartTag>
      </w:smartTag>
      <w:r>
        <w:rPr>
          <w:snapToGrid w:val="0"/>
        </w:rPr>
        <w:t xml:space="preserve">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 xml:space="preserve">On the appointed day, the person who, immediately before that day, held office as Registrar of the </w:t>
      </w:r>
      <w:smartTag w:uri="urn:schemas-microsoft-com:office:smarttags" w:element="Street">
        <w:smartTag w:uri="urn:schemas-microsoft-com:office:smarttags" w:element="address">
          <w:r>
            <w:rPr>
              <w:snapToGrid w:val="0"/>
            </w:rPr>
            <w:t>Liquor Licensing Court</w:t>
          </w:r>
        </w:smartTag>
      </w:smartTag>
      <w:r>
        <w:rPr>
          <w:snapToGrid w:val="0"/>
        </w:rPr>
        <w: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Registrar for the purposes of this Act,</w:t>
      </w:r>
    </w:p>
    <w:p>
      <w:pPr>
        <w:pStyle w:val="ySubsection"/>
        <w:rPr>
          <w:snapToGrid w:val="0"/>
        </w:rPr>
      </w:pPr>
      <w:r>
        <w:rPr>
          <w:snapToGrid w:val="0"/>
        </w:rPr>
        <w:tab/>
      </w:r>
      <w:r>
        <w:rPr>
          <w:snapToGrid w:val="0"/>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4</w:t>
      </w:r>
      <w:r>
        <w:rPr>
          <w:snapToGrid w:val="0"/>
        </w:rPr>
        <w:t xml:space="preserve"> to hold a like office for the time being under section 14 for the purposes of this Act.</w:t>
      </w:r>
    </w:p>
    <w:p>
      <w:pPr>
        <w:pStyle w:val="yHeading5"/>
        <w:outlineLvl w:val="5"/>
        <w:rPr>
          <w:snapToGrid w:val="0"/>
        </w:rPr>
      </w:pPr>
      <w:bookmarkStart w:id="825" w:name="_Toc406080295"/>
      <w:bookmarkStart w:id="826" w:name="_Toc423530724"/>
      <w:r>
        <w:rPr>
          <w:rStyle w:val="CharSClsNo"/>
        </w:rPr>
        <w:t>4</w:t>
      </w:r>
      <w:r>
        <w:rPr>
          <w:snapToGrid w:val="0"/>
        </w:rPr>
        <w:t>.</w:t>
      </w:r>
      <w:r>
        <w:rPr>
          <w:snapToGrid w:val="0"/>
        </w:rPr>
        <w:tab/>
        <w:t>Fees</w:t>
      </w:r>
      <w:bookmarkEnd w:id="825"/>
      <w:bookmarkEnd w:id="826"/>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 and</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827" w:name="_Toc406080296"/>
      <w:bookmarkStart w:id="828" w:name="_Toc423530725"/>
      <w:r>
        <w:rPr>
          <w:rStyle w:val="CharSClsNo"/>
        </w:rPr>
        <w:t>5</w:t>
      </w:r>
      <w:r>
        <w:rPr>
          <w:snapToGrid w:val="0"/>
        </w:rPr>
        <w:t>.</w:t>
      </w:r>
      <w:r>
        <w:rPr>
          <w:snapToGrid w:val="0"/>
        </w:rPr>
        <w:tab/>
        <w:t>Continuing effect of conditions, delineated or designated areas, approvals etc.</w:t>
      </w:r>
      <w:bookmarkEnd w:id="827"/>
      <w:bookmarkEnd w:id="828"/>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 or</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829" w:name="_Toc406080297"/>
      <w:bookmarkStart w:id="830" w:name="_Toc423530726"/>
      <w:r>
        <w:rPr>
          <w:rStyle w:val="CharSClsNo"/>
        </w:rPr>
        <w:t>6</w:t>
      </w:r>
      <w:r>
        <w:rPr>
          <w:snapToGrid w:val="0"/>
        </w:rPr>
        <w:t>.</w:t>
      </w:r>
      <w:r>
        <w:rPr>
          <w:snapToGrid w:val="0"/>
        </w:rPr>
        <w:tab/>
        <w:t>Conversion of licences generally</w:t>
      </w:r>
      <w:bookmarkEnd w:id="829"/>
      <w:bookmarkEnd w:id="830"/>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 or</w:t>
      </w:r>
    </w:p>
    <w:p>
      <w:pPr>
        <w:pStyle w:val="yIndenta"/>
        <w:rPr>
          <w:snapToGrid w:val="0"/>
        </w:rPr>
      </w:pPr>
      <w:r>
        <w:rPr>
          <w:snapToGrid w:val="0"/>
        </w:rPr>
        <w:tab/>
        <w:t>(b)</w:t>
      </w:r>
      <w:r>
        <w:rPr>
          <w:snapToGrid w:val="0"/>
        </w:rPr>
        <w:tab/>
        <w:t>a licence is granted or a permit is issued to that person in accordance with subclause (2) in respect to those premises; or</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831" w:name="_Toc406080298"/>
      <w:bookmarkStart w:id="832" w:name="_Toc423530727"/>
      <w:r>
        <w:rPr>
          <w:rStyle w:val="CharSClsNo"/>
        </w:rPr>
        <w:t>7</w:t>
      </w:r>
      <w:r>
        <w:rPr>
          <w:snapToGrid w:val="0"/>
        </w:rPr>
        <w:t>.</w:t>
      </w:r>
      <w:r>
        <w:rPr>
          <w:snapToGrid w:val="0"/>
        </w:rPr>
        <w:tab/>
        <w:t>Hotel licences</w:t>
      </w:r>
      <w:bookmarkEnd w:id="831"/>
      <w:bookmarkEnd w:id="832"/>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833" w:name="_Toc406080299"/>
      <w:bookmarkStart w:id="834" w:name="_Toc423530728"/>
      <w:r>
        <w:rPr>
          <w:rStyle w:val="CharSClsNo"/>
        </w:rPr>
        <w:t>8</w:t>
      </w:r>
      <w:r>
        <w:rPr>
          <w:snapToGrid w:val="0"/>
        </w:rPr>
        <w:t>.</w:t>
      </w:r>
      <w:r>
        <w:rPr>
          <w:snapToGrid w:val="0"/>
        </w:rPr>
        <w:tab/>
        <w:t>Limited hotel licences</w:t>
      </w:r>
      <w:bookmarkEnd w:id="833"/>
      <w:bookmarkEnd w:id="834"/>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835" w:name="_Toc406080300"/>
      <w:bookmarkStart w:id="836" w:name="_Toc423530729"/>
      <w:r>
        <w:rPr>
          <w:rStyle w:val="CharSClsNo"/>
        </w:rPr>
        <w:t>9</w:t>
      </w:r>
      <w:r>
        <w:rPr>
          <w:snapToGrid w:val="0"/>
        </w:rPr>
        <w:t>.</w:t>
      </w:r>
      <w:r>
        <w:rPr>
          <w:snapToGrid w:val="0"/>
        </w:rPr>
        <w:tab/>
        <w:t>Tavern licences</w:t>
      </w:r>
      <w:bookmarkEnd w:id="835"/>
      <w:bookmarkEnd w:id="836"/>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837" w:name="_Toc406080301"/>
      <w:bookmarkStart w:id="838" w:name="_Toc423530730"/>
      <w:r>
        <w:rPr>
          <w:rStyle w:val="CharSClsNo"/>
        </w:rPr>
        <w:t>10</w:t>
      </w:r>
      <w:r>
        <w:rPr>
          <w:snapToGrid w:val="0"/>
        </w:rPr>
        <w:t>.</w:t>
      </w:r>
      <w:r>
        <w:rPr>
          <w:snapToGrid w:val="0"/>
        </w:rPr>
        <w:tab/>
        <w:t>Obligatory trading hours relating to hotel licences</w:t>
      </w:r>
      <w:bookmarkEnd w:id="837"/>
      <w:bookmarkEnd w:id="838"/>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839" w:name="_Toc406080302"/>
      <w:bookmarkStart w:id="840" w:name="_Toc423530731"/>
      <w:r>
        <w:rPr>
          <w:rStyle w:val="CharSClsNo"/>
        </w:rPr>
        <w:t>11</w:t>
      </w:r>
      <w:r>
        <w:rPr>
          <w:snapToGrid w:val="0"/>
        </w:rPr>
        <w:t>.</w:t>
      </w:r>
      <w:r>
        <w:rPr>
          <w:snapToGrid w:val="0"/>
        </w:rPr>
        <w:tab/>
        <w:t>Winehouse licences and Australian wine licences</w:t>
      </w:r>
      <w:bookmarkEnd w:id="839"/>
      <w:bookmarkEnd w:id="840"/>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r>
      <w:r>
        <w:rPr>
          <w:snapToGrid w:val="0"/>
        </w:rPr>
        <w:tab/>
        <w:t>or</w:t>
      </w:r>
      <w:r>
        <w:rPr>
          <w:snapToGrid w:val="0"/>
        </w:rPr>
        <w:tab/>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841" w:name="_Toc406080303"/>
      <w:bookmarkStart w:id="842" w:name="_Toc423530732"/>
      <w:r>
        <w:rPr>
          <w:rStyle w:val="CharSClsNo"/>
        </w:rPr>
        <w:t>12</w:t>
      </w:r>
      <w:r>
        <w:rPr>
          <w:snapToGrid w:val="0"/>
        </w:rPr>
        <w:t>.</w:t>
      </w:r>
      <w:r>
        <w:rPr>
          <w:snapToGrid w:val="0"/>
        </w:rPr>
        <w:tab/>
        <w:t>Casino liquor licences</w:t>
      </w:r>
      <w:bookmarkEnd w:id="841"/>
      <w:bookmarkEnd w:id="842"/>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843" w:name="_Toc406080304"/>
      <w:bookmarkStart w:id="844" w:name="_Toc423530733"/>
      <w:r>
        <w:rPr>
          <w:rStyle w:val="CharSClsNo"/>
        </w:rPr>
        <w:t>13</w:t>
      </w:r>
      <w:r>
        <w:rPr>
          <w:snapToGrid w:val="0"/>
        </w:rPr>
        <w:t>.</w:t>
      </w:r>
      <w:r>
        <w:rPr>
          <w:snapToGrid w:val="0"/>
        </w:rPr>
        <w:tab/>
        <w:t>Cabaret licences</w:t>
      </w:r>
      <w:bookmarkEnd w:id="843"/>
      <w:bookmarkEnd w:id="844"/>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845" w:name="_Toc406080305"/>
      <w:bookmarkStart w:id="846" w:name="_Toc423530734"/>
      <w:r>
        <w:rPr>
          <w:rStyle w:val="CharSClsNo"/>
        </w:rPr>
        <w:t>14</w:t>
      </w:r>
      <w:r>
        <w:rPr>
          <w:snapToGrid w:val="0"/>
        </w:rPr>
        <w:t>.</w:t>
      </w:r>
      <w:r>
        <w:rPr>
          <w:snapToGrid w:val="0"/>
        </w:rPr>
        <w:tab/>
        <w:t>Restaurant licences</w:t>
      </w:r>
      <w:bookmarkEnd w:id="845"/>
      <w:bookmarkEnd w:id="846"/>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847" w:name="_Toc406080306"/>
      <w:bookmarkStart w:id="848" w:name="_Toc423530735"/>
      <w:r>
        <w:rPr>
          <w:rStyle w:val="CharSClsNo"/>
        </w:rPr>
        <w:t>15</w:t>
      </w:r>
      <w:r>
        <w:rPr>
          <w:snapToGrid w:val="0"/>
        </w:rPr>
        <w:t>.</w:t>
      </w:r>
      <w:r>
        <w:rPr>
          <w:snapToGrid w:val="0"/>
        </w:rPr>
        <w:tab/>
        <w:t>Restaurant facilities on premises formerly licensed as a hotel, tavern, limited hotel, or winehouse</w:t>
      </w:r>
      <w:bookmarkEnd w:id="847"/>
      <w:bookmarkEnd w:id="848"/>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 or</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849" w:name="_Toc406080307"/>
      <w:bookmarkStart w:id="850" w:name="_Toc423530736"/>
      <w:r>
        <w:rPr>
          <w:rStyle w:val="CharSClsNo"/>
        </w:rPr>
        <w:t>16</w:t>
      </w:r>
      <w:r>
        <w:rPr>
          <w:snapToGrid w:val="0"/>
        </w:rPr>
        <w:t>.</w:t>
      </w:r>
      <w:r>
        <w:rPr>
          <w:snapToGrid w:val="0"/>
        </w:rPr>
        <w:tab/>
        <w:t>Store licences</w:t>
      </w:r>
      <w:bookmarkEnd w:id="849"/>
      <w:bookmarkEnd w:id="850"/>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851" w:name="_Toc406080308"/>
      <w:bookmarkStart w:id="852" w:name="_Toc423530737"/>
      <w:r>
        <w:rPr>
          <w:rStyle w:val="CharSClsNo"/>
        </w:rPr>
        <w:t>17</w:t>
      </w:r>
      <w:r>
        <w:rPr>
          <w:snapToGrid w:val="0"/>
        </w:rPr>
        <w:t>.</w:t>
      </w:r>
      <w:r>
        <w:rPr>
          <w:snapToGrid w:val="0"/>
        </w:rPr>
        <w:tab/>
        <w:t>Vigneron’s licences and brewer’s licences</w:t>
      </w:r>
      <w:bookmarkEnd w:id="851"/>
      <w:bookmarkEnd w:id="852"/>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 xml:space="preserve">The brewer’s licence that was, immediately before the appointed day, held by </w:t>
      </w:r>
      <w:smartTag w:uri="urn:schemas-microsoft-com:office:smarttags" w:element="place">
        <w:smartTag w:uri="urn:schemas-microsoft-com:office:smarttags" w:element="City">
          <w:r>
            <w:rPr>
              <w:snapToGrid w:val="0"/>
            </w:rPr>
            <w:t>Carlton</w:t>
          </w:r>
        </w:smartTag>
      </w:smartTag>
      <w:r>
        <w:rPr>
          <w:snapToGrid w:val="0"/>
        </w:rPr>
        <w:t xml:space="preserve">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853" w:name="_Toc406080309"/>
      <w:bookmarkStart w:id="854" w:name="_Toc423530738"/>
      <w:r>
        <w:rPr>
          <w:rStyle w:val="CharSClsNo"/>
        </w:rPr>
        <w:t>18</w:t>
      </w:r>
      <w:r>
        <w:rPr>
          <w:snapToGrid w:val="0"/>
        </w:rPr>
        <w:t>.</w:t>
      </w:r>
      <w:r>
        <w:rPr>
          <w:snapToGrid w:val="0"/>
        </w:rPr>
        <w:tab/>
        <w:t>Wholesale licences</w:t>
      </w:r>
      <w:bookmarkEnd w:id="853"/>
      <w:bookmarkEnd w:id="854"/>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855" w:name="_Toc406080310"/>
      <w:bookmarkStart w:id="856" w:name="_Toc423530739"/>
      <w:r>
        <w:rPr>
          <w:rStyle w:val="CharSClsNo"/>
        </w:rPr>
        <w:t>19</w:t>
      </w:r>
      <w:r>
        <w:rPr>
          <w:snapToGrid w:val="0"/>
        </w:rPr>
        <w:t>.</w:t>
      </w:r>
      <w:r>
        <w:rPr>
          <w:snapToGrid w:val="0"/>
        </w:rPr>
        <w:tab/>
        <w:t>Club licences and unlicensed club permits</w:t>
      </w:r>
      <w:bookmarkEnd w:id="855"/>
      <w:bookmarkEnd w:id="856"/>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 or</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857" w:name="_Toc406080311"/>
      <w:bookmarkStart w:id="858" w:name="_Toc423530740"/>
      <w:r>
        <w:rPr>
          <w:rStyle w:val="CharSClsNo"/>
        </w:rPr>
        <w:t>20</w:t>
      </w:r>
      <w:r>
        <w:rPr>
          <w:snapToGrid w:val="0"/>
        </w:rPr>
        <w:t>.</w:t>
      </w:r>
      <w:r>
        <w:rPr>
          <w:snapToGrid w:val="0"/>
        </w:rPr>
        <w:tab/>
        <w:t>Certain licences to become special facility licences</w:t>
      </w:r>
      <w:bookmarkEnd w:id="857"/>
      <w:bookmarkEnd w:id="858"/>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859" w:name="_Toc406080312"/>
      <w:bookmarkStart w:id="860" w:name="_Toc423530741"/>
      <w:r>
        <w:rPr>
          <w:rStyle w:val="CharSClsNo"/>
        </w:rPr>
        <w:t>21</w:t>
      </w:r>
      <w:r>
        <w:rPr>
          <w:snapToGrid w:val="0"/>
        </w:rPr>
        <w:t>.</w:t>
      </w:r>
      <w:r>
        <w:rPr>
          <w:snapToGrid w:val="0"/>
        </w:rPr>
        <w:tab/>
        <w:t>Caterer’s permit</w:t>
      </w:r>
      <w:bookmarkEnd w:id="859"/>
      <w:bookmarkEnd w:id="860"/>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861" w:name="_Toc406080313"/>
      <w:bookmarkStart w:id="862" w:name="_Toc423530742"/>
      <w:r>
        <w:rPr>
          <w:rStyle w:val="CharSClsNo"/>
        </w:rPr>
        <w:t>22</w:t>
      </w:r>
      <w:r>
        <w:rPr>
          <w:snapToGrid w:val="0"/>
        </w:rPr>
        <w:t>.</w:t>
      </w:r>
      <w:r>
        <w:rPr>
          <w:snapToGrid w:val="0"/>
        </w:rPr>
        <w:tab/>
        <w:t>Exempted producers etc.</w:t>
      </w:r>
      <w:bookmarkEnd w:id="861"/>
      <w:bookmarkEnd w:id="862"/>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863" w:name="_Toc406080314"/>
      <w:bookmarkStart w:id="864" w:name="_Toc423530743"/>
      <w:r>
        <w:rPr>
          <w:rStyle w:val="CharSClsNo"/>
        </w:rPr>
        <w:t>23</w:t>
      </w:r>
      <w:r>
        <w:rPr>
          <w:snapToGrid w:val="0"/>
        </w:rPr>
        <w:t>.</w:t>
      </w:r>
      <w:r>
        <w:rPr>
          <w:snapToGrid w:val="0"/>
        </w:rPr>
        <w:tab/>
        <w:t>Certain licences may become special facility licences</w:t>
      </w:r>
      <w:bookmarkEnd w:id="863"/>
      <w:bookmarkEnd w:id="864"/>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865" w:name="_Toc406080315"/>
      <w:bookmarkStart w:id="866" w:name="_Toc423530744"/>
      <w:r>
        <w:rPr>
          <w:rStyle w:val="CharSClsNo"/>
        </w:rPr>
        <w:t>24</w:t>
      </w:r>
      <w:r>
        <w:rPr>
          <w:snapToGrid w:val="0"/>
        </w:rPr>
        <w:t>.</w:t>
      </w:r>
      <w:r>
        <w:rPr>
          <w:snapToGrid w:val="0"/>
        </w:rPr>
        <w:tab/>
        <w:t>References in other written laws</w:t>
      </w:r>
      <w:bookmarkEnd w:id="865"/>
      <w:bookmarkEnd w:id="866"/>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vertAlign w:val="superscript"/>
        </w:rPr>
        <w:t> 5</w:t>
      </w:r>
      <w:r>
        <w:rPr>
          <w:snapToGrid w:val="0"/>
        </w:rPr>
        <w:t xml:space="preserve"> to the Licensing Court of Western Australia shall be read and construed as references to the </w:t>
      </w:r>
      <w:smartTag w:uri="urn:schemas-microsoft-com:office:smarttags" w:element="Street">
        <w:smartTag w:uri="urn:schemas-microsoft-com:office:smarttags" w:element="address">
          <w:r>
            <w:rPr>
              <w:snapToGrid w:val="0"/>
            </w:rPr>
            <w:t>Liquor Licensing Court</w:t>
          </w:r>
        </w:smartTag>
      </w:smartTag>
      <w:r>
        <w:rPr>
          <w:snapToGrid w:val="0"/>
        </w:rPr>
        <w: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6</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867" w:name="_Toc377389105"/>
      <w:bookmarkStart w:id="868" w:name="_Toc406080316"/>
      <w:bookmarkStart w:id="869" w:name="_Toc416876303"/>
      <w:bookmarkStart w:id="870" w:name="_Toc416876657"/>
      <w:bookmarkStart w:id="871" w:name="_Toc417973339"/>
      <w:bookmarkStart w:id="872" w:name="_Toc423530745"/>
      <w:r>
        <w:rPr>
          <w:rStyle w:val="CharSchNo"/>
        </w:rPr>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867"/>
      <w:bookmarkEnd w:id="868"/>
      <w:bookmarkEnd w:id="869"/>
      <w:bookmarkEnd w:id="870"/>
      <w:bookmarkEnd w:id="871"/>
      <w:bookmarkEnd w:id="872"/>
    </w:p>
    <w:p>
      <w:pPr>
        <w:pStyle w:val="yShoulderClause"/>
      </w:pPr>
      <w:r>
        <w:t>[s. 177A]</w:t>
      </w:r>
    </w:p>
    <w:p>
      <w:pPr>
        <w:pStyle w:val="yFootnoteheading"/>
      </w:pPr>
      <w:r>
        <w:tab/>
        <w:t>[Heading inserted by No. 73 of 2006 s. 104.]</w:t>
      </w:r>
    </w:p>
    <w:p>
      <w:pPr>
        <w:pStyle w:val="yHeading5"/>
        <w:outlineLvl w:val="5"/>
      </w:pPr>
      <w:bookmarkStart w:id="873" w:name="_Toc406080317"/>
      <w:bookmarkStart w:id="874" w:name="_Toc423530746"/>
      <w:r>
        <w:rPr>
          <w:rStyle w:val="CharSClsNo"/>
        </w:rPr>
        <w:t>1</w:t>
      </w:r>
      <w:r>
        <w:t>.</w:t>
      </w:r>
      <w:r>
        <w:rPr>
          <w:b w:val="0"/>
        </w:rPr>
        <w:tab/>
      </w:r>
      <w:r>
        <w:t>Terms used</w:t>
      </w:r>
      <w:bookmarkEnd w:id="873"/>
      <w:bookmarkEnd w:id="874"/>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w:t>
      </w:r>
      <w:smartTag w:uri="urn:schemas-microsoft-com:office:smarttags" w:element="Street">
        <w:smartTag w:uri="urn:schemas-microsoft-com:office:smarttags" w:element="address">
          <w:r>
            <w:t>Liquor Licensing Court</w:t>
          </w:r>
        </w:smartTag>
      </w:smartTag>
      <w:r>
        <w:t xml:space="preserve">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by No. 73 of 2006 s. 104.]</w:t>
      </w:r>
    </w:p>
    <w:p>
      <w:pPr>
        <w:pStyle w:val="yHeading5"/>
        <w:outlineLvl w:val="5"/>
      </w:pPr>
      <w:bookmarkStart w:id="875" w:name="_Toc406080318"/>
      <w:bookmarkStart w:id="876" w:name="_Toc423530747"/>
      <w:r>
        <w:rPr>
          <w:rStyle w:val="CharSClsNo"/>
        </w:rPr>
        <w:t>2</w:t>
      </w:r>
      <w:r>
        <w:t>.</w:t>
      </w:r>
      <w:r>
        <w:rPr>
          <w:b w:val="0"/>
        </w:rPr>
        <w:tab/>
      </w:r>
      <w:r>
        <w:t>Liquor Licensing Court</w:t>
      </w:r>
      <w:bookmarkEnd w:id="875"/>
      <w:bookmarkEnd w:id="876"/>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by No. 73 of 2006 s. 104.]</w:t>
      </w:r>
    </w:p>
    <w:p>
      <w:pPr>
        <w:pStyle w:val="yHeading5"/>
        <w:outlineLvl w:val="5"/>
      </w:pPr>
      <w:bookmarkStart w:id="877" w:name="_Toc406080319"/>
      <w:bookmarkStart w:id="878" w:name="_Toc423530748"/>
      <w:smartTag w:uri="urn:schemas-microsoft-com:office:smarttags" w:element="Street">
        <w:smartTag w:uri="urn:schemas-microsoft-com:office:smarttags" w:element="address">
          <w:r>
            <w:rPr>
              <w:rStyle w:val="CharSClsNo"/>
            </w:rPr>
            <w:t>3</w:t>
          </w:r>
          <w:r>
            <w:t>.</w:t>
          </w:r>
          <w:r>
            <w:rPr>
              <w:b w:val="0"/>
            </w:rPr>
            <w:tab/>
          </w:r>
          <w:r>
            <w:t>Liquor Licensing Court</w:t>
          </w:r>
        </w:smartTag>
      </w:smartTag>
      <w:r>
        <w:t xml:space="preserve"> judge</w:t>
      </w:r>
      <w:bookmarkEnd w:id="877"/>
      <w:bookmarkEnd w:id="878"/>
    </w:p>
    <w:p>
      <w:pPr>
        <w:pStyle w:val="ySubsection"/>
      </w:pPr>
      <w:r>
        <w:tab/>
      </w:r>
      <w:r>
        <w:tab/>
        <w:t xml:space="preserve">The person holding office, immediately before the commencement day, as the </w:t>
      </w:r>
      <w:smartTag w:uri="urn:schemas-microsoft-com:office:smarttags" w:element="Street">
        <w:smartTag w:uri="urn:schemas-microsoft-com:office:smarttags" w:element="address">
          <w:r>
            <w:t>Liquor Licensing Court</w:t>
          </w:r>
        </w:smartTag>
      </w:smartTag>
      <w:r>
        <w:t xml:space="preserve"> judge referred to in section 9 of the former Act ceases to hold that office on the abolition of the Court under clause 2.</w:t>
      </w:r>
    </w:p>
    <w:p>
      <w:pPr>
        <w:pStyle w:val="yFootnotesection"/>
      </w:pPr>
      <w:r>
        <w:tab/>
        <w:t>[Clause 3 inserted by No. 73 of 2006 s. 104.]</w:t>
      </w:r>
    </w:p>
    <w:p>
      <w:pPr>
        <w:pStyle w:val="yHeading5"/>
        <w:outlineLvl w:val="5"/>
      </w:pPr>
      <w:bookmarkStart w:id="879" w:name="_Toc406080320"/>
      <w:bookmarkStart w:id="880" w:name="_Toc423530749"/>
      <w:r>
        <w:rPr>
          <w:rStyle w:val="CharSClsNo"/>
        </w:rPr>
        <w:t>4</w:t>
      </w:r>
      <w:r>
        <w:t>.</w:t>
      </w:r>
      <w:r>
        <w:rPr>
          <w:b w:val="0"/>
        </w:rPr>
        <w:tab/>
      </w:r>
      <w:r>
        <w:t>Pending cases stated and appeals to Supreme Court</w:t>
      </w:r>
      <w:bookmarkEnd w:id="879"/>
      <w:bookmarkEnd w:id="880"/>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by No. 73 of 2006 s. 104.]</w:t>
      </w:r>
    </w:p>
    <w:p>
      <w:pPr>
        <w:pStyle w:val="yHeading5"/>
        <w:outlineLvl w:val="5"/>
      </w:pPr>
      <w:bookmarkStart w:id="881" w:name="_Toc406080321"/>
      <w:bookmarkStart w:id="882" w:name="_Toc423530750"/>
      <w:r>
        <w:rPr>
          <w:rStyle w:val="CharSClsNo"/>
        </w:rPr>
        <w:t>5</w:t>
      </w:r>
      <w:r>
        <w:t>.</w:t>
      </w:r>
      <w:r>
        <w:rPr>
          <w:b w:val="0"/>
        </w:rPr>
        <w:tab/>
      </w:r>
      <w:r>
        <w:t>Pending applications and matters</w:t>
      </w:r>
      <w:bookmarkEnd w:id="881"/>
      <w:bookmarkEnd w:id="882"/>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by No. 73 of 2006 s. 104.]</w:t>
      </w:r>
    </w:p>
    <w:p>
      <w:pPr>
        <w:pStyle w:val="yHeading5"/>
        <w:outlineLvl w:val="5"/>
      </w:pPr>
      <w:bookmarkStart w:id="883" w:name="_Toc406080322"/>
      <w:bookmarkStart w:id="884" w:name="_Toc423530751"/>
      <w:r>
        <w:rPr>
          <w:rStyle w:val="CharSClsNo"/>
        </w:rPr>
        <w:t>6</w:t>
      </w:r>
      <w:r>
        <w:t>.</w:t>
      </w:r>
      <w:r>
        <w:rPr>
          <w:b w:val="0"/>
        </w:rPr>
        <w:tab/>
      </w:r>
      <w:r>
        <w:t xml:space="preserve">Licences granted and permits issued by </w:t>
      </w:r>
      <w:smartTag w:uri="urn:schemas-microsoft-com:office:smarttags" w:element="Street">
        <w:smartTag w:uri="urn:schemas-microsoft-com:office:smarttags" w:element="address">
          <w:r>
            <w:t>Liquor Licensing Court</w:t>
          </w:r>
        </w:smartTag>
      </w:smartTag>
      <w:bookmarkEnd w:id="883"/>
      <w:bookmarkEnd w:id="884"/>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by No. 73 of 2006 s. 104.]</w:t>
      </w:r>
    </w:p>
    <w:p>
      <w:pPr>
        <w:pStyle w:val="yHeading5"/>
        <w:outlineLvl w:val="5"/>
      </w:pPr>
      <w:bookmarkStart w:id="885" w:name="_Toc406080323"/>
      <w:bookmarkStart w:id="886" w:name="_Toc423530752"/>
      <w:r>
        <w:rPr>
          <w:rStyle w:val="CharSClsNo"/>
        </w:rPr>
        <w:t>7</w:t>
      </w:r>
      <w:r>
        <w:t>.</w:t>
      </w:r>
      <w:r>
        <w:rPr>
          <w:b w:val="0"/>
        </w:rPr>
        <w:tab/>
      </w:r>
      <w:r>
        <w:t>Cabaret licences</w:t>
      </w:r>
      <w:bookmarkEnd w:id="885"/>
      <w:bookmarkEnd w:id="886"/>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by No. 73 of 2006 s. 104.]</w:t>
      </w:r>
    </w:p>
    <w:p>
      <w:pPr>
        <w:pStyle w:val="yHeading5"/>
        <w:outlineLvl w:val="5"/>
      </w:pPr>
      <w:bookmarkStart w:id="887" w:name="_Toc406080324"/>
      <w:bookmarkStart w:id="888" w:name="_Toc423530753"/>
      <w:r>
        <w:rPr>
          <w:rStyle w:val="CharSClsNo"/>
        </w:rPr>
        <w:t>8</w:t>
      </w:r>
      <w:r>
        <w:t>.</w:t>
      </w:r>
      <w:r>
        <w:rPr>
          <w:b w:val="0"/>
        </w:rPr>
        <w:tab/>
      </w:r>
      <w:r>
        <w:t>Courses of training and assessments</w:t>
      </w:r>
      <w:bookmarkEnd w:id="887"/>
      <w:bookmarkEnd w:id="888"/>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by No. 73 of 2006 s. 104.]</w:t>
      </w:r>
    </w:p>
    <w:p>
      <w:pPr>
        <w:pStyle w:val="yHeading5"/>
        <w:outlineLvl w:val="5"/>
      </w:pPr>
      <w:bookmarkStart w:id="889" w:name="_Toc406080325"/>
      <w:bookmarkStart w:id="890" w:name="_Toc423530754"/>
      <w:r>
        <w:rPr>
          <w:rStyle w:val="CharSClsNo"/>
        </w:rPr>
        <w:t>9</w:t>
      </w:r>
      <w:r>
        <w:t>.</w:t>
      </w:r>
      <w:r>
        <w:rPr>
          <w:b w:val="0"/>
        </w:rPr>
        <w:tab/>
      </w:r>
      <w:r>
        <w:t xml:space="preserve">References to </w:t>
      </w:r>
      <w:smartTag w:uri="urn:schemas-microsoft-com:office:smarttags" w:element="Street">
        <w:smartTag w:uri="urn:schemas-microsoft-com:office:smarttags" w:element="address">
          <w:r>
            <w:t>Liquor Licensing Court</w:t>
          </w:r>
        </w:smartTag>
      </w:smartTag>
      <w:r>
        <w:t xml:space="preserve"> and </w:t>
      </w:r>
      <w:smartTag w:uri="urn:schemas-microsoft-com:office:smarttags" w:element="Street">
        <w:smartTag w:uri="urn:schemas-microsoft-com:office:smarttags" w:element="address">
          <w:r>
            <w:t>Liquor Licensing Court</w:t>
          </w:r>
        </w:smartTag>
      </w:smartTag>
      <w:r>
        <w:t xml:space="preserve"> judge</w:t>
      </w:r>
      <w:bookmarkEnd w:id="889"/>
      <w:bookmarkEnd w:id="890"/>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 xml:space="preserve">A reference in a written law or other document or instrument to the </w:t>
      </w:r>
      <w:smartTag w:uri="urn:schemas-microsoft-com:office:smarttags" w:element="Street">
        <w:smartTag w:uri="urn:schemas-microsoft-com:office:smarttags" w:element="address">
          <w:r>
            <w:t>Liquor Licensing Court</w:t>
          </w:r>
        </w:smartTag>
      </w:smartTag>
      <w:r>
        <w:t xml:space="preserve"> judge, or a </w:t>
      </w:r>
      <w:smartTag w:uri="urn:schemas-microsoft-com:office:smarttags" w:element="Street">
        <w:smartTag w:uri="urn:schemas-microsoft-com:office:smarttags" w:element="address">
          <w:r>
            <w:t>Liquor Licensing Court</w:t>
          </w:r>
        </w:smartTag>
      </w:smartTag>
      <w:r>
        <w:t xml:space="preserve"> judge, may, where the context so requires, be read as if it had been amended to be a reference to the Commission.</w:t>
      </w:r>
    </w:p>
    <w:p>
      <w:pPr>
        <w:pStyle w:val="yFootnotesection"/>
      </w:pPr>
      <w:r>
        <w:tab/>
        <w:t>[Clause 9 inserted by No. 73 of 2006 s. 104.]</w:t>
      </w:r>
    </w:p>
    <w:p>
      <w:pPr>
        <w:pStyle w:val="yHeading5"/>
        <w:outlineLvl w:val="5"/>
      </w:pPr>
      <w:bookmarkStart w:id="891" w:name="_Toc406080326"/>
      <w:bookmarkStart w:id="892" w:name="_Toc423530755"/>
      <w:r>
        <w:rPr>
          <w:rStyle w:val="CharSClsNo"/>
        </w:rPr>
        <w:t>10</w:t>
      </w:r>
      <w:r>
        <w:t>.</w:t>
      </w:r>
      <w:r>
        <w:rPr>
          <w:b w:val="0"/>
        </w:rPr>
        <w:tab/>
      </w:r>
      <w:r>
        <w:t>Transitional regulations</w:t>
      </w:r>
      <w:bookmarkEnd w:id="891"/>
      <w:bookmarkEnd w:id="892"/>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by No. 73 of 2006 s. 104.]</w:t>
      </w:r>
    </w:p>
    <w:p>
      <w:pPr>
        <w:pStyle w:val="yScheduleHeading"/>
      </w:pPr>
      <w:bookmarkStart w:id="893" w:name="_Toc377389116"/>
      <w:bookmarkStart w:id="894" w:name="_Toc406080327"/>
      <w:bookmarkStart w:id="895" w:name="_Toc416876314"/>
      <w:bookmarkStart w:id="896" w:name="_Toc416876668"/>
      <w:bookmarkStart w:id="897" w:name="_Toc417973350"/>
      <w:bookmarkStart w:id="898" w:name="_Toc423530756"/>
      <w:r>
        <w:rPr>
          <w:rStyle w:val="CharSchNo"/>
        </w:rPr>
        <w:t>Schedule 1B</w:t>
      </w:r>
      <w:r>
        <w:rPr>
          <w:rStyle w:val="CharSDivNo"/>
        </w:rPr>
        <w:t> </w:t>
      </w:r>
      <w:r>
        <w:t>—</w:t>
      </w:r>
      <w:r>
        <w:rPr>
          <w:rStyle w:val="CharSDivText"/>
        </w:rPr>
        <w:t> </w:t>
      </w:r>
      <w:r>
        <w:rPr>
          <w:rStyle w:val="CharSchText"/>
        </w:rPr>
        <w:t xml:space="preserve">Transitional provisions relating to the </w:t>
      </w:r>
      <w:r>
        <w:rPr>
          <w:rStyle w:val="CharSchText"/>
          <w:i/>
        </w:rPr>
        <w:t>Liquor Control Amendment Act 2010</w:t>
      </w:r>
      <w:bookmarkEnd w:id="893"/>
      <w:bookmarkEnd w:id="894"/>
      <w:bookmarkEnd w:id="895"/>
      <w:bookmarkEnd w:id="896"/>
      <w:bookmarkEnd w:id="897"/>
      <w:bookmarkEnd w:id="898"/>
    </w:p>
    <w:p>
      <w:pPr>
        <w:pStyle w:val="yShoulderClause"/>
      </w:pPr>
      <w:r>
        <w:t>[s. 177B]</w:t>
      </w:r>
    </w:p>
    <w:p>
      <w:pPr>
        <w:pStyle w:val="yFootnoteheading"/>
      </w:pPr>
      <w:r>
        <w:tab/>
        <w:t>[Heading inserted by No. 56 of 2010 s. 24.]</w:t>
      </w:r>
    </w:p>
    <w:p>
      <w:pPr>
        <w:pStyle w:val="yHeading5"/>
      </w:pPr>
      <w:bookmarkStart w:id="899" w:name="_Toc406080328"/>
      <w:bookmarkStart w:id="900" w:name="_Toc423530757"/>
      <w:r>
        <w:rPr>
          <w:rStyle w:val="CharSClsNo"/>
        </w:rPr>
        <w:t>1</w:t>
      </w:r>
      <w:r>
        <w:t>.</w:t>
      </w:r>
      <w:r>
        <w:tab/>
        <w:t>Terms used</w:t>
      </w:r>
      <w:bookmarkEnd w:id="899"/>
      <w:bookmarkEnd w:id="900"/>
    </w:p>
    <w:p>
      <w:pPr>
        <w:pStyle w:val="ySubsection"/>
      </w:pPr>
      <w:r>
        <w:tab/>
      </w:r>
      <w:r>
        <w:tab/>
        <w:t>In this Schedule —</w:t>
      </w:r>
    </w:p>
    <w:p>
      <w:pPr>
        <w:pStyle w:val="yDefstart"/>
      </w:pPr>
      <w:r>
        <w:tab/>
      </w:r>
      <w:r>
        <w:rPr>
          <w:rStyle w:val="CharDefText"/>
        </w:rPr>
        <w:t>approved manager</w:t>
      </w:r>
      <w:r>
        <w:t xml:space="preserve"> means an approved unrestricted manager or an approved restricted manager;</w:t>
      </w:r>
    </w:p>
    <w:p>
      <w:pPr>
        <w:pStyle w:val="yDefstart"/>
      </w:pPr>
      <w:r>
        <w:tab/>
      </w:r>
      <w:r>
        <w:rPr>
          <w:rStyle w:val="CharDefText"/>
        </w:rPr>
        <w:t>commencement day</w:t>
      </w:r>
      <w:r>
        <w:t xml:space="preserve"> means the day on which the </w:t>
      </w:r>
      <w:r>
        <w:rPr>
          <w:i/>
          <w:iCs/>
        </w:rPr>
        <w:t xml:space="preserve">Liquor Control Amendment Act 2010 </w:t>
      </w:r>
      <w:r>
        <w:t>Part 2 comes into operation;</w:t>
      </w:r>
    </w:p>
    <w:p>
      <w:pPr>
        <w:pStyle w:val="yDefstart"/>
      </w:pPr>
      <w:r>
        <w:tab/>
      </w:r>
      <w:r>
        <w:rPr>
          <w:rStyle w:val="CharDefText"/>
        </w:rPr>
        <w:t>old section 35B</w:t>
      </w:r>
      <w:r>
        <w:t xml:space="preserve"> means section 35B as in force immediately before the commencement day.</w:t>
      </w:r>
    </w:p>
    <w:p>
      <w:pPr>
        <w:pStyle w:val="yFootnotesection"/>
      </w:pPr>
      <w:r>
        <w:tab/>
        <w:t>[Clause 1 inserted by No. 56 of 2010 s. 24.]</w:t>
      </w:r>
    </w:p>
    <w:p>
      <w:pPr>
        <w:pStyle w:val="yHeading5"/>
      </w:pPr>
      <w:bookmarkStart w:id="901" w:name="_Toc406080329"/>
      <w:bookmarkStart w:id="902" w:name="_Toc423530758"/>
      <w:r>
        <w:rPr>
          <w:rStyle w:val="CharSClsNo"/>
        </w:rPr>
        <w:t>2</w:t>
      </w:r>
      <w:r>
        <w:t>.</w:t>
      </w:r>
      <w:r>
        <w:tab/>
        <w:t>Current managers taken to be licensed</w:t>
      </w:r>
      <w:bookmarkEnd w:id="901"/>
      <w:bookmarkEnd w:id="902"/>
    </w:p>
    <w:p>
      <w:pPr>
        <w:pStyle w:val="ySubsection"/>
      </w:pPr>
      <w:r>
        <w:tab/>
      </w:r>
      <w:r>
        <w:tab/>
        <w:t>On the commencement day a person who was, immediately before the commencement day, approved as a manager of licensed premises under the old section 35B becomes —</w:t>
      </w:r>
    </w:p>
    <w:p>
      <w:pPr>
        <w:pStyle w:val="yIndenta"/>
      </w:pPr>
      <w:r>
        <w:tab/>
        <w:t>(a)</w:t>
      </w:r>
      <w:r>
        <w:tab/>
        <w:t>if the person had, before the commencement day, completed a course of training or an assessment of the kind described in the old section 35B(3)(c)(i) — an approved unrestricted manager; or</w:t>
      </w:r>
    </w:p>
    <w:p>
      <w:pPr>
        <w:pStyle w:val="yIndenta"/>
      </w:pPr>
      <w:r>
        <w:tab/>
        <w:t>(b)</w:t>
      </w:r>
      <w:r>
        <w:tab/>
        <w:t>otherwise — an approved restricted manager.</w:t>
      </w:r>
    </w:p>
    <w:p>
      <w:pPr>
        <w:pStyle w:val="yFootnotesection"/>
      </w:pPr>
      <w:r>
        <w:tab/>
        <w:t>[Clause 2 inserted by No. 56 of 2010 s. 24.]</w:t>
      </w:r>
    </w:p>
    <w:p>
      <w:pPr>
        <w:pStyle w:val="yHeading5"/>
      </w:pPr>
      <w:bookmarkStart w:id="903" w:name="_Toc406080330"/>
      <w:bookmarkStart w:id="904" w:name="_Toc423530759"/>
      <w:r>
        <w:t>3.</w:t>
      </w:r>
      <w:r>
        <w:rPr>
          <w:b w:val="0"/>
        </w:rPr>
        <w:tab/>
      </w:r>
      <w:r>
        <w:t>Duration of transitioned approvals</w:t>
      </w:r>
      <w:bookmarkEnd w:id="903"/>
      <w:bookmarkEnd w:id="904"/>
    </w:p>
    <w:p>
      <w:pPr>
        <w:pStyle w:val="ySubsection"/>
      </w:pPr>
      <w:r>
        <w:tab/>
        <w:t>(1)</w:t>
      </w:r>
      <w:r>
        <w:tab/>
        <w:t xml:space="preserve">For the purposes of section 102D, an approval effected by clause 2 (a </w:t>
      </w:r>
      <w:r>
        <w:rPr>
          <w:rStyle w:val="CharDefText"/>
        </w:rPr>
        <w:t>transitioned approval</w:t>
      </w:r>
      <w:r>
        <w:t>) is taken to have been granted on the commencement day.</w:t>
      </w:r>
    </w:p>
    <w:p>
      <w:pPr>
        <w:pStyle w:val="ySubsection"/>
      </w:pPr>
      <w:r>
        <w:tab/>
        <w:t>(2)</w:t>
      </w:r>
      <w:r>
        <w:tab/>
        <w:t>The regulations may modify the operation of section 102D in relation to transitioned approvals.</w:t>
      </w:r>
    </w:p>
    <w:p>
      <w:pPr>
        <w:pStyle w:val="ySubsection"/>
      </w:pPr>
      <w:r>
        <w:tab/>
        <w:t>(3)</w:t>
      </w:r>
      <w:r>
        <w:tab/>
        <w:t>Regulations for the purposes of subclause (2) cannot reduce the duration of a transitioned approval unless the approved manager agrees to the reduction.</w:t>
      </w:r>
    </w:p>
    <w:p>
      <w:pPr>
        <w:pStyle w:val="ySubsection"/>
      </w:pPr>
      <w:r>
        <w:tab/>
        <w:t>(4)</w:t>
      </w:r>
      <w:r>
        <w:tab/>
        <w:t>Regulations for the purposes of subclause (2) may make different provision for different classes of approvals or different classes of persons.</w:t>
      </w:r>
    </w:p>
    <w:p>
      <w:pPr>
        <w:pStyle w:val="yFootnotesection"/>
      </w:pPr>
      <w:r>
        <w:tab/>
        <w:t>[Clause 3 inserted by No. 56 of 2010 s. 24.]</w:t>
      </w:r>
    </w:p>
    <w:p>
      <w:pPr>
        <w:pStyle w:val="yHeading5"/>
      </w:pPr>
      <w:bookmarkStart w:id="905" w:name="_Toc406080331"/>
      <w:bookmarkStart w:id="906" w:name="_Toc423530760"/>
      <w:r>
        <w:rPr>
          <w:rStyle w:val="CharSClsNo"/>
        </w:rPr>
        <w:t>4</w:t>
      </w:r>
      <w:r>
        <w:t>.</w:t>
      </w:r>
      <w:r>
        <w:tab/>
        <w:t>Current applications</w:t>
      </w:r>
      <w:bookmarkEnd w:id="905"/>
      <w:bookmarkEnd w:id="906"/>
    </w:p>
    <w:p>
      <w:pPr>
        <w:pStyle w:val="ySubsection"/>
      </w:pPr>
      <w:r>
        <w:tab/>
        <w:t>(1)</w:t>
      </w:r>
      <w:r>
        <w:tab/>
        <w:t>If —</w:t>
      </w:r>
    </w:p>
    <w:p>
      <w:pPr>
        <w:pStyle w:val="yIndenta"/>
      </w:pPr>
      <w:r>
        <w:tab/>
        <w:t>(a)</w:t>
      </w:r>
      <w:r>
        <w:tab/>
        <w:t xml:space="preserve">an application was made before the commencement day for a person (the </w:t>
      </w:r>
      <w:r>
        <w:rPr>
          <w:rStyle w:val="CharDefText"/>
        </w:rPr>
        <w:t>applicant</w:t>
      </w:r>
      <w:r>
        <w:t>) to be approved as a manager under the old section 35B; and</w:t>
      </w:r>
    </w:p>
    <w:p>
      <w:pPr>
        <w:pStyle w:val="yIndenta"/>
      </w:pPr>
      <w:r>
        <w:tab/>
        <w:t>(b)</w:t>
      </w:r>
      <w:r>
        <w:tab/>
        <w:t>as at the commencement day the application had not been finally dealt with,</w:t>
      </w:r>
    </w:p>
    <w:p>
      <w:pPr>
        <w:pStyle w:val="ySubsection"/>
      </w:pPr>
      <w:r>
        <w:tab/>
      </w:r>
      <w:r>
        <w:tab/>
        <w:t>then on the commencement day the application becomes an application under section 102B for approval of the applicant as an approved unrestricted manager.</w:t>
      </w:r>
    </w:p>
    <w:p>
      <w:pPr>
        <w:pStyle w:val="ySubsection"/>
      </w:pPr>
      <w:r>
        <w:tab/>
        <w:t>(2)</w:t>
      </w:r>
      <w:r>
        <w:tab/>
        <w:t>If an applicant to whom subclause (1) applies does not satisfy the criteria for approval as an approved unrestricted manager but does satisfy the criteria for approval as an approved restricted manager, the Director may approve the person as an approved restricted manager.</w:t>
      </w:r>
    </w:p>
    <w:p>
      <w:pPr>
        <w:pStyle w:val="yFootnotesection"/>
      </w:pPr>
      <w:r>
        <w:tab/>
        <w:t>[Clause 4 inserted by No. 56 of 2010 s. 24.]</w:t>
      </w:r>
    </w:p>
    <w:p>
      <w:pPr>
        <w:pStyle w:val="yScheduleHeading"/>
      </w:pPr>
      <w:bookmarkStart w:id="907" w:name="_Toc377389121"/>
      <w:bookmarkStart w:id="908" w:name="_Toc406080332"/>
      <w:bookmarkStart w:id="909" w:name="_Toc416876319"/>
      <w:bookmarkStart w:id="910" w:name="_Toc416876673"/>
      <w:bookmarkStart w:id="911" w:name="_Toc417973355"/>
      <w:bookmarkStart w:id="912" w:name="_Toc423530761"/>
      <w:r>
        <w:rPr>
          <w:rStyle w:val="CharSchNo"/>
        </w:rPr>
        <w:t>Schedule 2</w:t>
      </w:r>
      <w:r>
        <w:t> — </w:t>
      </w:r>
      <w:r>
        <w:rPr>
          <w:rStyle w:val="CharSchText"/>
        </w:rPr>
        <w:t>Unincorporated clubs</w:t>
      </w:r>
      <w:bookmarkEnd w:id="907"/>
      <w:bookmarkEnd w:id="908"/>
      <w:bookmarkEnd w:id="909"/>
      <w:bookmarkEnd w:id="910"/>
      <w:bookmarkEnd w:id="911"/>
      <w:bookmarkEnd w:id="912"/>
    </w:p>
    <w:p>
      <w:pPr>
        <w:pStyle w:val="yShoulderClause"/>
        <w:rPr>
          <w:snapToGrid w:val="0"/>
        </w:rPr>
      </w:pPr>
      <w:r>
        <w:rPr>
          <w:snapToGrid w:val="0"/>
        </w:rPr>
        <w:t>[s. 49(1)(a)]</w:t>
      </w:r>
    </w:p>
    <w:p>
      <w:pPr>
        <w:pStyle w:val="yFootnoteheading"/>
      </w:pPr>
      <w:r>
        <w:tab/>
        <w:t>[Heading amended by No. 19 of 2010 s. 4.]</w:t>
      </w:r>
    </w:p>
    <w:p>
      <w:pPr>
        <w:pStyle w:val="yHeading3"/>
      </w:pPr>
      <w:bookmarkStart w:id="913" w:name="_Toc377389122"/>
      <w:bookmarkStart w:id="914" w:name="_Toc406080333"/>
      <w:bookmarkStart w:id="915" w:name="_Toc416876320"/>
      <w:bookmarkStart w:id="916" w:name="_Toc416876674"/>
      <w:bookmarkStart w:id="917" w:name="_Toc417973356"/>
      <w:bookmarkStart w:id="918" w:name="_Toc423530762"/>
      <w:r>
        <w:rPr>
          <w:rStyle w:val="CharSDivNo"/>
        </w:rPr>
        <w:t>Division 1</w:t>
      </w:r>
      <w:r>
        <w:rPr>
          <w:snapToGrid w:val="0"/>
        </w:rPr>
        <w:t> — </w:t>
      </w:r>
      <w:r>
        <w:rPr>
          <w:rStyle w:val="CharSDivText"/>
        </w:rPr>
        <w:t>The Anzac Club</w:t>
      </w:r>
      <w:bookmarkEnd w:id="913"/>
      <w:bookmarkEnd w:id="914"/>
      <w:bookmarkEnd w:id="915"/>
      <w:bookmarkEnd w:id="916"/>
      <w:bookmarkEnd w:id="917"/>
      <w:bookmarkEnd w:id="918"/>
      <w:r>
        <w:rPr>
          <w:snapToGrid w:val="0"/>
        </w:rPr>
        <w:t xml:space="preserve"> </w:t>
      </w:r>
    </w:p>
    <w:p>
      <w:pPr>
        <w:pStyle w:val="yHeading5"/>
        <w:outlineLvl w:val="5"/>
        <w:rPr>
          <w:snapToGrid w:val="0"/>
        </w:rPr>
      </w:pPr>
      <w:bookmarkStart w:id="919" w:name="_Toc406080334"/>
      <w:bookmarkStart w:id="920" w:name="_Toc423530763"/>
      <w:r>
        <w:rPr>
          <w:rStyle w:val="CharSClsNo"/>
        </w:rPr>
        <w:t>1</w:t>
      </w:r>
      <w:r>
        <w:rPr>
          <w:snapToGrid w:val="0"/>
        </w:rPr>
        <w:t>.</w:t>
      </w:r>
      <w:r>
        <w:rPr>
          <w:snapToGrid w:val="0"/>
        </w:rPr>
        <w:tab/>
        <w:t>Terms used</w:t>
      </w:r>
      <w:bookmarkEnd w:id="919"/>
      <w:bookmarkEnd w:id="920"/>
    </w:p>
    <w:p>
      <w:pPr>
        <w:pStyle w:val="ySubsection"/>
        <w:rPr>
          <w:snapToGrid w:val="0"/>
        </w:rPr>
      </w:pPr>
      <w:r>
        <w:rPr>
          <w:snapToGrid w:val="0"/>
        </w:rPr>
        <w:tab/>
      </w:r>
      <w:r>
        <w:rPr>
          <w:snapToGrid w:val="0"/>
        </w:rPr>
        <w:tab/>
        <w:t>In this Division — </w:t>
      </w:r>
    </w:p>
    <w:p>
      <w:pPr>
        <w:pStyle w:val="yDefstart"/>
      </w:pPr>
      <w:r>
        <w:rPr>
          <w:b/>
        </w:rPr>
        <w:tab/>
      </w:r>
      <w:r>
        <w:rPr>
          <w:rStyle w:val="CharDefText"/>
        </w:rPr>
        <w:t>club</w:t>
      </w:r>
      <w:r>
        <w:t xml:space="preserve"> means the club known as the Anzac Club, which was registered as such under the </w:t>
      </w:r>
      <w:r>
        <w:rPr>
          <w:i/>
        </w:rPr>
        <w:t>Licensing Act 1911</w:t>
      </w:r>
      <w:r>
        <w:t> </w:t>
      </w:r>
      <w:r>
        <w:rPr>
          <w:vertAlign w:val="superscript"/>
        </w:rPr>
        <w:t>7</w:t>
      </w:r>
      <w:r>
        <w:t>;</w:t>
      </w:r>
    </w:p>
    <w:p>
      <w:pPr>
        <w:pStyle w:val="yDefstart"/>
      </w:pPr>
      <w:r>
        <w:rPr>
          <w:b/>
        </w:rPr>
        <w:tab/>
      </w:r>
      <w:r>
        <w:rPr>
          <w:rStyle w:val="CharDefText"/>
        </w:rPr>
        <w:t>League</w:t>
      </w:r>
      <w:r>
        <w:t xml:space="preserve"> means the body deemed to be incorporated under the </w:t>
      </w:r>
      <w:r>
        <w:rPr>
          <w:i/>
        </w:rPr>
        <w:t>Associations Incorporation Act 1987</w:t>
      </w:r>
      <w:r>
        <w:t xml:space="preserve"> as The Returned and Services League of </w:t>
      </w:r>
      <w:smartTag w:uri="urn:schemas-microsoft-com:office:smarttags" w:element="place">
        <w:smartTag w:uri="urn:schemas-microsoft-com:office:smarttags" w:element="country-region">
          <w:r>
            <w:t>Australia</w:t>
          </w:r>
        </w:smartTag>
      </w:smartTag>
      <w:r>
        <w:t xml:space="preserve"> WA Branch Incorporated;</w:t>
      </w:r>
    </w:p>
    <w:p>
      <w:pPr>
        <w:pStyle w:val="yDefstart"/>
      </w:pPr>
      <w:r>
        <w:rPr>
          <w:b/>
        </w:rPr>
        <w:tab/>
      </w:r>
      <w:r>
        <w:rPr>
          <w:rStyle w:val="CharDefText"/>
        </w:rPr>
        <w:t>State Branch Headquarters</w:t>
      </w:r>
      <w:r>
        <w:t xml:space="preserve"> means the premises of the League in </w:t>
      </w:r>
      <w:smartTag w:uri="urn:schemas-microsoft-com:office:smarttags" w:element="City">
        <w:r>
          <w:t>Perth</w:t>
        </w:r>
      </w:smartTag>
      <w:r>
        <w:t xml:space="preserve">, known as Anzac House, and situate at 28 (formerly 30A) </w:t>
      </w:r>
      <w:smartTag w:uri="urn:schemas-microsoft-com:office:smarttags" w:element="place">
        <w:smartTag w:uri="urn:schemas-microsoft-com:office:smarttags" w:element="City">
          <w:r>
            <w:t>St George’s</w:t>
          </w:r>
        </w:smartTag>
      </w:smartTag>
      <w:r>
        <w:t xml:space="preserve"> Terrace;</w:t>
      </w:r>
    </w:p>
    <w:p>
      <w:pPr>
        <w:pStyle w:val="yDefstart"/>
      </w:pPr>
      <w:r>
        <w:tab/>
      </w:r>
      <w:r>
        <w:rPr>
          <w:rStyle w:val="CharDefText"/>
        </w:rPr>
        <w:t>State Executive</w:t>
      </w:r>
      <w:r>
        <w:t xml:space="preserve"> means the State Executive of the League as from time to time constituted under, and elected or appointed in accordance with, the rules of the League.</w:t>
      </w:r>
    </w:p>
    <w:p>
      <w:pPr>
        <w:pStyle w:val="yFootnotesection"/>
      </w:pPr>
      <w:r>
        <w:tab/>
        <w:t>[Clause 1 amended by No. 14 of 1996 s. 4</w:t>
      </w:r>
      <w:r>
        <w:rPr>
          <w:spacing w:val="-4"/>
        </w:rPr>
        <w:t>; No. 47 of 2011 s.</w:t>
      </w:r>
      <w:r>
        <w:t> 17.]</w:t>
      </w:r>
    </w:p>
    <w:p>
      <w:pPr>
        <w:pStyle w:val="yHeading5"/>
        <w:outlineLvl w:val="5"/>
        <w:rPr>
          <w:snapToGrid w:val="0"/>
        </w:rPr>
      </w:pPr>
      <w:bookmarkStart w:id="921" w:name="_Toc406080335"/>
      <w:bookmarkStart w:id="922" w:name="_Toc423530764"/>
      <w:r>
        <w:rPr>
          <w:rStyle w:val="CharSClsNo"/>
        </w:rPr>
        <w:t>2</w:t>
      </w:r>
      <w:r>
        <w:rPr>
          <w:snapToGrid w:val="0"/>
        </w:rPr>
        <w:t>.</w:t>
      </w:r>
      <w:r>
        <w:rPr>
          <w:snapToGrid w:val="0"/>
        </w:rPr>
        <w:tab/>
        <w:t>Anzac Club</w:t>
      </w:r>
      <w:bookmarkEnd w:id="921"/>
      <w:bookmarkEnd w:id="922"/>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 and</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923" w:name="_Toc377389125"/>
      <w:bookmarkStart w:id="924" w:name="_Toc406080336"/>
      <w:bookmarkStart w:id="925" w:name="_Toc416876323"/>
      <w:bookmarkStart w:id="926" w:name="_Toc416876677"/>
      <w:bookmarkStart w:id="927" w:name="_Toc417973359"/>
      <w:bookmarkStart w:id="928" w:name="_Toc423530765"/>
      <w:r>
        <w:rPr>
          <w:rStyle w:val="CharSDivNo"/>
        </w:rPr>
        <w:t>Division 2</w:t>
      </w:r>
      <w:r>
        <w:rPr>
          <w:snapToGrid w:val="0"/>
        </w:rPr>
        <w:t> — </w:t>
      </w:r>
      <w:r>
        <w:rPr>
          <w:rStyle w:val="CharSDivText"/>
        </w:rPr>
        <w:t>The Air Force Association Club</w:t>
      </w:r>
      <w:bookmarkEnd w:id="923"/>
      <w:bookmarkEnd w:id="924"/>
      <w:bookmarkEnd w:id="925"/>
      <w:bookmarkEnd w:id="926"/>
      <w:bookmarkEnd w:id="927"/>
      <w:bookmarkEnd w:id="928"/>
      <w:r>
        <w:rPr>
          <w:snapToGrid w:val="0"/>
        </w:rPr>
        <w:t xml:space="preserve"> </w:t>
      </w:r>
    </w:p>
    <w:p>
      <w:pPr>
        <w:pStyle w:val="yHeading5"/>
        <w:outlineLvl w:val="5"/>
        <w:rPr>
          <w:snapToGrid w:val="0"/>
        </w:rPr>
      </w:pPr>
      <w:bookmarkStart w:id="929" w:name="_Toc406080337"/>
      <w:bookmarkStart w:id="930" w:name="_Toc423530766"/>
      <w:r>
        <w:rPr>
          <w:rStyle w:val="CharSClsNo"/>
        </w:rPr>
        <w:t>1</w:t>
      </w:r>
      <w:r>
        <w:rPr>
          <w:snapToGrid w:val="0"/>
        </w:rPr>
        <w:t>.</w:t>
      </w:r>
      <w:r>
        <w:rPr>
          <w:snapToGrid w:val="0"/>
        </w:rPr>
        <w:tab/>
        <w:t>Terms used</w:t>
      </w:r>
      <w:bookmarkEnd w:id="929"/>
      <w:bookmarkEnd w:id="930"/>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Association</w:t>
      </w:r>
      <w:r>
        <w:t xml:space="preserve"> means the body deemed to be incorporated under the </w:t>
      </w:r>
      <w:r>
        <w:rPr>
          <w:i/>
        </w:rPr>
        <w:t>Associations Incorporation Act 1987</w:t>
      </w:r>
      <w:r>
        <w:t xml:space="preserve"> as the Australian Flying Corps and Royal Australian Air Force Association (Western Australia Division);</w:t>
      </w:r>
    </w:p>
    <w:p>
      <w:pPr>
        <w:pStyle w:val="yDefstart"/>
      </w:pPr>
      <w:r>
        <w:rPr>
          <w:b/>
        </w:rPr>
        <w:tab/>
      </w:r>
      <w:r>
        <w:rPr>
          <w:rStyle w:val="CharDefText"/>
        </w:rPr>
        <w:t>club</w:t>
      </w:r>
      <w:r>
        <w:t xml:space="preserve"> means the club known as the Air Force Association (Western Australia Division) Club;</w:t>
      </w:r>
    </w:p>
    <w:p>
      <w:pPr>
        <w:pStyle w:val="yDefstart"/>
      </w:pPr>
      <w:r>
        <w:tab/>
      </w:r>
      <w:r>
        <w:rPr>
          <w:rStyle w:val="CharDefText"/>
        </w:rPr>
        <w:t>Committee of Management</w:t>
      </w:r>
      <w:r>
        <w:t xml:space="preserve"> means the Division Committee of the Association as from time to time constituted under, and elected or appointed in accordance with, the rules of the Association.</w:t>
      </w:r>
    </w:p>
    <w:p>
      <w:pPr>
        <w:pStyle w:val="yHeading5"/>
        <w:outlineLvl w:val="5"/>
        <w:rPr>
          <w:snapToGrid w:val="0"/>
        </w:rPr>
      </w:pPr>
      <w:bookmarkStart w:id="931" w:name="_Toc406080338"/>
      <w:bookmarkStart w:id="932" w:name="_Toc423530767"/>
      <w:r>
        <w:rPr>
          <w:rStyle w:val="CharSClsNo"/>
        </w:rPr>
        <w:t>2</w:t>
      </w:r>
      <w:r>
        <w:rPr>
          <w:snapToGrid w:val="0"/>
        </w:rPr>
        <w:t>.</w:t>
      </w:r>
      <w:r>
        <w:rPr>
          <w:snapToGrid w:val="0"/>
        </w:rPr>
        <w:tab/>
        <w:t>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bookmarkEnd w:id="931"/>
      <w:bookmarkEnd w:id="932"/>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 and</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No. 73 of 2006 s. 105.] </w:t>
      </w:r>
    </w:p>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934" w:name="_Toc377389128"/>
      <w:bookmarkStart w:id="935" w:name="_Toc406080339"/>
      <w:bookmarkStart w:id="936" w:name="_Toc416876326"/>
      <w:bookmarkStart w:id="937" w:name="_Toc416876680"/>
      <w:bookmarkStart w:id="938" w:name="_Toc417973362"/>
      <w:bookmarkStart w:id="939" w:name="_Toc423530768"/>
      <w:r>
        <w:t>Notes</w:t>
      </w:r>
      <w:bookmarkEnd w:id="934"/>
      <w:bookmarkEnd w:id="935"/>
      <w:bookmarkEnd w:id="936"/>
      <w:bookmarkEnd w:id="937"/>
      <w:bookmarkEnd w:id="938"/>
      <w:bookmarkEnd w:id="939"/>
    </w:p>
    <w:p>
      <w:pPr>
        <w:pStyle w:val="nSubsection"/>
        <w:rPr>
          <w:snapToGrid w:val="0"/>
        </w:rPr>
      </w:pPr>
      <w:r>
        <w:rPr>
          <w:snapToGrid w:val="0"/>
          <w:vertAlign w:val="superscript"/>
        </w:rPr>
        <w:t>1</w:t>
      </w:r>
      <w:r>
        <w:rPr>
          <w:snapToGrid w:val="0"/>
        </w:rPr>
        <w:tab/>
        <w:t xml:space="preserve">This is a compilation of the </w:t>
      </w:r>
      <w:r>
        <w:rPr>
          <w:i/>
          <w:snapToGrid w:val="0"/>
        </w:rPr>
        <w:t>Liquor Control Act 1988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940" w:name="_Toc406080340"/>
      <w:bookmarkStart w:id="941" w:name="_Toc423530769"/>
      <w:r>
        <w:rPr>
          <w:snapToGrid w:val="0"/>
        </w:rPr>
        <w:t>Compilation table</w:t>
      </w:r>
      <w:bookmarkEnd w:id="940"/>
      <w:bookmarkEnd w:id="941"/>
    </w:p>
    <w:tbl>
      <w:tblPr>
        <w:tblW w:w="0" w:type="auto"/>
        <w:tblInd w:w="33" w:type="dxa"/>
        <w:tblLayout w:type="fixed"/>
        <w:tblCellMar>
          <w:left w:w="56" w:type="dxa"/>
          <w:right w:w="56" w:type="dxa"/>
        </w:tblCellMar>
        <w:tblLook w:val="0000" w:firstRow="0" w:lastRow="0" w:firstColumn="0" w:lastColumn="0" w:noHBand="0" w:noVBand="0"/>
      </w:tblPr>
      <w:tblGrid>
        <w:gridCol w:w="9"/>
        <w:gridCol w:w="14"/>
        <w:gridCol w:w="2245"/>
        <w:gridCol w:w="9"/>
        <w:gridCol w:w="14"/>
        <w:gridCol w:w="1111"/>
        <w:gridCol w:w="9"/>
        <w:gridCol w:w="14"/>
        <w:gridCol w:w="1113"/>
        <w:gridCol w:w="9"/>
        <w:gridCol w:w="12"/>
        <w:gridCol w:w="2530"/>
        <w:gridCol w:w="11"/>
        <w:gridCol w:w="10"/>
      </w:tblGrid>
      <w:tr>
        <w:trPr>
          <w:gridAfter w:val="2"/>
          <w:wAfter w:w="21" w:type="dxa"/>
          <w:cantSplit/>
          <w:tblHeader/>
        </w:trPr>
        <w:tc>
          <w:tcPr>
            <w:tcW w:w="2268" w:type="dxa"/>
            <w:gridSpan w:val="3"/>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21" w:type="dxa"/>
          <w:cantSplit/>
        </w:trPr>
        <w:tc>
          <w:tcPr>
            <w:tcW w:w="2268" w:type="dxa"/>
            <w:gridSpan w:val="3"/>
          </w:tcPr>
          <w:p>
            <w:pPr>
              <w:pStyle w:val="nTable"/>
              <w:spacing w:after="40"/>
              <w:ind w:right="113"/>
            </w:pPr>
            <w:r>
              <w:rPr>
                <w:i/>
              </w:rPr>
              <w:t>Liquor Licensing Act 1988 </w:t>
            </w:r>
            <w:r>
              <w:rPr>
                <w:vertAlign w:val="superscript"/>
              </w:rPr>
              <w:t>8</w:t>
            </w:r>
          </w:p>
        </w:tc>
        <w:tc>
          <w:tcPr>
            <w:tcW w:w="1134" w:type="dxa"/>
            <w:gridSpan w:val="3"/>
          </w:tcPr>
          <w:p>
            <w:pPr>
              <w:pStyle w:val="nTable"/>
              <w:spacing w:after="40"/>
            </w:pPr>
            <w:r>
              <w:t>54 of 1988</w:t>
            </w:r>
          </w:p>
        </w:tc>
        <w:tc>
          <w:tcPr>
            <w:tcW w:w="1136" w:type="dxa"/>
            <w:gridSpan w:val="3"/>
          </w:tcPr>
          <w:p>
            <w:pPr>
              <w:pStyle w:val="nTable"/>
              <w:spacing w:after="40"/>
            </w:pPr>
            <w:r>
              <w:t>9 Dec 1988</w:t>
            </w:r>
          </w:p>
        </w:tc>
        <w:tc>
          <w:tcPr>
            <w:tcW w:w="2551" w:type="dxa"/>
            <w:gridSpan w:val="3"/>
          </w:tcPr>
          <w:p>
            <w:pPr>
              <w:pStyle w:val="nTable"/>
              <w:spacing w:after="40"/>
            </w:pPr>
            <w:r>
              <w:t>s. 1 and 2: 9 Dec 1988;</w:t>
            </w:r>
            <w:r>
              <w:br/>
              <w:t xml:space="preserve">Act other than s. 1 and 2: 1 Feb 1989 (see s. 2 and </w:t>
            </w:r>
            <w:r>
              <w:rPr>
                <w:i/>
              </w:rPr>
              <w:t>Gazette</w:t>
            </w:r>
            <w:r>
              <w:t xml:space="preserve"> 27 Jan 1989 p. 263)</w:t>
            </w:r>
          </w:p>
        </w:tc>
      </w:tr>
      <w:tr>
        <w:trPr>
          <w:gridAfter w:val="2"/>
          <w:wAfter w:w="21" w:type="dxa"/>
          <w:cantSplit/>
        </w:trPr>
        <w:tc>
          <w:tcPr>
            <w:tcW w:w="2268" w:type="dxa"/>
            <w:gridSpan w:val="3"/>
          </w:tcPr>
          <w:p>
            <w:pPr>
              <w:pStyle w:val="nTable"/>
              <w:spacing w:after="40"/>
              <w:ind w:right="113"/>
            </w:pPr>
            <w:r>
              <w:rPr>
                <w:i/>
              </w:rPr>
              <w:t xml:space="preserve">Financial Administration Legislation Amendment Act 1993 </w:t>
            </w:r>
            <w:r>
              <w:t>s. 11</w:t>
            </w:r>
          </w:p>
        </w:tc>
        <w:tc>
          <w:tcPr>
            <w:tcW w:w="1134" w:type="dxa"/>
            <w:gridSpan w:val="3"/>
          </w:tcPr>
          <w:p>
            <w:pPr>
              <w:pStyle w:val="nTable"/>
              <w:spacing w:after="40"/>
            </w:pPr>
            <w:r>
              <w:t>6 of 1993</w:t>
            </w:r>
          </w:p>
        </w:tc>
        <w:tc>
          <w:tcPr>
            <w:tcW w:w="1136" w:type="dxa"/>
            <w:gridSpan w:val="3"/>
          </w:tcPr>
          <w:p>
            <w:pPr>
              <w:pStyle w:val="nTable"/>
              <w:spacing w:after="40"/>
            </w:pPr>
            <w:r>
              <w:t>27 Aug 1993</w:t>
            </w:r>
          </w:p>
        </w:tc>
        <w:tc>
          <w:tcPr>
            <w:tcW w:w="2551" w:type="dxa"/>
            <w:gridSpan w:val="3"/>
          </w:tcPr>
          <w:p>
            <w:pPr>
              <w:pStyle w:val="nTable"/>
              <w:spacing w:after="40"/>
            </w:pPr>
            <w:r>
              <w:t>1 Jul 1993 (see s. 2(1))</w:t>
            </w:r>
          </w:p>
        </w:tc>
      </w:tr>
      <w:tr>
        <w:trPr>
          <w:gridAfter w:val="2"/>
          <w:wAfter w:w="21" w:type="dxa"/>
          <w:cantSplit/>
        </w:trPr>
        <w:tc>
          <w:tcPr>
            <w:tcW w:w="2268" w:type="dxa"/>
            <w:gridSpan w:val="3"/>
          </w:tcPr>
          <w:p>
            <w:pPr>
              <w:pStyle w:val="nTable"/>
              <w:spacing w:after="40"/>
              <w:ind w:right="113"/>
            </w:pPr>
            <w:r>
              <w:rPr>
                <w:i/>
              </w:rPr>
              <w:t xml:space="preserve">Acts Amendment (Public Sector Management) Act 1994 </w:t>
            </w:r>
            <w:r>
              <w:t>s. 3(2)</w:t>
            </w:r>
          </w:p>
        </w:tc>
        <w:tc>
          <w:tcPr>
            <w:tcW w:w="1134" w:type="dxa"/>
            <w:gridSpan w:val="3"/>
          </w:tcPr>
          <w:p>
            <w:pPr>
              <w:pStyle w:val="nTable"/>
              <w:spacing w:after="40"/>
            </w:pPr>
            <w:r>
              <w:t>32 of 1994</w:t>
            </w:r>
          </w:p>
        </w:tc>
        <w:tc>
          <w:tcPr>
            <w:tcW w:w="1136" w:type="dxa"/>
            <w:gridSpan w:val="3"/>
          </w:tcPr>
          <w:p>
            <w:pPr>
              <w:pStyle w:val="nTable"/>
              <w:spacing w:after="40"/>
            </w:pPr>
            <w:r>
              <w:t>29 Jun 1994</w:t>
            </w:r>
          </w:p>
        </w:tc>
        <w:tc>
          <w:tcPr>
            <w:tcW w:w="2551" w:type="dxa"/>
            <w:gridSpan w:val="3"/>
          </w:tcPr>
          <w:p>
            <w:pPr>
              <w:pStyle w:val="nTable"/>
              <w:spacing w:after="40"/>
            </w:pPr>
            <w:r>
              <w:t xml:space="preserve">1 Oct 1994 (see s. 2 and </w:t>
            </w:r>
            <w:r>
              <w:rPr>
                <w:i/>
              </w:rPr>
              <w:t>Gazette</w:t>
            </w:r>
            <w:r>
              <w:t xml:space="preserve"> 30 Sep 1994 p. 4948)</w:t>
            </w:r>
          </w:p>
        </w:tc>
      </w:tr>
      <w:tr>
        <w:trPr>
          <w:gridAfter w:val="2"/>
          <w:wAfter w:w="21" w:type="dxa"/>
          <w:cantSplit/>
        </w:trPr>
        <w:tc>
          <w:tcPr>
            <w:tcW w:w="2268" w:type="dxa"/>
            <w:gridSpan w:val="3"/>
          </w:tcPr>
          <w:p>
            <w:pPr>
              <w:pStyle w:val="nTable"/>
              <w:spacing w:after="40"/>
              <w:ind w:right="113"/>
            </w:pPr>
            <w:r>
              <w:rPr>
                <w:i/>
              </w:rPr>
              <w:t xml:space="preserve">Statutes (Repeals and Minor Amendments) Act 1994 </w:t>
            </w:r>
            <w:r>
              <w:t>s. 4</w:t>
            </w:r>
          </w:p>
        </w:tc>
        <w:tc>
          <w:tcPr>
            <w:tcW w:w="1134" w:type="dxa"/>
            <w:gridSpan w:val="3"/>
          </w:tcPr>
          <w:p>
            <w:pPr>
              <w:pStyle w:val="nTable"/>
              <w:spacing w:after="40"/>
            </w:pPr>
            <w:r>
              <w:t>73 of 1994</w:t>
            </w:r>
          </w:p>
        </w:tc>
        <w:tc>
          <w:tcPr>
            <w:tcW w:w="1136" w:type="dxa"/>
            <w:gridSpan w:val="3"/>
          </w:tcPr>
          <w:p>
            <w:pPr>
              <w:pStyle w:val="nTable"/>
              <w:spacing w:after="40"/>
            </w:pPr>
            <w:r>
              <w:t>9 Dec 1994</w:t>
            </w:r>
          </w:p>
        </w:tc>
        <w:tc>
          <w:tcPr>
            <w:tcW w:w="2551" w:type="dxa"/>
            <w:gridSpan w:val="3"/>
          </w:tcPr>
          <w:p>
            <w:pPr>
              <w:pStyle w:val="nTable"/>
              <w:spacing w:after="40"/>
            </w:pPr>
            <w:r>
              <w:t>9 Dec 1994 (see s. 2)</w:t>
            </w:r>
          </w:p>
        </w:tc>
      </w:tr>
      <w:tr>
        <w:trPr>
          <w:gridAfter w:val="2"/>
          <w:wAfter w:w="21" w:type="dxa"/>
          <w:cantSplit/>
        </w:trPr>
        <w:tc>
          <w:tcPr>
            <w:tcW w:w="2268" w:type="dxa"/>
            <w:gridSpan w:val="3"/>
          </w:tcPr>
          <w:p>
            <w:pPr>
              <w:pStyle w:val="nTable"/>
              <w:spacing w:after="40"/>
              <w:ind w:right="113"/>
            </w:pPr>
            <w:r>
              <w:rPr>
                <w:i/>
              </w:rPr>
              <w:t xml:space="preserve">Acts Amendment (Fines, Penalties and Infringement Notices) Act 1994 </w:t>
            </w:r>
            <w:r>
              <w:t>s. 22</w:t>
            </w:r>
          </w:p>
        </w:tc>
        <w:tc>
          <w:tcPr>
            <w:tcW w:w="1134" w:type="dxa"/>
            <w:gridSpan w:val="3"/>
          </w:tcPr>
          <w:p>
            <w:pPr>
              <w:pStyle w:val="nTable"/>
              <w:spacing w:after="40"/>
            </w:pPr>
            <w:r>
              <w:t>92 of 1994</w:t>
            </w:r>
          </w:p>
        </w:tc>
        <w:tc>
          <w:tcPr>
            <w:tcW w:w="1136" w:type="dxa"/>
            <w:gridSpan w:val="3"/>
          </w:tcPr>
          <w:p>
            <w:pPr>
              <w:pStyle w:val="nTable"/>
              <w:spacing w:after="40"/>
            </w:pPr>
            <w:r>
              <w:t>23 Dec 1994</w:t>
            </w:r>
          </w:p>
        </w:tc>
        <w:tc>
          <w:tcPr>
            <w:tcW w:w="2551" w:type="dxa"/>
            <w:gridSpan w:val="3"/>
          </w:tcPr>
          <w:p>
            <w:pPr>
              <w:pStyle w:val="nTable"/>
              <w:spacing w:after="40"/>
            </w:pPr>
            <w:r>
              <w:t xml:space="preserve">1 Jan 1995 (see s. 2(1) and </w:t>
            </w:r>
            <w:r>
              <w:rPr>
                <w:i/>
              </w:rPr>
              <w:t>Gazette</w:t>
            </w:r>
            <w:r>
              <w:t xml:space="preserve"> 30 Dec 1994 p. 7211)</w:t>
            </w:r>
          </w:p>
        </w:tc>
      </w:tr>
      <w:tr>
        <w:trPr>
          <w:gridAfter w:val="2"/>
          <w:wAfter w:w="21" w:type="dxa"/>
          <w:cantSplit/>
        </w:trPr>
        <w:tc>
          <w:tcPr>
            <w:tcW w:w="2268" w:type="dxa"/>
            <w:gridSpan w:val="3"/>
          </w:tcPr>
          <w:p>
            <w:pPr>
              <w:pStyle w:val="nTable"/>
              <w:spacing w:after="40"/>
              <w:ind w:right="113"/>
            </w:pPr>
            <w:r>
              <w:rPr>
                <w:i/>
              </w:rPr>
              <w:t xml:space="preserve">Sentencing (Consequential Provisions) Act 1995 </w:t>
            </w:r>
            <w:r>
              <w:t>s. 66</w:t>
            </w:r>
          </w:p>
        </w:tc>
        <w:tc>
          <w:tcPr>
            <w:tcW w:w="1134" w:type="dxa"/>
            <w:gridSpan w:val="3"/>
          </w:tcPr>
          <w:p>
            <w:pPr>
              <w:pStyle w:val="nTable"/>
              <w:spacing w:after="40"/>
            </w:pPr>
            <w:r>
              <w:t>78 of 1995</w:t>
            </w:r>
          </w:p>
        </w:tc>
        <w:tc>
          <w:tcPr>
            <w:tcW w:w="1136" w:type="dxa"/>
            <w:gridSpan w:val="3"/>
          </w:tcPr>
          <w:p>
            <w:pPr>
              <w:pStyle w:val="nTable"/>
              <w:spacing w:after="40"/>
            </w:pPr>
            <w:r>
              <w:t>16 Jan 1996</w:t>
            </w:r>
          </w:p>
        </w:tc>
        <w:tc>
          <w:tcPr>
            <w:tcW w:w="2551" w:type="dxa"/>
            <w:gridSpan w:val="3"/>
          </w:tcPr>
          <w:p>
            <w:pPr>
              <w:pStyle w:val="nTable"/>
              <w:spacing w:after="40"/>
            </w:pPr>
            <w:r>
              <w:t xml:space="preserve">4 Nov 1996 (see s. 2 and </w:t>
            </w:r>
            <w:r>
              <w:rPr>
                <w:i/>
              </w:rPr>
              <w:t xml:space="preserve">Gazette </w:t>
            </w:r>
            <w:r>
              <w:t>25 Oct 1996 p. 5632)</w:t>
            </w:r>
          </w:p>
        </w:tc>
      </w:tr>
      <w:tr>
        <w:trPr>
          <w:gridAfter w:val="2"/>
          <w:wAfter w:w="21" w:type="dxa"/>
          <w:cantSplit/>
        </w:trPr>
        <w:tc>
          <w:tcPr>
            <w:tcW w:w="2268" w:type="dxa"/>
            <w:gridSpan w:val="3"/>
          </w:tcPr>
          <w:p>
            <w:pPr>
              <w:pStyle w:val="nTable"/>
              <w:spacing w:after="40"/>
              <w:ind w:right="113"/>
            </w:pPr>
            <w:r>
              <w:rPr>
                <w:i/>
              </w:rPr>
              <w:t xml:space="preserve">Local Government (Consequential Amendments) Act 1996 </w:t>
            </w:r>
            <w:r>
              <w:t>s. 4</w:t>
            </w:r>
          </w:p>
        </w:tc>
        <w:tc>
          <w:tcPr>
            <w:tcW w:w="1134" w:type="dxa"/>
            <w:gridSpan w:val="3"/>
          </w:tcPr>
          <w:p>
            <w:pPr>
              <w:pStyle w:val="nTable"/>
              <w:keepNext/>
              <w:keepLines/>
              <w:spacing w:after="40"/>
            </w:pPr>
            <w:r>
              <w:t>14 of 1996</w:t>
            </w:r>
          </w:p>
        </w:tc>
        <w:tc>
          <w:tcPr>
            <w:tcW w:w="1136" w:type="dxa"/>
            <w:gridSpan w:val="3"/>
          </w:tcPr>
          <w:p>
            <w:pPr>
              <w:pStyle w:val="nTable"/>
              <w:keepNext/>
              <w:keepLines/>
              <w:spacing w:after="40"/>
            </w:pPr>
            <w:r>
              <w:t>28 Jun 1996</w:t>
            </w:r>
          </w:p>
        </w:tc>
        <w:tc>
          <w:tcPr>
            <w:tcW w:w="2551" w:type="dxa"/>
            <w:gridSpan w:val="3"/>
          </w:tcPr>
          <w:p>
            <w:pPr>
              <w:pStyle w:val="nTable"/>
              <w:keepNext/>
              <w:keepLines/>
              <w:spacing w:after="40"/>
            </w:pPr>
            <w:r>
              <w:t>1 Jul 1996 (see s. 2)</w:t>
            </w:r>
          </w:p>
        </w:tc>
      </w:tr>
      <w:tr>
        <w:trPr>
          <w:gridAfter w:val="2"/>
          <w:wAfter w:w="21" w:type="dxa"/>
          <w:cantSplit/>
        </w:trPr>
        <w:tc>
          <w:tcPr>
            <w:tcW w:w="2268" w:type="dxa"/>
            <w:gridSpan w:val="3"/>
          </w:tcPr>
          <w:p>
            <w:pPr>
              <w:pStyle w:val="nTable"/>
              <w:spacing w:after="40"/>
              <w:ind w:right="113"/>
            </w:pPr>
            <w:r>
              <w:rPr>
                <w:i/>
              </w:rPr>
              <w:t xml:space="preserve">Financial Legislation Amendment Act 1996 </w:t>
            </w:r>
            <w:r>
              <w:t>s. 64</w:t>
            </w:r>
          </w:p>
        </w:tc>
        <w:tc>
          <w:tcPr>
            <w:tcW w:w="1134" w:type="dxa"/>
            <w:gridSpan w:val="3"/>
          </w:tcPr>
          <w:p>
            <w:pPr>
              <w:pStyle w:val="nTable"/>
              <w:spacing w:after="40"/>
            </w:pPr>
            <w:r>
              <w:t>49 of 1996</w:t>
            </w:r>
          </w:p>
        </w:tc>
        <w:tc>
          <w:tcPr>
            <w:tcW w:w="1136" w:type="dxa"/>
            <w:gridSpan w:val="3"/>
          </w:tcPr>
          <w:p>
            <w:pPr>
              <w:pStyle w:val="nTable"/>
              <w:spacing w:after="40"/>
            </w:pPr>
            <w:r>
              <w:t>25 Oct 1996</w:t>
            </w:r>
          </w:p>
        </w:tc>
        <w:tc>
          <w:tcPr>
            <w:tcW w:w="2551" w:type="dxa"/>
            <w:gridSpan w:val="3"/>
          </w:tcPr>
          <w:p>
            <w:pPr>
              <w:pStyle w:val="nTable"/>
              <w:spacing w:after="40"/>
            </w:pPr>
            <w:r>
              <w:t>25 Oct 1996 (see s. 2(1))</w:t>
            </w:r>
          </w:p>
        </w:tc>
      </w:tr>
      <w:tr>
        <w:trPr>
          <w:gridAfter w:val="2"/>
          <w:wAfter w:w="21" w:type="dxa"/>
          <w:cantSplit/>
        </w:trPr>
        <w:tc>
          <w:tcPr>
            <w:tcW w:w="2268" w:type="dxa"/>
            <w:gridSpan w:val="3"/>
          </w:tcPr>
          <w:p>
            <w:pPr>
              <w:pStyle w:val="nTable"/>
              <w:spacing w:after="40"/>
              <w:ind w:right="113"/>
            </w:pPr>
            <w:r>
              <w:rPr>
                <w:i/>
              </w:rPr>
              <w:t xml:space="preserve">Acts Amendment (Franchise Fees) Act 1997 </w:t>
            </w:r>
            <w:r>
              <w:t>Pt. 4</w:t>
            </w:r>
          </w:p>
        </w:tc>
        <w:tc>
          <w:tcPr>
            <w:tcW w:w="1134" w:type="dxa"/>
            <w:gridSpan w:val="3"/>
          </w:tcPr>
          <w:p>
            <w:pPr>
              <w:pStyle w:val="nTable"/>
              <w:spacing w:after="40"/>
            </w:pPr>
            <w:r>
              <w:t>56 of 1997</w:t>
            </w:r>
          </w:p>
        </w:tc>
        <w:tc>
          <w:tcPr>
            <w:tcW w:w="1136" w:type="dxa"/>
            <w:gridSpan w:val="3"/>
          </w:tcPr>
          <w:p>
            <w:pPr>
              <w:pStyle w:val="nTable"/>
              <w:spacing w:after="40"/>
            </w:pPr>
            <w:r>
              <w:t>12 Dec 1997</w:t>
            </w:r>
          </w:p>
        </w:tc>
        <w:tc>
          <w:tcPr>
            <w:tcW w:w="2551" w:type="dxa"/>
            <w:gridSpan w:val="3"/>
          </w:tcPr>
          <w:p>
            <w:pPr>
              <w:pStyle w:val="nTable"/>
              <w:spacing w:after="40"/>
            </w:pPr>
            <w:r>
              <w:t xml:space="preserve">31 Jan 1998 (see s. 2 and </w:t>
            </w:r>
            <w:r>
              <w:rPr>
                <w:i/>
              </w:rPr>
              <w:t>Gazette</w:t>
            </w:r>
            <w:r>
              <w:t xml:space="preserve"> 30 Jan 1998 p. 577)</w:t>
            </w:r>
          </w:p>
        </w:tc>
      </w:tr>
      <w:tr>
        <w:trPr>
          <w:gridAfter w:val="2"/>
          <w:wAfter w:w="21" w:type="dxa"/>
          <w:cantSplit/>
        </w:trPr>
        <w:tc>
          <w:tcPr>
            <w:tcW w:w="2268" w:type="dxa"/>
            <w:gridSpan w:val="3"/>
          </w:tcPr>
          <w:p>
            <w:pPr>
              <w:pStyle w:val="nTable"/>
              <w:spacing w:after="40"/>
              <w:ind w:right="113"/>
            </w:pPr>
            <w:r>
              <w:rPr>
                <w:i/>
              </w:rPr>
              <w:t>Liquor Licensing Amendment Act 1998</w:t>
            </w:r>
          </w:p>
        </w:tc>
        <w:tc>
          <w:tcPr>
            <w:tcW w:w="1134" w:type="dxa"/>
            <w:gridSpan w:val="3"/>
          </w:tcPr>
          <w:p>
            <w:pPr>
              <w:pStyle w:val="nTable"/>
              <w:spacing w:after="40"/>
            </w:pPr>
            <w:r>
              <w:t>12 of 1998</w:t>
            </w:r>
          </w:p>
        </w:tc>
        <w:tc>
          <w:tcPr>
            <w:tcW w:w="1136" w:type="dxa"/>
            <w:gridSpan w:val="3"/>
          </w:tcPr>
          <w:p>
            <w:pPr>
              <w:pStyle w:val="nTable"/>
              <w:spacing w:after="40"/>
            </w:pPr>
            <w:r>
              <w:t>12 May 1998</w:t>
            </w:r>
          </w:p>
        </w:tc>
        <w:tc>
          <w:tcPr>
            <w:tcW w:w="2551" w:type="dxa"/>
            <w:gridSpan w:val="3"/>
          </w:tcPr>
          <w:p>
            <w:pPr>
              <w:pStyle w:val="nTable"/>
              <w:spacing w:after="40"/>
            </w:pPr>
            <w:r>
              <w:t>s. 1 and 2: 12 May 1998;</w:t>
            </w:r>
            <w:r>
              <w:br/>
              <w:t>Act other than s. 1 and 2:</w:t>
            </w:r>
            <w:r>
              <w:br/>
              <w:t xml:space="preserve">23 May 1998 (see s. 2 and </w:t>
            </w:r>
            <w:r>
              <w:rPr>
                <w:i/>
              </w:rPr>
              <w:t>Gazette</w:t>
            </w:r>
            <w:r>
              <w:t xml:space="preserve"> 22 May 1998 p. 2921)</w:t>
            </w:r>
          </w:p>
        </w:tc>
      </w:tr>
      <w:tr>
        <w:trPr>
          <w:gridAfter w:val="2"/>
          <w:wAfter w:w="21" w:type="dxa"/>
          <w:cantSplit/>
        </w:trPr>
        <w:tc>
          <w:tcPr>
            <w:tcW w:w="7089" w:type="dxa"/>
            <w:gridSpan w:val="12"/>
          </w:tcPr>
          <w:p>
            <w:pPr>
              <w:pStyle w:val="nTable"/>
              <w:spacing w:after="40"/>
            </w:pPr>
            <w:r>
              <w:rPr>
                <w:b/>
              </w:rPr>
              <w:t xml:space="preserve">Reprint of the </w:t>
            </w:r>
            <w:r>
              <w:rPr>
                <w:b/>
                <w:i/>
              </w:rPr>
              <w:t>Liquor Licensing Act 1988</w:t>
            </w:r>
            <w:r>
              <w:rPr>
                <w:b/>
              </w:rPr>
              <w:t xml:space="preserve"> as at 12 Jun 1998</w:t>
            </w:r>
            <w:r>
              <w:t xml:space="preserve"> (includes amendments listed above) (Correction in </w:t>
            </w:r>
            <w:r>
              <w:rPr>
                <w:i/>
              </w:rPr>
              <w:t>Gazette</w:t>
            </w:r>
            <w:r>
              <w:t xml:space="preserve"> 31 Jul 1998 p. 3942)</w:t>
            </w:r>
          </w:p>
        </w:tc>
      </w:tr>
      <w:tr>
        <w:trPr>
          <w:gridAfter w:val="2"/>
          <w:wAfter w:w="21" w:type="dxa"/>
          <w:cantSplit/>
        </w:trPr>
        <w:tc>
          <w:tcPr>
            <w:tcW w:w="2268" w:type="dxa"/>
            <w:gridSpan w:val="3"/>
          </w:tcPr>
          <w:p>
            <w:pPr>
              <w:pStyle w:val="nTable"/>
              <w:spacing w:after="40"/>
              <w:ind w:right="113"/>
              <w:rPr>
                <w:i/>
              </w:rPr>
            </w:pPr>
            <w:r>
              <w:rPr>
                <w:i/>
              </w:rPr>
              <w:t>Liquor Licensing Amendment (Petrol Stations and Lodgers’ Registers) Act 2000</w:t>
            </w:r>
          </w:p>
        </w:tc>
        <w:tc>
          <w:tcPr>
            <w:tcW w:w="1134" w:type="dxa"/>
            <w:gridSpan w:val="3"/>
          </w:tcPr>
          <w:p>
            <w:pPr>
              <w:pStyle w:val="nTable"/>
              <w:spacing w:after="40"/>
            </w:pPr>
            <w:r>
              <w:t>23 of 2000</w:t>
            </w:r>
          </w:p>
        </w:tc>
        <w:tc>
          <w:tcPr>
            <w:tcW w:w="1136" w:type="dxa"/>
            <w:gridSpan w:val="3"/>
          </w:tcPr>
          <w:p>
            <w:pPr>
              <w:pStyle w:val="nTable"/>
              <w:spacing w:after="40"/>
            </w:pPr>
            <w:r>
              <w:t xml:space="preserve">30 Jun 2000 </w:t>
            </w:r>
          </w:p>
        </w:tc>
        <w:tc>
          <w:tcPr>
            <w:tcW w:w="2551" w:type="dxa"/>
            <w:gridSpan w:val="3"/>
          </w:tcPr>
          <w:p>
            <w:pPr>
              <w:pStyle w:val="nTable"/>
              <w:spacing w:after="40"/>
              <w:rPr>
                <w:i/>
              </w:rPr>
            </w:pPr>
            <w:r>
              <w:t>s. 1 and 2: 30 Jun 2000;</w:t>
            </w:r>
            <w:r>
              <w:br/>
              <w:t xml:space="preserve">Act other than s. 1 and 2:  30 Sep 2000 (see s. 2 and </w:t>
            </w:r>
            <w:r>
              <w:rPr>
                <w:i/>
              </w:rPr>
              <w:t>Gazette</w:t>
            </w:r>
            <w:r>
              <w:t xml:space="preserve"> 29 Sep 2000 p. 5533)</w:t>
            </w:r>
          </w:p>
        </w:tc>
      </w:tr>
      <w:tr>
        <w:trPr>
          <w:gridAfter w:val="2"/>
          <w:wAfter w:w="21" w:type="dxa"/>
          <w:cantSplit/>
        </w:trPr>
        <w:tc>
          <w:tcPr>
            <w:tcW w:w="2268" w:type="dxa"/>
            <w:gridSpan w:val="3"/>
          </w:tcPr>
          <w:p>
            <w:pPr>
              <w:pStyle w:val="nTable"/>
              <w:spacing w:after="40"/>
              <w:ind w:right="113"/>
            </w:pPr>
            <w:r>
              <w:rPr>
                <w:i/>
              </w:rPr>
              <w:t xml:space="preserve">Courts Legislation Amendment Act 2000 </w:t>
            </w:r>
            <w:r>
              <w:t>Pt. 3</w:t>
            </w:r>
            <w:r>
              <w:rPr>
                <w:vertAlign w:val="superscript"/>
              </w:rPr>
              <w:t> 9</w:t>
            </w:r>
          </w:p>
        </w:tc>
        <w:tc>
          <w:tcPr>
            <w:tcW w:w="1134" w:type="dxa"/>
            <w:gridSpan w:val="3"/>
          </w:tcPr>
          <w:p>
            <w:pPr>
              <w:pStyle w:val="nTable"/>
              <w:spacing w:after="40"/>
            </w:pPr>
            <w:r>
              <w:t>27 of 2000</w:t>
            </w:r>
          </w:p>
        </w:tc>
        <w:tc>
          <w:tcPr>
            <w:tcW w:w="1136" w:type="dxa"/>
            <w:gridSpan w:val="3"/>
          </w:tcPr>
          <w:p>
            <w:pPr>
              <w:pStyle w:val="nTable"/>
              <w:spacing w:after="40"/>
            </w:pPr>
            <w:r>
              <w:t>6 Jul 2000</w:t>
            </w:r>
          </w:p>
        </w:tc>
        <w:tc>
          <w:tcPr>
            <w:tcW w:w="2551" w:type="dxa"/>
            <w:gridSpan w:val="3"/>
          </w:tcPr>
          <w:p>
            <w:pPr>
              <w:pStyle w:val="nTable"/>
              <w:spacing w:after="40"/>
            </w:pPr>
            <w:r>
              <w:t>6 Jul 2000 (see s. 2(1))</w:t>
            </w:r>
          </w:p>
        </w:tc>
      </w:tr>
      <w:tr>
        <w:trPr>
          <w:gridAfter w:val="2"/>
          <w:wAfter w:w="21" w:type="dxa"/>
          <w:cantSplit/>
        </w:trPr>
        <w:tc>
          <w:tcPr>
            <w:tcW w:w="7089" w:type="dxa"/>
            <w:gridSpan w:val="12"/>
          </w:tcPr>
          <w:p>
            <w:pPr>
              <w:pStyle w:val="nTable"/>
              <w:spacing w:after="40"/>
            </w:pPr>
            <w:r>
              <w:rPr>
                <w:b/>
              </w:rPr>
              <w:t xml:space="preserve">Reprint of the </w:t>
            </w:r>
            <w:r>
              <w:rPr>
                <w:b/>
                <w:i/>
              </w:rPr>
              <w:t>Liquor Licensing Act 1988</w:t>
            </w:r>
            <w:r>
              <w:rPr>
                <w:b/>
              </w:rPr>
              <w:t xml:space="preserve"> as at 23 Feb 2001</w:t>
            </w:r>
            <w:r>
              <w:t xml:space="preserve"> (includes amendments listed above)</w:t>
            </w:r>
          </w:p>
        </w:tc>
      </w:tr>
      <w:tr>
        <w:trPr>
          <w:gridAfter w:val="2"/>
          <w:wAfter w:w="21" w:type="dxa"/>
          <w:cantSplit/>
        </w:trPr>
        <w:tc>
          <w:tcPr>
            <w:tcW w:w="2268" w:type="dxa"/>
            <w:gridSpan w:val="3"/>
          </w:tcPr>
          <w:p>
            <w:pPr>
              <w:pStyle w:val="nTable"/>
              <w:spacing w:after="40"/>
              <w:ind w:right="113"/>
              <w:rPr>
                <w:i/>
              </w:rPr>
            </w:pPr>
            <w:r>
              <w:rPr>
                <w:i/>
              </w:rPr>
              <w:t>Corporations (Consequential Amendments) Act 2001</w:t>
            </w:r>
            <w:r>
              <w:t xml:space="preserve"> s. 220</w:t>
            </w:r>
          </w:p>
        </w:tc>
        <w:tc>
          <w:tcPr>
            <w:tcW w:w="1134" w:type="dxa"/>
            <w:gridSpan w:val="3"/>
          </w:tcPr>
          <w:p>
            <w:pPr>
              <w:pStyle w:val="nTable"/>
              <w:spacing w:after="40"/>
            </w:pPr>
            <w:r>
              <w:t>10 of 2001</w:t>
            </w:r>
          </w:p>
        </w:tc>
        <w:tc>
          <w:tcPr>
            <w:tcW w:w="1136" w:type="dxa"/>
            <w:gridSpan w:val="3"/>
          </w:tcPr>
          <w:p>
            <w:pPr>
              <w:pStyle w:val="nTable"/>
              <w:spacing w:after="40"/>
            </w:pPr>
            <w:r>
              <w:t>28 Jun 2001</w:t>
            </w:r>
          </w:p>
        </w:tc>
        <w:tc>
          <w:tcPr>
            <w:tcW w:w="2551" w:type="dxa"/>
            <w:gridSpan w:val="3"/>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21" w:type="dxa"/>
          <w:cantSplit/>
        </w:trPr>
        <w:tc>
          <w:tcPr>
            <w:tcW w:w="2268" w:type="dxa"/>
            <w:gridSpan w:val="3"/>
          </w:tcPr>
          <w:p>
            <w:pPr>
              <w:pStyle w:val="nTable"/>
              <w:spacing w:after="40"/>
              <w:ind w:right="113"/>
            </w:pPr>
            <w:r>
              <w:rPr>
                <w:i/>
              </w:rPr>
              <w:t>Liquor Licensing Amendment Act 2001 </w:t>
            </w:r>
            <w:r>
              <w:rPr>
                <w:vertAlign w:val="superscript"/>
              </w:rPr>
              <w:t>10</w:t>
            </w:r>
          </w:p>
        </w:tc>
        <w:tc>
          <w:tcPr>
            <w:tcW w:w="1134" w:type="dxa"/>
            <w:gridSpan w:val="3"/>
          </w:tcPr>
          <w:p>
            <w:pPr>
              <w:pStyle w:val="nTable"/>
              <w:spacing w:after="40"/>
            </w:pPr>
            <w:r>
              <w:t>26 of 2001</w:t>
            </w:r>
          </w:p>
        </w:tc>
        <w:tc>
          <w:tcPr>
            <w:tcW w:w="1136" w:type="dxa"/>
            <w:gridSpan w:val="3"/>
          </w:tcPr>
          <w:p>
            <w:pPr>
              <w:pStyle w:val="nTable"/>
              <w:spacing w:after="40"/>
            </w:pPr>
            <w:r>
              <w:t>5 Dec 2001</w:t>
            </w:r>
          </w:p>
        </w:tc>
        <w:tc>
          <w:tcPr>
            <w:tcW w:w="2551" w:type="dxa"/>
            <w:gridSpan w:val="3"/>
          </w:tcPr>
          <w:p>
            <w:pPr>
              <w:pStyle w:val="nTable"/>
              <w:spacing w:after="40"/>
            </w:pPr>
            <w:r>
              <w:t>s. 1 and 2: 5 Dec 2001;</w:t>
            </w:r>
            <w:r>
              <w:br/>
              <w:t>Act other than s. 1 and 2:</w:t>
            </w:r>
            <w:r>
              <w:br/>
              <w:t xml:space="preserve">7 Jan 2002 (see s. 2 and </w:t>
            </w:r>
            <w:r>
              <w:rPr>
                <w:i/>
              </w:rPr>
              <w:t>Gazette</w:t>
            </w:r>
            <w:r>
              <w:t xml:space="preserve"> 4 Jan 2002 p. 3)</w:t>
            </w:r>
          </w:p>
        </w:tc>
      </w:tr>
      <w:tr>
        <w:trPr>
          <w:gridAfter w:val="2"/>
          <w:wAfter w:w="21" w:type="dxa"/>
          <w:cantSplit/>
        </w:trPr>
        <w:tc>
          <w:tcPr>
            <w:tcW w:w="2268" w:type="dxa"/>
            <w:gridSpan w:val="3"/>
          </w:tcPr>
          <w:p>
            <w:pPr>
              <w:pStyle w:val="nTable"/>
              <w:spacing w:after="40"/>
              <w:ind w:right="113"/>
              <w:rPr>
                <w:i/>
              </w:rPr>
            </w:pPr>
            <w:r>
              <w:rPr>
                <w:i/>
              </w:rPr>
              <w:t>Vexatious Proceedings Restriction Act 2002</w:t>
            </w:r>
            <w:r>
              <w:t xml:space="preserve"> s. 13</w:t>
            </w:r>
          </w:p>
        </w:tc>
        <w:tc>
          <w:tcPr>
            <w:tcW w:w="1134" w:type="dxa"/>
            <w:gridSpan w:val="3"/>
          </w:tcPr>
          <w:p>
            <w:pPr>
              <w:pStyle w:val="nTable"/>
              <w:spacing w:after="40"/>
            </w:pPr>
            <w:r>
              <w:t>23 of 2002</w:t>
            </w:r>
          </w:p>
        </w:tc>
        <w:tc>
          <w:tcPr>
            <w:tcW w:w="1136" w:type="dxa"/>
            <w:gridSpan w:val="3"/>
          </w:tcPr>
          <w:p>
            <w:pPr>
              <w:pStyle w:val="nTable"/>
              <w:spacing w:after="40"/>
            </w:pPr>
            <w:r>
              <w:t>18 Sep 2002</w:t>
            </w:r>
          </w:p>
        </w:tc>
        <w:tc>
          <w:tcPr>
            <w:tcW w:w="2551" w:type="dxa"/>
            <w:gridSpan w:val="3"/>
          </w:tcPr>
          <w:p>
            <w:pPr>
              <w:pStyle w:val="nTable"/>
              <w:spacing w:after="40"/>
            </w:pPr>
            <w:r>
              <w:t xml:space="preserve">28 Sep 2002 (see s. 2 and </w:t>
            </w:r>
            <w:r>
              <w:rPr>
                <w:i/>
              </w:rPr>
              <w:t>Gazette</w:t>
            </w:r>
            <w:r>
              <w:t xml:space="preserve"> 27 Sep 2002 p. 4877)</w:t>
            </w:r>
          </w:p>
        </w:tc>
      </w:tr>
      <w:tr>
        <w:trPr>
          <w:gridAfter w:val="2"/>
          <w:wAfter w:w="21" w:type="dxa"/>
          <w:cantSplit/>
        </w:trPr>
        <w:tc>
          <w:tcPr>
            <w:tcW w:w="2268" w:type="dxa"/>
            <w:gridSpan w:val="3"/>
          </w:tcPr>
          <w:p>
            <w:pPr>
              <w:pStyle w:val="nTable"/>
              <w:spacing w:after="40"/>
              <w:ind w:right="113"/>
            </w:pPr>
            <w:r>
              <w:rPr>
                <w:i/>
              </w:rPr>
              <w:t>Acts Amendment (Equality of Status) Act 2003</w:t>
            </w:r>
            <w:r>
              <w:t xml:space="preserve"> Pt. 36</w:t>
            </w:r>
          </w:p>
        </w:tc>
        <w:tc>
          <w:tcPr>
            <w:tcW w:w="1134" w:type="dxa"/>
            <w:gridSpan w:val="3"/>
          </w:tcPr>
          <w:p>
            <w:pPr>
              <w:pStyle w:val="nTable"/>
              <w:spacing w:after="40"/>
            </w:pPr>
            <w:r>
              <w:t>28 of 2003</w:t>
            </w:r>
          </w:p>
        </w:tc>
        <w:tc>
          <w:tcPr>
            <w:tcW w:w="1136" w:type="dxa"/>
            <w:gridSpan w:val="3"/>
          </w:tcPr>
          <w:p>
            <w:pPr>
              <w:pStyle w:val="nTable"/>
              <w:spacing w:after="40"/>
            </w:pPr>
            <w:r>
              <w:t>22 May 2003</w:t>
            </w:r>
          </w:p>
        </w:tc>
        <w:tc>
          <w:tcPr>
            <w:tcW w:w="2551" w:type="dxa"/>
            <w:gridSpan w:val="3"/>
          </w:tcPr>
          <w:p>
            <w:pPr>
              <w:pStyle w:val="nTable"/>
              <w:spacing w:after="40"/>
            </w:pPr>
            <w:r>
              <w:t xml:space="preserve">1 Jul 2003 (see s. 2 and </w:t>
            </w:r>
            <w:r>
              <w:rPr>
                <w:i/>
              </w:rPr>
              <w:t xml:space="preserve">Gazette </w:t>
            </w:r>
            <w:r>
              <w:t>30 Jun 2003 p. 2579)</w:t>
            </w:r>
          </w:p>
        </w:tc>
      </w:tr>
      <w:tr>
        <w:trPr>
          <w:gridAfter w:val="2"/>
          <w:wAfter w:w="21" w:type="dxa"/>
          <w:cantSplit/>
        </w:trPr>
        <w:tc>
          <w:tcPr>
            <w:tcW w:w="2268" w:type="dxa"/>
            <w:gridSpan w:val="3"/>
          </w:tcPr>
          <w:p>
            <w:pPr>
              <w:pStyle w:val="nTable"/>
              <w:spacing w:after="40"/>
              <w:ind w:right="113"/>
              <w:rPr>
                <w:i/>
              </w:rPr>
            </w:pPr>
            <w:r>
              <w:rPr>
                <w:i/>
              </w:rPr>
              <w:t>Public Transport Authority Act 2003</w:t>
            </w:r>
            <w:r>
              <w:t xml:space="preserve"> s. 151</w:t>
            </w:r>
          </w:p>
        </w:tc>
        <w:tc>
          <w:tcPr>
            <w:tcW w:w="1134" w:type="dxa"/>
            <w:gridSpan w:val="3"/>
          </w:tcPr>
          <w:p>
            <w:pPr>
              <w:pStyle w:val="nTable"/>
              <w:spacing w:after="40"/>
            </w:pPr>
            <w:r>
              <w:t>31 of 2003</w:t>
            </w:r>
          </w:p>
        </w:tc>
        <w:tc>
          <w:tcPr>
            <w:tcW w:w="1136" w:type="dxa"/>
            <w:gridSpan w:val="3"/>
          </w:tcPr>
          <w:p>
            <w:pPr>
              <w:pStyle w:val="nTable"/>
              <w:spacing w:after="40"/>
            </w:pPr>
            <w:r>
              <w:t>26 May 2003</w:t>
            </w:r>
          </w:p>
        </w:tc>
        <w:tc>
          <w:tcPr>
            <w:tcW w:w="2551" w:type="dxa"/>
            <w:gridSpan w:val="3"/>
          </w:tcPr>
          <w:p>
            <w:pPr>
              <w:pStyle w:val="nTable"/>
              <w:spacing w:after="40"/>
            </w:pPr>
            <w:r>
              <w:t xml:space="preserve">1 Jul 2003 (see s. 2(1) and </w:t>
            </w:r>
            <w:r>
              <w:rPr>
                <w:i/>
              </w:rPr>
              <w:t xml:space="preserve">Gazette </w:t>
            </w:r>
            <w:r>
              <w:t>27 Jun 2003 p. 2384)</w:t>
            </w:r>
          </w:p>
        </w:tc>
      </w:tr>
      <w:tr>
        <w:trPr>
          <w:gridAfter w:val="2"/>
          <w:wAfter w:w="21" w:type="dxa"/>
          <w:cantSplit/>
        </w:trPr>
        <w:tc>
          <w:tcPr>
            <w:tcW w:w="2268" w:type="dxa"/>
            <w:gridSpan w:val="3"/>
          </w:tcPr>
          <w:p>
            <w:pPr>
              <w:pStyle w:val="nTable"/>
              <w:spacing w:after="40"/>
              <w:ind w:right="113"/>
              <w:rPr>
                <w:i/>
              </w:rPr>
            </w:pPr>
            <w:r>
              <w:rPr>
                <w:i/>
              </w:rPr>
              <w:t>Racing and Gambling Legislation Amendment and Repeal Act 2003</w:t>
            </w:r>
            <w:r>
              <w:t xml:space="preserve"> s. 173</w:t>
            </w:r>
          </w:p>
        </w:tc>
        <w:tc>
          <w:tcPr>
            <w:tcW w:w="1134" w:type="dxa"/>
            <w:gridSpan w:val="3"/>
          </w:tcPr>
          <w:p>
            <w:pPr>
              <w:pStyle w:val="nTable"/>
              <w:spacing w:after="40"/>
              <w:rPr>
                <w:snapToGrid w:val="0"/>
              </w:rPr>
            </w:pPr>
            <w:r>
              <w:t>35 of 2003</w:t>
            </w:r>
          </w:p>
        </w:tc>
        <w:tc>
          <w:tcPr>
            <w:tcW w:w="1136" w:type="dxa"/>
            <w:gridSpan w:val="3"/>
          </w:tcPr>
          <w:p>
            <w:pPr>
              <w:pStyle w:val="nTable"/>
              <w:spacing w:after="40"/>
              <w:rPr>
                <w:snapToGrid w:val="0"/>
              </w:rPr>
            </w:pPr>
            <w:r>
              <w:t>26 Jun 2003</w:t>
            </w:r>
          </w:p>
        </w:tc>
        <w:tc>
          <w:tcPr>
            <w:tcW w:w="2551" w:type="dxa"/>
            <w:gridSpan w:val="3"/>
          </w:tcPr>
          <w:p>
            <w:pPr>
              <w:pStyle w:val="nTable"/>
              <w:spacing w:after="40"/>
              <w:rPr>
                <w:spacing w:val="-2"/>
              </w:rPr>
            </w:pPr>
            <w:r>
              <w:rPr>
                <w:spacing w:val="-2"/>
              </w:rPr>
              <w:t xml:space="preserve">30 Jan 2004 (see s. 2 and </w:t>
            </w:r>
            <w:r>
              <w:rPr>
                <w:i/>
                <w:spacing w:val="-2"/>
              </w:rPr>
              <w:t>Gazette</w:t>
            </w:r>
            <w:r>
              <w:rPr>
                <w:spacing w:val="-2"/>
              </w:rPr>
              <w:t xml:space="preserve"> 30 Jan 2004 p. 397)</w:t>
            </w:r>
          </w:p>
        </w:tc>
      </w:tr>
      <w:tr>
        <w:trPr>
          <w:gridAfter w:val="2"/>
          <w:wAfter w:w="21" w:type="dxa"/>
          <w:cantSplit/>
        </w:trPr>
        <w:tc>
          <w:tcPr>
            <w:tcW w:w="2268" w:type="dxa"/>
            <w:gridSpan w:val="3"/>
          </w:tcPr>
          <w:p>
            <w:pPr>
              <w:pStyle w:val="nTable"/>
              <w:spacing w:after="40"/>
              <w:ind w:right="113"/>
            </w:pPr>
            <w:r>
              <w:rPr>
                <w:i/>
              </w:rPr>
              <w:t>Statutes (Repeals and Minor Amendments) Act 2003</w:t>
            </w:r>
            <w:r>
              <w:t xml:space="preserve"> s. 78</w:t>
            </w:r>
          </w:p>
        </w:tc>
        <w:tc>
          <w:tcPr>
            <w:tcW w:w="1134" w:type="dxa"/>
            <w:gridSpan w:val="3"/>
          </w:tcPr>
          <w:p>
            <w:pPr>
              <w:pStyle w:val="nTable"/>
              <w:spacing w:after="40"/>
            </w:pPr>
            <w:r>
              <w:t>74 of 2003</w:t>
            </w:r>
          </w:p>
        </w:tc>
        <w:tc>
          <w:tcPr>
            <w:tcW w:w="1136" w:type="dxa"/>
            <w:gridSpan w:val="3"/>
          </w:tcPr>
          <w:p>
            <w:pPr>
              <w:pStyle w:val="nTable"/>
              <w:spacing w:after="40"/>
            </w:pPr>
            <w:r>
              <w:t>15 Dec 2003</w:t>
            </w:r>
          </w:p>
        </w:tc>
        <w:tc>
          <w:tcPr>
            <w:tcW w:w="2551" w:type="dxa"/>
            <w:gridSpan w:val="3"/>
          </w:tcPr>
          <w:p>
            <w:pPr>
              <w:pStyle w:val="nTable"/>
              <w:spacing w:after="40"/>
            </w:pPr>
            <w:r>
              <w:rPr>
                <w:spacing w:val="-2"/>
              </w:rPr>
              <w:t>15 Dec 2003 (see s. 2)</w:t>
            </w:r>
          </w:p>
        </w:tc>
      </w:tr>
      <w:tr>
        <w:trPr>
          <w:gridAfter w:val="2"/>
          <w:wAfter w:w="21" w:type="dxa"/>
          <w:cantSplit/>
        </w:trPr>
        <w:tc>
          <w:tcPr>
            <w:tcW w:w="7089" w:type="dxa"/>
            <w:gridSpan w:val="12"/>
          </w:tcPr>
          <w:p>
            <w:pPr>
              <w:pStyle w:val="nTable"/>
              <w:spacing w:after="40"/>
            </w:pPr>
            <w:r>
              <w:rPr>
                <w:b/>
              </w:rPr>
              <w:t xml:space="preserve">Reprint 3: The </w:t>
            </w:r>
            <w:r>
              <w:rPr>
                <w:b/>
                <w:i/>
              </w:rPr>
              <w:t>Liquor Licensing Act 1988</w:t>
            </w:r>
            <w:r>
              <w:rPr>
                <w:b/>
              </w:rPr>
              <w:t xml:space="preserve"> as at 23 Apr 2004</w:t>
            </w:r>
            <w:r>
              <w:t xml:space="preserve"> (includes amendments listed above)</w:t>
            </w:r>
          </w:p>
        </w:tc>
      </w:tr>
      <w:tr>
        <w:trPr>
          <w:gridAfter w:val="2"/>
          <w:wAfter w:w="21" w:type="dxa"/>
          <w:cantSplit/>
        </w:trPr>
        <w:tc>
          <w:tcPr>
            <w:tcW w:w="2268" w:type="dxa"/>
            <w:gridSpan w:val="3"/>
          </w:tcPr>
          <w:p>
            <w:pPr>
              <w:pStyle w:val="nTable"/>
              <w:spacing w:after="40"/>
              <w:ind w:right="113"/>
            </w:pPr>
            <w:r>
              <w:rPr>
                <w:i/>
                <w:snapToGrid w:val="0"/>
              </w:rPr>
              <w:t>Acts Amendment (Court of Appeal) Act 2004</w:t>
            </w:r>
            <w:r>
              <w:rPr>
                <w:snapToGrid w:val="0"/>
              </w:rPr>
              <w:t xml:space="preserve"> s. 37</w:t>
            </w:r>
          </w:p>
        </w:tc>
        <w:tc>
          <w:tcPr>
            <w:tcW w:w="1134" w:type="dxa"/>
            <w:gridSpan w:val="3"/>
          </w:tcPr>
          <w:p>
            <w:pPr>
              <w:pStyle w:val="nTable"/>
              <w:spacing w:after="40"/>
            </w:pPr>
            <w:r>
              <w:rPr>
                <w:snapToGrid w:val="0"/>
              </w:rPr>
              <w:t>45 of 2004</w:t>
            </w:r>
          </w:p>
        </w:tc>
        <w:tc>
          <w:tcPr>
            <w:tcW w:w="1136" w:type="dxa"/>
            <w:gridSpan w:val="3"/>
          </w:tcPr>
          <w:p>
            <w:pPr>
              <w:pStyle w:val="nTable"/>
              <w:spacing w:after="40"/>
            </w:pPr>
            <w:r>
              <w:t>9 Nov 2004</w:t>
            </w:r>
          </w:p>
        </w:tc>
        <w:tc>
          <w:tcPr>
            <w:tcW w:w="2551" w:type="dxa"/>
            <w:gridSpan w:val="3"/>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2"/>
          <w:wAfter w:w="21" w:type="dxa"/>
          <w:cantSplit/>
        </w:trPr>
        <w:tc>
          <w:tcPr>
            <w:tcW w:w="2268" w:type="dxa"/>
            <w:gridSpan w:val="3"/>
          </w:tcPr>
          <w:p>
            <w:pPr>
              <w:pStyle w:val="nTable"/>
              <w:spacing w:after="40"/>
              <w:ind w:right="113"/>
              <w:rPr>
                <w:i/>
                <w:snapToGrid w:val="0"/>
              </w:rPr>
            </w:pPr>
            <w:r>
              <w:rPr>
                <w:i/>
                <w:snapToGrid w:val="0"/>
              </w:rPr>
              <w:t>Courts Legislation Amendment and Repeal Act 2004</w:t>
            </w:r>
            <w:r>
              <w:rPr>
                <w:snapToGrid w:val="0"/>
              </w:rPr>
              <w:t xml:space="preserve"> s. 141</w:t>
            </w:r>
          </w:p>
        </w:tc>
        <w:tc>
          <w:tcPr>
            <w:tcW w:w="1134" w:type="dxa"/>
            <w:gridSpan w:val="3"/>
          </w:tcPr>
          <w:p>
            <w:pPr>
              <w:pStyle w:val="nTable"/>
              <w:keepNext/>
              <w:spacing w:after="40"/>
              <w:rPr>
                <w:snapToGrid w:val="0"/>
              </w:rPr>
            </w:pPr>
            <w:r>
              <w:rPr>
                <w:snapToGrid w:val="0"/>
              </w:rPr>
              <w:t>59 of 2004</w:t>
            </w:r>
          </w:p>
        </w:tc>
        <w:tc>
          <w:tcPr>
            <w:tcW w:w="1136" w:type="dxa"/>
            <w:gridSpan w:val="3"/>
          </w:tcPr>
          <w:p>
            <w:pPr>
              <w:pStyle w:val="nTable"/>
              <w:keepNext/>
              <w:spacing w:after="40"/>
            </w:pPr>
            <w:r>
              <w:t>23 Nov 2004</w:t>
            </w:r>
          </w:p>
        </w:tc>
        <w:tc>
          <w:tcPr>
            <w:tcW w:w="2551" w:type="dxa"/>
            <w:gridSpan w:val="3"/>
          </w:tcPr>
          <w:p>
            <w:pPr>
              <w:pStyle w:val="nTable"/>
              <w:keepNext/>
              <w:spacing w:after="40"/>
              <w:rPr>
                <w:snapToGrid w:val="0"/>
              </w:rPr>
            </w:pPr>
            <w:r>
              <w:rPr>
                <w:snapToGrid w:val="0"/>
              </w:rPr>
              <w:t xml:space="preserve">1 May 2005 (see s. 2 and </w:t>
            </w:r>
            <w:r>
              <w:rPr>
                <w:i/>
                <w:snapToGrid w:val="0"/>
              </w:rPr>
              <w:t>Gazette</w:t>
            </w:r>
            <w:r>
              <w:rPr>
                <w:snapToGrid w:val="0"/>
              </w:rPr>
              <w:t xml:space="preserve"> 31 Dec 2004 p. 7128)</w:t>
            </w:r>
          </w:p>
        </w:tc>
      </w:tr>
      <w:tr>
        <w:trPr>
          <w:gridAfter w:val="2"/>
          <w:wAfter w:w="21" w:type="dxa"/>
          <w:cantSplit/>
        </w:trPr>
        <w:tc>
          <w:tcPr>
            <w:tcW w:w="2268" w:type="dxa"/>
            <w:gridSpan w:val="3"/>
          </w:tcPr>
          <w:p>
            <w:pPr>
              <w:pStyle w:val="nTable"/>
              <w:spacing w:after="40"/>
              <w:ind w:right="113"/>
              <w:rPr>
                <w:i/>
                <w:snapToGrid w:val="0"/>
              </w:rPr>
            </w:pPr>
            <w:r>
              <w:rPr>
                <w:i/>
                <w:snapToGrid w:val="0"/>
              </w:rPr>
              <w:t>Criminal Law Amendment (Simple Offences) Act 2004</w:t>
            </w:r>
            <w:r>
              <w:rPr>
                <w:snapToGrid w:val="0"/>
              </w:rPr>
              <w:t xml:space="preserve"> s. 82</w:t>
            </w:r>
          </w:p>
        </w:tc>
        <w:tc>
          <w:tcPr>
            <w:tcW w:w="1134" w:type="dxa"/>
            <w:gridSpan w:val="3"/>
          </w:tcPr>
          <w:p>
            <w:pPr>
              <w:pStyle w:val="nTable"/>
              <w:spacing w:after="40"/>
              <w:rPr>
                <w:snapToGrid w:val="0"/>
              </w:rPr>
            </w:pPr>
            <w:r>
              <w:rPr>
                <w:snapToGrid w:val="0"/>
              </w:rPr>
              <w:t>70 of 2004</w:t>
            </w:r>
          </w:p>
        </w:tc>
        <w:tc>
          <w:tcPr>
            <w:tcW w:w="1136" w:type="dxa"/>
            <w:gridSpan w:val="3"/>
          </w:tcPr>
          <w:p>
            <w:pPr>
              <w:pStyle w:val="nTable"/>
              <w:spacing w:after="40"/>
            </w:pPr>
            <w:r>
              <w:rPr>
                <w:snapToGrid w:val="0"/>
              </w:rPr>
              <w:t>8 Dec 2004</w:t>
            </w:r>
          </w:p>
        </w:tc>
        <w:tc>
          <w:tcPr>
            <w:tcW w:w="2551" w:type="dxa"/>
            <w:gridSpan w:val="3"/>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rPr>
          <w:gridAfter w:val="2"/>
          <w:wAfter w:w="21" w:type="dxa"/>
          <w:cantSplit/>
        </w:trPr>
        <w:tc>
          <w:tcPr>
            <w:tcW w:w="2268" w:type="dxa"/>
            <w:gridSpan w:val="3"/>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1134" w:type="dxa"/>
            <w:gridSpan w:val="3"/>
          </w:tcPr>
          <w:p>
            <w:pPr>
              <w:pStyle w:val="nTable"/>
              <w:spacing w:after="40"/>
              <w:rPr>
                <w:snapToGrid w:val="0"/>
              </w:rPr>
            </w:pPr>
            <w:r>
              <w:rPr>
                <w:snapToGrid w:val="0"/>
              </w:rPr>
              <w:t>84 of 2004</w:t>
            </w:r>
          </w:p>
        </w:tc>
        <w:tc>
          <w:tcPr>
            <w:tcW w:w="1136" w:type="dxa"/>
            <w:gridSpan w:val="3"/>
          </w:tcPr>
          <w:p>
            <w:pPr>
              <w:pStyle w:val="nTable"/>
              <w:spacing w:after="40"/>
            </w:pPr>
            <w:r>
              <w:t>16 Dec 2004</w:t>
            </w:r>
          </w:p>
        </w:tc>
        <w:tc>
          <w:tcPr>
            <w:tcW w:w="2551" w:type="dxa"/>
            <w:gridSpan w:val="3"/>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After w:val="2"/>
          <w:wAfter w:w="21" w:type="dxa"/>
          <w:cantSplit/>
        </w:trPr>
        <w:tc>
          <w:tcPr>
            <w:tcW w:w="2268" w:type="dxa"/>
            <w:gridSpan w:val="3"/>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4" w:type="dxa"/>
            <w:gridSpan w:val="3"/>
          </w:tcPr>
          <w:p>
            <w:pPr>
              <w:pStyle w:val="nTable"/>
              <w:spacing w:after="40"/>
              <w:rPr>
                <w:snapToGrid w:val="0"/>
              </w:rPr>
            </w:pPr>
            <w:r>
              <w:rPr>
                <w:snapToGrid w:val="0"/>
              </w:rPr>
              <w:t>38 of 2005</w:t>
            </w:r>
          </w:p>
        </w:tc>
        <w:tc>
          <w:tcPr>
            <w:tcW w:w="1136" w:type="dxa"/>
            <w:gridSpan w:val="3"/>
          </w:tcPr>
          <w:p>
            <w:pPr>
              <w:pStyle w:val="nTable"/>
              <w:spacing w:after="40"/>
            </w:pPr>
            <w:r>
              <w:t>12 Dec 2005</w:t>
            </w:r>
          </w:p>
        </w:tc>
        <w:tc>
          <w:tcPr>
            <w:tcW w:w="2551" w:type="dxa"/>
            <w:gridSpan w:val="3"/>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gridAfter w:val="2"/>
          <w:wAfter w:w="21" w:type="dxa"/>
          <w:cantSplit/>
        </w:trPr>
        <w:tc>
          <w:tcPr>
            <w:tcW w:w="7089" w:type="dxa"/>
            <w:gridSpan w:val="12"/>
          </w:tcPr>
          <w:p>
            <w:pPr>
              <w:pStyle w:val="nTable"/>
              <w:spacing w:after="40"/>
              <w:rPr>
                <w:snapToGrid w:val="0"/>
              </w:rPr>
            </w:pPr>
            <w:r>
              <w:rPr>
                <w:b/>
                <w:snapToGrid w:val="0"/>
              </w:rPr>
              <w:t xml:space="preserve">Reprint 4:  </w:t>
            </w:r>
            <w:r>
              <w:rPr>
                <w:b/>
              </w:rPr>
              <w:t xml:space="preserve">The </w:t>
            </w:r>
            <w:r>
              <w:rPr>
                <w:b/>
                <w:i/>
              </w:rPr>
              <w:t>Liquor Licensing Act 1988</w:t>
            </w:r>
            <w:r>
              <w:rPr>
                <w:b/>
              </w:rPr>
              <w:t xml:space="preserve"> as at 9 Jun 2006</w:t>
            </w:r>
            <w:r>
              <w:rPr>
                <w:snapToGrid w:val="0"/>
              </w:rPr>
              <w:t xml:space="preserve"> (includes amendments listed above)</w:t>
            </w:r>
          </w:p>
        </w:tc>
      </w:tr>
      <w:tr>
        <w:trPr>
          <w:gridAfter w:val="2"/>
          <w:wAfter w:w="21" w:type="dxa"/>
        </w:trPr>
        <w:tc>
          <w:tcPr>
            <w:tcW w:w="2268" w:type="dxa"/>
            <w:gridSpan w:val="3"/>
          </w:tcPr>
          <w:p>
            <w:pPr>
              <w:pStyle w:val="nTable"/>
              <w:spacing w:after="40"/>
              <w:rPr>
                <w:i/>
                <w:snapToGrid w:val="0"/>
              </w:rPr>
            </w:pPr>
            <w:r>
              <w:rPr>
                <w:i/>
                <w:snapToGrid w:val="0"/>
              </w:rPr>
              <w:t>Criminal Investigation (Consequential Provisions) Act 2006</w:t>
            </w:r>
            <w:r>
              <w:rPr>
                <w:snapToGrid w:val="0"/>
              </w:rPr>
              <w:t xml:space="preserve"> Pt. 10</w:t>
            </w:r>
          </w:p>
        </w:tc>
        <w:tc>
          <w:tcPr>
            <w:tcW w:w="1134" w:type="dxa"/>
            <w:gridSpan w:val="3"/>
          </w:tcPr>
          <w:p>
            <w:pPr>
              <w:pStyle w:val="nTable"/>
              <w:spacing w:after="40"/>
              <w:rPr>
                <w:snapToGrid w:val="0"/>
              </w:rPr>
            </w:pPr>
            <w:r>
              <w:rPr>
                <w:snapToGrid w:val="0"/>
              </w:rPr>
              <w:t>59 of 2006</w:t>
            </w:r>
          </w:p>
        </w:tc>
        <w:tc>
          <w:tcPr>
            <w:tcW w:w="1136" w:type="dxa"/>
            <w:gridSpan w:val="3"/>
          </w:tcPr>
          <w:p>
            <w:pPr>
              <w:pStyle w:val="nTable"/>
              <w:spacing w:after="40"/>
              <w:rPr>
                <w:snapToGrid w:val="0"/>
              </w:rPr>
            </w:pPr>
            <w:r>
              <w:rPr>
                <w:snapToGrid w:val="0"/>
              </w:rPr>
              <w:t>16 Nov 2006</w:t>
            </w:r>
          </w:p>
        </w:tc>
        <w:tc>
          <w:tcPr>
            <w:tcW w:w="2551" w:type="dxa"/>
            <w:gridSpan w:val="3"/>
          </w:tcPr>
          <w:p>
            <w:pPr>
              <w:pStyle w:val="nTable"/>
              <w:spacing w:after="40"/>
              <w:rPr>
                <w:snapToGrid w:val="0"/>
              </w:rPr>
            </w:pPr>
            <w:r>
              <w:rPr>
                <w:snapToGrid w:val="0"/>
              </w:rPr>
              <w:t>1 Jul 2007</w:t>
            </w:r>
            <w:r>
              <w:t xml:space="preserve"> (see s. 2 and </w:t>
            </w:r>
            <w:r>
              <w:rPr>
                <w:i/>
                <w:iCs/>
              </w:rPr>
              <w:t>Gazette</w:t>
            </w:r>
            <w:r>
              <w:t xml:space="preserve"> 22 Jun 2007 p. 2838)</w:t>
            </w:r>
          </w:p>
        </w:tc>
      </w:tr>
      <w:tr>
        <w:trPr>
          <w:gridAfter w:val="2"/>
          <w:wAfter w:w="21" w:type="dxa"/>
        </w:trPr>
        <w:tc>
          <w:tcPr>
            <w:tcW w:w="2268" w:type="dxa"/>
            <w:gridSpan w:val="3"/>
          </w:tcPr>
          <w:p>
            <w:pPr>
              <w:pStyle w:val="nTable"/>
              <w:spacing w:after="40"/>
              <w:rPr>
                <w:i/>
                <w:snapToGrid w:val="0"/>
              </w:rPr>
            </w:pPr>
            <w:r>
              <w:rPr>
                <w:i/>
                <w:snapToGrid w:val="0"/>
              </w:rPr>
              <w:t xml:space="preserve">Liquor and Gaming Legislation Amendment Act 2006 </w:t>
            </w:r>
            <w:r>
              <w:rPr>
                <w:iCs/>
                <w:snapToGrid w:val="0"/>
              </w:rPr>
              <w:t>Pt. 2</w:t>
            </w:r>
          </w:p>
        </w:tc>
        <w:tc>
          <w:tcPr>
            <w:tcW w:w="1134" w:type="dxa"/>
            <w:gridSpan w:val="3"/>
          </w:tcPr>
          <w:p>
            <w:pPr>
              <w:pStyle w:val="nTable"/>
              <w:spacing w:after="40"/>
              <w:rPr>
                <w:snapToGrid w:val="0"/>
              </w:rPr>
            </w:pPr>
            <w:r>
              <w:rPr>
                <w:snapToGrid w:val="0"/>
              </w:rPr>
              <w:t>73 of 2006</w:t>
            </w:r>
          </w:p>
        </w:tc>
        <w:tc>
          <w:tcPr>
            <w:tcW w:w="1136" w:type="dxa"/>
            <w:gridSpan w:val="3"/>
          </w:tcPr>
          <w:p>
            <w:pPr>
              <w:pStyle w:val="nTable"/>
              <w:spacing w:after="40"/>
              <w:rPr>
                <w:snapToGrid w:val="0"/>
              </w:rPr>
            </w:pPr>
            <w:r>
              <w:rPr>
                <w:snapToGrid w:val="0"/>
              </w:rPr>
              <w:t>13 Dec 2006</w:t>
            </w:r>
          </w:p>
        </w:tc>
        <w:tc>
          <w:tcPr>
            <w:tcW w:w="2551" w:type="dxa"/>
            <w:gridSpan w:val="3"/>
          </w:tcPr>
          <w:p>
            <w:pPr>
              <w:pStyle w:val="nTable"/>
              <w:spacing w:after="40"/>
              <w:rPr>
                <w:snapToGrid w:val="0"/>
              </w:rPr>
            </w:pPr>
            <w:r>
              <w:t xml:space="preserve">s. 6(1)(b) and (u), 67, 68 and 107: 17 Dec 2006 (see s. 2(2) and </w:t>
            </w:r>
            <w:r>
              <w:rPr>
                <w:i/>
                <w:iCs/>
              </w:rPr>
              <w:t xml:space="preserve">Gazette </w:t>
            </w:r>
            <w:r>
              <w:t>15 Dec 2006 p. 5661);</w:t>
            </w:r>
            <w:r>
              <w:br/>
              <w:t>s. 3</w:t>
            </w:r>
            <w:r>
              <w:noBreakHyphen/>
              <w:t>5, 6(1)(a), (c)</w:t>
            </w:r>
            <w:r>
              <w:noBreakHyphen/>
              <w:t>(t), (v)</w:t>
            </w:r>
            <w:r>
              <w:noBreakHyphen/>
              <w:t>(z), (2)</w:t>
            </w:r>
            <w:r>
              <w:noBreakHyphen/>
              <w:t>(4), 7</w:t>
            </w:r>
            <w:r>
              <w:noBreakHyphen/>
              <w:t>26, 28</w:t>
            </w:r>
            <w:r>
              <w:noBreakHyphen/>
              <w:t>66, 69</w:t>
            </w:r>
            <w:r>
              <w:noBreakHyphen/>
              <w:t>77, 79</w:t>
            </w:r>
            <w:r>
              <w:noBreakHyphen/>
              <w:t>82, 84</w:t>
            </w:r>
            <w:r>
              <w:noBreakHyphen/>
              <w:t>106 and 108</w:t>
            </w:r>
            <w:r>
              <w:noBreakHyphen/>
              <w:t xml:space="preserve">111: 7 May 2007 (see s. 2(2) and </w:t>
            </w:r>
            <w:r>
              <w:rPr>
                <w:i/>
                <w:iCs/>
              </w:rPr>
              <w:t>Gazette</w:t>
            </w:r>
            <w:r>
              <w:t xml:space="preserve"> 1 May 2007 p. 1893)</w:t>
            </w:r>
            <w:r>
              <w:br/>
              <w:t xml:space="preserve">s. 78 and 83: 1 Aug 2007 (see s. 2(2) and </w:t>
            </w:r>
            <w:r>
              <w:rPr>
                <w:i/>
                <w:iCs/>
              </w:rPr>
              <w:t>Gazette</w:t>
            </w:r>
            <w:r>
              <w:t xml:space="preserve"> 20 Jul 2007 p. 3629);</w:t>
            </w:r>
            <w:r>
              <w:br/>
              <w:t xml:space="preserve">s. 27: 14 Jun 2008 (see s. 2(2) and </w:t>
            </w:r>
            <w:r>
              <w:rPr>
                <w:i/>
                <w:iCs/>
              </w:rPr>
              <w:t>Gazette</w:t>
            </w:r>
            <w:r>
              <w:t xml:space="preserve"> 13 Jun 2008 p. 2515)</w:t>
            </w:r>
          </w:p>
        </w:tc>
      </w:tr>
      <w:tr>
        <w:trPr>
          <w:gridAfter w:val="2"/>
          <w:wAfter w:w="21" w:type="dxa"/>
        </w:trPr>
        <w:tc>
          <w:tcPr>
            <w:tcW w:w="2268" w:type="dxa"/>
            <w:gridSpan w:val="3"/>
          </w:tcPr>
          <w:p>
            <w:pPr>
              <w:pStyle w:val="nTable"/>
              <w:spacing w:after="40"/>
              <w:rPr>
                <w:snapToGrid w:val="0"/>
              </w:rPr>
            </w:pPr>
            <w:r>
              <w:rPr>
                <w:i/>
                <w:snapToGrid w:val="0"/>
              </w:rPr>
              <w:t xml:space="preserve">Financial Legislation Amendment and Repeal Act 2006 </w:t>
            </w:r>
            <w:r>
              <w:rPr>
                <w:snapToGrid w:val="0"/>
              </w:rPr>
              <w:t>s. 4</w:t>
            </w:r>
          </w:p>
        </w:tc>
        <w:tc>
          <w:tcPr>
            <w:tcW w:w="1134" w:type="dxa"/>
            <w:gridSpan w:val="3"/>
          </w:tcPr>
          <w:p>
            <w:pPr>
              <w:pStyle w:val="nTable"/>
              <w:spacing w:after="40"/>
              <w:rPr>
                <w:snapToGrid w:val="0"/>
              </w:rPr>
            </w:pPr>
            <w:r>
              <w:rPr>
                <w:snapToGrid w:val="0"/>
              </w:rPr>
              <w:t>77 of 2006</w:t>
            </w:r>
          </w:p>
        </w:tc>
        <w:tc>
          <w:tcPr>
            <w:tcW w:w="1136" w:type="dxa"/>
            <w:gridSpan w:val="3"/>
          </w:tcPr>
          <w:p>
            <w:pPr>
              <w:pStyle w:val="nTable"/>
              <w:spacing w:after="40"/>
              <w:rPr>
                <w:snapToGrid w:val="0"/>
              </w:rPr>
            </w:pPr>
            <w:r>
              <w:rPr>
                <w:snapToGrid w:val="0"/>
              </w:rPr>
              <w:t>21 Dec 2006</w:t>
            </w:r>
          </w:p>
        </w:tc>
        <w:tc>
          <w:tcPr>
            <w:tcW w:w="2551" w:type="dxa"/>
            <w:gridSpan w:val="3"/>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2"/>
          <w:wAfter w:w="21" w:type="dxa"/>
          <w:cantSplit/>
        </w:trPr>
        <w:tc>
          <w:tcPr>
            <w:tcW w:w="7089" w:type="dxa"/>
            <w:gridSpan w:val="12"/>
          </w:tcPr>
          <w:p>
            <w:pPr>
              <w:pStyle w:val="nTable"/>
              <w:spacing w:after="40"/>
              <w:rPr>
                <w:snapToGrid w:val="0"/>
              </w:rPr>
            </w:pPr>
            <w:r>
              <w:rPr>
                <w:b/>
                <w:snapToGrid w:val="0"/>
              </w:rPr>
              <w:t xml:space="preserve">Reprint 5:  </w:t>
            </w:r>
            <w:r>
              <w:rPr>
                <w:b/>
              </w:rPr>
              <w:t xml:space="preserve">The </w:t>
            </w:r>
            <w:r>
              <w:rPr>
                <w:b/>
                <w:i/>
              </w:rPr>
              <w:t>Liquor Control Act 1988</w:t>
            </w:r>
            <w:r>
              <w:rPr>
                <w:b/>
              </w:rPr>
              <w:t xml:space="preserve"> as at 3 Jul 2007</w:t>
            </w:r>
            <w:r>
              <w:rPr>
                <w:snapToGrid w:val="0"/>
              </w:rPr>
              <w:t xml:space="preserve"> (includes amendments listed above except those in the </w:t>
            </w:r>
            <w:r>
              <w:rPr>
                <w:i/>
                <w:snapToGrid w:val="0"/>
              </w:rPr>
              <w:t>Liquor and Gaming Legislation Amendment Act 2006</w:t>
            </w:r>
            <w:r>
              <w:rPr>
                <w:snapToGrid w:val="0"/>
              </w:rPr>
              <w:t xml:space="preserve"> s. 27, 78 and 83)</w:t>
            </w:r>
          </w:p>
        </w:tc>
      </w:tr>
      <w:tr>
        <w:trPr>
          <w:gridAfter w:val="2"/>
          <w:wAfter w:w="21" w:type="dxa"/>
        </w:trPr>
        <w:tc>
          <w:tcPr>
            <w:tcW w:w="2268" w:type="dxa"/>
            <w:gridSpan w:val="3"/>
          </w:tcPr>
          <w:p>
            <w:pPr>
              <w:pStyle w:val="nTable"/>
              <w:spacing w:after="40"/>
              <w:rPr>
                <w:i/>
                <w:snapToGrid w:val="0"/>
              </w:rPr>
            </w:pPr>
            <w:r>
              <w:rPr>
                <w:i/>
                <w:iCs/>
                <w:snapToGrid w:val="0"/>
              </w:rPr>
              <w:t>Legal Profession Act 2008</w:t>
            </w:r>
            <w:r>
              <w:rPr>
                <w:snapToGrid w:val="0"/>
              </w:rPr>
              <w:t xml:space="preserve"> s. 675 </w:t>
            </w:r>
          </w:p>
        </w:tc>
        <w:tc>
          <w:tcPr>
            <w:tcW w:w="1134" w:type="dxa"/>
            <w:gridSpan w:val="3"/>
          </w:tcPr>
          <w:p>
            <w:pPr>
              <w:pStyle w:val="nTable"/>
              <w:spacing w:after="40"/>
            </w:pPr>
            <w:r>
              <w:rPr>
                <w:snapToGrid w:val="0"/>
              </w:rPr>
              <w:t>21 of 2008</w:t>
            </w:r>
          </w:p>
        </w:tc>
        <w:tc>
          <w:tcPr>
            <w:tcW w:w="1136" w:type="dxa"/>
            <w:gridSpan w:val="3"/>
          </w:tcPr>
          <w:p>
            <w:pPr>
              <w:pStyle w:val="nTable"/>
              <w:spacing w:after="40"/>
              <w:ind w:right="-80"/>
            </w:pPr>
            <w:r>
              <w:rPr>
                <w:snapToGrid w:val="0"/>
              </w:rPr>
              <w:t>27 May 2008</w:t>
            </w:r>
          </w:p>
        </w:tc>
        <w:tc>
          <w:tcPr>
            <w:tcW w:w="2551" w:type="dxa"/>
            <w:gridSpan w:val="3"/>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gridAfter w:val="2"/>
          <w:wAfter w:w="21" w:type="dxa"/>
          <w:cantSplit/>
        </w:trPr>
        <w:tc>
          <w:tcPr>
            <w:tcW w:w="2268" w:type="dxa"/>
            <w:gridSpan w:val="3"/>
          </w:tcPr>
          <w:p>
            <w:pPr>
              <w:pStyle w:val="nTable"/>
              <w:spacing w:after="40"/>
              <w:rPr>
                <w:i/>
                <w:iCs/>
                <w:snapToGrid w:val="0"/>
              </w:rPr>
            </w:pPr>
            <w:r>
              <w:rPr>
                <w:i/>
                <w:noProof/>
                <w:snapToGrid w:val="0"/>
              </w:rPr>
              <w:t>Food Act 2008</w:t>
            </w:r>
            <w:r>
              <w:rPr>
                <w:iCs/>
                <w:noProof/>
                <w:snapToGrid w:val="0"/>
              </w:rPr>
              <w:t xml:space="preserve"> s. 148 </w:t>
            </w:r>
          </w:p>
        </w:tc>
        <w:tc>
          <w:tcPr>
            <w:tcW w:w="1134" w:type="dxa"/>
            <w:gridSpan w:val="3"/>
          </w:tcPr>
          <w:p>
            <w:pPr>
              <w:pStyle w:val="nTable"/>
              <w:spacing w:after="40"/>
              <w:rPr>
                <w:snapToGrid w:val="0"/>
              </w:rPr>
            </w:pPr>
            <w:r>
              <w:t>43 of 2008</w:t>
            </w:r>
          </w:p>
        </w:tc>
        <w:tc>
          <w:tcPr>
            <w:tcW w:w="1136" w:type="dxa"/>
            <w:gridSpan w:val="3"/>
          </w:tcPr>
          <w:p>
            <w:pPr>
              <w:pStyle w:val="nTable"/>
              <w:spacing w:after="40"/>
              <w:ind w:right="-80"/>
              <w:rPr>
                <w:snapToGrid w:val="0"/>
              </w:rPr>
            </w:pPr>
            <w:r>
              <w:t>8 Jul 2008</w:t>
            </w:r>
          </w:p>
        </w:tc>
        <w:tc>
          <w:tcPr>
            <w:tcW w:w="2551" w:type="dxa"/>
            <w:gridSpan w:val="3"/>
          </w:tcPr>
          <w:p>
            <w:pPr>
              <w:pStyle w:val="nTable"/>
              <w:spacing w:after="40"/>
              <w:rPr>
                <w:snapToGrid w:val="0"/>
                <w:spacing w:val="-2"/>
              </w:rPr>
            </w:pPr>
            <w:r>
              <w:t xml:space="preserve">24 Oct 2009 (see s. 2(1)(b) and (2) and </w:t>
            </w:r>
            <w:r>
              <w:rPr>
                <w:i/>
                <w:iCs/>
              </w:rPr>
              <w:t xml:space="preserve">Gazette </w:t>
            </w:r>
            <w:r>
              <w:t>23 Oct 2009 p. 4157)</w:t>
            </w:r>
          </w:p>
        </w:tc>
      </w:tr>
      <w:tr>
        <w:trPr>
          <w:gridAfter w:val="2"/>
          <w:wAfter w:w="21" w:type="dxa"/>
          <w:cantSplit/>
        </w:trPr>
        <w:tc>
          <w:tcPr>
            <w:tcW w:w="2268" w:type="dxa"/>
            <w:gridSpan w:val="3"/>
          </w:tcPr>
          <w:p>
            <w:pPr>
              <w:pStyle w:val="nTable"/>
              <w:spacing w:after="40"/>
              <w:rPr>
                <w:iCs/>
                <w:snapToGrid w:val="0"/>
              </w:rPr>
            </w:pPr>
            <w:r>
              <w:rPr>
                <w:i/>
                <w:snapToGrid w:val="0"/>
              </w:rPr>
              <w:t>Acts Amendment (Bankruptcy) Act 2009</w:t>
            </w:r>
            <w:r>
              <w:rPr>
                <w:iCs/>
                <w:snapToGrid w:val="0"/>
              </w:rPr>
              <w:t xml:space="preserve"> s. 51</w:t>
            </w:r>
          </w:p>
        </w:tc>
        <w:tc>
          <w:tcPr>
            <w:tcW w:w="1134" w:type="dxa"/>
            <w:gridSpan w:val="3"/>
          </w:tcPr>
          <w:p>
            <w:pPr>
              <w:pStyle w:val="nTable"/>
              <w:spacing w:after="40"/>
            </w:pPr>
            <w:r>
              <w:t>18 of 2009</w:t>
            </w:r>
          </w:p>
        </w:tc>
        <w:tc>
          <w:tcPr>
            <w:tcW w:w="1136" w:type="dxa"/>
            <w:gridSpan w:val="3"/>
          </w:tcPr>
          <w:p>
            <w:pPr>
              <w:pStyle w:val="nTable"/>
              <w:spacing w:after="40"/>
            </w:pPr>
            <w:r>
              <w:t>16 Sep 2009</w:t>
            </w:r>
          </w:p>
        </w:tc>
        <w:tc>
          <w:tcPr>
            <w:tcW w:w="2551" w:type="dxa"/>
            <w:gridSpan w:val="3"/>
          </w:tcPr>
          <w:p>
            <w:pPr>
              <w:pStyle w:val="nTable"/>
              <w:spacing w:after="40"/>
            </w:pPr>
            <w:r>
              <w:t>17 Sep 2009 (see s. 2(b))</w:t>
            </w:r>
          </w:p>
        </w:tc>
      </w:tr>
      <w:tr>
        <w:trPr>
          <w:gridAfter w:val="2"/>
          <w:wAfter w:w="21" w:type="dxa"/>
          <w:cantSplit/>
        </w:trPr>
        <w:tc>
          <w:tcPr>
            <w:tcW w:w="7089" w:type="dxa"/>
            <w:gridSpan w:val="12"/>
          </w:tcPr>
          <w:p>
            <w:pPr>
              <w:pStyle w:val="nTable"/>
              <w:spacing w:after="40"/>
            </w:pPr>
            <w:r>
              <w:rPr>
                <w:b/>
                <w:snapToGrid w:val="0"/>
              </w:rPr>
              <w:t xml:space="preserve">Reprint 6:  </w:t>
            </w:r>
            <w:r>
              <w:rPr>
                <w:b/>
              </w:rPr>
              <w:t xml:space="preserve">The </w:t>
            </w:r>
            <w:r>
              <w:rPr>
                <w:b/>
                <w:i/>
              </w:rPr>
              <w:t>Liquor Control Act 1988</w:t>
            </w:r>
            <w:r>
              <w:rPr>
                <w:b/>
              </w:rPr>
              <w:t xml:space="preserve"> as at 20 Nov 2009</w:t>
            </w:r>
            <w:r>
              <w:rPr>
                <w:snapToGrid w:val="0"/>
              </w:rPr>
              <w:t xml:space="preserve"> (includes amendments listed above)</w:t>
            </w:r>
          </w:p>
        </w:tc>
      </w:tr>
      <w:tr>
        <w:trPr>
          <w:gridBefore w:val="1"/>
          <w:gridAfter w:val="1"/>
          <w:wBefore w:w="9" w:type="dxa"/>
          <w:wAfter w:w="10" w:type="dxa"/>
          <w:cantSplit/>
        </w:trPr>
        <w:tc>
          <w:tcPr>
            <w:tcW w:w="2268" w:type="dxa"/>
            <w:gridSpan w:val="3"/>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3"/>
          </w:tcPr>
          <w:p>
            <w:pPr>
              <w:pStyle w:val="nTable"/>
              <w:spacing w:after="40"/>
              <w:rPr>
                <w:snapToGrid w:val="0"/>
              </w:rPr>
            </w:pPr>
            <w:r>
              <w:rPr>
                <w:snapToGrid w:val="0"/>
              </w:rPr>
              <w:t>19 of 2010</w:t>
            </w:r>
          </w:p>
        </w:tc>
        <w:tc>
          <w:tcPr>
            <w:tcW w:w="1136" w:type="dxa"/>
            <w:gridSpan w:val="3"/>
          </w:tcPr>
          <w:p>
            <w:pPr>
              <w:pStyle w:val="nTable"/>
              <w:spacing w:after="40"/>
              <w:rPr>
                <w:snapToGrid w:val="0"/>
              </w:rPr>
            </w:pPr>
            <w:r>
              <w:rPr>
                <w:snapToGrid w:val="0"/>
              </w:rPr>
              <w:t>28 Jun 2010</w:t>
            </w:r>
          </w:p>
        </w:tc>
        <w:tc>
          <w:tcPr>
            <w:tcW w:w="2553"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gridAfter w:val="1"/>
          <w:wBefore w:w="9" w:type="dxa"/>
          <w:wAfter w:w="10" w:type="dxa"/>
          <w:cantSplit/>
        </w:trPr>
        <w:tc>
          <w:tcPr>
            <w:tcW w:w="2268" w:type="dxa"/>
            <w:gridSpan w:val="3"/>
          </w:tcPr>
          <w:p>
            <w:pPr>
              <w:pStyle w:val="nTable"/>
              <w:spacing w:after="40"/>
              <w:ind w:right="113"/>
              <w:rPr>
                <w:i/>
                <w:snapToGrid w:val="0"/>
              </w:rPr>
            </w:pPr>
            <w:r>
              <w:rPr>
                <w:i/>
                <w:snapToGrid w:val="0"/>
              </w:rPr>
              <w:t>Health Practitioner Regulation National Law (WA) Act 2010</w:t>
            </w:r>
            <w:r>
              <w:rPr>
                <w:iCs/>
                <w:snapToGrid w:val="0"/>
              </w:rPr>
              <w:t xml:space="preserve"> Pt. 5 Div. 31</w:t>
            </w:r>
          </w:p>
        </w:tc>
        <w:tc>
          <w:tcPr>
            <w:tcW w:w="1134" w:type="dxa"/>
            <w:gridSpan w:val="3"/>
          </w:tcPr>
          <w:p>
            <w:pPr>
              <w:pStyle w:val="nTable"/>
              <w:spacing w:after="40"/>
              <w:rPr>
                <w:snapToGrid w:val="0"/>
              </w:rPr>
            </w:pPr>
            <w:r>
              <w:rPr>
                <w:snapToGrid w:val="0"/>
              </w:rPr>
              <w:t>35 of 2010</w:t>
            </w:r>
          </w:p>
        </w:tc>
        <w:tc>
          <w:tcPr>
            <w:tcW w:w="1136" w:type="dxa"/>
            <w:gridSpan w:val="3"/>
          </w:tcPr>
          <w:p>
            <w:pPr>
              <w:pStyle w:val="nTable"/>
              <w:spacing w:after="40"/>
              <w:rPr>
                <w:snapToGrid w:val="0"/>
              </w:rPr>
            </w:pPr>
            <w:r>
              <w:rPr>
                <w:snapToGrid w:val="0"/>
              </w:rPr>
              <w:t>30 Aug 2010</w:t>
            </w:r>
          </w:p>
        </w:tc>
        <w:tc>
          <w:tcPr>
            <w:tcW w:w="2553" w:type="dxa"/>
            <w:gridSpan w:val="3"/>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gridBefore w:val="1"/>
          <w:gridAfter w:val="1"/>
          <w:wBefore w:w="9" w:type="dxa"/>
          <w:wAfter w:w="10" w:type="dxa"/>
          <w:cantSplit/>
        </w:trPr>
        <w:tc>
          <w:tcPr>
            <w:tcW w:w="2268" w:type="dxa"/>
            <w:gridSpan w:val="3"/>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3"/>
          </w:tcPr>
          <w:p>
            <w:pPr>
              <w:pStyle w:val="nTable"/>
              <w:spacing w:after="40"/>
              <w:rPr>
                <w:snapToGrid w:val="0"/>
              </w:rPr>
            </w:pPr>
            <w:r>
              <w:rPr>
                <w:snapToGrid w:val="0"/>
              </w:rPr>
              <w:t>39 of 2010</w:t>
            </w:r>
          </w:p>
        </w:tc>
        <w:tc>
          <w:tcPr>
            <w:tcW w:w="1136" w:type="dxa"/>
            <w:gridSpan w:val="3"/>
          </w:tcPr>
          <w:p>
            <w:pPr>
              <w:pStyle w:val="nTable"/>
              <w:spacing w:after="40"/>
              <w:rPr>
                <w:snapToGrid w:val="0"/>
              </w:rPr>
            </w:pPr>
            <w:r>
              <w:rPr>
                <w:snapToGrid w:val="0"/>
              </w:rPr>
              <w:t>1 Oct 2010</w:t>
            </w:r>
          </w:p>
        </w:tc>
        <w:tc>
          <w:tcPr>
            <w:tcW w:w="2553" w:type="dxa"/>
            <w:gridSpan w:val="3"/>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gridAfter w:val="1"/>
          <w:wBefore w:w="9" w:type="dxa"/>
          <w:wAfter w:w="10" w:type="dxa"/>
          <w:cantSplit/>
        </w:trPr>
        <w:tc>
          <w:tcPr>
            <w:tcW w:w="2268" w:type="dxa"/>
            <w:gridSpan w:val="3"/>
          </w:tcPr>
          <w:p>
            <w:pPr>
              <w:pStyle w:val="nTable"/>
              <w:spacing w:after="40"/>
              <w:ind w:right="113"/>
              <w:rPr>
                <w:i/>
                <w:iCs/>
                <w:snapToGrid w:val="0"/>
              </w:rPr>
            </w:pPr>
            <w:r>
              <w:rPr>
                <w:i/>
                <w:snapToGrid w:val="0"/>
              </w:rPr>
              <w:t>Liquor Control Amendment Act 2010</w:t>
            </w:r>
            <w:r>
              <w:rPr>
                <w:iCs/>
                <w:snapToGrid w:val="0"/>
              </w:rPr>
              <w:t xml:space="preserve"> </w:t>
            </w:r>
          </w:p>
        </w:tc>
        <w:tc>
          <w:tcPr>
            <w:tcW w:w="1134" w:type="dxa"/>
            <w:gridSpan w:val="3"/>
          </w:tcPr>
          <w:p>
            <w:pPr>
              <w:pStyle w:val="nTable"/>
              <w:spacing w:after="40"/>
              <w:rPr>
                <w:snapToGrid w:val="0"/>
              </w:rPr>
            </w:pPr>
            <w:r>
              <w:t>56 of 2010</w:t>
            </w:r>
          </w:p>
        </w:tc>
        <w:tc>
          <w:tcPr>
            <w:tcW w:w="1136" w:type="dxa"/>
            <w:gridSpan w:val="3"/>
          </w:tcPr>
          <w:p>
            <w:pPr>
              <w:pStyle w:val="nTable"/>
              <w:spacing w:after="40"/>
              <w:rPr>
                <w:snapToGrid w:val="0"/>
              </w:rPr>
            </w:pPr>
            <w:r>
              <w:t>8 Dec 2010</w:t>
            </w:r>
          </w:p>
        </w:tc>
        <w:tc>
          <w:tcPr>
            <w:tcW w:w="2553" w:type="dxa"/>
            <w:gridSpan w:val="3"/>
          </w:tcPr>
          <w:p>
            <w:pPr>
              <w:pStyle w:val="nTable"/>
              <w:spacing w:after="40"/>
              <w:rPr>
                <w:snapToGrid w:val="0"/>
              </w:rPr>
            </w:pPr>
            <w:r>
              <w:rPr>
                <w:snapToGrid w:val="0"/>
              </w:rPr>
              <w:t>s. 1 and 2: 8 Dec 2010; (see s. 2(a))</w:t>
            </w:r>
            <w:r>
              <w:rPr>
                <w:snapToGrid w:val="0"/>
              </w:rPr>
              <w:br/>
              <w:t>s. 3, Pt. 4</w:t>
            </w:r>
            <w:r>
              <w:rPr>
                <w:snapToGrid w:val="0"/>
              </w:rPr>
              <w:noBreakHyphen/>
              <w:t xml:space="preserve">6: 17 Jan 2011 (see s. 2(b) and </w:t>
            </w:r>
            <w:r>
              <w:rPr>
                <w:i/>
                <w:iCs/>
                <w:snapToGrid w:val="0"/>
              </w:rPr>
              <w:t xml:space="preserve">Gazette </w:t>
            </w:r>
            <w:r>
              <w:rPr>
                <w:snapToGrid w:val="0"/>
              </w:rPr>
              <w:t>31 Dec 2010 p. 6887);</w:t>
            </w:r>
            <w:r>
              <w:rPr>
                <w:snapToGrid w:val="0"/>
              </w:rPr>
              <w:br/>
              <w:t xml:space="preserve">Pt. 2: 7 Jun 2011 (see s. 2(b) and </w:t>
            </w:r>
            <w:r>
              <w:rPr>
                <w:i/>
                <w:snapToGrid w:val="0"/>
              </w:rPr>
              <w:t>Gazette</w:t>
            </w:r>
            <w:r>
              <w:rPr>
                <w:snapToGrid w:val="0"/>
              </w:rPr>
              <w:t xml:space="preserve"> 3 Jun 2011 p. 1975);</w:t>
            </w:r>
            <w:r>
              <w:rPr>
                <w:snapToGrid w:val="0"/>
              </w:rPr>
              <w:br/>
              <w:t xml:space="preserve">Pt. 3: 8 Oct 2011 (see s. 2(b) and </w:t>
            </w:r>
            <w:r>
              <w:rPr>
                <w:i/>
                <w:snapToGrid w:val="0"/>
              </w:rPr>
              <w:t>Gazette</w:t>
            </w:r>
            <w:r>
              <w:rPr>
                <w:snapToGrid w:val="0"/>
              </w:rPr>
              <w:t xml:space="preserve"> 7 Oct 2011 p. 4067)</w:t>
            </w:r>
          </w:p>
        </w:tc>
      </w:tr>
      <w:tr>
        <w:trPr>
          <w:gridBefore w:val="1"/>
          <w:gridAfter w:val="1"/>
          <w:wBefore w:w="9" w:type="dxa"/>
          <w:wAfter w:w="10" w:type="dxa"/>
          <w:cantSplit/>
        </w:trPr>
        <w:tc>
          <w:tcPr>
            <w:tcW w:w="2268" w:type="dxa"/>
            <w:gridSpan w:val="3"/>
          </w:tcPr>
          <w:p>
            <w:pPr>
              <w:pStyle w:val="nTable"/>
              <w:spacing w:after="40"/>
              <w:ind w:right="113"/>
              <w:rPr>
                <w:i/>
                <w:snapToGrid w:val="0"/>
              </w:rPr>
            </w:pPr>
            <w:r>
              <w:rPr>
                <w:i/>
                <w:snapToGrid w:val="0"/>
              </w:rPr>
              <w:t>Building Act 2011</w:t>
            </w:r>
            <w:r>
              <w:rPr>
                <w:snapToGrid w:val="0"/>
              </w:rPr>
              <w:t xml:space="preserve"> s. 165</w:t>
            </w:r>
          </w:p>
        </w:tc>
        <w:tc>
          <w:tcPr>
            <w:tcW w:w="1134" w:type="dxa"/>
            <w:gridSpan w:val="3"/>
          </w:tcPr>
          <w:p>
            <w:pPr>
              <w:pStyle w:val="nTable"/>
              <w:spacing w:after="40"/>
            </w:pPr>
            <w:r>
              <w:rPr>
                <w:snapToGrid w:val="0"/>
              </w:rPr>
              <w:t>24 of 2011</w:t>
            </w:r>
          </w:p>
        </w:tc>
        <w:tc>
          <w:tcPr>
            <w:tcW w:w="1136" w:type="dxa"/>
            <w:gridSpan w:val="3"/>
          </w:tcPr>
          <w:p>
            <w:pPr>
              <w:pStyle w:val="nTable"/>
              <w:spacing w:after="40"/>
            </w:pPr>
            <w:r>
              <w:t>11 Jul 2011</w:t>
            </w:r>
          </w:p>
        </w:tc>
        <w:tc>
          <w:tcPr>
            <w:tcW w:w="2553" w:type="dxa"/>
            <w:gridSpan w:val="3"/>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Before w:val="1"/>
          <w:gridAfter w:val="1"/>
          <w:wBefore w:w="9" w:type="dxa"/>
          <w:wAfter w:w="10" w:type="dxa"/>
          <w:cantSplit/>
        </w:trPr>
        <w:tc>
          <w:tcPr>
            <w:tcW w:w="2268" w:type="dxa"/>
            <w:gridSpan w:val="3"/>
            <w:shd w:val="clear" w:color="auto" w:fill="auto"/>
          </w:tcPr>
          <w:p>
            <w:pPr>
              <w:pStyle w:val="nTable"/>
              <w:spacing w:after="40"/>
              <w:ind w:right="113"/>
              <w:rPr>
                <w:snapToGrid w:val="0"/>
              </w:rPr>
            </w:pPr>
            <w:r>
              <w:rPr>
                <w:i/>
                <w:snapToGrid w:val="0"/>
              </w:rPr>
              <w:t>Personal Property Securities (Consequential Repeals and Amendments) Act 2011</w:t>
            </w:r>
            <w:r>
              <w:rPr>
                <w:snapToGrid w:val="0"/>
              </w:rPr>
              <w:t xml:space="preserve"> Pt. 11 Div. 1</w:t>
            </w:r>
          </w:p>
        </w:tc>
        <w:tc>
          <w:tcPr>
            <w:tcW w:w="1134" w:type="dxa"/>
            <w:gridSpan w:val="3"/>
            <w:shd w:val="clear" w:color="auto" w:fill="auto"/>
          </w:tcPr>
          <w:p>
            <w:pPr>
              <w:pStyle w:val="nTable"/>
              <w:spacing w:after="40"/>
            </w:pPr>
            <w:r>
              <w:rPr>
                <w:snapToGrid w:val="0"/>
              </w:rPr>
              <w:t>42 of 2011</w:t>
            </w:r>
          </w:p>
        </w:tc>
        <w:tc>
          <w:tcPr>
            <w:tcW w:w="1136" w:type="dxa"/>
            <w:gridSpan w:val="3"/>
            <w:shd w:val="clear" w:color="auto" w:fill="auto"/>
          </w:tcPr>
          <w:p>
            <w:pPr>
              <w:pStyle w:val="nTable"/>
              <w:spacing w:after="40"/>
            </w:pPr>
            <w:r>
              <w:t>4 Oct 2011</w:t>
            </w:r>
          </w:p>
        </w:tc>
        <w:tc>
          <w:tcPr>
            <w:tcW w:w="2553" w:type="dxa"/>
            <w:gridSpan w:val="3"/>
            <w:shd w:val="clear" w:color="auto" w:fill="auto"/>
          </w:tcPr>
          <w:p>
            <w:pPr>
              <w:pStyle w:val="nTable"/>
              <w:spacing w:after="40"/>
              <w:rPr>
                <w:snapToGrid w:val="0"/>
              </w:rPr>
            </w:pPr>
            <w:r>
              <w:rPr>
                <w:snapToGrid w:val="0"/>
              </w:rPr>
              <w:t>30 Jan 2012 (see s. 2(c) and Cwlth Legislative Instrument No. F2011L02397 cl. 5 registered 21 Nov 2011)</w:t>
            </w:r>
          </w:p>
        </w:tc>
      </w:tr>
      <w:tr>
        <w:trPr>
          <w:gridBefore w:val="1"/>
          <w:gridAfter w:val="1"/>
          <w:wBefore w:w="9" w:type="dxa"/>
          <w:wAfter w:w="10" w:type="dxa"/>
          <w:cantSplit/>
        </w:trPr>
        <w:tc>
          <w:tcPr>
            <w:tcW w:w="2268" w:type="dxa"/>
            <w:gridSpan w:val="3"/>
            <w:shd w:val="clear" w:color="auto" w:fill="auto"/>
          </w:tcPr>
          <w:p>
            <w:pPr>
              <w:pStyle w:val="nTable"/>
              <w:spacing w:after="40"/>
              <w:ind w:right="113"/>
              <w:rPr>
                <w:snapToGrid w:val="0"/>
              </w:rPr>
            </w:pPr>
            <w:r>
              <w:rPr>
                <w:i/>
                <w:snapToGrid w:val="0"/>
              </w:rPr>
              <w:t>Statutes (Repeals and Minor Amendments) Act 2011</w:t>
            </w:r>
            <w:r>
              <w:rPr>
                <w:snapToGrid w:val="0"/>
              </w:rPr>
              <w:t xml:space="preserve"> s. 17 and 27</w:t>
            </w:r>
          </w:p>
        </w:tc>
        <w:tc>
          <w:tcPr>
            <w:tcW w:w="1134" w:type="dxa"/>
            <w:gridSpan w:val="3"/>
            <w:shd w:val="clear" w:color="auto" w:fill="auto"/>
          </w:tcPr>
          <w:p>
            <w:pPr>
              <w:pStyle w:val="nTable"/>
              <w:spacing w:after="40"/>
            </w:pPr>
            <w:r>
              <w:rPr>
                <w:snapToGrid w:val="0"/>
              </w:rPr>
              <w:t>47 of 2011</w:t>
            </w:r>
          </w:p>
        </w:tc>
        <w:tc>
          <w:tcPr>
            <w:tcW w:w="1136" w:type="dxa"/>
            <w:gridSpan w:val="3"/>
            <w:shd w:val="clear" w:color="auto" w:fill="auto"/>
          </w:tcPr>
          <w:p>
            <w:pPr>
              <w:pStyle w:val="nTable"/>
              <w:spacing w:after="40"/>
            </w:pPr>
            <w:r>
              <w:rPr>
                <w:snapToGrid w:val="0"/>
              </w:rPr>
              <w:t>25 Oct 2011</w:t>
            </w:r>
          </w:p>
        </w:tc>
        <w:tc>
          <w:tcPr>
            <w:tcW w:w="2553" w:type="dxa"/>
            <w:gridSpan w:val="3"/>
            <w:shd w:val="clear" w:color="auto" w:fill="auto"/>
          </w:tcPr>
          <w:p>
            <w:pPr>
              <w:pStyle w:val="nTable"/>
              <w:spacing w:after="40"/>
              <w:rPr>
                <w:snapToGrid w:val="0"/>
              </w:rPr>
            </w:pPr>
            <w:r>
              <w:rPr>
                <w:snapToGrid w:val="0"/>
              </w:rPr>
              <w:t>26 Oct 2011 (see s. 2(b))</w:t>
            </w:r>
          </w:p>
        </w:tc>
      </w:tr>
      <w:tr>
        <w:trPr>
          <w:gridBefore w:val="1"/>
          <w:gridAfter w:val="1"/>
          <w:wBefore w:w="9" w:type="dxa"/>
          <w:wAfter w:w="10" w:type="dxa"/>
          <w:cantSplit/>
        </w:trPr>
        <w:tc>
          <w:tcPr>
            <w:tcW w:w="7091" w:type="dxa"/>
            <w:gridSpan w:val="12"/>
            <w:shd w:val="clear" w:color="auto" w:fill="auto"/>
          </w:tcPr>
          <w:p>
            <w:pPr>
              <w:pStyle w:val="nTable"/>
              <w:spacing w:after="40"/>
              <w:rPr>
                <w:snapToGrid w:val="0"/>
              </w:rPr>
            </w:pPr>
            <w:r>
              <w:rPr>
                <w:b/>
                <w:snapToGrid w:val="0"/>
              </w:rPr>
              <w:t xml:space="preserve">Reprint 7:  </w:t>
            </w:r>
            <w:r>
              <w:rPr>
                <w:b/>
              </w:rPr>
              <w:t xml:space="preserve">The </w:t>
            </w:r>
            <w:r>
              <w:rPr>
                <w:b/>
                <w:i/>
              </w:rPr>
              <w:t>Liquor Control Act 1988</w:t>
            </w:r>
            <w:r>
              <w:rPr>
                <w:b/>
              </w:rPr>
              <w:t xml:space="preserve"> as at 6 Jan 2012</w:t>
            </w:r>
            <w:r>
              <w:rPr>
                <w:snapToGrid w:val="0"/>
              </w:rPr>
              <w:t xml:space="preserve"> (includes amendments listed above except those in the </w:t>
            </w:r>
            <w:r>
              <w:rPr>
                <w:i/>
                <w:snapToGrid w:val="0"/>
              </w:rPr>
              <w:t>Personal Property Securities (Consequential Repeals and Amendments) Act 2011</w:t>
            </w:r>
            <w:r>
              <w:rPr>
                <w:snapToGrid w:val="0"/>
              </w:rPr>
              <w:t>)</w:t>
            </w:r>
          </w:p>
        </w:tc>
      </w:tr>
      <w:tr>
        <w:tblPrEx>
          <w:tblBorders>
            <w:top w:val="single" w:sz="4" w:space="0" w:color="auto"/>
            <w:bottom w:val="single" w:sz="4" w:space="0" w:color="auto"/>
            <w:insideH w:val="single" w:sz="4" w:space="0" w:color="auto"/>
          </w:tblBorders>
        </w:tblPrEx>
        <w:trPr>
          <w:gridBefore w:val="2"/>
          <w:wBefore w:w="23" w:type="dxa"/>
        </w:trPr>
        <w:tc>
          <w:tcPr>
            <w:tcW w:w="2268" w:type="dxa"/>
            <w:gridSpan w:val="3"/>
            <w:tcBorders>
              <w:top w:val="nil"/>
              <w:bottom w:val="nil"/>
            </w:tcBorders>
          </w:tcPr>
          <w:p>
            <w:pPr>
              <w:pStyle w:val="nTable"/>
              <w:keepNext/>
              <w:keepLines/>
              <w:spacing w:after="40"/>
              <w:rPr>
                <w:i/>
                <w:snapToGrid w:val="0"/>
              </w:rPr>
            </w:pPr>
            <w:r>
              <w:rPr>
                <w:i/>
                <w:snapToGrid w:val="0"/>
              </w:rPr>
              <w:t xml:space="preserve">Road Traffic Legislation Amendment Act 2012 </w:t>
            </w:r>
            <w:r>
              <w:rPr>
                <w:snapToGrid w:val="0"/>
              </w:rPr>
              <w:t>Pt. 4 Div. 28</w:t>
            </w:r>
            <w:r>
              <w:rPr>
                <w:rFonts w:ascii="Times" w:hAnsi="Times"/>
                <w:snapToGrid w:val="0"/>
                <w:vertAlign w:val="superscript"/>
              </w:rPr>
              <w:t> </w:t>
            </w:r>
          </w:p>
        </w:tc>
        <w:tc>
          <w:tcPr>
            <w:tcW w:w="1134" w:type="dxa"/>
            <w:gridSpan w:val="3"/>
            <w:tcBorders>
              <w:top w:val="nil"/>
              <w:bottom w:val="nil"/>
            </w:tcBorders>
          </w:tcPr>
          <w:p>
            <w:pPr>
              <w:pStyle w:val="nTable"/>
              <w:keepNext/>
              <w:keepLines/>
              <w:spacing w:after="40"/>
            </w:pPr>
            <w:r>
              <w:rPr>
                <w:snapToGrid w:val="0"/>
              </w:rPr>
              <w:t>8 of 2012</w:t>
            </w:r>
          </w:p>
        </w:tc>
        <w:tc>
          <w:tcPr>
            <w:tcW w:w="1134" w:type="dxa"/>
            <w:gridSpan w:val="3"/>
            <w:tcBorders>
              <w:top w:val="nil"/>
              <w:bottom w:val="nil"/>
            </w:tcBorders>
          </w:tcPr>
          <w:p>
            <w:pPr>
              <w:pStyle w:val="nTable"/>
              <w:keepNext/>
              <w:keepLines/>
              <w:spacing w:after="40"/>
            </w:pPr>
            <w:r>
              <w:t>21 May 2012</w:t>
            </w:r>
          </w:p>
        </w:tc>
        <w:tc>
          <w:tcPr>
            <w:tcW w:w="2551" w:type="dxa"/>
            <w:gridSpan w:val="3"/>
            <w:tcBorders>
              <w:top w:val="nil"/>
              <w:bottom w:val="nil"/>
            </w:tcBorders>
          </w:tcPr>
          <w:p>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gridBefore w:val="1"/>
          <w:gridAfter w:val="1"/>
          <w:wBefore w:w="9" w:type="dxa"/>
          <w:wAfter w:w="10" w:type="dxa"/>
          <w:cantSplit/>
        </w:trPr>
        <w:tc>
          <w:tcPr>
            <w:tcW w:w="2268" w:type="dxa"/>
            <w:gridSpan w:val="3"/>
            <w:shd w:val="clear" w:color="auto" w:fill="auto"/>
          </w:tcPr>
          <w:p>
            <w:pPr>
              <w:pStyle w:val="nTable"/>
              <w:spacing w:after="40"/>
              <w:ind w:right="113"/>
              <w:rPr>
                <w:snapToGrid w:val="0"/>
              </w:rPr>
            </w:pPr>
            <w:r>
              <w:rPr>
                <w:i/>
                <w:snapToGrid w:val="0"/>
              </w:rPr>
              <w:t xml:space="preserve">Criminal Organisations Control Act 2012 </w:t>
            </w:r>
            <w:r>
              <w:rPr>
                <w:snapToGrid w:val="0"/>
              </w:rPr>
              <w:t>s. 178</w:t>
            </w:r>
          </w:p>
        </w:tc>
        <w:tc>
          <w:tcPr>
            <w:tcW w:w="1134" w:type="dxa"/>
            <w:gridSpan w:val="3"/>
            <w:shd w:val="clear" w:color="auto" w:fill="auto"/>
          </w:tcPr>
          <w:p>
            <w:pPr>
              <w:pStyle w:val="nTable"/>
              <w:spacing w:after="40"/>
            </w:pPr>
            <w:r>
              <w:rPr>
                <w:snapToGrid w:val="0"/>
              </w:rPr>
              <w:t>49 of 2012</w:t>
            </w:r>
          </w:p>
        </w:tc>
        <w:tc>
          <w:tcPr>
            <w:tcW w:w="1136" w:type="dxa"/>
            <w:gridSpan w:val="3"/>
            <w:shd w:val="clear" w:color="auto" w:fill="auto"/>
          </w:tcPr>
          <w:p>
            <w:pPr>
              <w:pStyle w:val="nTable"/>
              <w:spacing w:after="40"/>
            </w:pPr>
            <w:r>
              <w:t>29 Nov 2012</w:t>
            </w:r>
          </w:p>
        </w:tc>
        <w:tc>
          <w:tcPr>
            <w:tcW w:w="2553" w:type="dxa"/>
            <w:gridSpan w:val="3"/>
            <w:shd w:val="clear" w:color="auto" w:fill="auto"/>
          </w:tcPr>
          <w:p>
            <w:pPr>
              <w:pStyle w:val="nTable"/>
              <w:spacing w:after="40"/>
              <w:rPr>
                <w:snapToGrid w:val="0"/>
              </w:rPr>
            </w:pPr>
            <w:r>
              <w:rPr>
                <w:snapToGrid w:val="0"/>
              </w:rPr>
              <w:t>2 Nov 2013 (see s. 2(b) and Gazette 1 Nov 2013 p. 4891)</w:t>
            </w:r>
          </w:p>
        </w:tc>
      </w:tr>
      <w:tr>
        <w:trPr>
          <w:gridBefore w:val="1"/>
          <w:gridAfter w:val="1"/>
          <w:wBefore w:w="9" w:type="dxa"/>
          <w:wAfter w:w="10" w:type="dxa"/>
          <w:cantSplit/>
        </w:trPr>
        <w:tc>
          <w:tcPr>
            <w:tcW w:w="2268" w:type="dxa"/>
            <w:gridSpan w:val="3"/>
            <w:tcBorders>
              <w:bottom w:val="single" w:sz="4" w:space="0" w:color="auto"/>
            </w:tcBorders>
            <w:shd w:val="clear" w:color="auto" w:fill="auto"/>
          </w:tcPr>
          <w:p>
            <w:pPr>
              <w:pStyle w:val="nTable"/>
              <w:spacing w:after="40"/>
              <w:ind w:right="113"/>
              <w:rPr>
                <w:i/>
                <w:snapToGrid w:val="0"/>
              </w:rPr>
            </w:pPr>
            <w:r>
              <w:rPr>
                <w:i/>
                <w:snapToGrid w:val="0"/>
                <w:lang w:val="en-US"/>
              </w:rPr>
              <w:t>Corruption and Crime Commission Amendment (Misconduct) Act 2014</w:t>
            </w:r>
            <w:r>
              <w:rPr>
                <w:snapToGrid w:val="0"/>
                <w:lang w:val="en-US"/>
              </w:rPr>
              <w:t xml:space="preserve"> s. 39</w:t>
            </w:r>
          </w:p>
        </w:tc>
        <w:tc>
          <w:tcPr>
            <w:tcW w:w="1134" w:type="dxa"/>
            <w:gridSpan w:val="3"/>
            <w:tcBorders>
              <w:bottom w:val="single" w:sz="4" w:space="0" w:color="auto"/>
            </w:tcBorders>
            <w:shd w:val="clear" w:color="auto" w:fill="auto"/>
          </w:tcPr>
          <w:p>
            <w:pPr>
              <w:pStyle w:val="nTable"/>
              <w:spacing w:after="40"/>
              <w:rPr>
                <w:snapToGrid w:val="0"/>
              </w:rPr>
            </w:pPr>
            <w:r>
              <w:rPr>
                <w:snapToGrid w:val="0"/>
                <w:lang w:val="en-US"/>
              </w:rPr>
              <w:t>35 of 2014</w:t>
            </w:r>
          </w:p>
        </w:tc>
        <w:tc>
          <w:tcPr>
            <w:tcW w:w="1136" w:type="dxa"/>
            <w:gridSpan w:val="3"/>
            <w:tcBorders>
              <w:bottom w:val="single" w:sz="4" w:space="0" w:color="auto"/>
            </w:tcBorders>
            <w:shd w:val="clear" w:color="auto" w:fill="auto"/>
          </w:tcPr>
          <w:p>
            <w:pPr>
              <w:pStyle w:val="nTable"/>
              <w:spacing w:after="40"/>
            </w:pPr>
            <w:r>
              <w:t>9 Dec 2014</w:t>
            </w:r>
          </w:p>
        </w:tc>
        <w:tc>
          <w:tcPr>
            <w:tcW w:w="2553" w:type="dxa"/>
            <w:gridSpan w:val="3"/>
            <w:tcBorders>
              <w:bottom w:val="single" w:sz="4" w:space="0" w:color="auto"/>
            </w:tcBorders>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942" w:name="_Toc406080341"/>
      <w:bookmarkStart w:id="943" w:name="_Toc423530770"/>
      <w:r>
        <w:rPr>
          <w:snapToGrid w:val="0"/>
        </w:rPr>
        <w:t>Provisions that have not come into operation</w:t>
      </w:r>
      <w:bookmarkEnd w:id="942"/>
      <w:bookmarkEnd w:id="943"/>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8" w:space="0" w:color="auto"/>
            </w:tcBorders>
            <w:shd w:val="clear" w:color="auto" w:fill="auto"/>
          </w:tcPr>
          <w:p>
            <w:pPr>
              <w:pStyle w:val="nTable"/>
              <w:spacing w:after="40"/>
              <w:rPr>
                <w:b/>
                <w:snapToGrid w:val="0"/>
              </w:rPr>
            </w:pPr>
            <w:r>
              <w:rPr>
                <w:b/>
                <w:snapToGrid w:val="0"/>
              </w:rPr>
              <w:t>Number and year</w:t>
            </w:r>
          </w:p>
        </w:tc>
        <w:tc>
          <w:tcPr>
            <w:tcW w:w="1134" w:type="dxa"/>
            <w:tcBorders>
              <w:top w:val="single" w:sz="8" w:space="0" w:color="auto"/>
              <w:bottom w:val="single" w:sz="8" w:space="0" w:color="auto"/>
            </w:tcBorders>
            <w:shd w:val="clear" w:color="auto" w:fill="auto"/>
          </w:tcPr>
          <w:p>
            <w:pPr>
              <w:pStyle w:val="nTable"/>
              <w:spacing w:after="40"/>
              <w:rPr>
                <w:b/>
                <w:snapToGrid w:val="0"/>
              </w:rPr>
            </w:pPr>
            <w:r>
              <w:rPr>
                <w:b/>
                <w:snapToGrid w:val="0"/>
              </w:rPr>
              <w:t>Assent</w:t>
            </w:r>
          </w:p>
        </w:tc>
        <w:tc>
          <w:tcPr>
            <w:tcW w:w="2551"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bottom w:val="single" w:sz="4" w:space="0" w:color="auto"/>
            </w:tcBorders>
          </w:tcPr>
          <w:p>
            <w:pPr>
              <w:pStyle w:val="nTable"/>
              <w:spacing w:after="40"/>
              <w:rPr>
                <w:i/>
                <w:snapToGrid w:val="0"/>
              </w:rPr>
            </w:pPr>
            <w:r>
              <w:rPr>
                <w:i/>
                <w:snapToGrid w:val="0"/>
              </w:rPr>
              <w:t>Prostitution Amendment Act 2008</w:t>
            </w:r>
            <w:r>
              <w:rPr>
                <w:iCs/>
                <w:snapToGrid w:val="0"/>
              </w:rPr>
              <w:t xml:space="preserve"> s. 32 </w:t>
            </w:r>
            <w:r>
              <w:rPr>
                <w:iCs/>
                <w:snapToGrid w:val="0"/>
                <w:vertAlign w:val="superscript"/>
              </w:rPr>
              <w:t>11</w:t>
            </w:r>
          </w:p>
        </w:tc>
        <w:tc>
          <w:tcPr>
            <w:tcW w:w="1134" w:type="dxa"/>
            <w:tcBorders>
              <w:top w:val="single" w:sz="8" w:space="0" w:color="auto"/>
              <w:bottom w:val="single" w:sz="4" w:space="0" w:color="auto"/>
            </w:tcBorders>
          </w:tcPr>
          <w:p>
            <w:pPr>
              <w:pStyle w:val="nTable"/>
              <w:spacing w:after="40"/>
              <w:rPr>
                <w:snapToGrid w:val="0"/>
              </w:rPr>
            </w:pPr>
            <w:r>
              <w:t>13 of 2008</w:t>
            </w:r>
          </w:p>
        </w:tc>
        <w:tc>
          <w:tcPr>
            <w:tcW w:w="1134" w:type="dxa"/>
            <w:tcBorders>
              <w:top w:val="single" w:sz="8" w:space="0" w:color="auto"/>
              <w:bottom w:val="single" w:sz="4" w:space="0" w:color="auto"/>
            </w:tcBorders>
          </w:tcPr>
          <w:p>
            <w:pPr>
              <w:pStyle w:val="nTable"/>
              <w:spacing w:after="40"/>
              <w:rPr>
                <w:snapToGrid w:val="0"/>
              </w:rPr>
            </w:pPr>
            <w:r>
              <w:t>14 Apr 2008</w:t>
            </w:r>
          </w:p>
        </w:tc>
        <w:tc>
          <w:tcPr>
            <w:tcW w:w="2551" w:type="dxa"/>
            <w:tcBorders>
              <w:top w:val="single" w:sz="8" w:space="0" w:color="auto"/>
              <w:bottom w:val="single" w:sz="4" w:space="0" w:color="auto"/>
            </w:tcBorders>
          </w:tcPr>
          <w:p>
            <w:pPr>
              <w:pStyle w:val="nTable"/>
              <w:spacing w:after="40"/>
              <w:rPr>
                <w:snapToGrid w:val="0"/>
              </w:rPr>
            </w:pPr>
            <w:r>
              <w:rPr>
                <w:snapToGrid w:val="0"/>
              </w:rPr>
              <w:t>To be proclaimed (see s. 2(b))</w:t>
            </w:r>
          </w:p>
        </w:tc>
      </w:tr>
    </w:tbl>
    <w:p>
      <w:pPr>
        <w:pStyle w:val="nSubsection"/>
        <w:spacing w:before="160"/>
        <w:rPr>
          <w:snapToGrid w:val="0"/>
        </w:rPr>
      </w:pPr>
      <w:r>
        <w:rPr>
          <w:snapToGrid w:val="0"/>
          <w:vertAlign w:val="superscript"/>
        </w:rPr>
        <w:t>2</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Acts 1984</w:t>
      </w:r>
      <w:r>
        <w:rPr>
          <w:snapToGrid w:val="0"/>
        </w:rPr>
        <w:t xml:space="preserve"> s. 7(4)(f).</w:t>
      </w:r>
    </w:p>
    <w:p>
      <w:pPr>
        <w:pStyle w:val="nSubsection"/>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1 June 1988, described in the Third Schedule to the</w:t>
      </w:r>
      <w:r>
        <w:rPr>
          <w:i/>
          <w:snapToGrid w:val="0"/>
        </w:rPr>
        <w:t xml:space="preserve"> </w:t>
      </w:r>
      <w:smartTag w:uri="urn:schemas-microsoft-com:office:smarttags" w:element="place">
        <w:smartTag w:uri="urn:schemas-microsoft-com:office:smarttags" w:element="PlaceName">
          <w:r>
            <w:rPr>
              <w:i/>
              <w:snapToGrid w:val="0"/>
            </w:rPr>
            <w:t>Metropolitan</w:t>
          </w:r>
        </w:smartTag>
        <w:r>
          <w:rPr>
            <w:i/>
            <w:snapToGrid w:val="0"/>
          </w:rPr>
          <w:t xml:space="preserve"> </w:t>
        </w:r>
        <w:smartTag w:uri="urn:schemas-microsoft-com:office:smarttags" w:element="PlaceName">
          <w:r>
            <w:rPr>
              <w:i/>
              <w:snapToGrid w:val="0"/>
            </w:rPr>
            <w:t>Region</w:t>
          </w:r>
        </w:smartTag>
        <w:r>
          <w:rPr>
            <w:i/>
            <w:snapToGrid w:val="0"/>
          </w:rPr>
          <w:t xml:space="preserve"> </w:t>
        </w:r>
        <w:smartTag w:uri="urn:schemas-microsoft-com:office:smarttags" w:element="PlaceType">
          <w:r>
            <w:rPr>
              <w:i/>
              <w:snapToGrid w:val="0"/>
            </w:rPr>
            <w:t>Town</w:t>
          </w:r>
        </w:smartTag>
      </w:smartTag>
      <w:r>
        <w:rPr>
          <w:i/>
          <w:snapToGrid w:val="0"/>
        </w:rPr>
        <w:t xml:space="preserve">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rPr>
          <w:snapToGrid w:val="0"/>
        </w:rPr>
      </w:pPr>
      <w:r>
        <w:rPr>
          <w:snapToGrid w:val="0"/>
          <w:vertAlign w:val="superscript"/>
        </w:rPr>
        <w:t>4</w:t>
      </w:r>
      <w:r>
        <w:rPr>
          <w:snapToGrid w:val="0"/>
        </w:rPr>
        <w:tab/>
        <w:t xml:space="preserve">Repealed by the </w:t>
      </w:r>
      <w:r>
        <w:rPr>
          <w:i/>
          <w:snapToGrid w:val="0"/>
        </w:rPr>
        <w:t>Public Sector Management Act 1994</w:t>
      </w:r>
      <w:r>
        <w:rPr>
          <w:snapToGrid w:val="0"/>
        </w:rPr>
        <w:t>.</w:t>
      </w:r>
    </w:p>
    <w:p>
      <w:pPr>
        <w:pStyle w:val="nSubsection"/>
        <w:rPr>
          <w:snapToGrid w:val="0"/>
        </w:rPr>
      </w:pPr>
      <w:r>
        <w:rPr>
          <w:vertAlign w:val="superscript"/>
        </w:rPr>
        <w:t>5</w:t>
      </w:r>
      <w:r>
        <w:tab/>
      </w:r>
      <w:r>
        <w:rPr>
          <w:i/>
        </w:rPr>
        <w:t xml:space="preserve">Rules of the </w:t>
      </w:r>
      <w:r>
        <w:rPr>
          <w:i/>
          <w:snapToGrid w:val="0"/>
        </w:rPr>
        <w:t>Supreme</w:t>
      </w:r>
      <w:r>
        <w:rPr>
          <w:i/>
        </w:rPr>
        <w:t xml:space="preserve"> Court 1971</w:t>
      </w:r>
      <w:r>
        <w:t xml:space="preserve"> Order 64 was deleted in </w:t>
      </w:r>
      <w:r>
        <w:rPr>
          <w:i/>
        </w:rPr>
        <w:t>Gazette</w:t>
      </w:r>
      <w:r>
        <w:t xml:space="preserve"> 29 Apr 2005 p. 1793.</w:t>
      </w:r>
    </w:p>
    <w:p>
      <w:pPr>
        <w:pStyle w:val="nSubsection"/>
        <w:rPr>
          <w:snapToGrid w:val="0"/>
        </w:rPr>
      </w:pPr>
      <w:r>
        <w:rPr>
          <w:snapToGrid w:val="0"/>
          <w:vertAlign w:val="superscript"/>
        </w:rPr>
        <w:t>6</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rPr>
          <w:snapToGrid w:val="0"/>
        </w:rPr>
      </w:pPr>
      <w:r>
        <w:rPr>
          <w:snapToGrid w:val="0"/>
          <w:vertAlign w:val="superscript"/>
        </w:rPr>
        <w:t>7</w:t>
      </w:r>
      <w:r>
        <w:rPr>
          <w:snapToGrid w:val="0"/>
        </w:rPr>
        <w:tab/>
        <w:t xml:space="preserve">Repealed by the </w:t>
      </w:r>
      <w:r>
        <w:rPr>
          <w:i/>
          <w:snapToGrid w:val="0"/>
        </w:rPr>
        <w:t>Liquor Act 1970</w:t>
      </w:r>
      <w:r>
        <w:rPr>
          <w:snapToGrid w:val="0"/>
        </w:rPr>
        <w:t>, which was repealed by this Act.</w:t>
      </w:r>
    </w:p>
    <w:p>
      <w:pPr>
        <w:pStyle w:val="nSubsection"/>
      </w:pPr>
      <w:r>
        <w:rPr>
          <w:vertAlign w:val="superscript"/>
        </w:rPr>
        <w:t>8</w:t>
      </w:r>
      <w:r>
        <w:rPr>
          <w:vertAlign w:val="superscript"/>
        </w:rPr>
        <w:tab/>
      </w:r>
      <w:r>
        <w:t xml:space="preserve">Now known as the </w:t>
      </w:r>
      <w:r>
        <w:rPr>
          <w:i/>
        </w:rPr>
        <w:t>Liquor Control Act 1988</w:t>
      </w:r>
      <w:r>
        <w:rPr>
          <w:iCs/>
        </w:rPr>
        <w:t xml:space="preserve">; </w:t>
      </w:r>
      <w:r>
        <w:t>short title changed (see note under s. 1).</w:t>
      </w:r>
    </w:p>
    <w:p>
      <w:pPr>
        <w:pStyle w:val="nSubsection"/>
      </w:pPr>
      <w:r>
        <w:rPr>
          <w:vertAlign w:val="superscript"/>
        </w:rPr>
        <w:t>9</w:t>
      </w:r>
      <w:r>
        <w:tab/>
        <w:t xml:space="preserve">The </w:t>
      </w:r>
      <w:r>
        <w:rPr>
          <w:i/>
        </w:rPr>
        <w:t xml:space="preserve">Courts Legislation Amendment Act 2000 </w:t>
      </w:r>
      <w:r>
        <w:t>s. 14 is a transitional provision that is of no further effect.</w:t>
      </w:r>
    </w:p>
    <w:p>
      <w:pPr>
        <w:pStyle w:val="nSubsection"/>
      </w:pPr>
      <w:r>
        <w:rPr>
          <w:vertAlign w:val="superscript"/>
        </w:rPr>
        <w:t>10</w:t>
      </w:r>
      <w:r>
        <w:tab/>
        <w:t xml:space="preserve">The </w:t>
      </w:r>
      <w:r>
        <w:rPr>
          <w:i/>
        </w:rPr>
        <w:t>Liquor Licensing Amendment Act 2001</w:t>
      </w:r>
      <w:r>
        <w:t xml:space="preserve"> s. 5(2) and 6(2) are transitional provisions that are of no further effect.</w:t>
      </w:r>
    </w:p>
    <w:p>
      <w:pPr>
        <w:pStyle w:val="nSubsection"/>
        <w:keepLines/>
        <w:rPr>
          <w:snapToGrid w:val="0"/>
        </w:rPr>
      </w:pPr>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32 </w:t>
      </w:r>
      <w:r>
        <w:rPr>
          <w:snapToGrid w:val="0"/>
        </w:rPr>
        <w:t>had not come into operation.  It reads as follows:</w:t>
      </w:r>
    </w:p>
    <w:p>
      <w:pPr>
        <w:pStyle w:val="nzHeading5"/>
        <w:spacing w:before="240"/>
      </w:pPr>
      <w:r>
        <w:rPr>
          <w:rStyle w:val="CharSectno"/>
        </w:rPr>
        <w:t>32</w:t>
      </w:r>
      <w:r>
        <w:t>.</w:t>
      </w:r>
      <w:r>
        <w:tab/>
      </w:r>
      <w:r>
        <w:rPr>
          <w:i/>
        </w:rPr>
        <w:t>Liquor Control Act 1988</w:t>
      </w:r>
      <w:r>
        <w:t xml:space="preserve"> amended</w:t>
      </w:r>
    </w:p>
    <w:p>
      <w:pPr>
        <w:pStyle w:val="nzSubsection"/>
        <w:spacing w:before="60"/>
      </w:pPr>
      <w:r>
        <w:tab/>
        <w:t>(1)</w:t>
      </w:r>
      <w:r>
        <w:tab/>
        <w:t xml:space="preserve">The amendment in this section is to the </w:t>
      </w:r>
      <w:r>
        <w:rPr>
          <w:i/>
        </w:rPr>
        <w:t>Liquor Control Act 1988</w:t>
      </w:r>
      <w:r>
        <w:rPr>
          <w:iCs/>
        </w:rPr>
        <w:t>.</w:t>
      </w:r>
    </w:p>
    <w:p>
      <w:pPr>
        <w:pStyle w:val="nzSubsection"/>
        <w:keepNext/>
        <w:spacing w:before="60"/>
      </w:pPr>
      <w:r>
        <w:tab/>
        <w:t>(2)</w:t>
      </w:r>
      <w:r>
        <w:tab/>
        <w:t>After section 37(6) the following subsection is inserted —</w:t>
      </w:r>
    </w:p>
    <w:p>
      <w:pPr>
        <w:pStyle w:val="BlankOpen"/>
      </w:pPr>
    </w:p>
    <w:p>
      <w:pPr>
        <w:pStyle w:val="nzSubsection"/>
        <w:spacing w:before="40"/>
      </w:pPr>
      <w:r>
        <w:tab/>
        <w:t>(7)</w:t>
      </w:r>
      <w:r>
        <w:tab/>
        <w:t xml:space="preserve">An application shall not be granted where the licensing authority is satisfied that the premises to which the application relates are premises at or from which a sexual service business within the meaning of the </w:t>
      </w:r>
      <w:r>
        <w:rPr>
          <w:i/>
          <w:iCs/>
        </w:rPr>
        <w:t>Sexual Services Act 2000</w:t>
      </w:r>
      <w:r>
        <w:t xml:space="preserve"> section 3 operates.</w:t>
      </w:r>
    </w:p>
    <w:p>
      <w:pPr>
        <w:pStyle w:val="BlankClose"/>
      </w:pPr>
    </w:p>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bookmarkStart w:id="945" w:name="_Toc416876683"/>
      <w:bookmarkStart w:id="946" w:name="_Toc417973365"/>
      <w:bookmarkStart w:id="947" w:name="_Toc423530771"/>
      <w:r>
        <w:rPr>
          <w:sz w:val="28"/>
        </w:rPr>
        <w:t>Defined terms</w:t>
      </w:r>
      <w:bookmarkEnd w:id="945"/>
      <w:bookmarkEnd w:id="946"/>
      <w:bookmarkEnd w:id="9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3 unrelated adults</w:t>
      </w:r>
      <w:r>
        <w:tab/>
        <w:t>117(2b)</w:t>
      </w:r>
    </w:p>
    <w:p>
      <w:pPr>
        <w:pStyle w:val="DefinedTerms"/>
      </w:pPr>
      <w:r>
        <w:t>Act</w:t>
      </w:r>
      <w:r>
        <w:tab/>
        <w:t>Sch. 1 cl. 1(1)</w:t>
      </w:r>
    </w:p>
    <w:p>
      <w:pPr>
        <w:pStyle w:val="DefinedTerms"/>
      </w:pPr>
      <w:r>
        <w:t>alleged offence</w:t>
      </w:r>
      <w:r>
        <w:tab/>
        <w:t>167(1)</w:t>
      </w:r>
    </w:p>
    <w:p>
      <w:pPr>
        <w:pStyle w:val="DefinedTerms"/>
      </w:pPr>
      <w:r>
        <w:t>alleged offender</w:t>
      </w:r>
      <w:r>
        <w:tab/>
        <w:t>167(1)</w:t>
      </w:r>
    </w:p>
    <w:p>
      <w:pPr>
        <w:pStyle w:val="DefinedTerms"/>
      </w:pPr>
      <w:r>
        <w:t>applicable day</w:t>
      </w:r>
      <w:r>
        <w:tab/>
        <w:t>65A(1)</w:t>
      </w:r>
    </w:p>
    <w:p>
      <w:pPr>
        <w:pStyle w:val="DefinedTerms"/>
      </w:pPr>
      <w:r>
        <w:t>applicant</w:t>
      </w:r>
      <w:r>
        <w:tab/>
        <w:t>152N, Sch. 1B cl. 4(1)</w:t>
      </w:r>
    </w:p>
    <w:p>
      <w:pPr>
        <w:pStyle w:val="DefinedTerms"/>
      </w:pPr>
      <w:r>
        <w:t>application</w:t>
      </w:r>
      <w:r>
        <w:tab/>
        <w:t>152W(1), Sch. 1 cl. 1(1)</w:t>
      </w:r>
    </w:p>
    <w:p>
      <w:pPr>
        <w:pStyle w:val="DefinedTerms"/>
      </w:pPr>
      <w:r>
        <w:t>appointed day</w:t>
      </w:r>
      <w:r>
        <w:tab/>
        <w:t>Sch. 1 cl. 1(1)</w:t>
      </w:r>
    </w:p>
    <w:p>
      <w:pPr>
        <w:pStyle w:val="DefinedTerms"/>
      </w:pPr>
      <w:r>
        <w:t>approved manager</w:t>
      </w:r>
      <w:r>
        <w:tab/>
        <w:t>102A, Sch. 1B cl. 1</w:t>
      </w:r>
    </w:p>
    <w:p>
      <w:pPr>
        <w:pStyle w:val="DefinedTerms"/>
      </w:pPr>
      <w:r>
        <w:t>approved restricted manager</w:t>
      </w:r>
      <w:r>
        <w:tab/>
        <w:t>3(1)</w:t>
      </w:r>
    </w:p>
    <w:p>
      <w:pPr>
        <w:pStyle w:val="DefinedTerms"/>
      </w:pPr>
      <w:r>
        <w:t>approved unrestricted manager</w:t>
      </w:r>
      <w:r>
        <w:tab/>
        <w:t>3(1)</w:t>
      </w:r>
    </w:p>
    <w:p>
      <w:pPr>
        <w:pStyle w:val="DefinedTerms"/>
      </w:pPr>
      <w:r>
        <w:t>assessment</w:t>
      </w:r>
      <w:r>
        <w:tab/>
        <w:t>3(1)</w:t>
      </w:r>
    </w:p>
    <w:p>
      <w:pPr>
        <w:pStyle w:val="DefinedTerms"/>
      </w:pPr>
      <w:r>
        <w:t>Association</w:t>
      </w:r>
      <w:r>
        <w:tab/>
        <w:t>Sch. 2 cl. 1</w:t>
      </w:r>
    </w:p>
    <w:p>
      <w:pPr>
        <w:pStyle w:val="DefinedTerms"/>
      </w:pPr>
      <w:r>
        <w:t>authorised officer</w:t>
      </w:r>
      <w:r>
        <w:tab/>
        <w:t>3(1)</w:t>
      </w:r>
    </w:p>
    <w:p>
      <w:pPr>
        <w:pStyle w:val="DefinedTerms"/>
      </w:pPr>
      <w:r>
        <w:t>authorised person</w:t>
      </w:r>
      <w:r>
        <w:tab/>
        <w:t>3(1)</w:t>
      </w:r>
    </w:p>
    <w:p>
      <w:pPr>
        <w:pStyle w:val="DefinedTerms"/>
      </w:pPr>
      <w:r>
        <w:t>beer</w:t>
      </w:r>
      <w:r>
        <w:tab/>
        <w:t>3(1)</w:t>
      </w:r>
    </w:p>
    <w:p>
      <w:pPr>
        <w:pStyle w:val="DefinedTerms"/>
      </w:pPr>
      <w:r>
        <w:t>buyer</w:t>
      </w:r>
      <w:r>
        <w:tab/>
        <w:t>109(4A)</w:t>
      </w:r>
    </w:p>
    <w:p>
      <w:pPr>
        <w:pStyle w:val="DefinedTerms"/>
      </w:pPr>
      <w:r>
        <w:t>casino</w:t>
      </w:r>
      <w:r>
        <w:tab/>
        <w:t>3(1)</w:t>
      </w:r>
    </w:p>
    <w:p>
      <w:pPr>
        <w:pStyle w:val="DefinedTerms"/>
      </w:pPr>
      <w:r>
        <w:t>casino complex</w:t>
      </w:r>
      <w:r>
        <w:tab/>
        <w:t>3(1)</w:t>
      </w:r>
    </w:p>
    <w:p>
      <w:pPr>
        <w:pStyle w:val="DefinedTerms"/>
      </w:pPr>
      <w:r>
        <w:t>casino complex agreement</w:t>
      </w:r>
      <w:r>
        <w:tab/>
        <w:t>3(1)</w:t>
      </w:r>
    </w:p>
    <w:p>
      <w:pPr>
        <w:pStyle w:val="DefinedTerms"/>
      </w:pPr>
      <w:r>
        <w:t>casino gaming licence</w:t>
      </w:r>
      <w:r>
        <w:tab/>
        <w:t>3(1)</w:t>
      </w:r>
    </w:p>
    <w:p>
      <w:pPr>
        <w:pStyle w:val="DefinedTerms"/>
      </w:pPr>
      <w:r>
        <w:t>casino liquor licence</w:t>
      </w:r>
      <w:r>
        <w:tab/>
        <w:t>3(1)</w:t>
      </w:r>
    </w:p>
    <w:p>
      <w:pPr>
        <w:pStyle w:val="DefinedTerms"/>
      </w:pPr>
      <w:r>
        <w:t>chairperson</w:t>
      </w:r>
      <w:r>
        <w:tab/>
        <w:t>3(1)</w:t>
      </w:r>
    </w:p>
    <w:p>
      <w:pPr>
        <w:pStyle w:val="DefinedTerms"/>
      </w:pPr>
      <w:r>
        <w:t>closing time</w:t>
      </w:r>
      <w:r>
        <w:tab/>
        <w:t>3(1)</w:t>
      </w:r>
    </w:p>
    <w:p>
      <w:pPr>
        <w:pStyle w:val="DefinedTerms"/>
      </w:pPr>
      <w:r>
        <w:t>club</w:t>
      </w:r>
      <w:r>
        <w:tab/>
        <w:t>49(1), Sch. 2 cl. 1, Sch. 2 cl. 1</w:t>
      </w:r>
    </w:p>
    <w:p>
      <w:pPr>
        <w:pStyle w:val="DefinedTerms"/>
      </w:pPr>
      <w:r>
        <w:t>club licence</w:t>
      </w:r>
      <w:r>
        <w:tab/>
        <w:t>3(1)</w:t>
      </w:r>
    </w:p>
    <w:p>
      <w:pPr>
        <w:pStyle w:val="DefinedTerms"/>
      </w:pPr>
      <w:r>
        <w:t>club restricted licence</w:t>
      </w:r>
      <w:r>
        <w:tab/>
        <w:t>3(1)</w:t>
      </w:r>
    </w:p>
    <w:p>
      <w:pPr>
        <w:pStyle w:val="DefinedTerms"/>
      </w:pPr>
      <w:r>
        <w:t>commencement day</w:t>
      </w:r>
      <w:r>
        <w:tab/>
        <w:t>Sch. 1A cl. 1, Sch. 1B cl. 1</w:t>
      </w:r>
    </w:p>
    <w:p>
      <w:pPr>
        <w:pStyle w:val="DefinedTerms"/>
      </w:pPr>
      <w:r>
        <w:t>Commission</w:t>
      </w:r>
      <w:r>
        <w:tab/>
        <w:t>3(1)</w:t>
      </w:r>
    </w:p>
    <w:p>
      <w:pPr>
        <w:pStyle w:val="DefinedTerms"/>
      </w:pPr>
      <w:r>
        <w:t>Commissioner of Police</w:t>
      </w:r>
      <w:r>
        <w:tab/>
        <w:t>3(1)</w:t>
      </w:r>
    </w:p>
    <w:p>
      <w:pPr>
        <w:pStyle w:val="DefinedTerms"/>
      </w:pPr>
      <w:r>
        <w:t>Committee of Management</w:t>
      </w:r>
      <w:r>
        <w:tab/>
        <w:t>Sch. 2 cl. 1</w:t>
      </w:r>
    </w:p>
    <w:p>
      <w:pPr>
        <w:pStyle w:val="DefinedTerms"/>
      </w:pPr>
      <w:r>
        <w:t>condition</w:t>
      </w:r>
      <w:r>
        <w:tab/>
        <w:t>3(1)</w:t>
      </w:r>
    </w:p>
    <w:p>
      <w:pPr>
        <w:pStyle w:val="DefinedTerms"/>
      </w:pPr>
      <w:r>
        <w:t>confidential police information</w:t>
      </w:r>
      <w:r>
        <w:tab/>
        <w:t>3(1)</w:t>
      </w:r>
    </w:p>
    <w:p>
      <w:pPr>
        <w:pStyle w:val="DefinedTerms"/>
      </w:pPr>
      <w:r>
        <w:t>consume</w:t>
      </w:r>
      <w:r>
        <w:tab/>
        <w:t>3(1)</w:t>
      </w:r>
    </w:p>
    <w:p>
      <w:pPr>
        <w:pStyle w:val="DefinedTerms"/>
      </w:pPr>
      <w:r>
        <w:t>country townsite</w:t>
      </w:r>
      <w:r>
        <w:tab/>
        <w:t>36A(1), 65A(1)</w:t>
      </w:r>
    </w:p>
    <w:p>
      <w:pPr>
        <w:pStyle w:val="DefinedTerms"/>
      </w:pPr>
      <w:r>
        <w:t>Court</w:t>
      </w:r>
      <w:r>
        <w:tab/>
        <w:t>Sch. 1A cl. 1</w:t>
      </w:r>
    </w:p>
    <w:p>
      <w:pPr>
        <w:pStyle w:val="DefinedTerms"/>
      </w:pPr>
      <w:r>
        <w:t>crowd control agent</w:t>
      </w:r>
      <w:r>
        <w:tab/>
        <w:t>3(1)</w:t>
      </w:r>
    </w:p>
    <w:p>
      <w:pPr>
        <w:pStyle w:val="DefinedTerms"/>
      </w:pPr>
      <w:r>
        <w:t>crowd controller</w:t>
      </w:r>
      <w:r>
        <w:tab/>
        <w:t>126C(1)</w:t>
      </w:r>
    </w:p>
    <w:p>
      <w:pPr>
        <w:pStyle w:val="DefinedTerms"/>
      </w:pPr>
      <w:r>
        <w:t>crowd controller’s licence</w:t>
      </w:r>
      <w:r>
        <w:tab/>
        <w:t>3(1)</w:t>
      </w:r>
    </w:p>
    <w:p>
      <w:pPr>
        <w:pStyle w:val="DefinedTerms"/>
      </w:pPr>
      <w:r>
        <w:t>decision</w:t>
      </w:r>
      <w:r>
        <w:tab/>
        <w:t>3(1)</w:t>
      </w:r>
    </w:p>
    <w:p>
      <w:pPr>
        <w:pStyle w:val="DefinedTerms"/>
      </w:pPr>
      <w:r>
        <w:t>dining area</w:t>
      </w:r>
      <w:r>
        <w:tab/>
        <w:t>3(1)</w:t>
      </w:r>
    </w:p>
    <w:p>
      <w:pPr>
        <w:pStyle w:val="DefinedTerms"/>
      </w:pPr>
      <w:r>
        <w:t>director</w:t>
      </w:r>
      <w:r>
        <w:tab/>
        <w:t>3(1)</w:t>
      </w:r>
    </w:p>
    <w:p>
      <w:pPr>
        <w:pStyle w:val="DefinedTerms"/>
      </w:pPr>
      <w:r>
        <w:t>Director</w:t>
      </w:r>
      <w:r>
        <w:tab/>
        <w:t>3(1)</w:t>
      </w:r>
    </w:p>
    <w:p>
      <w:pPr>
        <w:pStyle w:val="DefinedTerms"/>
      </w:pPr>
      <w:r>
        <w:t>Director of Liquor Licensing</w:t>
      </w:r>
      <w:r>
        <w:tab/>
        <w:t>3(1)</w:t>
      </w:r>
    </w:p>
    <w:p>
      <w:pPr>
        <w:pStyle w:val="DefinedTerms"/>
      </w:pPr>
      <w:r>
        <w:t>disqualified</w:t>
      </w:r>
      <w:r>
        <w:tab/>
        <w:t>3(1)</w:t>
      </w:r>
    </w:p>
    <w:p>
      <w:pPr>
        <w:pStyle w:val="DefinedTerms"/>
      </w:pPr>
      <w:r>
        <w:t>drunk</w:t>
      </w:r>
      <w:r>
        <w:tab/>
        <w:t>3(1), 3A(1)</w:t>
      </w:r>
    </w:p>
    <w:p>
      <w:pPr>
        <w:pStyle w:val="DefinedTerms"/>
      </w:pPr>
      <w:r>
        <w:t>employed</w:t>
      </w:r>
      <w:r>
        <w:tab/>
        <w:t>152A</w:t>
      </w:r>
    </w:p>
    <w:p>
      <w:pPr>
        <w:pStyle w:val="DefinedTerms"/>
      </w:pPr>
      <w:r>
        <w:t>employee</w:t>
      </w:r>
      <w:r>
        <w:tab/>
        <w:t>3(7), 165(4)</w:t>
      </w:r>
    </w:p>
    <w:p>
      <w:pPr>
        <w:pStyle w:val="DefinedTerms"/>
      </w:pPr>
      <w:r>
        <w:t>Executive Director</w:t>
      </w:r>
      <w:r>
        <w:tab/>
        <w:t>69(8b)</w:t>
      </w:r>
    </w:p>
    <w:p>
      <w:pPr>
        <w:pStyle w:val="DefinedTerms"/>
      </w:pPr>
      <w:r>
        <w:t>extended trading permit</w:t>
      </w:r>
      <w:r>
        <w:tab/>
        <w:t>3(1)</w:t>
      </w:r>
    </w:p>
    <w:p>
      <w:pPr>
        <w:pStyle w:val="DefinedTerms"/>
      </w:pPr>
      <w:r>
        <w:t>former Act</w:t>
      </w:r>
      <w:r>
        <w:tab/>
        <w:t>Sch. 1A cl. 1</w:t>
      </w:r>
    </w:p>
    <w:p>
      <w:pPr>
        <w:pStyle w:val="DefinedTerms"/>
      </w:pPr>
      <w:r>
        <w:t>function</w:t>
      </w:r>
      <w:r>
        <w:tab/>
        <w:t>3(1)</w:t>
      </w:r>
    </w:p>
    <w:p>
      <w:pPr>
        <w:pStyle w:val="DefinedTerms"/>
      </w:pPr>
      <w:r>
        <w:t>Gaming and Wagering Commission</w:t>
      </w:r>
      <w:r>
        <w:tab/>
        <w:t>3(1)</w:t>
      </w:r>
    </w:p>
    <w:p>
      <w:pPr>
        <w:pStyle w:val="DefinedTerms"/>
      </w:pPr>
      <w:r>
        <w:t>gross turnover</w:t>
      </w:r>
      <w:r>
        <w:tab/>
        <w:t>3(1)</w:t>
      </w:r>
    </w:p>
    <w:p>
      <w:pPr>
        <w:pStyle w:val="DefinedTerms"/>
      </w:pPr>
      <w:r>
        <w:t>guest</w:t>
      </w:r>
      <w:r>
        <w:tab/>
        <w:t>3(1)</w:t>
      </w:r>
    </w:p>
    <w:p>
      <w:pPr>
        <w:pStyle w:val="DefinedTerms"/>
      </w:pPr>
      <w:r>
        <w:t>host club</w:t>
      </w:r>
      <w:r>
        <w:tab/>
        <w:t>48(5)</w:t>
      </w:r>
    </w:p>
    <w:p>
      <w:pPr>
        <w:pStyle w:val="DefinedTerms"/>
      </w:pPr>
      <w:r>
        <w:t>hotel licence</w:t>
      </w:r>
      <w:r>
        <w:tab/>
        <w:t>3(1)</w:t>
      </w:r>
    </w:p>
    <w:p>
      <w:pPr>
        <w:pStyle w:val="DefinedTerms"/>
      </w:pPr>
      <w:r>
        <w:t>hotel restricted licence</w:t>
      </w:r>
      <w:r>
        <w:tab/>
        <w:t>3(1)</w:t>
      </w:r>
    </w:p>
    <w:p>
      <w:pPr>
        <w:pStyle w:val="DefinedTerms"/>
      </w:pPr>
      <w:r>
        <w:t>identification notice</w:t>
      </w:r>
      <w:r>
        <w:tab/>
        <w:t>37B(1)</w:t>
      </w:r>
    </w:p>
    <w:p>
      <w:pPr>
        <w:pStyle w:val="DefinedTerms"/>
      </w:pPr>
      <w:r>
        <w:t>infringement notice</w:t>
      </w:r>
      <w:r>
        <w:tab/>
        <w:t>167(1)</w:t>
      </w:r>
    </w:p>
    <w:p>
      <w:pPr>
        <w:pStyle w:val="DefinedTerms"/>
      </w:pPr>
      <w:r>
        <w:t>inspector</w:t>
      </w:r>
      <w:r>
        <w:tab/>
        <w:t>3(1)</w:t>
      </w:r>
    </w:p>
    <w:p>
      <w:pPr>
        <w:pStyle w:val="DefinedTerms"/>
      </w:pPr>
      <w:r>
        <w:t>interest of the community</w:t>
      </w:r>
      <w:r>
        <w:tab/>
        <w:t>3(1)</w:t>
      </w:r>
    </w:p>
    <w:p>
      <w:pPr>
        <w:pStyle w:val="DefinedTerms"/>
      </w:pPr>
      <w:r>
        <w:t>juvenile</w:t>
      </w:r>
      <w:r>
        <w:tab/>
        <w:t>3(1)</w:t>
      </w:r>
    </w:p>
    <w:p>
      <w:pPr>
        <w:pStyle w:val="DefinedTerms"/>
      </w:pPr>
      <w:r>
        <w:t>kind</w:t>
      </w:r>
      <w:r>
        <w:tab/>
        <w:t>3(1)</w:t>
      </w:r>
    </w:p>
    <w:p>
      <w:pPr>
        <w:pStyle w:val="DefinedTerms"/>
      </w:pPr>
      <w:r>
        <w:t>lawyer</w:t>
      </w:r>
      <w:r>
        <w:tab/>
        <w:t>3(1)</w:t>
      </w:r>
    </w:p>
    <w:p>
      <w:pPr>
        <w:pStyle w:val="DefinedTerms"/>
      </w:pPr>
      <w:r>
        <w:t>League</w:t>
      </w:r>
      <w:r>
        <w:tab/>
        <w:t>Sch. 2 cl. 1</w:t>
      </w:r>
    </w:p>
    <w:p>
      <w:pPr>
        <w:pStyle w:val="DefinedTerms"/>
      </w:pPr>
      <w:r>
        <w:t>lease</w:t>
      </w:r>
      <w:r>
        <w:tab/>
        <w:t>3(1)</w:t>
      </w:r>
    </w:p>
    <w:p>
      <w:pPr>
        <w:pStyle w:val="DefinedTerms"/>
      </w:pPr>
      <w:r>
        <w:t>lessee</w:t>
      </w:r>
      <w:r>
        <w:tab/>
        <w:t>3(1)</w:t>
      </w:r>
    </w:p>
    <w:p>
      <w:pPr>
        <w:pStyle w:val="DefinedTerms"/>
      </w:pPr>
      <w:r>
        <w:t>lessor</w:t>
      </w:r>
      <w:r>
        <w:tab/>
        <w:t>3(1)</w:t>
      </w:r>
    </w:p>
    <w:p>
      <w:pPr>
        <w:pStyle w:val="DefinedTerms"/>
      </w:pPr>
      <w:r>
        <w:t>licence</w:t>
      </w:r>
      <w:r>
        <w:tab/>
        <w:t>3(1), Sch. 1 cl. 1(1)</w:t>
      </w:r>
    </w:p>
    <w:p>
      <w:pPr>
        <w:pStyle w:val="DefinedTerms"/>
      </w:pPr>
      <w:r>
        <w:t>licence fee</w:t>
      </w:r>
      <w:r>
        <w:tab/>
        <w:t>3(1)</w:t>
      </w:r>
    </w:p>
    <w:p>
      <w:pPr>
        <w:pStyle w:val="DefinedTerms"/>
      </w:pPr>
      <w:r>
        <w:t>licence period</w:t>
      </w:r>
      <w:r>
        <w:tab/>
        <w:t>3(1)</w:t>
      </w:r>
    </w:p>
    <w:p>
      <w:pPr>
        <w:pStyle w:val="DefinedTerms"/>
      </w:pPr>
      <w:r>
        <w:t>licensed premises</w:t>
      </w:r>
      <w:r>
        <w:tab/>
        <w:t>3(1), 153(3), 154(4), Sch. 1 cl. 1(1)</w:t>
      </w:r>
    </w:p>
    <w:p>
      <w:pPr>
        <w:pStyle w:val="DefinedTerms"/>
      </w:pPr>
      <w:r>
        <w:t>licensee</w:t>
      </w:r>
      <w:r>
        <w:tab/>
        <w:t>3(1), Sch. 1 cl. 1(1)</w:t>
      </w:r>
    </w:p>
    <w:p>
      <w:pPr>
        <w:pStyle w:val="DefinedTerms"/>
      </w:pPr>
      <w:r>
        <w:t>licensing authority</w:t>
      </w:r>
      <w:r>
        <w:tab/>
        <w:t>3(1)</w:t>
      </w:r>
    </w:p>
    <w:p>
      <w:pPr>
        <w:pStyle w:val="DefinedTerms"/>
      </w:pPr>
      <w:r>
        <w:t>liquor</w:t>
      </w:r>
      <w:r>
        <w:tab/>
        <w:t>3(1)</w:t>
      </w:r>
    </w:p>
    <w:p>
      <w:pPr>
        <w:pStyle w:val="DefinedTerms"/>
      </w:pPr>
      <w:r>
        <w:t>liquor accord</w:t>
      </w:r>
      <w:r>
        <w:tab/>
        <w:t>64(1b)</w:t>
      </w:r>
    </w:p>
    <w:p>
      <w:pPr>
        <w:pStyle w:val="DefinedTerms"/>
      </w:pPr>
      <w:r>
        <w:t>liquor merchant</w:t>
      </w:r>
      <w:r>
        <w:tab/>
        <w:t>3(1)</w:t>
      </w:r>
    </w:p>
    <w:p>
      <w:pPr>
        <w:pStyle w:val="DefinedTerms"/>
      </w:pPr>
      <w:r>
        <w:t>liquor restricted premises</w:t>
      </w:r>
      <w:r>
        <w:tab/>
        <w:t>152N</w:t>
      </w:r>
    </w:p>
    <w:p>
      <w:pPr>
        <w:pStyle w:val="DefinedTerms"/>
      </w:pPr>
      <w:r>
        <w:t>liquor restriction declaration</w:t>
      </w:r>
      <w:r>
        <w:tab/>
        <w:t>152N</w:t>
      </w:r>
    </w:p>
    <w:p>
      <w:pPr>
        <w:pStyle w:val="DefinedTerms"/>
      </w:pPr>
      <w:r>
        <w:t>liquor store licence</w:t>
      </w:r>
      <w:r>
        <w:tab/>
        <w:t>3(1)</w:t>
      </w:r>
    </w:p>
    <w:p>
      <w:pPr>
        <w:pStyle w:val="DefinedTerms"/>
      </w:pPr>
      <w:r>
        <w:t>lodger</w:t>
      </w:r>
      <w:r>
        <w:tab/>
        <w:t>3(1)</w:t>
      </w:r>
    </w:p>
    <w:p>
      <w:pPr>
        <w:pStyle w:val="DefinedTerms"/>
      </w:pPr>
      <w:r>
        <w:t>low alcohol liquor</w:t>
      </w:r>
      <w:r>
        <w:tab/>
        <w:t>3(1)</w:t>
      </w:r>
    </w:p>
    <w:p>
      <w:pPr>
        <w:pStyle w:val="DefinedTerms"/>
      </w:pPr>
      <w:r>
        <w:t>manager</w:t>
      </w:r>
      <w:r>
        <w:tab/>
        <w:t>3(1)</w:t>
      </w:r>
    </w:p>
    <w:p>
      <w:pPr>
        <w:pStyle w:val="DefinedTerms"/>
      </w:pPr>
      <w:r>
        <w:t>manager’s approval</w:t>
      </w:r>
      <w:r>
        <w:tab/>
        <w:t>102A</w:t>
      </w:r>
    </w:p>
    <w:p>
      <w:pPr>
        <w:pStyle w:val="DefinedTerms"/>
      </w:pPr>
      <w:r>
        <w:t>meal</w:t>
      </w:r>
      <w:r>
        <w:tab/>
        <w:t>3(1)</w:t>
      </w:r>
    </w:p>
    <w:p>
      <w:pPr>
        <w:pStyle w:val="DefinedTerms"/>
      </w:pPr>
      <w:r>
        <w:t>member</w:t>
      </w:r>
      <w:r>
        <w:tab/>
        <w:t>3(1), 3(1)</w:t>
      </w:r>
    </w:p>
    <w:p>
      <w:pPr>
        <w:pStyle w:val="DefinedTerms"/>
      </w:pPr>
      <w:r>
        <w:t>member of the family</w:t>
      </w:r>
      <w:r>
        <w:tab/>
        <w:t>125(3)</w:t>
      </w:r>
    </w:p>
    <w:p>
      <w:pPr>
        <w:pStyle w:val="DefinedTerms"/>
      </w:pPr>
      <w:r>
        <w:t>metropolitan area</w:t>
      </w:r>
      <w:r>
        <w:tab/>
        <w:t>3(1)</w:t>
      </w:r>
    </w:p>
    <w:p>
      <w:pPr>
        <w:pStyle w:val="DefinedTerms"/>
      </w:pPr>
      <w:r>
        <w:t>modified penalty</w:t>
      </w:r>
      <w:r>
        <w:tab/>
        <w:t>167(1)</w:t>
      </w:r>
    </w:p>
    <w:p>
      <w:pPr>
        <w:pStyle w:val="DefinedTerms"/>
      </w:pPr>
      <w:r>
        <w:t>new Act</w:t>
      </w:r>
      <w:r>
        <w:tab/>
        <w:t>Sch. 1A cl. 1</w:t>
      </w:r>
    </w:p>
    <w:p>
      <w:pPr>
        <w:pStyle w:val="DefinedTerms"/>
      </w:pPr>
      <w:r>
        <w:t>nightclub licence</w:t>
      </w:r>
      <w:r>
        <w:tab/>
        <w:t>3(1)</w:t>
      </w:r>
    </w:p>
    <w:p>
      <w:pPr>
        <w:pStyle w:val="DefinedTerms"/>
      </w:pPr>
      <w:r>
        <w:t>non</w:t>
      </w:r>
      <w:r>
        <w:noBreakHyphen/>
        <w:t>liquor business on licensed premises</w:t>
      </w:r>
      <w:r>
        <w:tab/>
        <w:t>119A(1)</w:t>
      </w:r>
    </w:p>
    <w:p>
      <w:pPr>
        <w:pStyle w:val="DefinedTerms"/>
      </w:pPr>
      <w:r>
        <w:t>notice</w:t>
      </w:r>
      <w:r>
        <w:tab/>
        <w:t>115AD(1)</w:t>
      </w:r>
    </w:p>
    <w:p>
      <w:pPr>
        <w:pStyle w:val="DefinedTerms"/>
      </w:pPr>
      <w:r>
        <w:t>occasional licence</w:t>
      </w:r>
      <w:r>
        <w:tab/>
        <w:t>3(1)</w:t>
      </w:r>
    </w:p>
    <w:p>
      <w:pPr>
        <w:pStyle w:val="DefinedTerms"/>
      </w:pPr>
      <w:r>
        <w:t>occupier</w:t>
      </w:r>
      <w:r>
        <w:tab/>
        <w:t>152N</w:t>
      </w:r>
    </w:p>
    <w:p>
      <w:pPr>
        <w:pStyle w:val="DefinedTerms"/>
      </w:pPr>
      <w:r>
        <w:t>officer</w:t>
      </w:r>
      <w:r>
        <w:tab/>
        <w:t>164(2)</w:t>
      </w:r>
    </w:p>
    <w:p>
      <w:pPr>
        <w:pStyle w:val="DefinedTerms"/>
      </w:pPr>
      <w:r>
        <w:t>old section 35B</w:t>
      </w:r>
      <w:r>
        <w:tab/>
        <w:t>Sch. 1B cl. 1</w:t>
      </w:r>
    </w:p>
    <w:p>
      <w:pPr>
        <w:pStyle w:val="DefinedTerms"/>
      </w:pPr>
      <w:r>
        <w:t>other licensee</w:t>
      </w:r>
      <w:r>
        <w:tab/>
        <w:t>55(1a), 58(2a)</w:t>
      </w:r>
    </w:p>
    <w:p>
      <w:pPr>
        <w:pStyle w:val="DefinedTerms"/>
      </w:pPr>
      <w:r>
        <w:t>owner</w:t>
      </w:r>
      <w:r>
        <w:tab/>
        <w:t>3(1)</w:t>
      </w:r>
    </w:p>
    <w:p>
      <w:pPr>
        <w:pStyle w:val="DefinedTerms"/>
      </w:pPr>
      <w:r>
        <w:t>packaged liquor</w:t>
      </w:r>
      <w:r>
        <w:tab/>
        <w:t>3(1)</w:t>
      </w:r>
    </w:p>
    <w:p>
      <w:pPr>
        <w:pStyle w:val="DefinedTerms"/>
      </w:pPr>
      <w:r>
        <w:t>packaged liquor outlet</w:t>
      </w:r>
      <w:r>
        <w:tab/>
        <w:t>36A(1)</w:t>
      </w:r>
    </w:p>
    <w:p>
      <w:pPr>
        <w:pStyle w:val="DefinedTerms"/>
      </w:pPr>
      <w:r>
        <w:t>party to proceedings</w:t>
      </w:r>
      <w:r>
        <w:tab/>
        <w:t>3(1)</w:t>
      </w:r>
    </w:p>
    <w:p>
      <w:pPr>
        <w:pStyle w:val="DefinedTerms"/>
      </w:pPr>
      <w:r>
        <w:t>permit</w:t>
      </w:r>
      <w:r>
        <w:tab/>
        <w:t>3(1), Sch. 1 cl. 1(1)</w:t>
      </w:r>
    </w:p>
    <w:p>
      <w:pPr>
        <w:pStyle w:val="DefinedTerms"/>
      </w:pPr>
      <w:r>
        <w:t>permitted hours</w:t>
      </w:r>
      <w:r>
        <w:tab/>
        <w:t>3(1)</w:t>
      </w:r>
    </w:p>
    <w:p>
      <w:pPr>
        <w:pStyle w:val="DefinedTerms"/>
      </w:pPr>
      <w:r>
        <w:t>person authorised to sell liquor</w:t>
      </w:r>
      <w:r>
        <w:tab/>
        <w:t>3(1)</w:t>
      </w:r>
    </w:p>
    <w:p>
      <w:pPr>
        <w:pStyle w:val="DefinedTerms"/>
      </w:pPr>
      <w:r>
        <w:t>petrol station</w:t>
      </w:r>
      <w:r>
        <w:tab/>
        <w:t>36A(1), 65A(1)</w:t>
      </w:r>
    </w:p>
    <w:p>
      <w:pPr>
        <w:pStyle w:val="DefinedTerms"/>
      </w:pPr>
      <w:r>
        <w:t>premises</w:t>
      </w:r>
      <w:r>
        <w:tab/>
        <w:t>3(1)</w:t>
      </w:r>
    </w:p>
    <w:p>
      <w:pPr>
        <w:pStyle w:val="DefinedTerms"/>
      </w:pPr>
      <w:r>
        <w:t>prescribed</w:t>
      </w:r>
      <w:r>
        <w:tab/>
        <w:t>3(1)</w:t>
      </w:r>
    </w:p>
    <w:p>
      <w:pPr>
        <w:pStyle w:val="DefinedTerms"/>
      </w:pPr>
      <w:r>
        <w:t>producer</w:t>
      </w:r>
      <w:r>
        <w:tab/>
        <w:t>129</w:t>
      </w:r>
    </w:p>
    <w:p>
      <w:pPr>
        <w:pStyle w:val="DefinedTerms"/>
      </w:pPr>
      <w:r>
        <w:t>producer’s licence</w:t>
      </w:r>
      <w:r>
        <w:tab/>
        <w:t>3(1)</w:t>
      </w:r>
    </w:p>
    <w:p>
      <w:pPr>
        <w:pStyle w:val="DefinedTerms"/>
      </w:pPr>
      <w:r>
        <w:t>prohibition order</w:t>
      </w:r>
      <w:r>
        <w:tab/>
        <w:t>152A</w:t>
      </w:r>
    </w:p>
    <w:p>
      <w:pPr>
        <w:pStyle w:val="DefinedTerms"/>
      </w:pPr>
      <w:r>
        <w:t>proprietary company</w:t>
      </w:r>
      <w:r>
        <w:tab/>
        <w:t>3(1)</w:t>
      </w:r>
    </w:p>
    <w:p>
      <w:pPr>
        <w:pStyle w:val="DefinedTerms"/>
      </w:pPr>
      <w:r>
        <w:t>protection order</w:t>
      </w:r>
      <w:r>
        <w:tab/>
        <w:t>3(1), 87(1)</w:t>
      </w:r>
    </w:p>
    <w:p>
      <w:pPr>
        <w:pStyle w:val="DefinedTerms"/>
      </w:pPr>
      <w:r>
        <w:t>public body</w:t>
      </w:r>
      <w:r>
        <w:tab/>
        <w:t>37(1A)</w:t>
      </w:r>
    </w:p>
    <w:p>
      <w:pPr>
        <w:pStyle w:val="DefinedTerms"/>
      </w:pPr>
      <w:r>
        <w:t>public event</w:t>
      </w:r>
      <w:r>
        <w:tab/>
        <w:t>110(4B)</w:t>
      </w:r>
    </w:p>
    <w:p>
      <w:pPr>
        <w:pStyle w:val="DefinedTerms"/>
      </w:pPr>
      <w:r>
        <w:t>reception</w:t>
      </w:r>
      <w:r>
        <w:tab/>
        <w:t>3(1)</w:t>
      </w:r>
    </w:p>
    <w:p>
      <w:pPr>
        <w:pStyle w:val="DefinedTerms"/>
      </w:pPr>
      <w:r>
        <w:t>reception area</w:t>
      </w:r>
      <w:r>
        <w:tab/>
        <w:t>3(1)</w:t>
      </w:r>
    </w:p>
    <w:p>
      <w:pPr>
        <w:pStyle w:val="DefinedTerms"/>
      </w:pPr>
      <w:r>
        <w:t>record</w:t>
      </w:r>
      <w:r>
        <w:tab/>
        <w:t>3(1)</w:t>
      </w:r>
    </w:p>
    <w:p>
      <w:pPr>
        <w:pStyle w:val="DefinedTerms"/>
      </w:pPr>
      <w:r>
        <w:t>regulated premises</w:t>
      </w:r>
      <w:r>
        <w:tab/>
        <w:t>3(1)</w:t>
      </w:r>
    </w:p>
    <w:p>
      <w:pPr>
        <w:pStyle w:val="DefinedTerms"/>
      </w:pPr>
      <w:r>
        <w:t>related body corporate</w:t>
      </w:r>
      <w:r>
        <w:tab/>
        <w:t>3(1)</w:t>
      </w:r>
    </w:p>
    <w:p>
      <w:pPr>
        <w:pStyle w:val="DefinedTerms"/>
      </w:pPr>
      <w:r>
        <w:t>relative</w:t>
      </w:r>
      <w:r>
        <w:tab/>
        <w:t>3(1)</w:t>
      </w:r>
    </w:p>
    <w:p>
      <w:pPr>
        <w:pStyle w:val="DefinedTerms"/>
      </w:pPr>
      <w:r>
        <w:t>relevant liquor</w:t>
      </w:r>
      <w:r>
        <w:tab/>
        <w:t>57(1)</w:t>
      </w:r>
    </w:p>
    <w:p>
      <w:pPr>
        <w:pStyle w:val="DefinedTerms"/>
      </w:pPr>
      <w:r>
        <w:t>relevant matters</w:t>
      </w:r>
      <w:r>
        <w:tab/>
        <w:t>69(8b)</w:t>
      </w:r>
    </w:p>
    <w:p>
      <w:pPr>
        <w:pStyle w:val="DefinedTerms"/>
      </w:pPr>
      <w:r>
        <w:t>relevant period</w:t>
      </w:r>
      <w:r>
        <w:tab/>
        <w:t>57(1), 93(1a)</w:t>
      </w:r>
    </w:p>
    <w:p>
      <w:pPr>
        <w:pStyle w:val="DefinedTerms"/>
      </w:pPr>
      <w:r>
        <w:t>relevant person</w:t>
      </w:r>
      <w:r>
        <w:tab/>
        <w:t>152A</w:t>
      </w:r>
    </w:p>
    <w:p>
      <w:pPr>
        <w:pStyle w:val="DefinedTerms"/>
      </w:pPr>
      <w:r>
        <w:t>removal</w:t>
      </w:r>
      <w:r>
        <w:tab/>
        <w:t>3(1)</w:t>
      </w:r>
    </w:p>
    <w:p>
      <w:pPr>
        <w:pStyle w:val="DefinedTerms"/>
      </w:pPr>
      <w:r>
        <w:t>repealed Act</w:t>
      </w:r>
      <w:r>
        <w:tab/>
        <w:t>Sch. 1 cl. 1(1)</w:t>
      </w:r>
    </w:p>
    <w:p>
      <w:pPr>
        <w:pStyle w:val="DefinedTerms"/>
      </w:pPr>
      <w:r>
        <w:t>responsible person</w:t>
      </w:r>
      <w:r>
        <w:tab/>
        <w:t>3(1)</w:t>
      </w:r>
    </w:p>
    <w:p>
      <w:pPr>
        <w:pStyle w:val="DefinedTerms"/>
      </w:pPr>
      <w:r>
        <w:t>restaurant</w:t>
      </w:r>
      <w:r>
        <w:tab/>
        <w:t>3(1)</w:t>
      </w:r>
    </w:p>
    <w:p>
      <w:pPr>
        <w:pStyle w:val="DefinedTerms"/>
      </w:pPr>
      <w:r>
        <w:t>restaurant licence</w:t>
      </w:r>
      <w:r>
        <w:tab/>
        <w:t>3(1)</w:t>
      </w:r>
    </w:p>
    <w:p>
      <w:pPr>
        <w:pStyle w:val="DefinedTerms"/>
      </w:pPr>
      <w:r>
        <w:t>sample</w:t>
      </w:r>
      <w:r>
        <w:tab/>
        <w:t>3(1)</w:t>
      </w:r>
    </w:p>
    <w:p>
      <w:pPr>
        <w:pStyle w:val="DefinedTerms"/>
      </w:pPr>
      <w:r>
        <w:t>Secretary</w:t>
      </w:r>
      <w:r>
        <w:tab/>
        <w:t>3(1)</w:t>
      </w:r>
    </w:p>
    <w:p>
      <w:pPr>
        <w:pStyle w:val="DefinedTerms"/>
      </w:pPr>
      <w:r>
        <w:t>secure webpage</w:t>
      </w:r>
      <w:r>
        <w:tab/>
        <w:t>115AC(1A)</w:t>
      </w:r>
    </w:p>
    <w:p>
      <w:pPr>
        <w:pStyle w:val="DefinedTerms"/>
      </w:pPr>
      <w:r>
        <w:t>sell</w:t>
      </w:r>
      <w:r>
        <w:tab/>
        <w:t>3(1)</w:t>
      </w:r>
    </w:p>
    <w:p>
      <w:pPr>
        <w:pStyle w:val="DefinedTerms"/>
      </w:pPr>
      <w:r>
        <w:t>seller</w:t>
      </w:r>
      <w:r>
        <w:tab/>
        <w:t>109(4A)</w:t>
      </w:r>
    </w:p>
    <w:p>
      <w:pPr>
        <w:pStyle w:val="DefinedTerms"/>
      </w:pPr>
      <w:r>
        <w:t>serious and organised crime</w:t>
      </w:r>
      <w:r>
        <w:tab/>
        <w:t>152A</w:t>
      </w:r>
    </w:p>
    <w:p>
      <w:pPr>
        <w:pStyle w:val="DefinedTerms"/>
      </w:pPr>
      <w:r>
        <w:t>ship</w:t>
      </w:r>
      <w:r>
        <w:tab/>
        <w:t>3(1)</w:t>
      </w:r>
    </w:p>
    <w:p>
      <w:pPr>
        <w:pStyle w:val="DefinedTerms"/>
      </w:pPr>
      <w:r>
        <w:t>small bar licence</w:t>
      </w:r>
      <w:r>
        <w:tab/>
        <w:t>3(1)</w:t>
      </w:r>
    </w:p>
    <w:p>
      <w:pPr>
        <w:pStyle w:val="DefinedTerms"/>
      </w:pPr>
      <w:r>
        <w:t>special event notice</w:t>
      </w:r>
      <w:r>
        <w:tab/>
        <w:t>126E(1)</w:t>
      </w:r>
    </w:p>
    <w:p>
      <w:pPr>
        <w:pStyle w:val="DefinedTerms"/>
      </w:pPr>
      <w:r>
        <w:t>special facility licence</w:t>
      </w:r>
      <w:r>
        <w:tab/>
        <w:t>3(1)</w:t>
      </w:r>
    </w:p>
    <w:p>
      <w:pPr>
        <w:pStyle w:val="DefinedTerms"/>
      </w:pPr>
      <w:r>
        <w:t>specified</w:t>
      </w:r>
      <w:r>
        <w:tab/>
        <w:t>31(8), 40(3), 53(2), 59(6), 60(9), 99(5), 115AA(1), 126E(1), 172(12)</w:t>
      </w:r>
    </w:p>
    <w:p>
      <w:pPr>
        <w:pStyle w:val="DefinedTerms"/>
      </w:pPr>
      <w:r>
        <w:t>spirits</w:t>
      </w:r>
      <w:r>
        <w:tab/>
        <w:t>3(1)</w:t>
      </w:r>
    </w:p>
    <w:p>
      <w:pPr>
        <w:pStyle w:val="DefinedTerms"/>
      </w:pPr>
      <w:r>
        <w:t>sports arena</w:t>
      </w:r>
      <w:r>
        <w:tab/>
        <w:t>110(4B)</w:t>
      </w:r>
    </w:p>
    <w:p>
      <w:pPr>
        <w:pStyle w:val="DefinedTerms"/>
      </w:pPr>
      <w:r>
        <w:t>State Branch Headquarters</w:t>
      </w:r>
      <w:r>
        <w:tab/>
        <w:t>Sch. 2 cl. 1</w:t>
      </w:r>
    </w:p>
    <w:p>
      <w:pPr>
        <w:pStyle w:val="DefinedTerms"/>
      </w:pPr>
      <w:r>
        <w:t>State Executive</w:t>
      </w:r>
      <w:r>
        <w:tab/>
        <w:t>Sch. 2 cl. 1</w:t>
      </w:r>
    </w:p>
    <w:p>
      <w:pPr>
        <w:pStyle w:val="DefinedTerms"/>
      </w:pPr>
      <w:r>
        <w:t>subsidy</w:t>
      </w:r>
      <w:r>
        <w:tab/>
        <w:t>3(1)</w:t>
      </w:r>
    </w:p>
    <w:p>
      <w:pPr>
        <w:pStyle w:val="DefinedTerms"/>
      </w:pPr>
      <w:r>
        <w:t>substance</w:t>
      </w:r>
      <w:r>
        <w:tab/>
        <w:t>3(1)</w:t>
      </w:r>
    </w:p>
    <w:p>
      <w:pPr>
        <w:pStyle w:val="DefinedTerms"/>
      </w:pPr>
      <w:r>
        <w:t>tavern licence</w:t>
      </w:r>
      <w:r>
        <w:tab/>
        <w:t>3(1)</w:t>
      </w:r>
    </w:p>
    <w:p>
      <w:pPr>
        <w:pStyle w:val="DefinedTerms"/>
      </w:pPr>
      <w:r>
        <w:t>tavern restricted licence</w:t>
      </w:r>
      <w:r>
        <w:tab/>
        <w:t>3(1)</w:t>
      </w:r>
    </w:p>
    <w:p>
      <w:pPr>
        <w:pStyle w:val="DefinedTerms"/>
      </w:pPr>
      <w:r>
        <w:t>the required day</w:t>
      </w:r>
      <w:r>
        <w:tab/>
        <w:t>62(4)</w:t>
      </w:r>
    </w:p>
    <w:p>
      <w:pPr>
        <w:pStyle w:val="DefinedTerms"/>
      </w:pPr>
      <w:r>
        <w:t>this Act</w:t>
      </w:r>
      <w:r>
        <w:tab/>
        <w:t>3(1)</w:t>
      </w:r>
    </w:p>
    <w:p>
      <w:pPr>
        <w:pStyle w:val="DefinedTerms"/>
      </w:pPr>
      <w:r>
        <w:t>townsite</w:t>
      </w:r>
      <w:r>
        <w:tab/>
        <w:t>3(1)</w:t>
      </w:r>
    </w:p>
    <w:p>
      <w:pPr>
        <w:pStyle w:val="DefinedTerms"/>
      </w:pPr>
      <w:r>
        <w:t>transitional regulations</w:t>
      </w:r>
      <w:r>
        <w:tab/>
        <w:t>Sch. 1A cl. 10(1)</w:t>
      </w:r>
    </w:p>
    <w:p>
      <w:pPr>
        <w:pStyle w:val="DefinedTerms"/>
      </w:pPr>
      <w:r>
        <w:t>transitioned approval</w:t>
      </w:r>
      <w:r>
        <w:tab/>
        <w:t>Sch. 1B cl. 3(1)</w:t>
      </w:r>
    </w:p>
    <w:p>
      <w:pPr>
        <w:pStyle w:val="DefinedTerms"/>
      </w:pPr>
      <w:r>
        <w:t>trustee</w:t>
      </w:r>
      <w:r>
        <w:tab/>
        <w:t>3(1)</w:t>
      </w:r>
    </w:p>
    <w:p>
      <w:pPr>
        <w:pStyle w:val="DefinedTerms"/>
      </w:pPr>
      <w:r>
        <w:t>vehicle</w:t>
      </w:r>
      <w:r>
        <w:tab/>
        <w:t>3(1)</w:t>
      </w:r>
    </w:p>
    <w:p>
      <w:pPr>
        <w:pStyle w:val="DefinedTerms"/>
      </w:pPr>
      <w:r>
        <w:t>wholesaler</w:t>
      </w:r>
      <w:r>
        <w:tab/>
        <w:t>129</w:t>
      </w:r>
    </w:p>
    <w:p>
      <w:pPr>
        <w:pStyle w:val="DefinedTerms"/>
      </w:pPr>
      <w:r>
        <w:t>wholesaler’s licence</w:t>
      </w:r>
      <w:r>
        <w:tab/>
        <w:t>3(1)</w:t>
      </w:r>
    </w:p>
    <w:p>
      <w:pPr>
        <w:pStyle w:val="DefinedTerms"/>
      </w:pPr>
      <w:r>
        <w:t>wine</w:t>
      </w:r>
      <w:r>
        <w:tab/>
        <w:t>3(1)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07-j0-01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07-j0-01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07-j0-01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323</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vAlign w:val="bottom"/>
        </w:tcPr>
        <w:p>
          <w:pPr>
            <w:pStyle w:val="Header"/>
            <w:spacing w:before="40"/>
            <w:jc w:val="right"/>
          </w:pPr>
          <w:r>
            <w:fldChar w:fldCharType="begin"/>
          </w:r>
          <w:r>
            <w:instrText xml:space="preserve"> styleref CharDivText </w:instrText>
          </w:r>
          <w:r>
            <w:fldChar w:fldCharType="end"/>
          </w:r>
        </w:p>
      </w:tc>
      <w:tc>
        <w:tcPr>
          <w:tcW w:w="1327" w:type="dxa"/>
          <w:vAlign w:val="bottom"/>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312" w:type="dxa"/>
          <w:gridSpan w:val="2"/>
          <w:vAlign w:val="bottom"/>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933" w:name="Schedule"/>
    <w:bookmarkEnd w:id="93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944" w:name="Compilation"/>
    <w:bookmarkEnd w:id="94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48" w:name="DefinedTerms"/>
    <w:bookmarkEnd w:id="94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49" w:name="Coversheet"/>
    <w:bookmarkEnd w:id="94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4F80AE8"/>
    <w:lvl w:ilvl="0">
      <w:start w:val="1"/>
      <w:numFmt w:val="decimal"/>
      <w:lvlText w:val="%1."/>
      <w:lvlJc w:val="left"/>
      <w:pPr>
        <w:tabs>
          <w:tab w:val="num" w:pos="1492"/>
        </w:tabs>
        <w:ind w:left="1492" w:hanging="360"/>
      </w:pPr>
    </w:lvl>
  </w:abstractNum>
  <w:abstractNum w:abstractNumId="1">
    <w:nsid w:val="FFFFFF7D"/>
    <w:multiLevelType w:val="singleLevel"/>
    <w:tmpl w:val="35E03BA0"/>
    <w:lvl w:ilvl="0">
      <w:start w:val="1"/>
      <w:numFmt w:val="decimal"/>
      <w:lvlText w:val="%1."/>
      <w:lvlJc w:val="left"/>
      <w:pPr>
        <w:tabs>
          <w:tab w:val="num" w:pos="1209"/>
        </w:tabs>
        <w:ind w:left="1209" w:hanging="360"/>
      </w:pPr>
    </w:lvl>
  </w:abstractNum>
  <w:abstractNum w:abstractNumId="2">
    <w:nsid w:val="FFFFFF7E"/>
    <w:multiLevelType w:val="singleLevel"/>
    <w:tmpl w:val="F228A5A4"/>
    <w:lvl w:ilvl="0">
      <w:start w:val="1"/>
      <w:numFmt w:val="decimal"/>
      <w:lvlText w:val="%1."/>
      <w:lvlJc w:val="left"/>
      <w:pPr>
        <w:tabs>
          <w:tab w:val="num" w:pos="926"/>
        </w:tabs>
        <w:ind w:left="926" w:hanging="360"/>
      </w:pPr>
    </w:lvl>
  </w:abstractNum>
  <w:abstractNum w:abstractNumId="3">
    <w:nsid w:val="FFFFFF7F"/>
    <w:multiLevelType w:val="singleLevel"/>
    <w:tmpl w:val="9C3887AA"/>
    <w:lvl w:ilvl="0">
      <w:start w:val="1"/>
      <w:numFmt w:val="decimal"/>
      <w:lvlText w:val="%1."/>
      <w:lvlJc w:val="left"/>
      <w:pPr>
        <w:tabs>
          <w:tab w:val="num" w:pos="643"/>
        </w:tabs>
        <w:ind w:left="643" w:hanging="360"/>
      </w:pPr>
    </w:lvl>
  </w:abstractNum>
  <w:abstractNum w:abstractNumId="4">
    <w:nsid w:val="FFFFFF80"/>
    <w:multiLevelType w:val="singleLevel"/>
    <w:tmpl w:val="ACC8277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2E43DB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69EAD0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6366A3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32C6770"/>
    <w:lvl w:ilvl="0">
      <w:start w:val="1"/>
      <w:numFmt w:val="decimal"/>
      <w:lvlText w:val="%1."/>
      <w:lvlJc w:val="left"/>
      <w:pPr>
        <w:tabs>
          <w:tab w:val="num" w:pos="360"/>
        </w:tabs>
        <w:ind w:left="360" w:hanging="360"/>
      </w:pPr>
    </w:lvl>
  </w:abstractNum>
  <w:abstractNum w:abstractNumId="9">
    <w:nsid w:val="FFFFFF89"/>
    <w:multiLevelType w:val="singleLevel"/>
    <w:tmpl w:val="B358A6D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EEE317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17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41415"/>
    <w:docVar w:name="WAFER_20140113142408" w:val="RemoveTocBookmarks,RemoveUnusedBookmarks,RemoveLanguageTags,UsedStyles,ResetPageSize,UpdateArrangement"/>
    <w:docVar w:name="WAFER_20140113142408_GUID" w:val="94e8cc16-e2c3-45a3-a9da-977f305186a8"/>
    <w:docVar w:name="WAFER_20140113142505" w:val="RemoveTocBookmarks,RunningHeaders"/>
    <w:docVar w:name="WAFER_20140113142505_GUID" w:val="f88904c7-3452-416b-a7e3-5d08f5d12b0d"/>
    <w:docVar w:name="WAFER_20150415152213" w:val="ResetPageSize,UpdateArrangement,UpdateNTable"/>
    <w:docVar w:name="WAFER_20150415152213_GUID" w:val="7dc09a28-28d0-4505-9ea1-93dda1892654"/>
    <w:docVar w:name="WAFER_20151105141415" w:val="UpdateStyles,UsedStyles"/>
    <w:docVar w:name="WAFER_20151105141415_GUID" w:val="8147e594-6aa5-48e3-87f5-08b2e8c8b5f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317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339</Pages>
  <Words>87663</Words>
  <Characters>412895</Characters>
  <Application>Microsoft Office Word</Application>
  <DocSecurity>0</DocSecurity>
  <Lines>10865</Lines>
  <Paragraphs>6030</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494528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1988 - 07-j0-01</dc:title>
  <dc:subject/>
  <dc:creator/>
  <cp:keywords/>
  <dc:description/>
  <cp:lastModifiedBy>svcMRProcess</cp:lastModifiedBy>
  <cp:revision>4</cp:revision>
  <cp:lastPrinted>2012-01-09T05:24:00Z</cp:lastPrinted>
  <dcterms:created xsi:type="dcterms:W3CDTF">2018-09-04T04:45:00Z</dcterms:created>
  <dcterms:modified xsi:type="dcterms:W3CDTF">2018-09-04T04:46:00Z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DocumentType">
    <vt:lpwstr>Act</vt:lpwstr>
  </property>
  <property fmtid="{D5CDD505-2E9C-101B-9397-08002B2CF9AE}" pid="4" name="OwlsUID">
    <vt:i4>461</vt:i4>
  </property>
  <property fmtid="{D5CDD505-2E9C-101B-9397-08002B2CF9AE}" pid="5" name="ThisVersion">
    <vt:lpwstr>06-m0-00</vt:lpwstr>
  </property>
  <property fmtid="{D5CDD505-2E9C-101B-9397-08002B2CF9AE}" pid="6" name="ReprintNo">
    <vt:lpwstr>7</vt:lpwstr>
  </property>
  <property fmtid="{D5CDD505-2E9C-101B-9397-08002B2CF9AE}" pid="7" name="ReprintedAsAt">
    <vt:filetime>2012-01-05T16:00:00Z</vt:filetime>
  </property>
  <property fmtid="{D5CDD505-2E9C-101B-9397-08002B2CF9AE}" pid="8" name="AsAtDate">
    <vt:lpwstr>01 Jul 2015</vt:lpwstr>
  </property>
  <property fmtid="{D5CDD505-2E9C-101B-9397-08002B2CF9AE}" pid="9" name="Suffix">
    <vt:lpwstr>07-j0-01</vt:lpwstr>
  </property>
  <property fmtid="{D5CDD505-2E9C-101B-9397-08002B2CF9AE}" pid="10" name="CommencementDate">
    <vt:lpwstr>20150701</vt:lpwstr>
  </property>
</Properties>
</file>