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_Toc424819464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_Toc424819465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 (s. 3)</w:t>
      </w:r>
      <w:r>
        <w:tab/>
      </w:r>
      <w:r>
        <w:fldChar w:fldCharType="begin"/>
      </w:r>
      <w:r>
        <w:instrText xml:space="preserve"> PAGEREF _Toc424819466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Australian legal practitioners</w:t>
      </w:r>
    </w:p>
    <w:p>
      <w:pPr>
        <w:pStyle w:val="TOC4"/>
        <w:tabs>
          <w:tab w:val="right" w:leader="dot" w:pos="7077"/>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_Toc424819469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of local practising certificate (s. 43(1)(b))</w:t>
      </w:r>
      <w:r>
        <w:tab/>
      </w:r>
      <w:r>
        <w:fldChar w:fldCharType="begin"/>
      </w:r>
      <w:r>
        <w:instrText xml:space="preserve"> PAGEREF _Toc424819470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_Toc424819471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_Toc424819472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_Toc424819473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Condition on local practising certificates: continuing professional development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_Toc424819476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practising certificates in force before 1 July 2015</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_Toc424819478 \h </w:instrText>
      </w:r>
      <w:r>
        <w:fldChar w:fldCharType="separate"/>
      </w:r>
      <w:r>
        <w:t>5</w:t>
      </w:r>
      <w:r>
        <w:fldChar w:fldCharType="end"/>
      </w:r>
    </w:p>
    <w:p>
      <w:pPr>
        <w:pStyle w:val="TOC8"/>
        <w:rPr>
          <w:rFonts w:asciiTheme="minorHAnsi" w:eastAsiaTheme="minorEastAsia" w:hAnsiTheme="minorHAnsi" w:cstheme="minorBidi"/>
          <w:szCs w:val="22"/>
        </w:rPr>
      </w:pPr>
      <w:r>
        <w:t>8.</w:t>
      </w:r>
      <w:r>
        <w:tab/>
        <w:t>Condition on practising certificates before 1 July 2015: practitioner must complete professional development</w:t>
      </w:r>
      <w:r>
        <w:tab/>
      </w:r>
      <w:r>
        <w:fldChar w:fldCharType="begin"/>
      </w:r>
      <w:r>
        <w:instrText xml:space="preserve"> PAGEREF _Toc424819479 \h </w:instrText>
      </w:r>
      <w:r>
        <w:fldChar w:fldCharType="separate"/>
      </w:r>
      <w:r>
        <w:t>6</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_Toc424819480 \h </w:instrText>
      </w:r>
      <w:r>
        <w:fldChar w:fldCharType="separate"/>
      </w:r>
      <w:r>
        <w:t>6</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_Toc424819481 \h </w:instrText>
      </w:r>
      <w:r>
        <w:fldChar w:fldCharType="separate"/>
      </w:r>
      <w:r>
        <w:t>7</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_Toc424819482 \h </w:instrText>
      </w:r>
      <w:r>
        <w:fldChar w:fldCharType="separate"/>
      </w:r>
      <w:r>
        <w:t>8</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_Toc424819483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practising certificates in force on or after 1 July 2015</w:t>
      </w:r>
    </w:p>
    <w:p>
      <w:pPr>
        <w:pStyle w:val="TOC8"/>
        <w:rPr>
          <w:rFonts w:asciiTheme="minorHAnsi" w:eastAsiaTheme="minorEastAsia" w:hAnsiTheme="minorHAnsi" w:cstheme="minorBidi"/>
          <w:szCs w:val="22"/>
        </w:rPr>
      </w:pPr>
      <w:r>
        <w:t>13A.</w:t>
      </w:r>
      <w:r>
        <w:tab/>
        <w:t>Terms used</w:t>
      </w:r>
      <w:r>
        <w:tab/>
      </w:r>
      <w:r>
        <w:fldChar w:fldCharType="begin"/>
      </w:r>
      <w:r>
        <w:instrText xml:space="preserve"> PAGEREF _Toc424819485 \h </w:instrText>
      </w:r>
      <w:r>
        <w:fldChar w:fldCharType="separate"/>
      </w:r>
      <w:r>
        <w:t>9</w:t>
      </w:r>
      <w:r>
        <w:fldChar w:fldCharType="end"/>
      </w:r>
    </w:p>
    <w:p>
      <w:pPr>
        <w:pStyle w:val="TOC8"/>
        <w:rPr>
          <w:rFonts w:asciiTheme="minorHAnsi" w:eastAsiaTheme="minorEastAsia" w:hAnsiTheme="minorHAnsi" w:cstheme="minorBidi"/>
          <w:szCs w:val="22"/>
        </w:rPr>
      </w:pPr>
      <w:r>
        <w:t>13B.</w:t>
      </w:r>
      <w:r>
        <w:tab/>
        <w:t>Condition on practising certificates on and after 1 July 2015: practitioner must complete professional development</w:t>
      </w:r>
      <w:r>
        <w:tab/>
      </w:r>
      <w:r>
        <w:fldChar w:fldCharType="begin"/>
      </w:r>
      <w:r>
        <w:instrText xml:space="preserve"> PAGEREF _Toc424819486 \h </w:instrText>
      </w:r>
      <w:r>
        <w:fldChar w:fldCharType="separate"/>
      </w:r>
      <w:r>
        <w:t>9</w:t>
      </w:r>
      <w:r>
        <w:fldChar w:fldCharType="end"/>
      </w:r>
    </w:p>
    <w:p>
      <w:pPr>
        <w:pStyle w:val="TOC8"/>
        <w:rPr>
          <w:rFonts w:asciiTheme="minorHAnsi" w:eastAsiaTheme="minorEastAsia" w:hAnsiTheme="minorHAnsi" w:cstheme="minorBidi"/>
          <w:szCs w:val="22"/>
        </w:rPr>
      </w:pPr>
      <w:r>
        <w:t>13C.</w:t>
      </w:r>
      <w:r>
        <w:tab/>
        <w:t>Earning CPD points</w:t>
      </w:r>
      <w:r>
        <w:tab/>
      </w:r>
      <w:r>
        <w:fldChar w:fldCharType="begin"/>
      </w:r>
      <w:r>
        <w:instrText xml:space="preserve"> PAGEREF _Toc424819487 \h </w:instrText>
      </w:r>
      <w:r>
        <w:fldChar w:fldCharType="separate"/>
      </w:r>
      <w:r>
        <w:t>11</w:t>
      </w:r>
      <w:r>
        <w:fldChar w:fldCharType="end"/>
      </w:r>
    </w:p>
    <w:p>
      <w:pPr>
        <w:pStyle w:val="TOC8"/>
        <w:rPr>
          <w:rFonts w:asciiTheme="minorHAnsi" w:eastAsiaTheme="minorEastAsia" w:hAnsiTheme="minorHAnsi" w:cstheme="minorBidi"/>
          <w:szCs w:val="22"/>
        </w:rPr>
      </w:pPr>
      <w:r>
        <w:t>13D.</w:t>
      </w:r>
      <w:r>
        <w:tab/>
        <w:t>Competency area requirements</w:t>
      </w:r>
      <w:r>
        <w:tab/>
      </w:r>
      <w:r>
        <w:fldChar w:fldCharType="begin"/>
      </w:r>
      <w:r>
        <w:instrText xml:space="preserve"> PAGEREF _Toc424819488 \h </w:instrText>
      </w:r>
      <w:r>
        <w:fldChar w:fldCharType="separate"/>
      </w:r>
      <w:r>
        <w:t>11</w:t>
      </w:r>
      <w:r>
        <w:fldChar w:fldCharType="end"/>
      </w:r>
    </w:p>
    <w:p>
      <w:pPr>
        <w:pStyle w:val="TOC8"/>
        <w:rPr>
          <w:rFonts w:asciiTheme="minorHAnsi" w:eastAsiaTheme="minorEastAsia" w:hAnsiTheme="minorHAnsi" w:cstheme="minorBidi"/>
          <w:szCs w:val="22"/>
        </w:rPr>
      </w:pPr>
      <w:r>
        <w:t>13E.</w:t>
      </w:r>
      <w:r>
        <w:tab/>
        <w:t>Requirements for interactive and publication CPD points</w:t>
      </w:r>
      <w:r>
        <w:tab/>
      </w:r>
      <w:r>
        <w:fldChar w:fldCharType="begin"/>
      </w:r>
      <w:r>
        <w:instrText xml:space="preserve"> PAGEREF _Toc424819489 \h </w:instrText>
      </w:r>
      <w:r>
        <w:fldChar w:fldCharType="separate"/>
      </w:r>
      <w:r>
        <w:t>12</w:t>
      </w:r>
      <w:r>
        <w:fldChar w:fldCharType="end"/>
      </w:r>
    </w:p>
    <w:p>
      <w:pPr>
        <w:pStyle w:val="TOC8"/>
        <w:rPr>
          <w:rFonts w:asciiTheme="minorHAnsi" w:eastAsiaTheme="minorEastAsia" w:hAnsiTheme="minorHAnsi" w:cstheme="minorBidi"/>
          <w:szCs w:val="22"/>
        </w:rPr>
      </w:pPr>
      <w:r>
        <w:t>13F.</w:t>
      </w:r>
      <w:r>
        <w:tab/>
        <w:t>CPD points for particular approved CPD activities</w:t>
      </w:r>
      <w:r>
        <w:tab/>
      </w:r>
      <w:r>
        <w:fldChar w:fldCharType="begin"/>
      </w:r>
      <w:r>
        <w:instrText xml:space="preserve"> PAGEREF _Toc424819490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 about continuing professional development</w:t>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_Toc424819492 \h </w:instrText>
      </w:r>
      <w:r>
        <w:fldChar w:fldCharType="separate"/>
      </w:r>
      <w:r>
        <w:t>14</w:t>
      </w:r>
      <w:r>
        <w:fldChar w:fldCharType="end"/>
      </w:r>
    </w:p>
    <w:p>
      <w:pPr>
        <w:pStyle w:val="TOC8"/>
        <w:rPr>
          <w:rFonts w:asciiTheme="minorHAnsi" w:eastAsiaTheme="minorEastAsia" w:hAnsiTheme="minorHAnsi" w:cstheme="minorBidi"/>
          <w:szCs w:val="22"/>
        </w:rPr>
      </w:pPr>
      <w:r>
        <w:t>14.</w:t>
      </w:r>
      <w:r>
        <w:tab/>
        <w:t>QA providers</w:t>
      </w:r>
      <w:r>
        <w:tab/>
      </w:r>
      <w:r>
        <w:fldChar w:fldCharType="begin"/>
      </w:r>
      <w:r>
        <w:instrText xml:space="preserve"> PAGEREF _Toc424819493 \h </w:instrText>
      </w:r>
      <w:r>
        <w:fldChar w:fldCharType="separate"/>
      </w:r>
      <w:r>
        <w:t>14</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_Toc424819494 \h </w:instrText>
      </w:r>
      <w:r>
        <w:fldChar w:fldCharType="separate"/>
      </w:r>
      <w:r>
        <w:t>15</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_Toc424819495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_Toc424819496 \h </w:instrText>
      </w:r>
      <w:r>
        <w:fldChar w:fldCharType="separate"/>
      </w:r>
      <w:r>
        <w:t>16</w:t>
      </w:r>
      <w:r>
        <w:fldChar w:fldCharType="end"/>
      </w:r>
    </w:p>
    <w:p>
      <w:pPr>
        <w:pStyle w:val="TOC8"/>
        <w:rPr>
          <w:rFonts w:asciiTheme="minorHAnsi" w:eastAsiaTheme="minorEastAsia" w:hAnsiTheme="minorHAnsi" w:cstheme="minorBidi"/>
          <w:szCs w:val="22"/>
        </w:rPr>
      </w:pPr>
      <w:r>
        <w:t>18.</w:t>
      </w:r>
      <w:r>
        <w:tab/>
        <w:t>Electronic activities to be reviewed yearly</w:t>
      </w:r>
      <w:r>
        <w:tab/>
      </w:r>
      <w:r>
        <w:fldChar w:fldCharType="begin"/>
      </w:r>
      <w:r>
        <w:instrText xml:space="preserve"> PAGEREF _Toc424819497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_Toc424819499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_Toc424819501 \h </w:instrText>
      </w:r>
      <w:r>
        <w:fldChar w:fldCharType="separate"/>
      </w:r>
      <w:r>
        <w:t>19</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_Toc424819502 \h </w:instrText>
      </w:r>
      <w:r>
        <w:fldChar w:fldCharType="separate"/>
      </w:r>
      <w:r>
        <w:t>19</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_Toc424819503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_Toc424819505 \h </w:instrText>
      </w:r>
      <w:r>
        <w:fldChar w:fldCharType="separate"/>
      </w:r>
      <w:r>
        <w:t>20</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_Toc424819506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_Toc424819508 \h </w:instrText>
      </w:r>
      <w:r>
        <w:fldChar w:fldCharType="separate"/>
      </w:r>
      <w:r>
        <w:t>23</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_Toc424819509 \h </w:instrText>
      </w:r>
      <w:r>
        <w:fldChar w:fldCharType="separate"/>
      </w:r>
      <w:r>
        <w:t>23</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_Toc424819510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Legal Practice Board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_Toc424819513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_Toc424819515 \h </w:instrText>
      </w:r>
      <w:r>
        <w:fldChar w:fldCharType="separate"/>
      </w:r>
      <w:r>
        <w:t>24</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_Toc424819516 \h </w:instrText>
      </w:r>
      <w:r>
        <w:fldChar w:fldCharType="separate"/>
      </w:r>
      <w:r>
        <w:t>24</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_Toc424819517 \h </w:instrText>
      </w:r>
      <w:r>
        <w:fldChar w:fldCharType="separate"/>
      </w:r>
      <w:r>
        <w:t>24</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_Toc424819518 \h </w:instrText>
      </w:r>
      <w:r>
        <w:fldChar w:fldCharType="separate"/>
      </w:r>
      <w:r>
        <w:t>25</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_Toc424819519 \h </w:instrText>
      </w:r>
      <w:r>
        <w:fldChar w:fldCharType="separate"/>
      </w:r>
      <w:r>
        <w:t>25</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_Toc424819520 \h </w:instrText>
      </w:r>
      <w:r>
        <w:fldChar w:fldCharType="separate"/>
      </w:r>
      <w:r>
        <w:t>25</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_Toc424819521 \h </w:instrText>
      </w:r>
      <w:r>
        <w:fldChar w:fldCharType="separate"/>
      </w:r>
      <w:r>
        <w:t>27</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_Toc424819522 \h </w:instrText>
      </w:r>
      <w:r>
        <w:fldChar w:fldCharType="separate"/>
      </w:r>
      <w:r>
        <w:t>27</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_Toc424819523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_Toc424819525 \h </w:instrText>
      </w:r>
      <w:r>
        <w:fldChar w:fldCharType="separate"/>
      </w:r>
      <w:r>
        <w:t>27</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_Toc424819526 \h </w:instrText>
      </w:r>
      <w:r>
        <w:fldChar w:fldCharType="separate"/>
      </w:r>
      <w:r>
        <w:t>27</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_Toc424819527 \h </w:instrText>
      </w:r>
      <w:r>
        <w:fldChar w:fldCharType="separate"/>
      </w:r>
      <w:r>
        <w:t>28</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_Toc424819528 \h </w:instrText>
      </w:r>
      <w:r>
        <w:fldChar w:fldCharType="separate"/>
      </w:r>
      <w:r>
        <w:t>28</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_Toc424819529 \h </w:instrText>
      </w:r>
      <w:r>
        <w:fldChar w:fldCharType="separate"/>
      </w:r>
      <w:r>
        <w:t>29</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_Toc424819530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_Toc424819532 \h </w:instrText>
      </w:r>
      <w:r>
        <w:fldChar w:fldCharType="separate"/>
      </w:r>
      <w:r>
        <w:t>29</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_Toc424819533 \h </w:instrText>
      </w:r>
      <w:r>
        <w:fldChar w:fldCharType="separate"/>
      </w:r>
      <w:r>
        <w:t>29</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_Toc424819534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Law Library at Supreme Court</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_Toc424819536 \h </w:instrText>
      </w:r>
      <w:r>
        <w:fldChar w:fldCharType="separate"/>
      </w:r>
      <w:r>
        <w:t>31</w:t>
      </w:r>
      <w:r>
        <w:fldChar w:fldCharType="end"/>
      </w:r>
    </w:p>
    <w:p>
      <w:pPr>
        <w:pStyle w:val="TOC8"/>
        <w:rPr>
          <w:rFonts w:asciiTheme="minorHAnsi" w:eastAsiaTheme="minorEastAsia" w:hAnsiTheme="minorHAnsi" w:cstheme="minorBidi"/>
          <w:szCs w:val="22"/>
        </w:rPr>
      </w:pPr>
      <w:r>
        <w:t>48.</w:t>
      </w:r>
      <w:r>
        <w:tab/>
        <w:t>People entitled to use the library</w:t>
      </w:r>
      <w:r>
        <w:tab/>
      </w:r>
      <w:r>
        <w:fldChar w:fldCharType="begin"/>
      </w:r>
      <w:r>
        <w:instrText xml:space="preserve"> PAGEREF _Toc424819537 \h </w:instrText>
      </w:r>
      <w:r>
        <w:fldChar w:fldCharType="separate"/>
      </w:r>
      <w:r>
        <w:t>31</w:t>
      </w:r>
      <w:r>
        <w:fldChar w:fldCharType="end"/>
      </w:r>
    </w:p>
    <w:p>
      <w:pPr>
        <w:pStyle w:val="TOC8"/>
        <w:rPr>
          <w:rFonts w:asciiTheme="minorHAnsi" w:eastAsiaTheme="minorEastAsia" w:hAnsiTheme="minorHAnsi" w:cstheme="minorBidi"/>
          <w:szCs w:val="22"/>
        </w:rPr>
      </w:pPr>
      <w:r>
        <w:t>49.</w:t>
      </w:r>
      <w:r>
        <w:tab/>
        <w:t>Librarian may suspend or restrict entitlement to use library</w:t>
      </w:r>
      <w:r>
        <w:tab/>
      </w:r>
      <w:r>
        <w:fldChar w:fldCharType="begin"/>
      </w:r>
      <w:r>
        <w:instrText xml:space="preserve"> PAGEREF _Toc424819538 \h </w:instrText>
      </w:r>
      <w:r>
        <w:fldChar w:fldCharType="separate"/>
      </w:r>
      <w:r>
        <w:t>32</w:t>
      </w:r>
      <w:r>
        <w:fldChar w:fldCharType="end"/>
      </w:r>
    </w:p>
    <w:p>
      <w:pPr>
        <w:pStyle w:val="TOC8"/>
        <w:rPr>
          <w:rFonts w:asciiTheme="minorHAnsi" w:eastAsiaTheme="minorEastAsia" w:hAnsiTheme="minorHAnsi" w:cstheme="minorBidi"/>
          <w:szCs w:val="22"/>
        </w:rPr>
      </w:pPr>
      <w:r>
        <w:t>50.</w:t>
      </w:r>
      <w:r>
        <w:tab/>
        <w:t>Board may suspend or restrict entitlement to use library</w:t>
      </w:r>
      <w:r>
        <w:tab/>
      </w:r>
      <w:r>
        <w:fldChar w:fldCharType="begin"/>
      </w:r>
      <w:r>
        <w:instrText xml:space="preserve"> PAGEREF _Toc424819539 \h </w:instrText>
      </w:r>
      <w:r>
        <w:fldChar w:fldCharType="separate"/>
      </w:r>
      <w:r>
        <w:t>33</w:t>
      </w:r>
      <w:r>
        <w:fldChar w:fldCharType="end"/>
      </w:r>
    </w:p>
    <w:p>
      <w:pPr>
        <w:pStyle w:val="TOC8"/>
        <w:rPr>
          <w:rFonts w:asciiTheme="minorHAnsi" w:eastAsiaTheme="minorEastAsia" w:hAnsiTheme="minorHAnsi" w:cstheme="minorBidi"/>
          <w:szCs w:val="22"/>
        </w:rPr>
      </w:pPr>
      <w:r>
        <w:t>51.</w:t>
      </w:r>
      <w:r>
        <w:tab/>
        <w:t>Use of the library and books</w:t>
      </w:r>
      <w:r>
        <w:tab/>
      </w:r>
      <w:r>
        <w:fldChar w:fldCharType="begin"/>
      </w:r>
      <w:r>
        <w:instrText xml:space="preserve"> PAGEREF _Toc424819540 \h </w:instrText>
      </w:r>
      <w:r>
        <w:fldChar w:fldCharType="separate"/>
      </w:r>
      <w:r>
        <w:t>33</w:t>
      </w:r>
      <w:r>
        <w:fldChar w:fldCharType="end"/>
      </w:r>
    </w:p>
    <w:p>
      <w:pPr>
        <w:pStyle w:val="TOC8"/>
        <w:rPr>
          <w:rFonts w:asciiTheme="minorHAnsi" w:eastAsiaTheme="minorEastAsia" w:hAnsiTheme="minorHAnsi" w:cstheme="minorBidi"/>
          <w:szCs w:val="22"/>
        </w:rPr>
      </w:pPr>
      <w:r>
        <w:t>52.</w:t>
      </w:r>
      <w:r>
        <w:tab/>
        <w:t>Borrowing books</w:t>
      </w:r>
      <w:r>
        <w:tab/>
      </w:r>
      <w:r>
        <w:fldChar w:fldCharType="begin"/>
      </w:r>
      <w:r>
        <w:instrText xml:space="preserve"> PAGEREF _Toc424819541 \h </w:instrText>
      </w:r>
      <w:r>
        <w:fldChar w:fldCharType="separate"/>
      </w:r>
      <w:r>
        <w:t>34</w:t>
      </w:r>
      <w:r>
        <w:fldChar w:fldCharType="end"/>
      </w:r>
    </w:p>
    <w:p>
      <w:pPr>
        <w:pStyle w:val="TOC8"/>
        <w:rPr>
          <w:rFonts w:asciiTheme="minorHAnsi" w:eastAsiaTheme="minorEastAsia" w:hAnsiTheme="minorHAnsi" w:cstheme="minorBidi"/>
          <w:szCs w:val="22"/>
        </w:rPr>
      </w:pPr>
      <w:r>
        <w:t>53.</w:t>
      </w:r>
      <w:r>
        <w:tab/>
        <w:t>Removal of unauthorised people and retrieval of books</w:t>
      </w:r>
      <w:r>
        <w:tab/>
      </w:r>
      <w:r>
        <w:fldChar w:fldCharType="begin"/>
      </w:r>
      <w:r>
        <w:instrText xml:space="preserve"> PAGEREF _Toc424819542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the Board</w:t>
      </w:r>
      <w:r>
        <w:tab/>
      </w:r>
      <w:r>
        <w:fldChar w:fldCharType="begin"/>
      </w:r>
      <w:r>
        <w:instrText xml:space="preserve"> PAGEREF _Toc424819544 \h </w:instrText>
      </w:r>
      <w:r>
        <w:fldChar w:fldCharType="separate"/>
      </w:r>
      <w:r>
        <w:t>36</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_Toc424819545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repealed</w:t>
      </w:r>
      <w:r>
        <w:tab/>
      </w:r>
      <w:r>
        <w:fldChar w:fldCharType="begin"/>
      </w:r>
      <w:r>
        <w:instrText xml:space="preserve"> PAGEREF _Toc424819546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_Toc424819548 \h </w:instrText>
      </w:r>
      <w:r>
        <w:fldChar w:fldCharType="separate"/>
      </w:r>
      <w:r>
        <w:t>37</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_Toc424819549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_Toc424819551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3" w:name="_Toc424811059"/>
      <w:bookmarkStart w:id="4" w:name="_Toc424819463"/>
      <w:r>
        <w:rPr>
          <w:rStyle w:val="CharPartNo"/>
        </w:rPr>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42481946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7" w:name="_Toc42481946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8" w:name="_Toc424819466"/>
      <w:r>
        <w:rPr>
          <w:rStyle w:val="CharSectno"/>
        </w:rPr>
        <w:t>3A</w:t>
      </w:r>
      <w:r>
        <w:t>.</w:t>
      </w:r>
      <w:r>
        <w:tab/>
        <w:t>Supervised legal practice (s. 3)</w:t>
      </w:r>
      <w:bookmarkEnd w:id="8"/>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in Gazette 17 Jul 2015 p. 2884.]</w:t>
      </w:r>
    </w:p>
    <w:p>
      <w:pPr>
        <w:pStyle w:val="Heading2"/>
      </w:pPr>
      <w:bookmarkStart w:id="9" w:name="_Toc424811063"/>
      <w:bookmarkStart w:id="10" w:name="_Toc424819467"/>
      <w:r>
        <w:rPr>
          <w:rStyle w:val="CharPartNo"/>
        </w:rPr>
        <w:t>Part 2</w:t>
      </w:r>
      <w:r>
        <w:t> — </w:t>
      </w:r>
      <w:r>
        <w:rPr>
          <w:rStyle w:val="CharPartText"/>
        </w:rPr>
        <w:t>Australian legal practitioners</w:t>
      </w:r>
      <w:bookmarkEnd w:id="9"/>
      <w:bookmarkEnd w:id="10"/>
    </w:p>
    <w:p>
      <w:pPr>
        <w:pStyle w:val="Heading3"/>
      </w:pPr>
      <w:bookmarkStart w:id="11" w:name="_Toc424811064"/>
      <w:bookmarkStart w:id="12" w:name="_Toc424819468"/>
      <w:r>
        <w:rPr>
          <w:rStyle w:val="CharDivNo"/>
        </w:rPr>
        <w:t>Division 1</w:t>
      </w:r>
      <w:r>
        <w:t> — </w:t>
      </w:r>
      <w:r>
        <w:rPr>
          <w:rStyle w:val="CharDivText"/>
        </w:rPr>
        <w:t>Grant or renewal of local practising certificates</w:t>
      </w:r>
      <w:bookmarkEnd w:id="11"/>
      <w:bookmarkEnd w:id="12"/>
    </w:p>
    <w:p>
      <w:pPr>
        <w:pStyle w:val="Heading5"/>
      </w:pPr>
      <w:bookmarkStart w:id="13" w:name="_Toc424819469"/>
      <w:r>
        <w:rPr>
          <w:rStyle w:val="CharSectno"/>
        </w:rPr>
        <w:t>3</w:t>
      </w:r>
      <w:r>
        <w:t>.</w:t>
      </w:r>
      <w:r>
        <w:tab/>
        <w:t>Application for grant or renewal of local practising certificate (s. 43(1))</w:t>
      </w:r>
      <w:bookmarkEnd w:id="13"/>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4" w:name="_Toc424819470"/>
      <w:r>
        <w:rPr>
          <w:rStyle w:val="CharSectno"/>
        </w:rPr>
        <w:t>4</w:t>
      </w:r>
      <w:r>
        <w:t>.</w:t>
      </w:r>
      <w:r>
        <w:tab/>
        <w:t>Fee for application for grant of local practising certificate (s. 43(1)(b))</w:t>
      </w:r>
      <w:bookmarkEnd w:id="14"/>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15" w:name="_Toc424819471"/>
      <w:r>
        <w:rPr>
          <w:rStyle w:val="CharSectno"/>
        </w:rPr>
        <w:t>5</w:t>
      </w:r>
      <w:r>
        <w:t>.</w:t>
      </w:r>
      <w:r>
        <w:tab/>
        <w:t>Timing of application for renewal of local practising certificate (s. 44)</w:t>
      </w:r>
      <w:bookmarkEnd w:id="15"/>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6" w:name="_Toc424819472"/>
      <w:r>
        <w:rPr>
          <w:rStyle w:val="CharSectno"/>
        </w:rPr>
        <w:t>6</w:t>
      </w:r>
      <w:r>
        <w:t>.</w:t>
      </w:r>
      <w:r>
        <w:tab/>
        <w:t>Notification of change of details</w:t>
      </w:r>
      <w:bookmarkEnd w:id="16"/>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7" w:name="_Toc424819473"/>
      <w:r>
        <w:rPr>
          <w:rStyle w:val="CharSectno"/>
        </w:rPr>
        <w:t>7A</w:t>
      </w:r>
      <w:r>
        <w:t>.</w:t>
      </w:r>
      <w:r>
        <w:tab/>
        <w:t>Contributions to Guarantee Fund (s. 337)</w:t>
      </w:r>
      <w:bookmarkEnd w:id="17"/>
    </w:p>
    <w:p>
      <w:pPr>
        <w:pStyle w:val="Subsection"/>
      </w:pPr>
      <w:r>
        <w:tab/>
      </w:r>
      <w:r>
        <w:tab/>
        <w:t>For the purposes of section 337 of the Act the prescribed amount is $20.</w:t>
      </w:r>
    </w:p>
    <w:p>
      <w:pPr>
        <w:pStyle w:val="Footnotesection"/>
      </w:pPr>
      <w:r>
        <w:tab/>
        <w:t>[Rule 3A inserted in Gazette 7 Apr 2009 p. 1136.]</w:t>
      </w:r>
    </w:p>
    <w:p>
      <w:pPr>
        <w:pStyle w:val="Heading3"/>
        <w:rPr>
          <w:rStyle w:val="CharDivText"/>
        </w:rPr>
      </w:pPr>
      <w:bookmarkStart w:id="18" w:name="_Toc424811070"/>
      <w:bookmarkStart w:id="19" w:name="_Toc424819474"/>
      <w:r>
        <w:rPr>
          <w:rStyle w:val="CharDivNo"/>
        </w:rPr>
        <w:t>Division 2</w:t>
      </w:r>
      <w:r>
        <w:t> — </w:t>
      </w:r>
      <w:r>
        <w:rPr>
          <w:rStyle w:val="CharDivText"/>
        </w:rPr>
        <w:t>Condition on local practising certificates: continuing professional development</w:t>
      </w:r>
      <w:bookmarkEnd w:id="18"/>
      <w:bookmarkEnd w:id="19"/>
    </w:p>
    <w:p>
      <w:pPr>
        <w:pStyle w:val="Heading4"/>
      </w:pPr>
      <w:bookmarkStart w:id="20" w:name="_Toc424811071"/>
      <w:bookmarkStart w:id="21" w:name="_Toc424819475"/>
      <w:r>
        <w:t>Subdivision 1 — Preliminary</w:t>
      </w:r>
      <w:bookmarkEnd w:id="20"/>
      <w:bookmarkEnd w:id="21"/>
    </w:p>
    <w:p>
      <w:pPr>
        <w:pStyle w:val="Footnoteheading"/>
      </w:pPr>
      <w:r>
        <w:tab/>
        <w:t>[Heading inserted in Gazette 20 Feb 2015 p. 681.]</w:t>
      </w:r>
    </w:p>
    <w:p>
      <w:pPr>
        <w:pStyle w:val="Heading5"/>
      </w:pPr>
      <w:bookmarkStart w:id="22" w:name="_Toc424819476"/>
      <w:r>
        <w:rPr>
          <w:rStyle w:val="CharSectno"/>
        </w:rPr>
        <w:t>7</w:t>
      </w:r>
      <w:r>
        <w:t>.</w:t>
      </w:r>
      <w:r>
        <w:tab/>
        <w:t>Terms used</w:t>
      </w:r>
      <w:bookmarkEnd w:id="22"/>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23" w:name="_Toc424811073"/>
      <w:bookmarkStart w:id="24" w:name="_Toc424819477"/>
      <w:r>
        <w:t>Subdivision 2 — Local practising certificates in force before 1 July 2015</w:t>
      </w:r>
      <w:bookmarkEnd w:id="23"/>
      <w:bookmarkEnd w:id="24"/>
    </w:p>
    <w:p>
      <w:pPr>
        <w:pStyle w:val="Footnoteheading"/>
      </w:pPr>
      <w:r>
        <w:tab/>
        <w:t>[Heading inserted in Gazette 20 Feb 2015 p. 681.]</w:t>
      </w:r>
    </w:p>
    <w:p>
      <w:pPr>
        <w:pStyle w:val="Heading5"/>
      </w:pPr>
      <w:bookmarkStart w:id="25" w:name="_Toc424819478"/>
      <w:r>
        <w:rPr>
          <w:rStyle w:val="CharSectno"/>
        </w:rPr>
        <w:t>8A</w:t>
      </w:r>
      <w:r>
        <w:t>.</w:t>
      </w:r>
      <w:r>
        <w:tab/>
        <w:t>Terms used</w:t>
      </w:r>
      <w:bookmarkEnd w:id="25"/>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26" w:name="_Toc424819479"/>
      <w:r>
        <w:rPr>
          <w:rStyle w:val="CharSectno"/>
        </w:rPr>
        <w:t>8</w:t>
      </w:r>
      <w:r>
        <w:t>.</w:t>
      </w:r>
      <w:r>
        <w:tab/>
        <w:t>Condition on practising certificates before 1 July 2015: practitioner must complete professional development</w:t>
      </w:r>
      <w:bookmarkEnd w:id="26"/>
    </w:p>
    <w:p>
      <w:pPr>
        <w:pStyle w:val="Subsection"/>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pPr>
      <w:r>
        <w:tab/>
        <w:t>[Rule 8 amended in Gazette 20 Feb 2015 p. 682.]</w:t>
      </w:r>
    </w:p>
    <w:p>
      <w:pPr>
        <w:pStyle w:val="Heading5"/>
      </w:pPr>
      <w:bookmarkStart w:id="27" w:name="_Toc424819480"/>
      <w:r>
        <w:rPr>
          <w:rStyle w:val="CharSectno"/>
        </w:rPr>
        <w:t>9</w:t>
      </w:r>
      <w:r>
        <w:t>.</w:t>
      </w:r>
      <w:r>
        <w:tab/>
        <w:t>Earning CPD points</w:t>
      </w:r>
      <w:bookmarkEnd w:id="27"/>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subrules (4) and (5A),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(5A)</w:t>
      </w:r>
      <w:r>
        <w:tab/>
        <w:t>Subrules (3) and (4) do not apply to points earned after 31 March 2015 and before 1 July 2015.</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r>
      <w:r>
        <w:tab/>
        <w:t>Subdivision 3 deals with earning CPD points after 31 March 2015.</w:t>
      </w:r>
    </w:p>
    <w:p>
      <w:pPr>
        <w:pStyle w:val="Footnotesection"/>
      </w:pPr>
      <w:r>
        <w:tab/>
        <w:t>[Rule 9 amended in Gazette 20 Feb 2015 p. 682.]</w:t>
      </w:r>
    </w:p>
    <w:p>
      <w:pPr>
        <w:pStyle w:val="Heading5"/>
      </w:pPr>
      <w:bookmarkStart w:id="28" w:name="_Toc424819481"/>
      <w:r>
        <w:rPr>
          <w:rStyle w:val="CharSectno"/>
        </w:rPr>
        <w:t>10</w:t>
      </w:r>
      <w:r>
        <w:t>.</w:t>
      </w:r>
      <w:r>
        <w:tab/>
        <w:t>Competency area requirements</w:t>
      </w:r>
      <w:bookmarkEnd w:id="28"/>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9" w:name="_Toc424819482"/>
      <w:r>
        <w:rPr>
          <w:rStyle w:val="CharSectno"/>
        </w:rPr>
        <w:t>11</w:t>
      </w:r>
      <w:r>
        <w:t>.</w:t>
      </w:r>
      <w:r>
        <w:tab/>
        <w:t>Interactive and publishing point requirements</w:t>
      </w:r>
      <w:bookmarkEnd w:id="29"/>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30" w:name="_Toc424819483"/>
      <w:r>
        <w:rPr>
          <w:rStyle w:val="CharSectno"/>
        </w:rPr>
        <w:t>12</w:t>
      </w:r>
      <w:r>
        <w:t>.</w:t>
      </w:r>
      <w:r>
        <w:tab/>
        <w:t>CPD points for an activity</w:t>
      </w:r>
      <w:bookmarkEnd w:id="30"/>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w:t>
      </w:r>
    </w:p>
    <w:p>
      <w:pPr>
        <w:pStyle w:val="Heading4"/>
      </w:pPr>
      <w:bookmarkStart w:id="31" w:name="_Toc424811080"/>
      <w:bookmarkStart w:id="32" w:name="_Toc424819484"/>
      <w:r>
        <w:t>Subdivision 3 — Local practising certificates in force on or after 1 July 2015</w:t>
      </w:r>
      <w:bookmarkEnd w:id="31"/>
      <w:bookmarkEnd w:id="32"/>
    </w:p>
    <w:p>
      <w:pPr>
        <w:pStyle w:val="Footnoteheading"/>
      </w:pPr>
      <w:r>
        <w:tab/>
        <w:t>[Heading inserted in Gazette 20 Feb 2015 p. 682.]</w:t>
      </w:r>
    </w:p>
    <w:p>
      <w:pPr>
        <w:pStyle w:val="Heading5"/>
      </w:pPr>
      <w:bookmarkStart w:id="33" w:name="_Toc424819485"/>
      <w:r>
        <w:rPr>
          <w:rStyle w:val="CharSectno"/>
        </w:rPr>
        <w:t>13A</w:t>
      </w:r>
      <w:r>
        <w:t>.</w:t>
      </w:r>
      <w:r>
        <w:tab/>
        <w:t>Terms used</w:t>
      </w:r>
      <w:bookmarkEnd w:id="33"/>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34" w:name="_Toc424819486"/>
      <w:r>
        <w:rPr>
          <w:rStyle w:val="CharSectno"/>
        </w:rPr>
        <w:t>13B</w:t>
      </w:r>
      <w:r>
        <w:t>.</w:t>
      </w:r>
      <w:r>
        <w:tab/>
        <w:t>Condition on practising certificates on and after 1 July 2015: practitioner must complete professional development</w:t>
      </w:r>
      <w:bookmarkEnd w:id="34"/>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zTablet"/>
              <w:rPr>
                <w:b/>
                <w:sz w:val="24"/>
                <w:szCs w:val="24"/>
              </w:rPr>
            </w:pPr>
            <w:r>
              <w:rPr>
                <w:b/>
                <w:sz w:val="24"/>
                <w:szCs w:val="24"/>
              </w:rPr>
              <w:t>Month in which local practising certificate granted</w:t>
            </w:r>
          </w:p>
        </w:tc>
        <w:tc>
          <w:tcPr>
            <w:tcW w:w="3034" w:type="dxa"/>
          </w:tcPr>
          <w:p>
            <w:pPr>
              <w:pStyle w:val="zTablet"/>
              <w:rPr>
                <w:b/>
                <w:sz w:val="24"/>
                <w:szCs w:val="24"/>
              </w:rPr>
            </w:pPr>
            <w:r>
              <w:rPr>
                <w:b/>
                <w:sz w:val="24"/>
                <w:szCs w:val="24"/>
              </w:rPr>
              <w:t>Number of CPD points to be earned in the CPD period</w:t>
            </w:r>
          </w:p>
        </w:tc>
      </w:tr>
      <w:tr>
        <w:tc>
          <w:tcPr>
            <w:tcW w:w="3033" w:type="dxa"/>
          </w:tcPr>
          <w:p>
            <w:pPr>
              <w:pStyle w:val="zTablet"/>
              <w:rPr>
                <w:sz w:val="24"/>
                <w:szCs w:val="24"/>
              </w:rPr>
            </w:pPr>
            <w:r>
              <w:rPr>
                <w:sz w:val="24"/>
                <w:szCs w:val="24"/>
              </w:rPr>
              <w:t>July</w:t>
            </w:r>
          </w:p>
        </w:tc>
        <w:tc>
          <w:tcPr>
            <w:tcW w:w="3034" w:type="dxa"/>
          </w:tcPr>
          <w:p>
            <w:pPr>
              <w:pStyle w:val="zTablet"/>
              <w:rPr>
                <w:sz w:val="24"/>
                <w:szCs w:val="24"/>
              </w:rPr>
            </w:pPr>
            <w:r>
              <w:rPr>
                <w:sz w:val="24"/>
                <w:szCs w:val="24"/>
              </w:rPr>
              <w:t>9</w:t>
            </w:r>
          </w:p>
        </w:tc>
      </w:tr>
      <w:tr>
        <w:tc>
          <w:tcPr>
            <w:tcW w:w="3033" w:type="dxa"/>
          </w:tcPr>
          <w:p>
            <w:pPr>
              <w:pStyle w:val="zTablet"/>
              <w:rPr>
                <w:sz w:val="24"/>
                <w:szCs w:val="24"/>
              </w:rPr>
            </w:pPr>
            <w:r>
              <w:rPr>
                <w:sz w:val="24"/>
                <w:szCs w:val="24"/>
              </w:rPr>
              <w:t>August</w:t>
            </w:r>
          </w:p>
        </w:tc>
        <w:tc>
          <w:tcPr>
            <w:tcW w:w="3034" w:type="dxa"/>
          </w:tcPr>
          <w:p>
            <w:pPr>
              <w:pStyle w:val="zTablet"/>
              <w:rPr>
                <w:sz w:val="24"/>
                <w:szCs w:val="24"/>
              </w:rPr>
            </w:pPr>
            <w:r>
              <w:rPr>
                <w:sz w:val="24"/>
                <w:szCs w:val="24"/>
              </w:rPr>
              <w:t>8</w:t>
            </w:r>
          </w:p>
        </w:tc>
      </w:tr>
      <w:tr>
        <w:tc>
          <w:tcPr>
            <w:tcW w:w="3033" w:type="dxa"/>
          </w:tcPr>
          <w:p>
            <w:pPr>
              <w:pStyle w:val="zTablet"/>
              <w:rPr>
                <w:sz w:val="24"/>
                <w:szCs w:val="24"/>
              </w:rPr>
            </w:pPr>
            <w:r>
              <w:rPr>
                <w:sz w:val="24"/>
                <w:szCs w:val="24"/>
              </w:rPr>
              <w:t>September</w:t>
            </w:r>
          </w:p>
        </w:tc>
        <w:tc>
          <w:tcPr>
            <w:tcW w:w="3034" w:type="dxa"/>
          </w:tcPr>
          <w:p>
            <w:pPr>
              <w:pStyle w:val="zTablet"/>
              <w:rPr>
                <w:sz w:val="24"/>
                <w:szCs w:val="24"/>
              </w:rPr>
            </w:pPr>
            <w:r>
              <w:rPr>
                <w:sz w:val="24"/>
                <w:szCs w:val="24"/>
              </w:rPr>
              <w:t>7</w:t>
            </w:r>
          </w:p>
        </w:tc>
      </w:tr>
      <w:tr>
        <w:tc>
          <w:tcPr>
            <w:tcW w:w="3033" w:type="dxa"/>
          </w:tcPr>
          <w:p>
            <w:pPr>
              <w:pStyle w:val="zTablet"/>
              <w:rPr>
                <w:sz w:val="24"/>
                <w:szCs w:val="24"/>
              </w:rPr>
            </w:pPr>
            <w:r>
              <w:rPr>
                <w:sz w:val="24"/>
                <w:szCs w:val="24"/>
              </w:rPr>
              <w:t>October</w:t>
            </w:r>
          </w:p>
        </w:tc>
        <w:tc>
          <w:tcPr>
            <w:tcW w:w="3034" w:type="dxa"/>
          </w:tcPr>
          <w:p>
            <w:pPr>
              <w:pStyle w:val="zTablet"/>
              <w:rPr>
                <w:sz w:val="24"/>
                <w:szCs w:val="24"/>
              </w:rPr>
            </w:pPr>
            <w:r>
              <w:rPr>
                <w:sz w:val="24"/>
                <w:szCs w:val="24"/>
              </w:rPr>
              <w:t>6</w:t>
            </w:r>
          </w:p>
        </w:tc>
      </w:tr>
      <w:tr>
        <w:tc>
          <w:tcPr>
            <w:tcW w:w="3033" w:type="dxa"/>
          </w:tcPr>
          <w:p>
            <w:pPr>
              <w:pStyle w:val="zTablet"/>
              <w:rPr>
                <w:sz w:val="24"/>
                <w:szCs w:val="24"/>
              </w:rPr>
            </w:pPr>
            <w:r>
              <w:rPr>
                <w:sz w:val="24"/>
                <w:szCs w:val="24"/>
              </w:rPr>
              <w:t>November</w:t>
            </w:r>
          </w:p>
        </w:tc>
        <w:tc>
          <w:tcPr>
            <w:tcW w:w="3034" w:type="dxa"/>
          </w:tcPr>
          <w:p>
            <w:pPr>
              <w:pStyle w:val="zTablet"/>
              <w:rPr>
                <w:sz w:val="24"/>
                <w:szCs w:val="24"/>
              </w:rPr>
            </w:pPr>
            <w:r>
              <w:rPr>
                <w:sz w:val="24"/>
                <w:szCs w:val="24"/>
              </w:rPr>
              <w:t>5</w:t>
            </w:r>
          </w:p>
        </w:tc>
      </w:tr>
      <w:tr>
        <w:tc>
          <w:tcPr>
            <w:tcW w:w="3033" w:type="dxa"/>
          </w:tcPr>
          <w:p>
            <w:pPr>
              <w:pStyle w:val="zTablet"/>
              <w:rPr>
                <w:sz w:val="24"/>
                <w:szCs w:val="24"/>
              </w:rPr>
            </w:pPr>
            <w:r>
              <w:rPr>
                <w:sz w:val="24"/>
                <w:szCs w:val="24"/>
              </w:rPr>
              <w:t>December</w:t>
            </w:r>
          </w:p>
        </w:tc>
        <w:tc>
          <w:tcPr>
            <w:tcW w:w="3034" w:type="dxa"/>
          </w:tcPr>
          <w:p>
            <w:pPr>
              <w:pStyle w:val="zTablet"/>
              <w:rPr>
                <w:sz w:val="24"/>
                <w:szCs w:val="24"/>
              </w:rPr>
            </w:pPr>
            <w:r>
              <w:rPr>
                <w:sz w:val="24"/>
                <w:szCs w:val="24"/>
              </w:rPr>
              <w:t>4</w:t>
            </w:r>
          </w:p>
        </w:tc>
      </w:tr>
      <w:tr>
        <w:tc>
          <w:tcPr>
            <w:tcW w:w="3033" w:type="dxa"/>
          </w:tcPr>
          <w:p>
            <w:pPr>
              <w:pStyle w:val="zTablet"/>
              <w:rPr>
                <w:sz w:val="24"/>
                <w:szCs w:val="24"/>
              </w:rPr>
            </w:pPr>
            <w:r>
              <w:rPr>
                <w:sz w:val="24"/>
                <w:szCs w:val="24"/>
              </w:rPr>
              <w:t>January</w:t>
            </w:r>
          </w:p>
        </w:tc>
        <w:tc>
          <w:tcPr>
            <w:tcW w:w="3034" w:type="dxa"/>
          </w:tcPr>
          <w:p>
            <w:pPr>
              <w:pStyle w:val="zTablet"/>
              <w:rPr>
                <w:sz w:val="24"/>
                <w:szCs w:val="24"/>
              </w:rPr>
            </w:pPr>
            <w:r>
              <w:rPr>
                <w:sz w:val="24"/>
                <w:szCs w:val="24"/>
              </w:rPr>
              <w:t>3</w:t>
            </w:r>
          </w:p>
        </w:tc>
      </w:tr>
      <w:tr>
        <w:tc>
          <w:tcPr>
            <w:tcW w:w="3033" w:type="dxa"/>
          </w:tcPr>
          <w:p>
            <w:pPr>
              <w:pStyle w:val="zTablet"/>
              <w:rPr>
                <w:sz w:val="24"/>
                <w:szCs w:val="24"/>
              </w:rPr>
            </w:pPr>
            <w:r>
              <w:rPr>
                <w:sz w:val="24"/>
                <w:szCs w:val="24"/>
              </w:rPr>
              <w:t>February</w:t>
            </w:r>
          </w:p>
        </w:tc>
        <w:tc>
          <w:tcPr>
            <w:tcW w:w="3034" w:type="dxa"/>
          </w:tcPr>
          <w:p>
            <w:pPr>
              <w:pStyle w:val="zTablet"/>
              <w:rPr>
                <w:sz w:val="24"/>
                <w:szCs w:val="24"/>
              </w:rPr>
            </w:pPr>
            <w:r>
              <w:rPr>
                <w:sz w:val="24"/>
                <w:szCs w:val="24"/>
              </w:rPr>
              <w:t>2</w:t>
            </w:r>
          </w:p>
        </w:tc>
      </w:tr>
      <w:tr>
        <w:tc>
          <w:tcPr>
            <w:tcW w:w="3033" w:type="dxa"/>
          </w:tcPr>
          <w:p>
            <w:pPr>
              <w:pStyle w:val="zTablet"/>
              <w:rPr>
                <w:sz w:val="24"/>
                <w:szCs w:val="24"/>
              </w:rPr>
            </w:pPr>
            <w:r>
              <w:rPr>
                <w:sz w:val="24"/>
                <w:szCs w:val="24"/>
              </w:rPr>
              <w:t>March</w:t>
            </w:r>
          </w:p>
        </w:tc>
        <w:tc>
          <w:tcPr>
            <w:tcW w:w="3034" w:type="dxa"/>
          </w:tcPr>
          <w:p>
            <w:pPr>
              <w:pStyle w:val="zTablet"/>
              <w:rPr>
                <w:sz w:val="24"/>
                <w:szCs w:val="24"/>
              </w:rPr>
            </w:pPr>
            <w:r>
              <w:rPr>
                <w:sz w:val="24"/>
                <w:szCs w:val="24"/>
              </w:rP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35" w:name="_Toc424819487"/>
      <w:r>
        <w:rPr>
          <w:rStyle w:val="CharSectno"/>
        </w:rPr>
        <w:t>13C</w:t>
      </w:r>
      <w:r>
        <w:t>.</w:t>
      </w:r>
      <w:r>
        <w:tab/>
        <w:t>Earning CPD points</w:t>
      </w:r>
      <w:bookmarkEnd w:id="35"/>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36" w:name="_Toc424819488"/>
      <w:r>
        <w:rPr>
          <w:rStyle w:val="CharSectno"/>
        </w:rPr>
        <w:t>13D</w:t>
      </w:r>
      <w:r>
        <w:t>.</w:t>
      </w:r>
      <w:r>
        <w:tab/>
        <w:t>Competency area requirements</w:t>
      </w:r>
      <w:bookmarkEnd w:id="36"/>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37" w:name="_Toc424819489"/>
      <w:r>
        <w:rPr>
          <w:rStyle w:val="CharSectno"/>
        </w:rPr>
        <w:t>13E</w:t>
      </w:r>
      <w:r>
        <w:t>.</w:t>
      </w:r>
      <w:r>
        <w:tab/>
        <w:t>Requirements for interactive and publication CPD points</w:t>
      </w:r>
      <w:bookmarkEnd w:id="37"/>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38" w:name="_Toc424819490"/>
      <w:r>
        <w:rPr>
          <w:rStyle w:val="CharSectno"/>
        </w:rPr>
        <w:t>13F</w:t>
      </w:r>
      <w:r>
        <w:t>.</w:t>
      </w:r>
      <w:r>
        <w:tab/>
        <w:t>CPD points for particular approved CPD activities</w:t>
      </w:r>
      <w:bookmarkEnd w:id="38"/>
    </w:p>
    <w:p>
      <w:pPr>
        <w:pStyle w:val="Subsection"/>
      </w:pPr>
      <w:r>
        <w:tab/>
        <w:t>(1)</w:t>
      </w:r>
      <w:r>
        <w:tab/>
        <w:t>The CPD points earned by completing an approved CPD activity are as set out in the Table.</w:t>
      </w:r>
    </w:p>
    <w:p>
      <w:pPr>
        <w:pStyle w:val="zTHeadingNAm"/>
        <w:ind w:left="851"/>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zTablet"/>
              <w:tabs>
                <w:tab w:val="left" w:pos="573"/>
              </w:tabs>
              <w:rPr>
                <w:b/>
              </w:rPr>
            </w:pPr>
            <w:r>
              <w:rPr>
                <w:b/>
              </w:rPr>
              <w:t>1.</w:t>
            </w:r>
            <w:r>
              <w:rPr>
                <w:b/>
              </w:rPr>
              <w:tab/>
              <w:t>Interactive activity</w:t>
            </w:r>
          </w:p>
        </w:tc>
      </w:tr>
      <w:tr>
        <w:tc>
          <w:tcPr>
            <w:tcW w:w="1815" w:type="dxa"/>
          </w:tcPr>
          <w:p>
            <w:pPr>
              <w:pStyle w:val="zTablet"/>
            </w:pPr>
            <w:r>
              <w:t>Participant</w:t>
            </w:r>
          </w:p>
        </w:tc>
        <w:tc>
          <w:tcPr>
            <w:tcW w:w="4252" w:type="dxa"/>
          </w:tcPr>
          <w:p>
            <w:pPr>
              <w:pStyle w:val="zTablet"/>
            </w:pPr>
            <w:r>
              <w:t>0.5 points for each complete 30 minutes</w:t>
            </w:r>
          </w:p>
        </w:tc>
      </w:tr>
      <w:tr>
        <w:tc>
          <w:tcPr>
            <w:tcW w:w="1815" w:type="dxa"/>
          </w:tcPr>
          <w:p>
            <w:pPr>
              <w:pStyle w:val="zTablet"/>
            </w:pPr>
            <w:r>
              <w:t>Presenter who prepared the material used in the activity</w:t>
            </w:r>
          </w:p>
        </w:tc>
        <w:tc>
          <w:tcPr>
            <w:tcW w:w="4252" w:type="dxa"/>
          </w:tcPr>
          <w:p>
            <w:pPr>
              <w:pStyle w:val="zTablet"/>
            </w:pPr>
            <w:r>
              <w:t>1.5 points for each complete 30 minutes</w:t>
            </w:r>
          </w:p>
        </w:tc>
      </w:tr>
      <w:tr>
        <w:tc>
          <w:tcPr>
            <w:tcW w:w="1815" w:type="dxa"/>
          </w:tcPr>
          <w:p>
            <w:pPr>
              <w:pStyle w:val="zTablet"/>
            </w:pPr>
            <w:r>
              <w:t>Presenter who presents material prepared by someone else</w:t>
            </w:r>
          </w:p>
        </w:tc>
        <w:tc>
          <w:tcPr>
            <w:tcW w:w="4252" w:type="dxa"/>
          </w:tcPr>
          <w:p>
            <w:pPr>
              <w:pStyle w:val="zTablet"/>
            </w:pPr>
            <w:r>
              <w:t>1 point for each complete 30 minutes</w:t>
            </w:r>
          </w:p>
        </w:tc>
      </w:tr>
      <w:tr>
        <w:tc>
          <w:tcPr>
            <w:tcW w:w="1815" w:type="dxa"/>
          </w:tcPr>
          <w:p>
            <w:pPr>
              <w:pStyle w:val="zTablet"/>
              <w:rPr>
                <w:i/>
              </w:rPr>
            </w:pPr>
            <w:r>
              <w:t>Commentator</w:t>
            </w:r>
          </w:p>
        </w:tc>
        <w:tc>
          <w:tcPr>
            <w:tcW w:w="4252" w:type="dxa"/>
          </w:tcPr>
          <w:p>
            <w:pPr>
              <w:pStyle w:val="zTablet"/>
            </w:pPr>
            <w:r>
              <w:t>1 point for each complete 30 minutes</w:t>
            </w:r>
          </w:p>
        </w:tc>
      </w:tr>
      <w:tr>
        <w:tc>
          <w:tcPr>
            <w:tcW w:w="1815" w:type="dxa"/>
          </w:tcPr>
          <w:p>
            <w:pPr>
              <w:pStyle w:val="zTablet"/>
            </w:pPr>
            <w:r>
              <w:t>Chair</w:t>
            </w:r>
          </w:p>
        </w:tc>
        <w:tc>
          <w:tcPr>
            <w:tcW w:w="4252" w:type="dxa"/>
          </w:tcPr>
          <w:p>
            <w:pPr>
              <w:pStyle w:val="zTablet"/>
            </w:pPr>
            <w:r>
              <w:t>0.5 points for each complete 30 minutes</w:t>
            </w:r>
          </w:p>
        </w:tc>
      </w:tr>
      <w:tr>
        <w:trPr>
          <w:cantSplit/>
        </w:trPr>
        <w:tc>
          <w:tcPr>
            <w:tcW w:w="6067" w:type="dxa"/>
            <w:gridSpan w:val="2"/>
            <w:shd w:val="clear" w:color="auto" w:fill="E0E0E0"/>
          </w:tcPr>
          <w:p>
            <w:pPr>
              <w:pStyle w:val="zTablet"/>
              <w:tabs>
                <w:tab w:val="left" w:pos="573"/>
              </w:tabs>
              <w:rPr>
                <w:b/>
              </w:rPr>
            </w:pPr>
            <w:r>
              <w:rPr>
                <w:b/>
              </w:rPr>
              <w:t>2.</w:t>
            </w:r>
            <w:r>
              <w:rPr>
                <w:b/>
              </w:rPr>
              <w:tab/>
              <w:t>Publication activity</w:t>
            </w:r>
          </w:p>
        </w:tc>
      </w:tr>
      <w:tr>
        <w:tc>
          <w:tcPr>
            <w:tcW w:w="1815" w:type="dxa"/>
          </w:tcPr>
          <w:p>
            <w:pPr>
              <w:pStyle w:val="zTablet"/>
            </w:pPr>
            <w:r>
              <w:t>All publication activities</w:t>
            </w:r>
          </w:p>
        </w:tc>
        <w:tc>
          <w:tcPr>
            <w:tcW w:w="4252" w:type="dxa"/>
          </w:tcPr>
          <w:p>
            <w:pPr>
              <w:pStyle w:val="zTablet"/>
            </w:pPr>
            <w:r>
              <w:t>0.5 points for each set of 500 words to a maximum of 5 points for a single article</w:t>
            </w:r>
          </w:p>
        </w:tc>
      </w:tr>
      <w:tr>
        <w:tc>
          <w:tcPr>
            <w:tcW w:w="1815" w:type="dxa"/>
          </w:tcPr>
          <w:p>
            <w:pPr>
              <w:pStyle w:val="zTablet"/>
            </w:pPr>
            <w:r>
              <w:t>As editor, as an alternative to the previous item</w:t>
            </w:r>
          </w:p>
        </w:tc>
        <w:tc>
          <w:tcPr>
            <w:tcW w:w="4252" w:type="dxa"/>
          </w:tcPr>
          <w:p>
            <w:pPr>
              <w:pStyle w:val="zTablet"/>
            </w:pPr>
            <w:r>
              <w:t>1 point for each edition to a maximum of 5 editions</w:t>
            </w:r>
          </w:p>
        </w:tc>
      </w:tr>
      <w:tr>
        <w:trPr>
          <w:cantSplit/>
        </w:trPr>
        <w:tc>
          <w:tcPr>
            <w:tcW w:w="6067" w:type="dxa"/>
            <w:gridSpan w:val="2"/>
            <w:shd w:val="clear" w:color="auto" w:fill="E0E0E0"/>
          </w:tcPr>
          <w:p>
            <w:pPr>
              <w:pStyle w:val="zTablet"/>
              <w:ind w:left="573" w:hanging="567"/>
              <w:rPr>
                <w:b/>
              </w:rPr>
            </w:pPr>
            <w:r>
              <w:rPr>
                <w:b/>
              </w:rPr>
              <w:t>3.</w:t>
            </w:r>
            <w:r>
              <w:rPr>
                <w:b/>
              </w:rPr>
              <w:tab/>
              <w:t>Electronic activity that is not an interactive activity or a publication activity</w:t>
            </w:r>
          </w:p>
        </w:tc>
      </w:tr>
      <w:tr>
        <w:tc>
          <w:tcPr>
            <w:tcW w:w="1815" w:type="dxa"/>
          </w:tcPr>
          <w:p>
            <w:pPr>
              <w:pStyle w:val="zTablet"/>
            </w:pPr>
            <w:r>
              <w:t>As participant</w:t>
            </w:r>
          </w:p>
        </w:tc>
        <w:tc>
          <w:tcPr>
            <w:tcW w:w="4252" w:type="dxa"/>
          </w:tcPr>
          <w:p>
            <w:pPr>
              <w:pStyle w:val="zTablet"/>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39" w:name="_Toc424811087"/>
      <w:bookmarkStart w:id="40" w:name="_Toc424819491"/>
      <w:r>
        <w:t>Subdivision 4 — Other matters about continuing professional development</w:t>
      </w:r>
      <w:bookmarkEnd w:id="39"/>
      <w:bookmarkEnd w:id="40"/>
    </w:p>
    <w:p>
      <w:pPr>
        <w:pStyle w:val="Footnoteheading"/>
      </w:pPr>
      <w:r>
        <w:tab/>
        <w:t>[Heading inserted in Gazette 20 Feb 2015 p. 686.]</w:t>
      </w:r>
    </w:p>
    <w:p>
      <w:pPr>
        <w:pStyle w:val="Heading5"/>
      </w:pPr>
      <w:bookmarkStart w:id="41" w:name="_Toc424819492"/>
      <w:r>
        <w:rPr>
          <w:rStyle w:val="CharSectno"/>
        </w:rPr>
        <w:t>13</w:t>
      </w:r>
      <w:r>
        <w:t>.</w:t>
      </w:r>
      <w:r>
        <w:tab/>
        <w:t>Points for repeated activities</w:t>
      </w:r>
      <w:bookmarkEnd w:id="41"/>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42" w:name="_Toc424819493"/>
      <w:r>
        <w:rPr>
          <w:rStyle w:val="CharSectno"/>
        </w:rPr>
        <w:t>14</w:t>
      </w:r>
      <w:r>
        <w:t>.</w:t>
      </w:r>
      <w:r>
        <w:tab/>
        <w:t>QA providers</w:t>
      </w:r>
      <w:bookmarkEnd w:id="42"/>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43" w:name="_Toc424819494"/>
      <w:r>
        <w:rPr>
          <w:rStyle w:val="CharSectno"/>
        </w:rPr>
        <w:t>15</w:t>
      </w:r>
      <w:r>
        <w:t>.</w:t>
      </w:r>
      <w:r>
        <w:tab/>
        <w:t>Approval of professional development activities</w:t>
      </w:r>
      <w:bookmarkEnd w:id="43"/>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44" w:name="_Toc424819495"/>
      <w:r>
        <w:rPr>
          <w:rStyle w:val="CharSectno"/>
        </w:rPr>
        <w:t>16</w:t>
      </w:r>
      <w:r>
        <w:t>.</w:t>
      </w:r>
      <w:r>
        <w:tab/>
        <w:t>Approvals generally</w:t>
      </w:r>
      <w:bookmarkEnd w:id="44"/>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45" w:name="_Toc424819496"/>
      <w:r>
        <w:rPr>
          <w:rStyle w:val="CharSectno"/>
        </w:rPr>
        <w:t>17</w:t>
      </w:r>
      <w:r>
        <w:t>.</w:t>
      </w:r>
      <w:r>
        <w:tab/>
        <w:t>Variations</w:t>
      </w:r>
      <w:bookmarkEnd w:id="45"/>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w:t>
      </w:r>
    </w:p>
    <w:p>
      <w:pPr>
        <w:pStyle w:val="Heading5"/>
      </w:pPr>
      <w:bookmarkStart w:id="46" w:name="_Toc424819497"/>
      <w:r>
        <w:rPr>
          <w:rStyle w:val="CharSectno"/>
        </w:rPr>
        <w:t>18</w:t>
      </w:r>
      <w:r>
        <w:t>.</w:t>
      </w:r>
      <w:r>
        <w:tab/>
        <w:t>Electronic activities to be reviewed yearly</w:t>
      </w:r>
      <w:bookmarkEnd w:id="46"/>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Heading3"/>
      </w:pPr>
      <w:bookmarkStart w:id="47" w:name="_Toc424811094"/>
      <w:bookmarkStart w:id="48" w:name="_Toc424819498"/>
      <w:r>
        <w:rPr>
          <w:rStyle w:val="CharDivNo"/>
        </w:rPr>
        <w:t>Division 3</w:t>
      </w:r>
      <w:r>
        <w:t> — </w:t>
      </w:r>
      <w:r>
        <w:rPr>
          <w:rStyle w:val="CharDivText"/>
        </w:rPr>
        <w:t>Other conditions on local practising certificates</w:t>
      </w:r>
      <w:bookmarkEnd w:id="47"/>
      <w:bookmarkEnd w:id="48"/>
    </w:p>
    <w:p>
      <w:pPr>
        <w:pStyle w:val="Heading5"/>
      </w:pPr>
      <w:bookmarkStart w:id="49" w:name="_Toc424819499"/>
      <w:r>
        <w:rPr>
          <w:rStyle w:val="CharSectno"/>
        </w:rPr>
        <w:t>19</w:t>
      </w:r>
      <w:r>
        <w:t>.</w:t>
      </w:r>
      <w:r>
        <w:tab/>
        <w:t>Restricted legal practice (s. 50)</w:t>
      </w:r>
      <w:bookmarkEnd w:id="49"/>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rPr>
          <w:rStyle w:val="CharSectno"/>
          <w:b/>
        </w:rPr>
      </w:pPr>
      <w:r>
        <w:tab/>
        <w:t>[Rule 19 inserted in Gazette 17 Jul 2015 p. 2884</w:t>
      </w:r>
      <w:r>
        <w:noBreakHyphen/>
        <w:t>6.]</w:t>
      </w:r>
    </w:p>
    <w:p>
      <w:pPr>
        <w:pStyle w:val="Heading3"/>
      </w:pPr>
      <w:bookmarkStart w:id="50" w:name="_Toc424811096"/>
      <w:bookmarkStart w:id="51" w:name="_Toc424819500"/>
      <w:r>
        <w:rPr>
          <w:rStyle w:val="CharDivNo"/>
        </w:rPr>
        <w:t>Division 4</w:t>
      </w:r>
      <w:r>
        <w:t> — </w:t>
      </w:r>
      <w:r>
        <w:rPr>
          <w:rStyle w:val="CharDivText"/>
        </w:rPr>
        <w:t>Local legal practitioner with articled clerk</w:t>
      </w:r>
      <w:bookmarkEnd w:id="50"/>
      <w:bookmarkEnd w:id="51"/>
    </w:p>
    <w:p>
      <w:pPr>
        <w:pStyle w:val="Heading5"/>
      </w:pPr>
      <w:bookmarkStart w:id="52" w:name="_Toc424819501"/>
      <w:r>
        <w:rPr>
          <w:rStyle w:val="CharSectno"/>
        </w:rPr>
        <w:t>20</w:t>
      </w:r>
      <w:r>
        <w:t>.</w:t>
      </w:r>
      <w:r>
        <w:tab/>
        <w:t>Terms used</w:t>
      </w:r>
      <w:bookmarkEnd w:id="52"/>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53" w:name="_Toc424819502"/>
      <w:r>
        <w:rPr>
          <w:rStyle w:val="CharSectno"/>
        </w:rPr>
        <w:t>21</w:t>
      </w:r>
      <w:r>
        <w:t>.</w:t>
      </w:r>
      <w:r>
        <w:tab/>
        <w:t>Supervision of articled clerks</w:t>
      </w:r>
      <w:bookmarkEnd w:id="53"/>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54" w:name="_Toc424819503"/>
      <w:r>
        <w:rPr>
          <w:rStyle w:val="CharSectno"/>
        </w:rPr>
        <w:t>22</w:t>
      </w:r>
      <w:r>
        <w:t>.</w:t>
      </w:r>
      <w:r>
        <w:tab/>
        <w:t>Conduct of principal for articled clerk</w:t>
      </w:r>
      <w:bookmarkEnd w:id="54"/>
    </w:p>
    <w:p>
      <w:pPr>
        <w:pStyle w:val="Subsection"/>
      </w:pPr>
      <w:r>
        <w:tab/>
      </w:r>
      <w:r>
        <w:tab/>
        <w:t>A local legal practitioner who is the principal for an articled clerk under articles of clerkship must comply with that deed.</w:t>
      </w:r>
    </w:p>
    <w:p>
      <w:pPr>
        <w:pStyle w:val="Heading3"/>
      </w:pPr>
      <w:bookmarkStart w:id="55" w:name="_Toc424811100"/>
      <w:bookmarkStart w:id="56" w:name="_Toc424819504"/>
      <w:r>
        <w:rPr>
          <w:rStyle w:val="CharDivNo"/>
        </w:rPr>
        <w:t>Division 5</w:t>
      </w:r>
      <w:r>
        <w:t> — </w:t>
      </w:r>
      <w:r>
        <w:rPr>
          <w:rStyle w:val="CharDivText"/>
        </w:rPr>
        <w:t>Interstate legal practitioners</w:t>
      </w:r>
      <w:bookmarkEnd w:id="55"/>
      <w:bookmarkEnd w:id="56"/>
    </w:p>
    <w:p>
      <w:pPr>
        <w:pStyle w:val="Heading5"/>
      </w:pPr>
      <w:bookmarkStart w:id="57" w:name="_Toc424819505"/>
      <w:r>
        <w:rPr>
          <w:rStyle w:val="CharSectno"/>
        </w:rPr>
        <w:t>23</w:t>
      </w:r>
      <w:r>
        <w:t>.</w:t>
      </w:r>
      <w:r>
        <w:tab/>
        <w:t>Notification requirements for interstate legal practitioners (s. 71)</w:t>
      </w:r>
      <w:bookmarkEnd w:id="57"/>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58" w:name="_Toc424819506"/>
      <w:r>
        <w:rPr>
          <w:rStyle w:val="CharSectno"/>
        </w:rPr>
        <w:t>24</w:t>
      </w:r>
      <w:r>
        <w:t>.</w:t>
      </w:r>
      <w:r>
        <w:tab/>
        <w:t>Restricted legal practice by interstate legal practitioner (s. 72)</w:t>
      </w:r>
      <w:bookmarkEnd w:id="58"/>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in Gazette 17 Jul 2015 p. 2886</w:t>
      </w:r>
      <w:r>
        <w:noBreakHyphen/>
        <w:t>7.]</w:t>
      </w:r>
    </w:p>
    <w:p>
      <w:pPr>
        <w:pStyle w:val="Heading2"/>
      </w:pPr>
      <w:bookmarkStart w:id="59" w:name="_Toc424811103"/>
      <w:bookmarkStart w:id="60" w:name="_Toc424819507"/>
      <w:r>
        <w:rPr>
          <w:rStyle w:val="CharPartNo"/>
        </w:rPr>
        <w:t>Part 3</w:t>
      </w:r>
      <w:r>
        <w:rPr>
          <w:rStyle w:val="CharDivNo"/>
        </w:rPr>
        <w:t> </w:t>
      </w:r>
      <w:r>
        <w:t>—</w:t>
      </w:r>
      <w:r>
        <w:rPr>
          <w:rStyle w:val="CharDivText"/>
        </w:rPr>
        <w:t> </w:t>
      </w:r>
      <w:r>
        <w:rPr>
          <w:rStyle w:val="CharPartText"/>
        </w:rPr>
        <w:t>Foreign lawyers</w:t>
      </w:r>
      <w:bookmarkEnd w:id="59"/>
      <w:bookmarkEnd w:id="60"/>
    </w:p>
    <w:p>
      <w:pPr>
        <w:pStyle w:val="Heading5"/>
      </w:pPr>
      <w:bookmarkStart w:id="61" w:name="_Toc424819508"/>
      <w:r>
        <w:rPr>
          <w:rStyle w:val="CharSectno"/>
        </w:rPr>
        <w:t>25</w:t>
      </w:r>
      <w:r>
        <w:t>.</w:t>
      </w:r>
      <w:r>
        <w:tab/>
        <w:t>Fee for application for grant or renewal of registration (s. 168)</w:t>
      </w:r>
      <w:bookmarkEnd w:id="61"/>
    </w:p>
    <w:p>
      <w:pPr>
        <w:pStyle w:val="Subsection"/>
      </w:pPr>
      <w:r>
        <w:tab/>
      </w:r>
      <w:r>
        <w:tab/>
        <w:t>The fee payable for an application for the grant or renewal of registration as a foreign lawyer is the relevant fee specified in Schedule 1.</w:t>
      </w:r>
    </w:p>
    <w:p>
      <w:pPr>
        <w:pStyle w:val="Heading5"/>
      </w:pPr>
      <w:bookmarkStart w:id="62" w:name="_Toc424819509"/>
      <w:r>
        <w:rPr>
          <w:rStyle w:val="CharSectno"/>
        </w:rPr>
        <w:t>26</w:t>
      </w:r>
      <w:r>
        <w:t>.</w:t>
      </w:r>
      <w:r>
        <w:tab/>
        <w:t>Conditions regarding notification of offence (s. 191)</w:t>
      </w:r>
      <w:bookmarkEnd w:id="62"/>
    </w:p>
    <w:p>
      <w:pPr>
        <w:pStyle w:val="Subsection"/>
      </w:pPr>
      <w:r>
        <w:tab/>
      </w:r>
      <w:r>
        <w:tab/>
        <w:t>A notice under section 191 of the Act must be in an approved form.</w:t>
      </w:r>
    </w:p>
    <w:p>
      <w:pPr>
        <w:pStyle w:val="Heading5"/>
      </w:pPr>
      <w:bookmarkStart w:id="63" w:name="_Toc424819510"/>
      <w:r>
        <w:rPr>
          <w:rStyle w:val="CharSectno"/>
        </w:rPr>
        <w:t>27</w:t>
      </w:r>
      <w:r>
        <w:t>.</w:t>
      </w:r>
      <w:r>
        <w:tab/>
        <w:t>Notification requirements for interstate</w:t>
      </w:r>
      <w:r>
        <w:noBreakHyphen/>
        <w:t>registered foreign lawyers (s. 196)</w:t>
      </w:r>
      <w:bookmarkEnd w:id="63"/>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64" w:name="_Toc424811107"/>
      <w:bookmarkStart w:id="65" w:name="_Toc424819511"/>
      <w:r>
        <w:rPr>
          <w:rStyle w:val="CharPartNo"/>
        </w:rPr>
        <w:t>Part 4</w:t>
      </w:r>
      <w:r>
        <w:t> — </w:t>
      </w:r>
      <w:r>
        <w:rPr>
          <w:rStyle w:val="CharPartText"/>
        </w:rPr>
        <w:t>Legal Practice Board</w:t>
      </w:r>
      <w:bookmarkEnd w:id="64"/>
      <w:bookmarkEnd w:id="65"/>
    </w:p>
    <w:p>
      <w:pPr>
        <w:pStyle w:val="Heading3"/>
      </w:pPr>
      <w:bookmarkStart w:id="66" w:name="_Toc424811108"/>
      <w:bookmarkStart w:id="67" w:name="_Toc424819512"/>
      <w:r>
        <w:rPr>
          <w:rStyle w:val="CharDivNo"/>
        </w:rPr>
        <w:t>Division 1</w:t>
      </w:r>
      <w:r>
        <w:t> — </w:t>
      </w:r>
      <w:r>
        <w:rPr>
          <w:rStyle w:val="CharDivText"/>
        </w:rPr>
        <w:t>Preliminary matters</w:t>
      </w:r>
      <w:bookmarkEnd w:id="66"/>
      <w:bookmarkEnd w:id="67"/>
    </w:p>
    <w:p>
      <w:pPr>
        <w:pStyle w:val="Heading5"/>
      </w:pPr>
      <w:bookmarkStart w:id="68" w:name="_Toc424819513"/>
      <w:r>
        <w:rPr>
          <w:rStyle w:val="CharSectno"/>
        </w:rPr>
        <w:t>28</w:t>
      </w:r>
      <w:r>
        <w:t>.</w:t>
      </w:r>
      <w:r>
        <w:tab/>
        <w:t>Term used: secretary</w:t>
      </w:r>
      <w:bookmarkEnd w:id="68"/>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69" w:name="_Toc424811110"/>
      <w:bookmarkStart w:id="70" w:name="_Toc424819514"/>
      <w:r>
        <w:rPr>
          <w:rStyle w:val="CharDivNo"/>
        </w:rPr>
        <w:t>Division 2</w:t>
      </w:r>
      <w:r>
        <w:t> — </w:t>
      </w:r>
      <w:r>
        <w:rPr>
          <w:rStyle w:val="CharDivText"/>
        </w:rPr>
        <w:t>Election of members of the Board</w:t>
      </w:r>
      <w:bookmarkEnd w:id="69"/>
      <w:bookmarkEnd w:id="70"/>
    </w:p>
    <w:p>
      <w:pPr>
        <w:pStyle w:val="Heading5"/>
      </w:pPr>
      <w:bookmarkStart w:id="71" w:name="_Toc424819515"/>
      <w:r>
        <w:rPr>
          <w:rStyle w:val="CharSectno"/>
        </w:rPr>
        <w:t>29</w:t>
      </w:r>
      <w:r>
        <w:t>.</w:t>
      </w:r>
      <w:r>
        <w:tab/>
        <w:t>Annual election date</w:t>
      </w:r>
      <w:bookmarkEnd w:id="71"/>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72" w:name="_Toc424819516"/>
      <w:r>
        <w:rPr>
          <w:rStyle w:val="CharSectno"/>
        </w:rPr>
        <w:t>30</w:t>
      </w:r>
      <w:r>
        <w:t>.</w:t>
      </w:r>
      <w:r>
        <w:tab/>
        <w:t>Returning officers</w:t>
      </w:r>
      <w:bookmarkEnd w:id="72"/>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73" w:name="_Toc424819517"/>
      <w:r>
        <w:rPr>
          <w:rStyle w:val="CharSectno"/>
        </w:rPr>
        <w:t>31</w:t>
      </w:r>
      <w:r>
        <w:t>.</w:t>
      </w:r>
      <w:r>
        <w:tab/>
        <w:t>Nomination of candidates</w:t>
      </w:r>
      <w:bookmarkEnd w:id="73"/>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74" w:name="_Toc424819518"/>
      <w:r>
        <w:rPr>
          <w:rStyle w:val="CharSectno"/>
        </w:rPr>
        <w:t>32</w:t>
      </w:r>
      <w:r>
        <w:t>.</w:t>
      </w:r>
      <w:r>
        <w:tab/>
        <w:t>Candidates elected when nominations equal vacancies</w:t>
      </w:r>
      <w:bookmarkEnd w:id="74"/>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75" w:name="_Toc424819519"/>
      <w:r>
        <w:rPr>
          <w:rStyle w:val="CharSectno"/>
        </w:rPr>
        <w:t>33</w:t>
      </w:r>
      <w:r>
        <w:t>.</w:t>
      </w:r>
      <w:r>
        <w:tab/>
        <w:t>Ballot papers</w:t>
      </w:r>
      <w:bookmarkEnd w:id="75"/>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76" w:name="_Toc424819520"/>
      <w:r>
        <w:rPr>
          <w:rStyle w:val="CharSectno"/>
        </w:rPr>
        <w:t>34</w:t>
      </w:r>
      <w:r>
        <w:t>.</w:t>
      </w:r>
      <w:r>
        <w:tab/>
        <w:t>Voting</w:t>
      </w:r>
      <w:bookmarkEnd w:id="76"/>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77" w:name="_Toc424819521"/>
      <w:r>
        <w:rPr>
          <w:rStyle w:val="CharSectno"/>
        </w:rPr>
        <w:t>35</w:t>
      </w:r>
      <w:r>
        <w:t>.</w:t>
      </w:r>
      <w:r>
        <w:tab/>
        <w:t>Commencement of term of office</w:t>
      </w:r>
      <w:bookmarkEnd w:id="77"/>
    </w:p>
    <w:p>
      <w:pPr>
        <w:pStyle w:val="Subsection"/>
      </w:pPr>
      <w:r>
        <w:tab/>
      </w:r>
      <w:r>
        <w:tab/>
        <w:t>A person elected under rule 32 or 34 takes office on the Thursday after the election date.</w:t>
      </w:r>
    </w:p>
    <w:p>
      <w:pPr>
        <w:pStyle w:val="Heading5"/>
      </w:pPr>
      <w:bookmarkStart w:id="78" w:name="_Toc424819522"/>
      <w:r>
        <w:rPr>
          <w:rStyle w:val="CharSectno"/>
        </w:rPr>
        <w:t>36</w:t>
      </w:r>
      <w:r>
        <w:t>.</w:t>
      </w:r>
      <w:r>
        <w:tab/>
        <w:t xml:space="preserve">Results to be published in </w:t>
      </w:r>
      <w:r>
        <w:rPr>
          <w:i/>
          <w:iCs/>
        </w:rPr>
        <w:t>Gazette</w:t>
      </w:r>
      <w:bookmarkEnd w:id="78"/>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79" w:name="_Toc424819523"/>
      <w:r>
        <w:rPr>
          <w:rStyle w:val="CharSectno"/>
        </w:rPr>
        <w:t>37</w:t>
      </w:r>
      <w:r>
        <w:t>.</w:t>
      </w:r>
      <w:r>
        <w:tab/>
        <w:t>Non-receipt of ballot papers</w:t>
      </w:r>
      <w:bookmarkEnd w:id="79"/>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80" w:name="_Toc424811120"/>
      <w:bookmarkStart w:id="81" w:name="_Toc424819524"/>
      <w:r>
        <w:rPr>
          <w:rStyle w:val="CharDivNo"/>
        </w:rPr>
        <w:t>Division 3</w:t>
      </w:r>
      <w:r>
        <w:t> — </w:t>
      </w:r>
      <w:r>
        <w:rPr>
          <w:rStyle w:val="CharDivText"/>
        </w:rPr>
        <w:t>Board meetings</w:t>
      </w:r>
      <w:bookmarkEnd w:id="80"/>
      <w:bookmarkEnd w:id="81"/>
    </w:p>
    <w:p>
      <w:pPr>
        <w:pStyle w:val="Heading5"/>
      </w:pPr>
      <w:bookmarkStart w:id="82" w:name="_Toc424819525"/>
      <w:r>
        <w:rPr>
          <w:rStyle w:val="CharSectno"/>
        </w:rPr>
        <w:t>38</w:t>
      </w:r>
      <w:r>
        <w:t>.</w:t>
      </w:r>
      <w:r>
        <w:tab/>
        <w:t>Board meetings</w:t>
      </w:r>
      <w:bookmarkEnd w:id="82"/>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83" w:name="_Toc424819526"/>
      <w:r>
        <w:rPr>
          <w:rStyle w:val="CharSectno"/>
        </w:rPr>
        <w:t>39</w:t>
      </w:r>
      <w:r>
        <w:t>.</w:t>
      </w:r>
      <w:r>
        <w:tab/>
        <w:t>Holding meetings remotely</w:t>
      </w:r>
      <w:bookmarkEnd w:id="83"/>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84" w:name="_Toc424819527"/>
      <w:r>
        <w:rPr>
          <w:rStyle w:val="CharSectno"/>
        </w:rPr>
        <w:t>40</w:t>
      </w:r>
      <w:r>
        <w:t>.</w:t>
      </w:r>
      <w:r>
        <w:tab/>
        <w:t>Urgent meetings</w:t>
      </w:r>
      <w:bookmarkEnd w:id="84"/>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85" w:name="_Toc424819528"/>
      <w:r>
        <w:rPr>
          <w:rStyle w:val="CharSectno"/>
        </w:rPr>
        <w:t>41</w:t>
      </w:r>
      <w:r>
        <w:t>.</w:t>
      </w:r>
      <w:r>
        <w:tab/>
        <w:t>Resolution without meeting</w:t>
      </w:r>
      <w:bookmarkEnd w:id="85"/>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86" w:name="_Toc424819529"/>
      <w:r>
        <w:rPr>
          <w:rStyle w:val="CharSectno"/>
        </w:rPr>
        <w:t>42</w:t>
      </w:r>
      <w:r>
        <w:t>.</w:t>
      </w:r>
      <w:r>
        <w:tab/>
        <w:t>Rescission or amendment</w:t>
      </w:r>
      <w:bookmarkEnd w:id="86"/>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87" w:name="_Toc424819530"/>
      <w:r>
        <w:rPr>
          <w:rStyle w:val="CharSectno"/>
        </w:rPr>
        <w:t>43</w:t>
      </w:r>
      <w:r>
        <w:t>.</w:t>
      </w:r>
      <w:r>
        <w:tab/>
        <w:t>Minutes</w:t>
      </w:r>
      <w:bookmarkEnd w:id="87"/>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88" w:name="_Toc424811127"/>
      <w:bookmarkStart w:id="89" w:name="_Toc424819531"/>
      <w:r>
        <w:rPr>
          <w:rStyle w:val="CharDivNo"/>
        </w:rPr>
        <w:t>Division 4</w:t>
      </w:r>
      <w:r>
        <w:t> — </w:t>
      </w:r>
      <w:r>
        <w:rPr>
          <w:rStyle w:val="CharDivText"/>
        </w:rPr>
        <w:t>Committees</w:t>
      </w:r>
      <w:bookmarkEnd w:id="88"/>
      <w:bookmarkEnd w:id="89"/>
    </w:p>
    <w:p>
      <w:pPr>
        <w:pStyle w:val="Heading5"/>
      </w:pPr>
      <w:bookmarkStart w:id="90" w:name="_Toc424819532"/>
      <w:r>
        <w:rPr>
          <w:rStyle w:val="CharSectno"/>
        </w:rPr>
        <w:t>44</w:t>
      </w:r>
      <w:r>
        <w:t>.</w:t>
      </w:r>
      <w:r>
        <w:tab/>
        <w:t>Convenor and deputy convenor</w:t>
      </w:r>
      <w:bookmarkEnd w:id="90"/>
    </w:p>
    <w:p>
      <w:pPr>
        <w:pStyle w:val="Subsection"/>
      </w:pPr>
      <w:r>
        <w:tab/>
        <w:t>(1)</w:t>
      </w:r>
      <w:r>
        <w:tab/>
        <w:t>The Board is to appoint a 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91" w:name="_Toc424819533"/>
      <w:r>
        <w:rPr>
          <w:rStyle w:val="CharSectno"/>
        </w:rPr>
        <w:t>45</w:t>
      </w:r>
      <w:r>
        <w:t>.</w:t>
      </w:r>
      <w:r>
        <w:tab/>
        <w:t>Committee meetings</w:t>
      </w:r>
      <w:bookmarkEnd w:id="91"/>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92" w:name="_Toc424819534"/>
      <w:r>
        <w:rPr>
          <w:rStyle w:val="CharSectno"/>
        </w:rPr>
        <w:t>46</w:t>
      </w:r>
      <w:r>
        <w:t>.</w:t>
      </w:r>
      <w:r>
        <w:tab/>
        <w:t>Application of applied provisions</w:t>
      </w:r>
      <w:bookmarkEnd w:id="92"/>
    </w:p>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p>
    <w:p>
      <w:pPr>
        <w:pStyle w:val="Heading2"/>
      </w:pPr>
      <w:bookmarkStart w:id="93" w:name="_Toc424811131"/>
      <w:bookmarkStart w:id="94" w:name="_Toc424819535"/>
      <w:r>
        <w:rPr>
          <w:rStyle w:val="CharPartNo"/>
        </w:rPr>
        <w:t>Part 5</w:t>
      </w:r>
      <w:r>
        <w:rPr>
          <w:rStyle w:val="CharDivNo"/>
        </w:rPr>
        <w:t> </w:t>
      </w:r>
      <w:r>
        <w:t>—</w:t>
      </w:r>
      <w:r>
        <w:rPr>
          <w:rStyle w:val="CharDivText"/>
        </w:rPr>
        <w:t> </w:t>
      </w:r>
      <w:r>
        <w:rPr>
          <w:rStyle w:val="CharPartText"/>
        </w:rPr>
        <w:t>Law Library at Supreme Court</w:t>
      </w:r>
      <w:bookmarkEnd w:id="93"/>
      <w:bookmarkEnd w:id="94"/>
    </w:p>
    <w:p>
      <w:pPr>
        <w:pStyle w:val="Heading5"/>
      </w:pPr>
      <w:bookmarkStart w:id="95" w:name="_Toc424819536"/>
      <w:r>
        <w:rPr>
          <w:rStyle w:val="CharSectno"/>
        </w:rPr>
        <w:t>47</w:t>
      </w:r>
      <w:r>
        <w:t>.</w:t>
      </w:r>
      <w:r>
        <w:tab/>
        <w:t>Terms used</w:t>
      </w:r>
      <w:bookmarkEnd w:id="95"/>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96" w:name="_Toc424819537"/>
      <w:r>
        <w:rPr>
          <w:rStyle w:val="CharSectno"/>
        </w:rPr>
        <w:t>48</w:t>
      </w:r>
      <w:r>
        <w:t>.</w:t>
      </w:r>
      <w:r>
        <w:tab/>
        <w:t>People entitled to use the library</w:t>
      </w:r>
      <w:bookmarkEnd w:id="96"/>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97" w:name="_Toc424819538"/>
      <w:r>
        <w:rPr>
          <w:rStyle w:val="CharSectno"/>
        </w:rPr>
        <w:t>49</w:t>
      </w:r>
      <w:r>
        <w:t>.</w:t>
      </w:r>
      <w:r>
        <w:tab/>
        <w:t>Librarian may suspend or restrict entitlement to use library</w:t>
      </w:r>
      <w:bookmarkEnd w:id="97"/>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98" w:name="_Toc424819539"/>
      <w:r>
        <w:rPr>
          <w:rStyle w:val="CharSectno"/>
        </w:rPr>
        <w:t>50</w:t>
      </w:r>
      <w:r>
        <w:t>.</w:t>
      </w:r>
      <w:r>
        <w:tab/>
        <w:t>Board may suspend or restrict entitlement to use library</w:t>
      </w:r>
      <w:bookmarkEnd w:id="98"/>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99" w:name="_Toc424819540"/>
      <w:r>
        <w:rPr>
          <w:rStyle w:val="CharSectno"/>
        </w:rPr>
        <w:t>51</w:t>
      </w:r>
      <w:r>
        <w:t>.</w:t>
      </w:r>
      <w:r>
        <w:tab/>
        <w:t>Use of the library and books</w:t>
      </w:r>
      <w:bookmarkEnd w:id="99"/>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100" w:name="_Toc424819541"/>
      <w:r>
        <w:rPr>
          <w:rStyle w:val="CharSectno"/>
        </w:rPr>
        <w:t>52</w:t>
      </w:r>
      <w:r>
        <w:t>.</w:t>
      </w:r>
      <w:r>
        <w:tab/>
        <w:t>Borrowing books</w:t>
      </w:r>
      <w:bookmarkEnd w:id="100"/>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101" w:name="_Toc424819542"/>
      <w:r>
        <w:rPr>
          <w:rStyle w:val="CharSectno"/>
        </w:rPr>
        <w:t>53</w:t>
      </w:r>
      <w:r>
        <w:t>.</w:t>
      </w:r>
      <w:r>
        <w:tab/>
        <w:t>Removal of unauthorised people and retrieval of books</w:t>
      </w:r>
      <w:bookmarkEnd w:id="101"/>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102" w:name="_Toc424811139"/>
      <w:bookmarkStart w:id="103" w:name="_Toc424819543"/>
      <w:r>
        <w:rPr>
          <w:rStyle w:val="CharPartNo"/>
        </w:rPr>
        <w:t>Part 6</w:t>
      </w:r>
      <w:r>
        <w:rPr>
          <w:rStyle w:val="CharDivNo"/>
        </w:rPr>
        <w:t> </w:t>
      </w:r>
      <w:r>
        <w:t>—</w:t>
      </w:r>
      <w:r>
        <w:rPr>
          <w:rStyle w:val="CharDivText"/>
        </w:rPr>
        <w:t> </w:t>
      </w:r>
      <w:r>
        <w:rPr>
          <w:rStyle w:val="CharPartText"/>
        </w:rPr>
        <w:t>General matters</w:t>
      </w:r>
      <w:bookmarkEnd w:id="102"/>
      <w:bookmarkEnd w:id="103"/>
    </w:p>
    <w:p>
      <w:pPr>
        <w:pStyle w:val="Heading5"/>
      </w:pPr>
      <w:bookmarkStart w:id="104" w:name="_Toc424819544"/>
      <w:r>
        <w:rPr>
          <w:rStyle w:val="CharSectno"/>
        </w:rPr>
        <w:t>54</w:t>
      </w:r>
      <w:r>
        <w:t>.</w:t>
      </w:r>
      <w:r>
        <w:tab/>
        <w:t>Documents given to or by the Board</w:t>
      </w:r>
      <w:bookmarkEnd w:id="104"/>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05" w:name="_Toc424819545"/>
      <w:r>
        <w:rPr>
          <w:rStyle w:val="CharSectno"/>
        </w:rPr>
        <w:t>55</w:t>
      </w:r>
      <w:r>
        <w:t>.</w:t>
      </w:r>
      <w:r>
        <w:tab/>
        <w:t>Board may excuse noncompliance</w:t>
      </w:r>
      <w:bookmarkEnd w:id="105"/>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06" w:name="_Toc424819546"/>
      <w:r>
        <w:rPr>
          <w:rStyle w:val="CharSectno"/>
        </w:rPr>
        <w:t>56</w:t>
      </w:r>
      <w:r>
        <w:rPr>
          <w:snapToGrid w:val="0"/>
        </w:rPr>
        <w:t>.</w:t>
      </w:r>
      <w:r>
        <w:rPr>
          <w:snapToGrid w:val="0"/>
        </w:rPr>
        <w:tab/>
        <w:t>Rules repealed</w:t>
      </w:r>
      <w:bookmarkEnd w:id="106"/>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7" w:name="_Toc424811143"/>
      <w:bookmarkStart w:id="108" w:name="_Toc424819547"/>
      <w:r>
        <w:rPr>
          <w:rStyle w:val="CharSchNo"/>
        </w:rPr>
        <w:t>Schedule 1</w:t>
      </w:r>
      <w:r>
        <w:rPr>
          <w:rStyle w:val="CharSDivNo"/>
        </w:rPr>
        <w:t> </w:t>
      </w:r>
      <w:r>
        <w:t>—</w:t>
      </w:r>
      <w:r>
        <w:rPr>
          <w:rStyle w:val="CharSDivText"/>
        </w:rPr>
        <w:t> </w:t>
      </w:r>
      <w:r>
        <w:rPr>
          <w:rStyle w:val="CharSchText"/>
        </w:rPr>
        <w:t>Fees</w:t>
      </w:r>
      <w:bookmarkEnd w:id="107"/>
      <w:bookmarkEnd w:id="108"/>
    </w:p>
    <w:p>
      <w:pPr>
        <w:pStyle w:val="yShoulderClause"/>
        <w:spacing w:after="60"/>
      </w:pPr>
      <w:r>
        <w:t>[r. 4 and 25]</w:t>
      </w:r>
    </w:p>
    <w:p>
      <w:pPr>
        <w:pStyle w:val="yHeading5"/>
      </w:pPr>
      <w:bookmarkStart w:id="109" w:name="_Toc424819548"/>
      <w:r>
        <w:rPr>
          <w:rStyle w:val="CharSClsNo"/>
        </w:rPr>
        <w:t>1</w:t>
      </w:r>
      <w:r>
        <w:t>.</w:t>
      </w:r>
      <w:r>
        <w:tab/>
        <w:t>Terms used</w:t>
      </w:r>
      <w:bookmarkEnd w:id="109"/>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110" w:name="_Toc424819549"/>
      <w:r>
        <w:rPr>
          <w:rStyle w:val="CharSClsNo"/>
        </w:rPr>
        <w:t>2</w:t>
      </w:r>
      <w:r>
        <w:t>.</w:t>
      </w:r>
      <w:r>
        <w:tab/>
        <w:t>Fees</w:t>
      </w:r>
      <w:bookmarkEnd w:id="110"/>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3969"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45%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50%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95% of 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3969"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1 June in the year in which the registration is due to expire </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2" w:name="_Toc424811146"/>
      <w:bookmarkStart w:id="113" w:name="_Toc424819550"/>
      <w:r>
        <w:t>Notes</w:t>
      </w:r>
      <w:bookmarkEnd w:id="112"/>
      <w:bookmarkEnd w:id="113"/>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114" w:name="_Toc424819551"/>
      <w:r>
        <w:t>Compilation table</w:t>
      </w:r>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Rules 2009</w:t>
            </w:r>
          </w:p>
        </w:tc>
        <w:tc>
          <w:tcPr>
            <w:tcW w:w="1276" w:type="dxa"/>
            <w:tcBorders>
              <w:bottom w:val="nil"/>
            </w:tcBorders>
          </w:tcPr>
          <w:p>
            <w:pPr>
              <w:pStyle w:val="nTable"/>
              <w:spacing w:after="40"/>
            </w:pPr>
            <w:r>
              <w:t>24 Feb 2009 p. 411</w:t>
            </w:r>
            <w:r>
              <w:noBreakHyphen/>
              <w:t>47</w:t>
            </w:r>
          </w:p>
        </w:tc>
        <w:tc>
          <w:tcPr>
            <w:tcW w:w="2693" w:type="dxa"/>
            <w:tcBorders>
              <w:bottom w:val="nil"/>
            </w:tcBorders>
          </w:tcPr>
          <w:p>
            <w:pPr>
              <w:pStyle w:val="nTable"/>
              <w:spacing w:after="40"/>
            </w:pPr>
            <w:r>
              <w:rPr>
                <w:snapToGrid w:val="0"/>
                <w:spacing w:val="-2"/>
              </w:rPr>
              <w:t>r. 1 and 2: 24 Feb 2009 (see r. 2(a));</w:t>
            </w:r>
            <w:r>
              <w:rPr>
                <w:snapToGrid w:val="0"/>
                <w:spacing w:val="-2"/>
              </w:rPr>
              <w:br/>
              <w:t xml:space="preserve">Rules other than r. 1 and 2: 1 Mar 2009 (see r. 2(b) and </w:t>
            </w:r>
            <w:r>
              <w:rPr>
                <w:i/>
                <w:iCs/>
                <w:snapToGrid w:val="0"/>
                <w:spacing w:val="-2"/>
              </w:rPr>
              <w:t>Gazette</w:t>
            </w:r>
            <w:r>
              <w:rPr>
                <w:snapToGrid w:val="0"/>
                <w:spacing w:val="-2"/>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3" w:type="dxa"/>
            <w:tcBorders>
              <w:top w:val="nil"/>
              <w:bottom w:val="nil"/>
            </w:tcBorders>
          </w:tcPr>
          <w:p>
            <w:pPr>
              <w:pStyle w:val="nTable"/>
              <w:spacing w:after="40"/>
              <w:rPr>
                <w:snapToGrid w:val="0"/>
                <w:spacing w:val="-2"/>
              </w:rPr>
            </w:pPr>
            <w:r>
              <w:rPr>
                <w:snapToGrid w:val="0"/>
                <w:spacing w:val="-2"/>
              </w:rPr>
              <w:t>r. 1 and 2: 7 Apr 2009 (see r. 2(a));</w:t>
            </w:r>
            <w:r>
              <w:rPr>
                <w:snapToGrid w:val="0"/>
                <w:spacing w:val="-2"/>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3" w:type="dxa"/>
            <w:tcBorders>
              <w:top w:val="nil"/>
              <w:bottom w:val="nil"/>
            </w:tcBorders>
          </w:tcPr>
          <w:p>
            <w:pPr>
              <w:pStyle w:val="nTable"/>
              <w:spacing w:after="40"/>
              <w:rPr>
                <w:snapToGrid w:val="0"/>
                <w:spacing w:val="-2"/>
              </w:rPr>
            </w:pPr>
            <w:r>
              <w:rPr>
                <w:snapToGrid w:val="0"/>
                <w:spacing w:val="-2"/>
              </w:rPr>
              <w:t>r. 1 and 2: 26 Oct 2010 (see r. 2(a));</w:t>
            </w:r>
            <w:r>
              <w:rPr>
                <w:snapToGrid w:val="0"/>
                <w:spacing w:val="-2"/>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3" w:type="dxa"/>
            <w:tcBorders>
              <w:top w:val="nil"/>
              <w:bottom w:val="nil"/>
            </w:tcBorders>
          </w:tcPr>
          <w:p>
            <w:pPr>
              <w:pStyle w:val="nTable"/>
              <w:spacing w:after="40"/>
              <w:rPr>
                <w:snapToGrid w:val="0"/>
                <w:spacing w:val="-2"/>
              </w:rPr>
            </w:pPr>
            <w:r>
              <w:rPr>
                <w:snapToGrid w:val="0"/>
                <w:spacing w:val="-2"/>
              </w:rPr>
              <w:t>r. 1 and 2: 12 Apr 2011 (see r. 2(a));</w:t>
            </w:r>
            <w:r>
              <w:rPr>
                <w:snapToGrid w:val="0"/>
                <w:spacing w:val="-2"/>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12 Dec 2014 (see r. 2(a));</w:t>
            </w:r>
            <w:r>
              <w:rPr>
                <w:rFonts w:ascii="Times" w:hAnsi="Times"/>
                <w:bCs/>
                <w:snapToGrid w:val="0"/>
                <w:spacing w:val="-2"/>
              </w:rPr>
              <w:br/>
              <w:t>Rules other than r. 1 and 2: 13 Dec 2014 (see r. 2(b))</w:t>
            </w:r>
          </w:p>
        </w:tc>
      </w:tr>
      <w:tr>
        <w:tc>
          <w:tcPr>
            <w:tcW w:w="3118" w:type="dxa"/>
            <w:tcBorders>
              <w:top w:val="nil"/>
              <w:bottom w:val="nil"/>
            </w:tcBorders>
          </w:tcPr>
          <w:p>
            <w:pPr>
              <w:pStyle w:val="nTable"/>
              <w:spacing w:after="40"/>
              <w:rPr>
                <w:i/>
              </w:rPr>
            </w:pPr>
            <w:r>
              <w:rPr>
                <w:i/>
              </w:rPr>
              <w:t>Legal Profession Amendment Rules 2015</w:t>
            </w:r>
          </w:p>
        </w:tc>
        <w:tc>
          <w:tcPr>
            <w:tcW w:w="1276" w:type="dxa"/>
            <w:tcBorders>
              <w:top w:val="nil"/>
              <w:bottom w:val="nil"/>
            </w:tcBorders>
          </w:tcPr>
          <w:p>
            <w:pPr>
              <w:pStyle w:val="nTable"/>
              <w:spacing w:after="40"/>
            </w:pPr>
            <w:r>
              <w:t>20 Feb 2015 p. 680</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20 Feb 2015 (see r. 2(a));</w:t>
            </w:r>
            <w:r>
              <w:rPr>
                <w:rFonts w:ascii="Times" w:hAnsi="Times"/>
                <w:bCs/>
                <w:snapToGrid w:val="0"/>
                <w:spacing w:val="-2"/>
              </w:rPr>
              <w:br/>
              <w:t>Rules other than r. 1 and 2: 21 Feb 2015 (see r. 2(b))</w:t>
            </w:r>
          </w:p>
        </w:tc>
      </w:tr>
      <w:tr>
        <w:tc>
          <w:tcPr>
            <w:tcW w:w="3118" w:type="dxa"/>
            <w:tcBorders>
              <w:top w:val="nil"/>
              <w:bottom w:val="single" w:sz="4" w:space="0" w:color="auto"/>
            </w:tcBorders>
          </w:tcPr>
          <w:p>
            <w:pPr>
              <w:pStyle w:val="nTable"/>
              <w:spacing w:after="40"/>
              <w:rPr>
                <w:i/>
              </w:rPr>
            </w:pPr>
            <w:r>
              <w:rPr>
                <w:i/>
              </w:rPr>
              <w:t>Legal Profession Amendment Rules (No. 2) 2015</w:t>
            </w:r>
          </w:p>
        </w:tc>
        <w:tc>
          <w:tcPr>
            <w:tcW w:w="1276" w:type="dxa"/>
            <w:tcBorders>
              <w:top w:val="nil"/>
              <w:bottom w:val="single" w:sz="4" w:space="0" w:color="auto"/>
            </w:tcBorders>
          </w:tcPr>
          <w:p>
            <w:pPr>
              <w:pStyle w:val="nTable"/>
              <w:spacing w:after="40"/>
            </w:pPr>
            <w:r>
              <w:t>17 Jul 2015 p. 2884</w:t>
            </w:r>
            <w:r>
              <w:noBreakHyphen/>
              <w:t>7</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17 Jul 2015</w:t>
            </w:r>
            <w:r>
              <w:rPr>
                <w:rFonts w:ascii="Times" w:hAnsi="Times"/>
                <w:bCs/>
                <w:snapToGrid w:val="0"/>
                <w:spacing w:val="-2"/>
              </w:rPr>
              <w:t xml:space="preserve"> (see r. 2(a));</w:t>
            </w:r>
            <w:r>
              <w:rPr>
                <w:rFonts w:ascii="Times" w:hAnsi="Times"/>
                <w:bCs/>
                <w:snapToGrid w:val="0"/>
                <w:spacing w:val="-2"/>
              </w:rPr>
              <w:br/>
              <w:t xml:space="preserve">Rules other than r. 1 and 2: </w:t>
            </w:r>
            <w:r>
              <w:t>18 Jul 2015</w:t>
            </w:r>
            <w:r>
              <w:rPr>
                <w:rFonts w:ascii="Times" w:hAnsi="Times"/>
                <w:bCs/>
                <w:snapToGrid w:val="0"/>
                <w:spacing w:val="-2"/>
              </w:rPr>
              <w:t xml:space="preserve"> (see r. 2(b))</w:t>
            </w:r>
          </w:p>
        </w:tc>
      </w:tr>
    </w:tbl>
    <w:p>
      <w:pPr>
        <w:rPr>
          <w:iCs/>
        </w:rPr>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 the overdue period</w:t>
      </w:r>
      <w:r>
        <w:tab/>
        <w:t>Sch. 1 cl. 1</w:t>
      </w:r>
    </w:p>
    <w:p>
      <w:pPr>
        <w:pStyle w:val="DefinedTerms"/>
      </w:pPr>
      <w:r>
        <w:t>ALS</w:t>
      </w:r>
      <w:r>
        <w:tab/>
        <w:t>19, 24</w:t>
      </w:r>
    </w:p>
    <w:p>
      <w:pPr>
        <w:pStyle w:val="DefinedTerms"/>
      </w:pPr>
      <w:r>
        <w:t>approved CPD activity</w:t>
      </w:r>
      <w:r>
        <w:tab/>
        <w:t>7</w:t>
      </w:r>
    </w:p>
    <w:p>
      <w:pPr>
        <w:pStyle w:val="DefinedTerms"/>
      </w:pPr>
      <w:r>
        <w:t>book</w:t>
      </w:r>
      <w:r>
        <w:tab/>
        <w:t>47</w:t>
      </w:r>
    </w:p>
    <w:p>
      <w:pPr>
        <w:pStyle w:val="DefinedTerms"/>
      </w:pPr>
      <w:r>
        <w:t>certificate year</w:t>
      </w:r>
      <w:r>
        <w:tab/>
        <w:t>8A</w:t>
      </w:r>
    </w:p>
    <w:p>
      <w:pPr>
        <w:pStyle w:val="DefinedTerms"/>
      </w:pPr>
      <w:r>
        <w:t>chair</w:t>
      </w:r>
      <w:r>
        <w:tab/>
        <w:t>7</w:t>
      </w:r>
    </w:p>
    <w:p>
      <w:pPr>
        <w:pStyle w:val="DefinedTerms"/>
      </w:pPr>
      <w:r>
        <w:t>commentator</w:t>
      </w:r>
      <w:r>
        <w:tab/>
        <w:t>7</w:t>
      </w:r>
    </w:p>
    <w:p>
      <w:pPr>
        <w:pStyle w:val="DefinedTerms"/>
      </w:pPr>
      <w:r>
        <w:t>committee</w:t>
      </w:r>
      <w:r>
        <w:tab/>
        <w:t>47</w:t>
      </w:r>
    </w:p>
    <w:p>
      <w:pPr>
        <w:pStyle w:val="DefinedTerms"/>
      </w:pPr>
      <w:r>
        <w:t>competency area 1</w:t>
      </w:r>
      <w:r>
        <w:tab/>
        <w:t>10(2)</w:t>
      </w:r>
    </w:p>
    <w:p>
      <w:pPr>
        <w:pStyle w:val="DefinedTerms"/>
      </w:pPr>
      <w:r>
        <w:t>competency area 2</w:t>
      </w:r>
      <w:r>
        <w:tab/>
        <w:t>10(3)</w:t>
      </w:r>
    </w:p>
    <w:p>
      <w:pPr>
        <w:pStyle w:val="DefinedTerms"/>
      </w:pPr>
      <w:r>
        <w:t>competency area 3</w:t>
      </w:r>
      <w:r>
        <w:tab/>
        <w:t>10(4)</w:t>
      </w:r>
    </w:p>
    <w:p>
      <w:pPr>
        <w:pStyle w:val="DefinedTerms"/>
      </w:pPr>
      <w:r>
        <w:t>competency area 1</w:t>
      </w:r>
      <w:r>
        <w:tab/>
        <w:t>13D(2)</w:t>
      </w:r>
    </w:p>
    <w:p>
      <w:pPr>
        <w:pStyle w:val="DefinedTerms"/>
      </w:pPr>
      <w:r>
        <w:t>competency area 2</w:t>
      </w:r>
      <w:r>
        <w:tab/>
        <w:t>13D(3)</w:t>
      </w:r>
    </w:p>
    <w:p>
      <w:pPr>
        <w:pStyle w:val="DefinedTerms"/>
      </w:pPr>
      <w:r>
        <w:t>competency area 3</w:t>
      </w:r>
      <w:r>
        <w:tab/>
        <w:t>13D(4)</w:t>
      </w:r>
    </w:p>
    <w:p>
      <w:pPr>
        <w:pStyle w:val="DefinedTerms"/>
      </w:pPr>
      <w:r>
        <w:t>competency area 4</w:t>
      </w:r>
      <w:r>
        <w:tab/>
        <w:t>13D(5)</w:t>
      </w:r>
    </w:p>
    <w:p>
      <w:pPr>
        <w:pStyle w:val="DefinedTerms"/>
      </w:pPr>
      <w:r>
        <w:t>CPD condition</w:t>
      </w:r>
      <w:r>
        <w:tab/>
        <w:t>8A, 13A</w:t>
      </w:r>
    </w:p>
    <w:p>
      <w:pPr>
        <w:pStyle w:val="DefinedTerms"/>
      </w:pPr>
      <w:r>
        <w:t>CPD period</w:t>
      </w:r>
      <w:r>
        <w:tab/>
        <w:t>13A</w:t>
      </w:r>
    </w:p>
    <w:p>
      <w:pPr>
        <w:pStyle w:val="DefinedTerms"/>
      </w:pPr>
      <w:r>
        <w:t>CPD point</w:t>
      </w:r>
      <w:r>
        <w:tab/>
        <w:t>8A, 13A</w:t>
      </w:r>
    </w:p>
    <w:p>
      <w:pPr>
        <w:pStyle w:val="DefinedTerms"/>
      </w:pPr>
      <w:r>
        <w:t>CPD points</w:t>
      </w:r>
      <w:r>
        <w:tab/>
        <w:t>13(1A)</w:t>
      </w:r>
    </w:p>
    <w:p>
      <w:pPr>
        <w:pStyle w:val="DefinedTerms"/>
      </w:pPr>
      <w:r>
        <w:t>electronic activity</w:t>
      </w:r>
      <w:r>
        <w:tab/>
        <w:t>13A</w:t>
      </w:r>
    </w:p>
    <w:p>
      <w:pPr>
        <w:pStyle w:val="DefinedTerms"/>
      </w:pPr>
      <w:r>
        <w:t>experienced practitioner</w:t>
      </w:r>
      <w:r>
        <w:tab/>
        <w:t>10(1)</w:t>
      </w:r>
    </w:p>
    <w:p>
      <w:pPr>
        <w:pStyle w:val="DefinedTerms"/>
      </w:pPr>
      <w:r>
        <w:t>expiry day</w:t>
      </w:r>
      <w:r>
        <w:tab/>
        <w:t>5(1)</w:t>
      </w:r>
    </w:p>
    <w:p>
      <w:pPr>
        <w:pStyle w:val="DefinedTerms"/>
      </w:pPr>
      <w:r>
        <w:t>individual activity</w:t>
      </w:r>
      <w:r>
        <w:tab/>
        <w:t>8A</w:t>
      </w:r>
    </w:p>
    <w:p>
      <w:pPr>
        <w:pStyle w:val="DefinedTerms"/>
      </w:pPr>
      <w:r>
        <w:t>interactive activity</w:t>
      </w:r>
      <w:r>
        <w:tab/>
        <w:t>7</w:t>
      </w:r>
    </w:p>
    <w:p>
      <w:pPr>
        <w:pStyle w:val="DefinedTerms"/>
      </w:pPr>
      <w:r>
        <w:t>LAC</w:t>
      </w:r>
      <w:r>
        <w:tab/>
        <w:t>19, 24</w:t>
      </w:r>
    </w:p>
    <w:p>
      <w:pPr>
        <w:pStyle w:val="DefinedTerms"/>
      </w:pPr>
      <w:r>
        <w:t>late fee period</w:t>
      </w:r>
      <w:r>
        <w:tab/>
        <w:t>Sch. 1 cl. 1</w:t>
      </w:r>
    </w:p>
    <w:p>
      <w:pPr>
        <w:pStyle w:val="DefinedTerms"/>
      </w:pPr>
      <w:r>
        <w:t>librarian</w:t>
      </w:r>
      <w:r>
        <w:tab/>
        <w:t>47</w:t>
      </w:r>
    </w:p>
    <w:p>
      <w:pPr>
        <w:pStyle w:val="DefinedTerms"/>
      </w:pPr>
      <w:r>
        <w:t>library</w:t>
      </w:r>
      <w:r>
        <w:tab/>
        <w:t>47</w:t>
      </w:r>
    </w:p>
    <w:p>
      <w:pPr>
        <w:pStyle w:val="DefinedTerms"/>
      </w:pPr>
      <w:r>
        <w:t>overdue period</w:t>
      </w:r>
      <w:r>
        <w:tab/>
        <w:t>Sch. 1 cl. 1</w:t>
      </w:r>
    </w:p>
    <w:p>
      <w:pPr>
        <w:pStyle w:val="DefinedTerms"/>
      </w:pPr>
      <w:r>
        <w:t>presenter</w:t>
      </w:r>
      <w:r>
        <w:tab/>
        <w:t>7</w:t>
      </w:r>
    </w:p>
    <w:p>
      <w:pPr>
        <w:pStyle w:val="DefinedTerms"/>
      </w:pPr>
      <w:r>
        <w:t>professional development activity</w:t>
      </w:r>
      <w:r>
        <w:tab/>
        <w:t>7</w:t>
      </w:r>
    </w:p>
    <w:p>
      <w:pPr>
        <w:pStyle w:val="DefinedTerms"/>
      </w:pPr>
      <w:r>
        <w:t>provider</w:t>
      </w:r>
      <w:r>
        <w:tab/>
        <w:t>18(1)</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w:t>
      </w:r>
    </w:p>
    <w:p>
      <w:pPr>
        <w:pStyle w:val="DefinedTerms"/>
      </w:pPr>
      <w:r>
        <w:t>secretary</w:t>
      </w:r>
      <w:r>
        <w:tab/>
        <w:t>28</w:t>
      </w:r>
    </w:p>
    <w:p>
      <w:pPr>
        <w:pStyle w:val="DefinedTerms"/>
      </w:pPr>
      <w:r>
        <w:t>sole practitioner</w:t>
      </w:r>
      <w:r>
        <w:tab/>
        <w:t>19, 24</w:t>
      </w:r>
    </w:p>
    <w:p>
      <w:pPr>
        <w:pStyle w:val="DefinedTerms"/>
      </w:pPr>
      <w:r>
        <w:t>standard fee</w:t>
      </w:r>
      <w:r>
        <w:tab/>
        <w:t>Sch. 1 cl. 1</w:t>
      </w:r>
    </w:p>
    <w:p>
      <w:pPr>
        <w:pStyle w:val="DefinedTerms"/>
      </w:pPr>
      <w:r>
        <w:t>standard renewal period</w:t>
      </w:r>
      <w:r>
        <w:tab/>
        <w:t>Sch. 1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 w:name="Schedule"/>
    <w:bookmarkEnd w:id="1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139"/>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527161625" w:val="ResetPageSize,UpdateArrangement,UpdateNTable"/>
    <w:docVar w:name="WAFER_20150527161625_GUID" w:val="eccd4dad-c9ca-4e94-86ff-2114aa56dbd2"/>
    <w:docVar w:name="WAFER_20150716113912" w:val="RemoveTocBookmarks,RemoveUnusedBookmarks,RemoveLanguageTags,UsedStyles,ResetPageSize"/>
    <w:docVar w:name="WAFER_20150716113912_GUID" w:val="bdcb9f25-246f-425b-92b3-e0d0197b37cf"/>
    <w:docVar w:name="WAFER_20151207100139" w:val="RemoveTrackChanges"/>
    <w:docVar w:name="WAFER_20151207100139_GUID" w:val="0dd8d513-1954-4435-887a-0c57ffaa1c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9233</Words>
  <Characters>44505</Characters>
  <Application>Microsoft Office Word</Application>
  <DocSecurity>0</DocSecurity>
  <Lines>1534</Lines>
  <Paragraphs>942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2009 - 00-g0-02</dc:title>
  <dc:subject/>
  <dc:creator/>
  <cp:keywords/>
  <dc:description/>
  <cp:lastModifiedBy>svcMRProcess</cp:lastModifiedBy>
  <cp:revision>4</cp:revision>
  <cp:lastPrinted>2009-02-18T08:27:00Z</cp:lastPrinted>
  <dcterms:created xsi:type="dcterms:W3CDTF">2018-09-18T00:38:00Z</dcterms:created>
  <dcterms:modified xsi:type="dcterms:W3CDTF">2018-09-18T00:39:00Z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OwlsUID">
    <vt:i4>41036</vt:i4>
  </property>
  <property fmtid="{D5CDD505-2E9C-101B-9397-08002B2CF9AE}" pid="4" name="DocumentType">
    <vt:lpwstr>Reg</vt:lpwstr>
  </property>
  <property fmtid="{D5CDD505-2E9C-101B-9397-08002B2CF9AE}" pid="5" name="AsAtDate">
    <vt:lpwstr>18 Jul 2015</vt:lpwstr>
  </property>
  <property fmtid="{D5CDD505-2E9C-101B-9397-08002B2CF9AE}" pid="6" name="Suffix">
    <vt:lpwstr>00-g0-02</vt:lpwstr>
  </property>
  <property fmtid="{D5CDD505-2E9C-101B-9397-08002B2CF9AE}" pid="7" name="CommencementDate">
    <vt:lpwstr>20150718</vt:lpwstr>
  </property>
</Properties>
</file>