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540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pStyle w:val="ReprintNo"/>
      </w:pPr>
      <w:r>
        <w:t>Reprint 5:  The Act as at 10 July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6432"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6432;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jmRw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aoQ1dEZfQrIwcBBIo8vEzA39esUDdMgkoPN+HkQX2FnzgVoAUKW3LIWsgf&#10;bfd1fVBO4alDNqD6z53in3smI4ekf3DQVKcoTxOFF8MJ0qBsPlk0n/D77EKAhgj7McwOizAnqdKy&#10;GEuRfYMDinM9KjxiPISx544qixfKnEXAAUcYnZ9jJTgYyJm65rd5WG7wGmd3229M5jYEVLDavohS&#10;xX0mkZq6GnRcnN8rESeon2qoGa9atbA7UdAD603KURNFUww8himo6wY63dB6/EG+8HaPDJ6F0j1f&#10;aBe2kOFTWbxrdfsYvqji5p4vPhJfVMd2NV9YyRhD2GP4Ak5Wg2F7ZlRRiT2c7AnjfR6HHUMYVSDa&#10;E8ZHIozq+4WaMJonJccQxtALxnsCjEng4acAPV+86+PzV/KFzVh7ouiGKFC+gA+dUJyzH2XpL6ma&#10;15i51J+Onf0LAAD//wMAUEsDBBQABgAIAAAAIQDbxIcm3QAAAAYBAAAPAAAAZHJzL2Rvd25yZXYu&#10;eG1sTI7BSsNAFEX3gv8wPMGdncQ6bYmZlFLUVRFsBXH3mnlNQjNvQmaapH/vuNLl5V7OPfl6sq0Y&#10;qPeNYw3pLAFBXDrTcKXh8/D6sALhA7LB1jFpuJKHdXF7k2Nm3MgfNOxDJSKEfYYa6hC6TEpf1mTR&#10;z1xHHLuT6y2GGPtKmh7HCLetfEyShbTYcHyosaNtTeV5f7Ea3kYcN/P0ZdidT9vr90G9f+1S0vr+&#10;bto8gwg0hb8x/OpHdSii09Fd2HjRalgt53GpYQEitstUKRBHDepJgSxy+V+/+AEAAP//AwBQSwEC&#10;LQAUAAYACAAAACEAtoM4kv4AAADhAQAAEwAAAAAAAAAAAAAAAAAAAAAAW0NvbnRlbnRfVHlwZXNd&#10;LnhtbFBLAQItABQABgAIAAAAIQA4/SH/1gAAAJQBAAALAAAAAAAAAAAAAAAAAC8BAABfcmVscy8u&#10;cmVsc1BLAQItABQABgAIAAAAIQBop8jmRwUAAIImAAAOAAAAAAAAAAAAAAAAAC4CAABkcnMvZTJv&#10;RG9jLnhtbFBLAQItABQABgAIAAAAIQDbxIcm3QAAAAYBAAAPAAAAAAAAAAAAAAAAAKEHAABkcnMv&#10;ZG93bnJldi54bWxQSwUGAAAAAAQABADzAAAAqwg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6461C" w:rsidRDefault="0006461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6461C" w:rsidRDefault="0006461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6461C" w:rsidRDefault="0006461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6461C" w:rsidRDefault="0006461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_Toc424562224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_Toc424562225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_Toc424562226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_Toc424562227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_Toc424562229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_Toc424562230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_Toc424562232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power of appointment</w:t>
      </w:r>
      <w:r>
        <w:tab/>
      </w:r>
      <w:r>
        <w:fldChar w:fldCharType="begin"/>
      </w:r>
      <w:r>
        <w:instrText xml:space="preserve"> PAGEREF _Toc424562233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_Toc424562234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person cannot be witness</w:t>
      </w:r>
      <w:r>
        <w:tab/>
      </w:r>
      <w:r>
        <w:fldChar w:fldCharType="begin"/>
      </w:r>
      <w:r>
        <w:instrText xml:space="preserve"> PAGEREF _Toc424562235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_Toc424562237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_Toc424562238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_Toc424562239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_Toc424562240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_Toc424562242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_Toc424562244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_Toc424562245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_Toc424562247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_Toc424562248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_Toc424562249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_Toc424562250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_Toc424562251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will</w:t>
      </w:r>
      <w:r>
        <w:tab/>
      </w:r>
      <w:r>
        <w:fldChar w:fldCharType="begin"/>
      </w:r>
      <w:r>
        <w:instrText xml:space="preserve"> PAGEREF _Toc424562252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_Toc424562254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_Toc424562255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_Toc424562256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_Toc424562258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_Toc424562259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_Toc424562260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_Toc424562261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_Toc424562262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_Toc424562264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_Toc424562265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_Toc424562266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_Toc424562269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_Toc424562270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_Toc424562271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_Toc424562272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_Toc424562273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_Toc424562274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_Toc424562275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_Toc424562276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_Toc424562277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_Toc424562279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_Toc424562281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will</w:t>
      </w:r>
      <w:r>
        <w:tab/>
      </w:r>
      <w:r>
        <w:fldChar w:fldCharType="begin"/>
      </w:r>
      <w:r>
        <w:instrText xml:space="preserve"> PAGEREF _Toc424562282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Annex to Convention providing a Uniform Law on the Form of an International Will 1973</w:t>
      </w:r>
    </w:p>
    <w:p>
      <w:pPr>
        <w:pStyle w:val="TOC4"/>
        <w:tabs>
          <w:tab w:val="right" w:leader="dot" w:pos="7077"/>
        </w:tabs>
        <w:spacing w:before="40"/>
      </w:pPr>
      <w:r>
        <w:t>ANNEX</w:t>
      </w:r>
    </w:p>
    <w:p>
      <w:pPr>
        <w:pStyle w:val="TOC4"/>
        <w:keepNext w:val="0"/>
        <w:tabs>
          <w:tab w:val="right" w:leader="dot" w:pos="7077"/>
        </w:tabs>
        <w:spacing w:before="40"/>
        <w:rPr>
          <w:rFonts w:asciiTheme="minorHAnsi" w:eastAsiaTheme="minorEastAsia" w:hAnsiTheme="minorHAnsi" w:cstheme="minorBidi"/>
          <w:b w:val="0"/>
          <w:szCs w:val="22"/>
        </w:rPr>
      </w:pPr>
      <w:r>
        <w:rPr>
          <w:b w:val="0"/>
        </w:rPr>
        <w:t>UNIFORM LAW ON THE FORM OF AN INTERNATIONAL WILL</w:t>
      </w:r>
    </w:p>
    <w:p>
      <w:pPr>
        <w:pStyle w:val="TOC2"/>
        <w:keepLines/>
        <w:tabs>
          <w:tab w:val="right" w:leader="dot" w:pos="7077"/>
        </w:tabs>
        <w:spacing w:before="100" w:after="40"/>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tab/>
        <w:t>Compilation table</w:t>
      </w:r>
      <w:r>
        <w:tab/>
      </w:r>
      <w:r>
        <w:fldChar w:fldCharType="begin"/>
      </w:r>
      <w:r>
        <w:instrText xml:space="preserve"> PAGEREF _Toc424562303 \h </w:instrText>
      </w:r>
      <w:r>
        <w:fldChar w:fldCharType="separate"/>
      </w:r>
      <w:r>
        <w:t>37</w:t>
      </w:r>
      <w:r>
        <w:fldChar w:fldCharType="end"/>
      </w:r>
    </w:p>
    <w:p>
      <w:pPr>
        <w:pStyle w:val="TOC2"/>
        <w:tabs>
          <w:tab w:val="right" w:leader="dot" w:pos="7077"/>
        </w:tabs>
        <w:spacing w:before="80" w:after="0"/>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July 2015</w:t>
            </w:r>
          </w:p>
        </w:tc>
      </w:tr>
    </w:tbl>
    <w:p>
      <w:pPr>
        <w:pStyle w:val="WA"/>
        <w:spacing w:before="12"/>
      </w:pPr>
      <w:r>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379285896"/>
      <w:bookmarkStart w:id="4" w:name="_Toc413750900"/>
      <w:bookmarkStart w:id="5" w:name="_Toc413770752"/>
      <w:bookmarkStart w:id="6" w:name="_Toc413770834"/>
      <w:bookmarkStart w:id="7" w:name="_Toc422313360"/>
      <w:bookmarkStart w:id="8" w:name="_Toc42456222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9285897"/>
      <w:bookmarkStart w:id="10" w:name="_Toc424562224"/>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1" w:name="_Toc379285898"/>
      <w:bookmarkStart w:id="12" w:name="_Toc42456222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3" w:name="_Toc379285899"/>
      <w:bookmarkStart w:id="14" w:name="_Toc424562226"/>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keepNext w:val="0"/>
        <w:keepLines w:val="0"/>
        <w:pageBreakBefore/>
        <w:spacing w:before="0"/>
        <w:rPr>
          <w:snapToGrid w:val="0"/>
        </w:rPr>
      </w:pPr>
      <w:bookmarkStart w:id="15" w:name="_Toc379285900"/>
      <w:bookmarkStart w:id="16" w:name="_Toc424562227"/>
      <w:r>
        <w:rPr>
          <w:rStyle w:val="CharSectno"/>
        </w:rPr>
        <w:t>5</w:t>
      </w:r>
      <w:r>
        <w:rPr>
          <w:snapToGrid w:val="0"/>
        </w:rPr>
        <w:t>.</w:t>
      </w:r>
      <w:r>
        <w:rPr>
          <w:snapToGrid w:val="0"/>
        </w:rPr>
        <w:tab/>
        <w:t>Application of Act</w:t>
      </w:r>
      <w:bookmarkEnd w:id="15"/>
      <w:bookmarkEnd w:id="16"/>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7" w:name="_Toc379285901"/>
      <w:bookmarkStart w:id="18" w:name="_Toc413750905"/>
      <w:bookmarkStart w:id="19" w:name="_Toc413770757"/>
      <w:bookmarkStart w:id="20" w:name="_Toc413770839"/>
      <w:bookmarkStart w:id="21" w:name="_Toc422313365"/>
      <w:bookmarkStart w:id="22" w:name="_Toc424562228"/>
      <w:r>
        <w:rPr>
          <w:rStyle w:val="CharPartNo"/>
        </w:rPr>
        <w:t>Part II</w:t>
      </w:r>
      <w:r>
        <w:rPr>
          <w:rStyle w:val="CharDivNo"/>
        </w:rPr>
        <w:t> </w:t>
      </w:r>
      <w:r>
        <w:t>—</w:t>
      </w:r>
      <w:r>
        <w:rPr>
          <w:rStyle w:val="CharDivText"/>
        </w:rPr>
        <w:t> </w:t>
      </w:r>
      <w:r>
        <w:rPr>
          <w:rStyle w:val="CharPartText"/>
        </w:rPr>
        <w:t>Dispositions and appointments by will</w:t>
      </w:r>
      <w:bookmarkEnd w:id="17"/>
      <w:bookmarkEnd w:id="18"/>
      <w:bookmarkEnd w:id="19"/>
      <w:bookmarkEnd w:id="20"/>
      <w:bookmarkEnd w:id="21"/>
      <w:bookmarkEnd w:id="22"/>
      <w:r>
        <w:rPr>
          <w:rStyle w:val="CharPartText"/>
        </w:rPr>
        <w:t xml:space="preserve"> </w:t>
      </w:r>
    </w:p>
    <w:p>
      <w:pPr>
        <w:pStyle w:val="Heading5"/>
      </w:pPr>
      <w:bookmarkStart w:id="23" w:name="_Toc379285902"/>
      <w:bookmarkStart w:id="24" w:name="_Toc424562229"/>
      <w:r>
        <w:rPr>
          <w:rStyle w:val="CharSectno"/>
        </w:rPr>
        <w:t>6</w:t>
      </w:r>
      <w:r>
        <w:t>.</w:t>
      </w:r>
      <w:r>
        <w:tab/>
        <w:t>Provision that may be made by will</w:t>
      </w:r>
      <w:bookmarkEnd w:id="23"/>
      <w:bookmarkEnd w:id="24"/>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5" w:name="_Toc379285903"/>
      <w:bookmarkStart w:id="26" w:name="_Toc424562230"/>
      <w:r>
        <w:rPr>
          <w:rStyle w:val="CharSectno"/>
        </w:rPr>
        <w:t>7</w:t>
      </w:r>
      <w:r>
        <w:rPr>
          <w:snapToGrid w:val="0"/>
        </w:rPr>
        <w:t>.</w:t>
      </w:r>
      <w:r>
        <w:rPr>
          <w:snapToGrid w:val="0"/>
        </w:rPr>
        <w:tab/>
        <w:t>Age of capacity to make will</w:t>
      </w:r>
      <w:bookmarkEnd w:id="25"/>
      <w:bookmarkEnd w:id="26"/>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7" w:name="_Toc379285904"/>
      <w:bookmarkStart w:id="28" w:name="_Toc413750908"/>
      <w:bookmarkStart w:id="29" w:name="_Toc413770760"/>
      <w:bookmarkStart w:id="30" w:name="_Toc413770842"/>
      <w:bookmarkStart w:id="31" w:name="_Toc422313368"/>
      <w:bookmarkStart w:id="32" w:name="_Toc424562231"/>
      <w:r>
        <w:rPr>
          <w:rStyle w:val="CharPartNo"/>
        </w:rPr>
        <w:t>Part III</w:t>
      </w:r>
      <w:r>
        <w:rPr>
          <w:rStyle w:val="CharDivNo"/>
        </w:rPr>
        <w:t> </w:t>
      </w:r>
      <w:r>
        <w:t>—</w:t>
      </w:r>
      <w:r>
        <w:rPr>
          <w:rStyle w:val="CharDivText"/>
        </w:rPr>
        <w:t> </w:t>
      </w:r>
      <w:r>
        <w:rPr>
          <w:rStyle w:val="CharPartText"/>
        </w:rPr>
        <w:t>Execution of wills</w:t>
      </w:r>
      <w:bookmarkEnd w:id="27"/>
      <w:bookmarkEnd w:id="28"/>
      <w:bookmarkEnd w:id="29"/>
      <w:bookmarkEnd w:id="30"/>
      <w:bookmarkEnd w:id="31"/>
      <w:bookmarkEnd w:id="32"/>
      <w:r>
        <w:rPr>
          <w:rStyle w:val="CharPartText"/>
        </w:rPr>
        <w:t xml:space="preserve"> </w:t>
      </w:r>
    </w:p>
    <w:p>
      <w:pPr>
        <w:pStyle w:val="Heading5"/>
        <w:rPr>
          <w:snapToGrid w:val="0"/>
        </w:rPr>
      </w:pPr>
      <w:bookmarkStart w:id="33" w:name="_Toc379285905"/>
      <w:bookmarkStart w:id="34" w:name="_Toc424562232"/>
      <w:r>
        <w:rPr>
          <w:rStyle w:val="CharSectno"/>
        </w:rPr>
        <w:t>8</w:t>
      </w:r>
      <w:r>
        <w:rPr>
          <w:snapToGrid w:val="0"/>
        </w:rPr>
        <w:t>.</w:t>
      </w:r>
      <w:r>
        <w:rPr>
          <w:snapToGrid w:val="0"/>
        </w:rPr>
        <w:tab/>
        <w:t>Execution generally</w:t>
      </w:r>
      <w:bookmarkEnd w:id="33"/>
      <w:bookmarkEnd w:id="34"/>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No. 47 of 2012 s. 4.] </w:t>
      </w:r>
    </w:p>
    <w:p>
      <w:pPr>
        <w:pStyle w:val="Heading5"/>
        <w:rPr>
          <w:snapToGrid w:val="0"/>
        </w:rPr>
      </w:pPr>
      <w:bookmarkStart w:id="35" w:name="_Toc379285906"/>
      <w:bookmarkStart w:id="36" w:name="_Toc424562233"/>
      <w:r>
        <w:rPr>
          <w:rStyle w:val="CharSectno"/>
        </w:rPr>
        <w:t>9</w:t>
      </w:r>
      <w:r>
        <w:rPr>
          <w:snapToGrid w:val="0"/>
        </w:rPr>
        <w:t>.</w:t>
      </w:r>
      <w:r>
        <w:rPr>
          <w:snapToGrid w:val="0"/>
        </w:rPr>
        <w:tab/>
        <w:t>Execution of will exercising power of appointment</w:t>
      </w:r>
      <w:bookmarkEnd w:id="35"/>
      <w:bookmarkEnd w:id="36"/>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37" w:name="_Toc379285907"/>
      <w:bookmarkStart w:id="38" w:name="_Toc424562234"/>
      <w:r>
        <w:rPr>
          <w:rStyle w:val="CharSectno"/>
        </w:rPr>
        <w:t>10</w:t>
      </w:r>
      <w:r>
        <w:t>.</w:t>
      </w:r>
      <w:r>
        <w:tab/>
        <w:t>Alterations after execution</w:t>
      </w:r>
      <w:bookmarkEnd w:id="37"/>
      <w:bookmarkEnd w:id="38"/>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by No. 27 of 2007 s. 9.]</w:t>
      </w:r>
    </w:p>
    <w:p>
      <w:pPr>
        <w:pStyle w:val="Heading5"/>
      </w:pPr>
      <w:bookmarkStart w:id="39" w:name="_Toc379285908"/>
      <w:bookmarkStart w:id="40" w:name="_Toc424562235"/>
      <w:r>
        <w:rPr>
          <w:rStyle w:val="CharSectno"/>
        </w:rPr>
        <w:t>11</w:t>
      </w:r>
      <w:r>
        <w:t>.</w:t>
      </w:r>
      <w:r>
        <w:tab/>
        <w:t>Situation in which person cannot be witness</w:t>
      </w:r>
      <w:bookmarkEnd w:id="39"/>
      <w:bookmarkEnd w:id="40"/>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41" w:name="_Toc379285909"/>
      <w:bookmarkStart w:id="42" w:name="_Toc413750913"/>
      <w:bookmarkStart w:id="43" w:name="_Toc413770765"/>
      <w:bookmarkStart w:id="44" w:name="_Toc413770847"/>
      <w:bookmarkStart w:id="45" w:name="_Toc422313373"/>
      <w:bookmarkStart w:id="46" w:name="_Toc424562236"/>
      <w:r>
        <w:rPr>
          <w:rStyle w:val="CharPartNo"/>
        </w:rPr>
        <w:t>Part V</w:t>
      </w:r>
      <w:r>
        <w:rPr>
          <w:rStyle w:val="CharDivNo"/>
        </w:rPr>
        <w:t> </w:t>
      </w:r>
      <w:r>
        <w:t>—</w:t>
      </w:r>
      <w:r>
        <w:rPr>
          <w:rStyle w:val="CharDivText"/>
        </w:rPr>
        <w:t> </w:t>
      </w:r>
      <w:r>
        <w:rPr>
          <w:rStyle w:val="CharPartText"/>
        </w:rPr>
        <w:t>Revocation of wills</w:t>
      </w:r>
      <w:bookmarkEnd w:id="41"/>
      <w:bookmarkEnd w:id="42"/>
      <w:bookmarkEnd w:id="43"/>
      <w:bookmarkEnd w:id="44"/>
      <w:bookmarkEnd w:id="45"/>
      <w:bookmarkEnd w:id="46"/>
      <w:r>
        <w:rPr>
          <w:rStyle w:val="CharPartText"/>
        </w:rPr>
        <w:t xml:space="preserve"> </w:t>
      </w:r>
    </w:p>
    <w:p>
      <w:pPr>
        <w:pStyle w:val="Heading5"/>
        <w:rPr>
          <w:snapToGrid w:val="0"/>
        </w:rPr>
      </w:pPr>
      <w:bookmarkStart w:id="47" w:name="_Toc379285910"/>
      <w:bookmarkStart w:id="48" w:name="_Toc424562237"/>
      <w:r>
        <w:rPr>
          <w:rStyle w:val="CharSectno"/>
        </w:rPr>
        <w:t>14</w:t>
      </w:r>
      <w:r>
        <w:rPr>
          <w:snapToGrid w:val="0"/>
        </w:rPr>
        <w:t>.</w:t>
      </w:r>
      <w:r>
        <w:rPr>
          <w:snapToGrid w:val="0"/>
        </w:rPr>
        <w:tab/>
        <w:t>Subsequent marriage</w:t>
      </w:r>
      <w:bookmarkEnd w:id="47"/>
      <w:bookmarkEnd w:id="48"/>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49" w:name="_Toc379285911"/>
      <w:bookmarkStart w:id="50" w:name="_Toc424562238"/>
      <w:r>
        <w:rPr>
          <w:rStyle w:val="CharSectno"/>
        </w:rPr>
        <w:t>14A</w:t>
      </w:r>
      <w:r>
        <w:t>.</w:t>
      </w:r>
      <w:r>
        <w:tab/>
        <w:t>Ending of marriage</w:t>
      </w:r>
      <w:bookmarkEnd w:id="49"/>
      <w:bookmarkEnd w:id="50"/>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51" w:name="_Toc379285912"/>
      <w:bookmarkStart w:id="52" w:name="_Toc424562239"/>
      <w:r>
        <w:rPr>
          <w:rStyle w:val="CharSectno"/>
        </w:rPr>
        <w:t>15</w:t>
      </w:r>
      <w:r>
        <w:t>.</w:t>
      </w:r>
      <w:r>
        <w:tab/>
        <w:t>When will revoked</w:t>
      </w:r>
      <w:bookmarkEnd w:id="51"/>
      <w:bookmarkEnd w:id="52"/>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by No. 27 of 2007 s. 14.]</w:t>
      </w:r>
    </w:p>
    <w:p>
      <w:pPr>
        <w:pStyle w:val="Heading5"/>
        <w:rPr>
          <w:snapToGrid w:val="0"/>
        </w:rPr>
      </w:pPr>
      <w:bookmarkStart w:id="53" w:name="_Toc379285913"/>
      <w:bookmarkStart w:id="54" w:name="_Toc424562240"/>
      <w:r>
        <w:rPr>
          <w:rStyle w:val="CharSectno"/>
        </w:rPr>
        <w:t>16</w:t>
      </w:r>
      <w:r>
        <w:rPr>
          <w:snapToGrid w:val="0"/>
        </w:rPr>
        <w:t>.</w:t>
      </w:r>
      <w:r>
        <w:rPr>
          <w:snapToGrid w:val="0"/>
        </w:rPr>
        <w:tab/>
        <w:t>How revoked will revived</w:t>
      </w:r>
      <w:bookmarkEnd w:id="53"/>
      <w:bookmarkEnd w:id="54"/>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55" w:name="_Toc379285914"/>
      <w:bookmarkStart w:id="56" w:name="_Toc413750918"/>
      <w:bookmarkStart w:id="57" w:name="_Toc413770770"/>
      <w:bookmarkStart w:id="58" w:name="_Toc413770852"/>
      <w:bookmarkStart w:id="59" w:name="_Toc422313378"/>
      <w:bookmarkStart w:id="60" w:name="_Toc424562241"/>
      <w:r>
        <w:rPr>
          <w:rStyle w:val="CharPartNo"/>
        </w:rPr>
        <w:t>Part VI</w:t>
      </w:r>
      <w:r>
        <w:rPr>
          <w:rStyle w:val="CharDivNo"/>
        </w:rPr>
        <w:t> </w:t>
      </w:r>
      <w:r>
        <w:t>—</w:t>
      </w:r>
      <w:r>
        <w:rPr>
          <w:rStyle w:val="CharDivText"/>
        </w:rPr>
        <w:t> </w:t>
      </w:r>
      <w:r>
        <w:rPr>
          <w:rStyle w:val="CharPartText"/>
        </w:rPr>
        <w:t>Privileged wills</w:t>
      </w:r>
      <w:bookmarkEnd w:id="55"/>
      <w:bookmarkEnd w:id="56"/>
      <w:bookmarkEnd w:id="57"/>
      <w:bookmarkEnd w:id="58"/>
      <w:bookmarkEnd w:id="59"/>
      <w:bookmarkEnd w:id="60"/>
      <w:r>
        <w:rPr>
          <w:rStyle w:val="CharPartText"/>
        </w:rPr>
        <w:t xml:space="preserve"> </w:t>
      </w:r>
    </w:p>
    <w:p>
      <w:pPr>
        <w:pStyle w:val="Heading5"/>
      </w:pPr>
      <w:bookmarkStart w:id="61" w:name="_Toc379285915"/>
      <w:bookmarkStart w:id="62" w:name="_Toc424562242"/>
      <w:r>
        <w:rPr>
          <w:rStyle w:val="CharSectno"/>
        </w:rPr>
        <w:t>17</w:t>
      </w:r>
      <w:r>
        <w:t>.</w:t>
      </w:r>
      <w:r>
        <w:tab/>
        <w:t>Saving for wills and revocations made under former provisions</w:t>
      </w:r>
      <w:bookmarkEnd w:id="61"/>
      <w:bookmarkEnd w:id="62"/>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63" w:name="_Toc379285916"/>
      <w:bookmarkStart w:id="64" w:name="_Toc413750920"/>
      <w:bookmarkStart w:id="65" w:name="_Toc413770772"/>
      <w:bookmarkStart w:id="66" w:name="_Toc413770854"/>
      <w:bookmarkStart w:id="67" w:name="_Toc422313380"/>
      <w:bookmarkStart w:id="68" w:name="_Toc424562243"/>
      <w:r>
        <w:rPr>
          <w:rStyle w:val="CharPartNo"/>
        </w:rPr>
        <w:t>Part VII</w:t>
      </w:r>
      <w:r>
        <w:rPr>
          <w:rStyle w:val="CharDivNo"/>
        </w:rPr>
        <w:t> </w:t>
      </w:r>
      <w:r>
        <w:t>—</w:t>
      </w:r>
      <w:r>
        <w:rPr>
          <w:rStyle w:val="CharDivText"/>
        </w:rPr>
        <w:t> </w:t>
      </w:r>
      <w:r>
        <w:rPr>
          <w:rStyle w:val="CharPartText"/>
        </w:rPr>
        <w:t>Rules as to formal validity of wills</w:t>
      </w:r>
      <w:bookmarkEnd w:id="63"/>
      <w:bookmarkEnd w:id="64"/>
      <w:bookmarkEnd w:id="65"/>
      <w:bookmarkEnd w:id="66"/>
      <w:bookmarkEnd w:id="67"/>
      <w:bookmarkEnd w:id="68"/>
      <w:r>
        <w:rPr>
          <w:rStyle w:val="CharPartText"/>
        </w:rPr>
        <w:t xml:space="preserve"> </w:t>
      </w:r>
    </w:p>
    <w:p>
      <w:pPr>
        <w:pStyle w:val="Heading5"/>
      </w:pPr>
      <w:bookmarkStart w:id="69" w:name="_Toc379285917"/>
      <w:bookmarkStart w:id="70" w:name="_Toc424562244"/>
      <w:r>
        <w:rPr>
          <w:rStyle w:val="CharSectno"/>
        </w:rPr>
        <w:t>20</w:t>
      </w:r>
      <w:r>
        <w:t>.</w:t>
      </w:r>
      <w:r>
        <w:tab/>
        <w:t>General rules as to formal validity</w:t>
      </w:r>
      <w:bookmarkEnd w:id="69"/>
      <w:bookmarkEnd w:id="70"/>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71" w:name="_Toc379285918"/>
      <w:bookmarkStart w:id="72" w:name="_Toc424562245"/>
      <w:r>
        <w:rPr>
          <w:rStyle w:val="CharSectno"/>
        </w:rPr>
        <w:t>21</w:t>
      </w:r>
      <w:r>
        <w:t>.</w:t>
      </w:r>
      <w:r>
        <w:tab/>
        <w:t>Ascertainment of system of internal law</w:t>
      </w:r>
      <w:bookmarkEnd w:id="71"/>
      <w:bookmarkEnd w:id="72"/>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73" w:name="_Toc379285919"/>
      <w:bookmarkStart w:id="74" w:name="_Toc413750923"/>
      <w:bookmarkStart w:id="75" w:name="_Toc413770775"/>
      <w:bookmarkStart w:id="76" w:name="_Toc413770857"/>
      <w:bookmarkStart w:id="77" w:name="_Toc422313383"/>
      <w:bookmarkStart w:id="78" w:name="_Toc424562246"/>
      <w:r>
        <w:rPr>
          <w:rStyle w:val="CharPartNo"/>
        </w:rPr>
        <w:t>Part VIII</w:t>
      </w:r>
      <w:r>
        <w:rPr>
          <w:rStyle w:val="CharDivNo"/>
        </w:rPr>
        <w:t> </w:t>
      </w:r>
      <w:r>
        <w:t>—</w:t>
      </w:r>
      <w:r>
        <w:rPr>
          <w:rStyle w:val="CharDivText"/>
        </w:rPr>
        <w:t> </w:t>
      </w:r>
      <w:r>
        <w:rPr>
          <w:rStyle w:val="CharPartText"/>
        </w:rPr>
        <w:t>The construction of wills</w:t>
      </w:r>
      <w:bookmarkEnd w:id="73"/>
      <w:bookmarkEnd w:id="74"/>
      <w:bookmarkEnd w:id="75"/>
      <w:bookmarkEnd w:id="76"/>
      <w:bookmarkEnd w:id="77"/>
      <w:bookmarkEnd w:id="78"/>
      <w:r>
        <w:rPr>
          <w:rStyle w:val="CharPartText"/>
        </w:rPr>
        <w:t xml:space="preserve"> </w:t>
      </w:r>
    </w:p>
    <w:p>
      <w:pPr>
        <w:pStyle w:val="Heading5"/>
        <w:rPr>
          <w:snapToGrid w:val="0"/>
        </w:rPr>
      </w:pPr>
      <w:bookmarkStart w:id="79" w:name="_Toc379285920"/>
      <w:bookmarkStart w:id="80" w:name="_Toc424562247"/>
      <w:r>
        <w:rPr>
          <w:rStyle w:val="CharSectno"/>
        </w:rPr>
        <w:t>24</w:t>
      </w:r>
      <w:r>
        <w:rPr>
          <w:snapToGrid w:val="0"/>
        </w:rPr>
        <w:t>.</w:t>
      </w:r>
      <w:r>
        <w:rPr>
          <w:snapToGrid w:val="0"/>
        </w:rPr>
        <w:tab/>
        <w:t>Change of domicile</w:t>
      </w:r>
      <w:bookmarkEnd w:id="79"/>
      <w:bookmarkEnd w:id="80"/>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81" w:name="_Toc379285921"/>
      <w:bookmarkStart w:id="82" w:name="_Toc424562248"/>
      <w:r>
        <w:rPr>
          <w:rStyle w:val="CharSectno"/>
        </w:rPr>
        <w:t>25</w:t>
      </w:r>
      <w:r>
        <w:t>.</w:t>
      </w:r>
      <w:r>
        <w:tab/>
        <w:t>Disposition of interest in property after making of will</w:t>
      </w:r>
      <w:bookmarkEnd w:id="81"/>
      <w:bookmarkEnd w:id="82"/>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by No. 27 of 2007 s. 18.]</w:t>
      </w:r>
    </w:p>
    <w:p>
      <w:pPr>
        <w:pStyle w:val="Heading5"/>
        <w:rPr>
          <w:snapToGrid w:val="0"/>
        </w:rPr>
      </w:pPr>
      <w:bookmarkStart w:id="83" w:name="_Toc379285922"/>
      <w:bookmarkStart w:id="84" w:name="_Toc424562249"/>
      <w:r>
        <w:rPr>
          <w:rStyle w:val="CharSectno"/>
        </w:rPr>
        <w:t>26</w:t>
      </w:r>
      <w:r>
        <w:rPr>
          <w:snapToGrid w:val="0"/>
        </w:rPr>
        <w:t>.</w:t>
      </w:r>
      <w:r>
        <w:rPr>
          <w:snapToGrid w:val="0"/>
        </w:rPr>
        <w:tab/>
        <w:t>General rules of construction</w:t>
      </w:r>
      <w:bookmarkEnd w:id="83"/>
      <w:bookmarkEnd w:id="84"/>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85" w:name="_Toc379285923"/>
      <w:bookmarkStart w:id="86" w:name="_Toc424562250"/>
      <w:r>
        <w:rPr>
          <w:rStyle w:val="CharSectno"/>
        </w:rPr>
        <w:t>27</w:t>
      </w:r>
      <w:r>
        <w:rPr>
          <w:snapToGrid w:val="0"/>
        </w:rPr>
        <w:t>.</w:t>
      </w:r>
      <w:r>
        <w:rPr>
          <w:snapToGrid w:val="0"/>
        </w:rPr>
        <w:tab/>
        <w:t>Statutory substitutional gift</w:t>
      </w:r>
      <w:bookmarkEnd w:id="85"/>
      <w:bookmarkEnd w:id="86"/>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87" w:name="_Toc379285924"/>
      <w:bookmarkStart w:id="88" w:name="_Toc424562251"/>
      <w:r>
        <w:rPr>
          <w:rStyle w:val="CharSectno"/>
        </w:rPr>
        <w:t>28</w:t>
      </w:r>
      <w:r>
        <w:rPr>
          <w:snapToGrid w:val="0"/>
        </w:rPr>
        <w:t>.</w:t>
      </w:r>
      <w:r>
        <w:rPr>
          <w:snapToGrid w:val="0"/>
        </w:rPr>
        <w:tab/>
        <w:t>Charges on property to be paid primarily out of property charged</w:t>
      </w:r>
      <w:bookmarkEnd w:id="87"/>
      <w:bookmarkEnd w:id="8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89" w:name="_Toc379285925"/>
      <w:bookmarkStart w:id="90" w:name="_Toc424562252"/>
      <w:r>
        <w:rPr>
          <w:rStyle w:val="CharSectno"/>
        </w:rPr>
        <w:t>28A</w:t>
      </w:r>
      <w:r>
        <w:t>.</w:t>
      </w:r>
      <w:r>
        <w:tab/>
        <w:t>Use of extrinsic evidence to clarify will</w:t>
      </w:r>
      <w:bookmarkEnd w:id="89"/>
      <w:bookmarkEnd w:id="90"/>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91" w:name="_Toc379285926"/>
      <w:bookmarkStart w:id="92" w:name="_Toc413750930"/>
      <w:bookmarkStart w:id="93" w:name="_Toc413770782"/>
      <w:bookmarkStart w:id="94" w:name="_Toc413770864"/>
      <w:bookmarkStart w:id="95" w:name="_Toc422313390"/>
      <w:bookmarkStart w:id="96" w:name="_Toc424562253"/>
      <w:r>
        <w:rPr>
          <w:rStyle w:val="CharPartNo"/>
        </w:rPr>
        <w:t>Part IX</w:t>
      </w:r>
      <w:r>
        <w:rPr>
          <w:rStyle w:val="CharDivNo"/>
        </w:rPr>
        <w:t> </w:t>
      </w:r>
      <w:r>
        <w:t>—</w:t>
      </w:r>
      <w:r>
        <w:rPr>
          <w:rStyle w:val="CharDivText"/>
        </w:rPr>
        <w:t> </w:t>
      </w:r>
      <w:r>
        <w:rPr>
          <w:rStyle w:val="CharPartText"/>
        </w:rPr>
        <w:t>Illegitimacy</w:t>
      </w:r>
      <w:bookmarkEnd w:id="91"/>
      <w:bookmarkEnd w:id="92"/>
      <w:bookmarkEnd w:id="93"/>
      <w:bookmarkEnd w:id="94"/>
      <w:bookmarkEnd w:id="95"/>
      <w:bookmarkEnd w:id="96"/>
    </w:p>
    <w:p>
      <w:pPr>
        <w:pStyle w:val="Footnoteheading"/>
        <w:ind w:left="890"/>
        <w:rPr>
          <w:snapToGrid w:val="0"/>
        </w:rPr>
      </w:pPr>
      <w:r>
        <w:rPr>
          <w:snapToGrid w:val="0"/>
        </w:rPr>
        <w:tab/>
        <w:t xml:space="preserve">[Heading inserted by No. 20 of 1971 s. 3.] </w:t>
      </w:r>
    </w:p>
    <w:p>
      <w:pPr>
        <w:pStyle w:val="Heading5"/>
        <w:rPr>
          <w:snapToGrid w:val="0"/>
        </w:rPr>
      </w:pPr>
      <w:bookmarkStart w:id="97" w:name="_Toc379285927"/>
      <w:bookmarkStart w:id="98" w:name="_Toc424562254"/>
      <w:r>
        <w:rPr>
          <w:rStyle w:val="CharSectno"/>
        </w:rPr>
        <w:t>29</w:t>
      </w:r>
      <w:r>
        <w:rPr>
          <w:snapToGrid w:val="0"/>
        </w:rPr>
        <w:t>.</w:t>
      </w:r>
      <w:r>
        <w:rPr>
          <w:snapToGrid w:val="0"/>
        </w:rPr>
        <w:tab/>
        <w:t>Application of Part IX</w:t>
      </w:r>
      <w:bookmarkEnd w:id="97"/>
      <w:bookmarkEnd w:id="98"/>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3</w:t>
      </w:r>
      <w:r>
        <w:rPr>
          <w:snapToGrid w:val="0"/>
        </w:rPr>
        <w:t xml:space="preserve">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99" w:name="_Toc379285928"/>
      <w:bookmarkStart w:id="100" w:name="_Toc424562255"/>
      <w:r>
        <w:rPr>
          <w:rStyle w:val="CharSectno"/>
        </w:rPr>
        <w:t>30</w:t>
      </w:r>
      <w:r>
        <w:rPr>
          <w:snapToGrid w:val="0"/>
        </w:rPr>
        <w:t>.</w:t>
      </w:r>
      <w:r>
        <w:rPr>
          <w:snapToGrid w:val="0"/>
        </w:rPr>
        <w:tab/>
        <w:t>Abolition of rule regarding illegitimates not in being</w:t>
      </w:r>
      <w:bookmarkEnd w:id="99"/>
      <w:bookmarkEnd w:id="100"/>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01" w:name="_Toc379285929"/>
      <w:bookmarkStart w:id="102" w:name="_Toc424562256"/>
      <w:r>
        <w:rPr>
          <w:rStyle w:val="CharSectno"/>
        </w:rPr>
        <w:t>31</w:t>
      </w:r>
      <w:r>
        <w:rPr>
          <w:snapToGrid w:val="0"/>
        </w:rPr>
        <w:t>.</w:t>
      </w:r>
      <w:r>
        <w:rPr>
          <w:snapToGrid w:val="0"/>
        </w:rPr>
        <w:tab/>
        <w:t>Determination of relationships</w:t>
      </w:r>
      <w:bookmarkEnd w:id="101"/>
      <w:bookmarkEnd w:id="102"/>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by No. 20 of 1971 s. 3; amended by No. 14 of 1985 s. 8; No. 28 of 2003 s. 212.] </w:t>
      </w:r>
    </w:p>
    <w:p>
      <w:pPr>
        <w:pStyle w:val="Heading2"/>
      </w:pPr>
      <w:bookmarkStart w:id="103" w:name="_Toc322694904"/>
      <w:bookmarkStart w:id="104" w:name="_Toc322694935"/>
      <w:bookmarkStart w:id="105" w:name="_Toc322695126"/>
      <w:bookmarkStart w:id="106" w:name="_Toc323024171"/>
      <w:bookmarkStart w:id="107" w:name="_Toc323024202"/>
      <w:bookmarkStart w:id="108" w:name="_Toc340746603"/>
      <w:bookmarkStart w:id="109" w:name="_Toc340746634"/>
      <w:bookmarkStart w:id="110" w:name="_Toc413770786"/>
      <w:bookmarkStart w:id="111" w:name="_Toc413770868"/>
      <w:bookmarkStart w:id="112" w:name="_Toc422313394"/>
      <w:bookmarkStart w:id="113" w:name="_Toc424562257"/>
      <w:bookmarkStart w:id="114" w:name="_Toc379285930"/>
      <w:bookmarkStart w:id="115" w:name="_Toc413750934"/>
      <w:r>
        <w:rPr>
          <w:rStyle w:val="CharPartNo"/>
        </w:rPr>
        <w:t>Part XA</w:t>
      </w:r>
      <w:r>
        <w:rPr>
          <w:rStyle w:val="CharDivNo"/>
        </w:rPr>
        <w:t> </w:t>
      </w:r>
      <w:r>
        <w:t>—</w:t>
      </w:r>
      <w:r>
        <w:rPr>
          <w:rStyle w:val="CharDivText"/>
        </w:rPr>
        <w:t> </w:t>
      </w:r>
      <w:r>
        <w:rPr>
          <w:rStyle w:val="CharPartText"/>
        </w:rPr>
        <w:t>International wills</w:t>
      </w:r>
      <w:bookmarkEnd w:id="103"/>
      <w:bookmarkEnd w:id="104"/>
      <w:bookmarkEnd w:id="105"/>
      <w:bookmarkEnd w:id="106"/>
      <w:bookmarkEnd w:id="107"/>
      <w:bookmarkEnd w:id="108"/>
      <w:bookmarkEnd w:id="109"/>
      <w:bookmarkEnd w:id="110"/>
      <w:bookmarkEnd w:id="111"/>
      <w:bookmarkEnd w:id="112"/>
      <w:bookmarkEnd w:id="113"/>
    </w:p>
    <w:p>
      <w:pPr>
        <w:pStyle w:val="Footnoteheading"/>
      </w:pPr>
      <w:bookmarkStart w:id="116" w:name="_Toc340746635"/>
      <w:r>
        <w:tab/>
        <w:t>[Heading inserted by No. 47 of 2012 s. 5.]</w:t>
      </w:r>
    </w:p>
    <w:p>
      <w:pPr>
        <w:pStyle w:val="Heading5"/>
        <w:spacing w:before="180"/>
      </w:pPr>
      <w:bookmarkStart w:id="117" w:name="_Toc424562258"/>
      <w:r>
        <w:rPr>
          <w:rStyle w:val="CharSectno"/>
        </w:rPr>
        <w:t>32A</w:t>
      </w:r>
      <w:r>
        <w:t>.</w:t>
      </w:r>
      <w:r>
        <w:tab/>
        <w:t>Terms used</w:t>
      </w:r>
      <w:bookmarkEnd w:id="116"/>
      <w:bookmarkEnd w:id="117"/>
    </w:p>
    <w:p>
      <w:pPr>
        <w:pStyle w:val="Subsection"/>
        <w:spacing w:before="120"/>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bookmarkStart w:id="118" w:name="_Toc340746636"/>
      <w:r>
        <w:tab/>
        <w:t>[Section 32A inserted by No. 47 of 2012 s. 5.]</w:t>
      </w:r>
    </w:p>
    <w:p>
      <w:pPr>
        <w:pStyle w:val="Heading5"/>
        <w:spacing w:before="180"/>
      </w:pPr>
      <w:bookmarkStart w:id="119" w:name="_Toc424562259"/>
      <w:r>
        <w:rPr>
          <w:rStyle w:val="CharSectno"/>
        </w:rPr>
        <w:t>32B</w:t>
      </w:r>
      <w:r>
        <w:t>.</w:t>
      </w:r>
      <w:r>
        <w:tab/>
        <w:t>Application of Convention</w:t>
      </w:r>
      <w:bookmarkEnd w:id="118"/>
      <w:bookmarkEnd w:id="119"/>
    </w:p>
    <w:p>
      <w:pPr>
        <w:pStyle w:val="Subsection"/>
        <w:spacing w:before="120"/>
      </w:pPr>
      <w:r>
        <w:tab/>
      </w:r>
      <w:r>
        <w:tab/>
        <w:t>The Annex to the Convention has the force of law in this jurisdiction.</w:t>
      </w:r>
    </w:p>
    <w:p>
      <w:pPr>
        <w:pStyle w:val="NotesPerm"/>
        <w:tabs>
          <w:tab w:val="left" w:pos="2127"/>
        </w:tabs>
        <w:ind w:left="1418" w:hanging="1418"/>
      </w:pPr>
      <w:r>
        <w:tab/>
        <w:t>Note:</w:t>
      </w:r>
      <w:r>
        <w:tab/>
        <w:t>The Annex to the Convention is set out in Schedule 1.</w:t>
      </w:r>
    </w:p>
    <w:p>
      <w:pPr>
        <w:pStyle w:val="Footnotesection"/>
      </w:pPr>
      <w:bookmarkStart w:id="120" w:name="_Toc340746637"/>
      <w:r>
        <w:tab/>
        <w:t>[Section 32B inserted by No. 47 of 2012 s. 5.]</w:t>
      </w:r>
    </w:p>
    <w:p>
      <w:pPr>
        <w:pStyle w:val="Heading5"/>
        <w:spacing w:before="180"/>
      </w:pPr>
      <w:bookmarkStart w:id="121" w:name="_Toc424562260"/>
      <w:r>
        <w:rPr>
          <w:rStyle w:val="CharSectno"/>
        </w:rPr>
        <w:t>32C</w:t>
      </w:r>
      <w:r>
        <w:t>.</w:t>
      </w:r>
      <w:r>
        <w:tab/>
        <w:t>Persons authorised to act in connection with international wills</w:t>
      </w:r>
      <w:bookmarkEnd w:id="120"/>
      <w:bookmarkEnd w:id="121"/>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NotesPerm"/>
        <w:tabs>
          <w:tab w:val="clear" w:pos="879"/>
          <w:tab w:val="left" w:pos="1418"/>
          <w:tab w:val="left" w:pos="2127"/>
        </w:tabs>
        <w:ind w:left="2127" w:hanging="2127"/>
      </w:pPr>
      <w:r>
        <w:tab/>
        <w:t>Note:</w:t>
      </w:r>
      <w:r>
        <w:tab/>
        <w:t>This section gives effect to Articles II and III of the Convention.</w:t>
      </w:r>
    </w:p>
    <w:p>
      <w:pPr>
        <w:pStyle w:val="Footnotesection"/>
      </w:pPr>
      <w:bookmarkStart w:id="122" w:name="_Toc340746638"/>
      <w:r>
        <w:tab/>
        <w:t>[Section 32C inserted by No. 47 of 2012 s. 5.]</w:t>
      </w:r>
    </w:p>
    <w:p>
      <w:pPr>
        <w:pStyle w:val="Heading5"/>
      </w:pPr>
      <w:bookmarkStart w:id="123" w:name="_Toc424562261"/>
      <w:r>
        <w:rPr>
          <w:rStyle w:val="CharSectno"/>
        </w:rPr>
        <w:t>32D</w:t>
      </w:r>
      <w:r>
        <w:t>.</w:t>
      </w:r>
      <w:r>
        <w:tab/>
        <w:t>Witnesses to international wills</w:t>
      </w:r>
      <w:bookmarkEnd w:id="122"/>
      <w:bookmarkEnd w:id="123"/>
    </w:p>
    <w:p>
      <w:pPr>
        <w:pStyle w:val="Subsection"/>
      </w:pPr>
      <w:r>
        <w:tab/>
      </w:r>
      <w:r>
        <w:tab/>
        <w:t>The conditions requisite to acting as a witness to an international will are governed by the law of this jurisdiction.</w:t>
      </w:r>
    </w:p>
    <w:p>
      <w:pPr>
        <w:pStyle w:val="NotesPerm"/>
        <w:tabs>
          <w:tab w:val="clear" w:pos="879"/>
          <w:tab w:val="left" w:pos="851"/>
          <w:tab w:val="left" w:pos="2127"/>
        </w:tabs>
        <w:ind w:left="1418" w:hanging="1418"/>
      </w:pPr>
      <w:r>
        <w:tab/>
        <w:t>Note:</w:t>
      </w:r>
      <w:r>
        <w:tab/>
        <w:t>See section 11.</w:t>
      </w:r>
    </w:p>
    <w:p>
      <w:pPr>
        <w:pStyle w:val="Footnotesection"/>
      </w:pPr>
      <w:bookmarkStart w:id="124" w:name="_Toc340746639"/>
      <w:r>
        <w:tab/>
        <w:t>[Section 32D inserted by No. 47 of 2012 s. 5.]</w:t>
      </w:r>
    </w:p>
    <w:p>
      <w:pPr>
        <w:pStyle w:val="Heading5"/>
      </w:pPr>
      <w:bookmarkStart w:id="125" w:name="_Toc424562262"/>
      <w:r>
        <w:rPr>
          <w:rStyle w:val="CharSectno"/>
        </w:rPr>
        <w:t>32E</w:t>
      </w:r>
      <w:r>
        <w:t>.</w:t>
      </w:r>
      <w:r>
        <w:tab/>
        <w:t>Application of Act to international wills</w:t>
      </w:r>
      <w:bookmarkEnd w:id="124"/>
      <w:bookmarkEnd w:id="125"/>
    </w:p>
    <w:p>
      <w:pPr>
        <w:pStyle w:val="Subsection"/>
      </w:pPr>
      <w:r>
        <w:tab/>
      </w:r>
      <w:r>
        <w:tab/>
        <w:t>To avoid doubt, the provisions of this Act that apply to wills extend to international wills.</w:t>
      </w:r>
    </w:p>
    <w:p>
      <w:pPr>
        <w:pStyle w:val="Footnotesection"/>
      </w:pPr>
      <w:r>
        <w:tab/>
        <w:t>[Section 32E inserted by No. 47 of 2012 s. 5.]</w:t>
      </w:r>
    </w:p>
    <w:p>
      <w:pPr>
        <w:pStyle w:val="Heading2"/>
      </w:pPr>
      <w:bookmarkStart w:id="126" w:name="_Toc413770792"/>
      <w:bookmarkStart w:id="127" w:name="_Toc413770874"/>
      <w:bookmarkStart w:id="128" w:name="_Toc422313400"/>
      <w:bookmarkStart w:id="129" w:name="_Toc424562263"/>
      <w:r>
        <w:rPr>
          <w:rStyle w:val="CharPartNo"/>
        </w:rPr>
        <w:t>Part X</w:t>
      </w:r>
      <w:r>
        <w:rPr>
          <w:rStyle w:val="CharDivNo"/>
        </w:rPr>
        <w:t> </w:t>
      </w:r>
      <w:r>
        <w:t>—</w:t>
      </w:r>
      <w:r>
        <w:rPr>
          <w:rStyle w:val="CharDivText"/>
        </w:rPr>
        <w:t> </w:t>
      </w:r>
      <w:r>
        <w:rPr>
          <w:rStyle w:val="CharPartText"/>
        </w:rPr>
        <w:t>Informal wills</w:t>
      </w:r>
      <w:bookmarkEnd w:id="114"/>
      <w:bookmarkEnd w:id="115"/>
      <w:bookmarkEnd w:id="126"/>
      <w:bookmarkEnd w:id="127"/>
      <w:bookmarkEnd w:id="128"/>
      <w:bookmarkEnd w:id="129"/>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30" w:name="_Toc379285931"/>
      <w:bookmarkStart w:id="131" w:name="_Toc424562264"/>
      <w:r>
        <w:rPr>
          <w:rStyle w:val="CharSectno"/>
        </w:rPr>
        <w:t>32</w:t>
      </w:r>
      <w:r>
        <w:t>.</w:t>
      </w:r>
      <w:r>
        <w:tab/>
        <w:t>Court may dispense with formal requirements</w:t>
      </w:r>
      <w:bookmarkEnd w:id="130"/>
      <w:bookmarkEnd w:id="131"/>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32" w:name="_Toc379285932"/>
      <w:bookmarkStart w:id="133" w:name="_Toc424562265"/>
      <w:r>
        <w:rPr>
          <w:rStyle w:val="CharSectno"/>
        </w:rPr>
        <w:t>33</w:t>
      </w:r>
      <w:r>
        <w:t>.</w:t>
      </w:r>
      <w:r>
        <w:tab/>
        <w:t>Application of section 32</w:t>
      </w:r>
      <w:bookmarkEnd w:id="132"/>
      <w:bookmarkEnd w:id="133"/>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34" w:name="_Toc379285933"/>
      <w:bookmarkStart w:id="135" w:name="_Toc424562266"/>
      <w:r>
        <w:rPr>
          <w:rStyle w:val="CharSectno"/>
        </w:rPr>
        <w:t>38</w:t>
      </w:r>
      <w:r>
        <w:rPr>
          <w:snapToGrid w:val="0"/>
        </w:rPr>
        <w:t>.</w:t>
      </w:r>
      <w:r>
        <w:rPr>
          <w:snapToGrid w:val="0"/>
        </w:rPr>
        <w:tab/>
        <w:t>Modification of certain references to execution of will</w:t>
      </w:r>
      <w:bookmarkEnd w:id="134"/>
      <w:bookmarkEnd w:id="13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36" w:name="_Toc379285934"/>
      <w:bookmarkStart w:id="137" w:name="_Toc413750938"/>
      <w:bookmarkStart w:id="138" w:name="_Toc413770796"/>
      <w:bookmarkStart w:id="139" w:name="_Toc413770878"/>
      <w:bookmarkStart w:id="140" w:name="_Toc422313404"/>
      <w:bookmarkStart w:id="141" w:name="_Toc424562267"/>
      <w:r>
        <w:rPr>
          <w:rStyle w:val="CharPartNo"/>
        </w:rPr>
        <w:t>Part XI</w:t>
      </w:r>
      <w:r>
        <w:rPr>
          <w:b w:val="0"/>
        </w:rPr>
        <w:t> </w:t>
      </w:r>
      <w:r>
        <w:t>—</w:t>
      </w:r>
      <w:r>
        <w:rPr>
          <w:b w:val="0"/>
        </w:rPr>
        <w:t> </w:t>
      </w:r>
      <w:r>
        <w:rPr>
          <w:rStyle w:val="CharPartText"/>
        </w:rPr>
        <w:t>Wills of persons who lack testamentary capacity</w:t>
      </w:r>
      <w:bookmarkEnd w:id="136"/>
      <w:bookmarkEnd w:id="137"/>
      <w:bookmarkEnd w:id="138"/>
      <w:bookmarkEnd w:id="139"/>
      <w:bookmarkEnd w:id="140"/>
      <w:bookmarkEnd w:id="141"/>
    </w:p>
    <w:p>
      <w:pPr>
        <w:pStyle w:val="Footnoteheading"/>
      </w:pPr>
      <w:r>
        <w:tab/>
        <w:t>[Heading inserted by No. 27 of 2007 s. 24.]</w:t>
      </w:r>
    </w:p>
    <w:p>
      <w:pPr>
        <w:pStyle w:val="Heading3"/>
      </w:pPr>
      <w:bookmarkStart w:id="142" w:name="_Toc379285935"/>
      <w:bookmarkStart w:id="143" w:name="_Toc413750939"/>
      <w:bookmarkStart w:id="144" w:name="_Toc413770797"/>
      <w:bookmarkStart w:id="145" w:name="_Toc413770879"/>
      <w:bookmarkStart w:id="146" w:name="_Toc422313405"/>
      <w:bookmarkStart w:id="147" w:name="_Toc424562268"/>
      <w:r>
        <w:rPr>
          <w:rStyle w:val="CharDivNo"/>
        </w:rPr>
        <w:t>Division 1</w:t>
      </w:r>
      <w:r>
        <w:t> — </w:t>
      </w:r>
      <w:r>
        <w:rPr>
          <w:rStyle w:val="CharDivText"/>
        </w:rPr>
        <w:t>Jurisdiction of Supreme Court to authorise the making, alteration and revocation of wills</w:t>
      </w:r>
      <w:bookmarkEnd w:id="142"/>
      <w:bookmarkEnd w:id="143"/>
      <w:bookmarkEnd w:id="144"/>
      <w:bookmarkEnd w:id="145"/>
      <w:bookmarkEnd w:id="146"/>
      <w:bookmarkEnd w:id="147"/>
    </w:p>
    <w:p>
      <w:pPr>
        <w:pStyle w:val="Footnoteheading"/>
      </w:pPr>
      <w:r>
        <w:tab/>
        <w:t>[Heading inserted by No. 27 of 2007 s. 24.]</w:t>
      </w:r>
    </w:p>
    <w:p>
      <w:pPr>
        <w:pStyle w:val="Heading5"/>
      </w:pPr>
      <w:bookmarkStart w:id="148" w:name="_Toc379285936"/>
      <w:bookmarkStart w:id="149" w:name="_Toc424562269"/>
      <w:r>
        <w:rPr>
          <w:rStyle w:val="CharSectno"/>
        </w:rPr>
        <w:t>39</w:t>
      </w:r>
      <w:r>
        <w:t>.</w:t>
      </w:r>
      <w:r>
        <w:tab/>
        <w:t>Terms used</w:t>
      </w:r>
      <w:bookmarkEnd w:id="148"/>
      <w:bookmarkEnd w:id="149"/>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50" w:name="_Toc379285937"/>
      <w:bookmarkStart w:id="151" w:name="_Toc424562270"/>
      <w:r>
        <w:rPr>
          <w:rStyle w:val="CharSectno"/>
        </w:rPr>
        <w:t>40</w:t>
      </w:r>
      <w:r>
        <w:t>.</w:t>
      </w:r>
      <w:r>
        <w:tab/>
        <w:t>Jurisdiction of Court to make, alter or revoke will</w:t>
      </w:r>
      <w:bookmarkEnd w:id="150"/>
      <w:bookmarkEnd w:id="151"/>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by No. 27 of 2007 s. 24.]</w:t>
      </w:r>
    </w:p>
    <w:p>
      <w:pPr>
        <w:pStyle w:val="Heading5"/>
        <w:spacing w:before="180"/>
      </w:pPr>
      <w:bookmarkStart w:id="152" w:name="_Toc379285938"/>
      <w:bookmarkStart w:id="153" w:name="_Toc424562271"/>
      <w:r>
        <w:rPr>
          <w:rStyle w:val="CharSectno"/>
        </w:rPr>
        <w:t>41</w:t>
      </w:r>
      <w:r>
        <w:t>.</w:t>
      </w:r>
      <w:r>
        <w:tab/>
        <w:t>Content of application under section 40</w:t>
      </w:r>
      <w:bookmarkEnd w:id="152"/>
      <w:bookmarkEnd w:id="153"/>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by No. 27 of 2007 s. 24; amended by No. 48 of 2011 s. 17.]</w:t>
      </w:r>
    </w:p>
    <w:p>
      <w:pPr>
        <w:pStyle w:val="Heading5"/>
      </w:pPr>
      <w:bookmarkStart w:id="154" w:name="_Toc379285939"/>
      <w:bookmarkStart w:id="155" w:name="_Toc424562272"/>
      <w:r>
        <w:rPr>
          <w:rStyle w:val="CharSectno"/>
        </w:rPr>
        <w:t>42</w:t>
      </w:r>
      <w:r>
        <w:t>.</w:t>
      </w:r>
      <w:r>
        <w:tab/>
        <w:t>Certain criteria to be applied by Court</w:t>
      </w:r>
      <w:bookmarkEnd w:id="154"/>
      <w:bookmarkEnd w:id="155"/>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56" w:name="_Toc379285940"/>
      <w:bookmarkStart w:id="157" w:name="_Toc424562273"/>
      <w:r>
        <w:rPr>
          <w:rStyle w:val="CharSectno"/>
        </w:rPr>
        <w:t>43</w:t>
      </w:r>
      <w:r>
        <w:t>.</w:t>
      </w:r>
      <w:r>
        <w:tab/>
        <w:t>Further powers of Court</w:t>
      </w:r>
      <w:bookmarkEnd w:id="156"/>
      <w:bookmarkEnd w:id="157"/>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by No. 27 of 2007 s. 24.]</w:t>
      </w:r>
    </w:p>
    <w:p>
      <w:pPr>
        <w:pStyle w:val="Heading5"/>
      </w:pPr>
      <w:bookmarkStart w:id="158" w:name="_Toc379285941"/>
      <w:bookmarkStart w:id="159" w:name="_Toc424562274"/>
      <w:r>
        <w:rPr>
          <w:rStyle w:val="CharSectno"/>
        </w:rPr>
        <w:t>44</w:t>
      </w:r>
      <w:r>
        <w:t>.</w:t>
      </w:r>
      <w:r>
        <w:tab/>
        <w:t>Deposit of wills made under this Part with Principal Registrar</w:t>
      </w:r>
      <w:bookmarkEnd w:id="158"/>
      <w:bookmarkEnd w:id="159"/>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by No. 27 of 2007 s. 24.]</w:t>
      </w:r>
    </w:p>
    <w:p>
      <w:pPr>
        <w:pStyle w:val="Heading5"/>
      </w:pPr>
      <w:bookmarkStart w:id="160" w:name="_Toc379285942"/>
      <w:bookmarkStart w:id="161" w:name="_Toc424562275"/>
      <w:r>
        <w:rPr>
          <w:rStyle w:val="CharSectno"/>
        </w:rPr>
        <w:t>45</w:t>
      </w:r>
      <w:r>
        <w:t>.</w:t>
      </w:r>
      <w:r>
        <w:tab/>
        <w:t>Court may allow access to will</w:t>
      </w:r>
      <w:bookmarkEnd w:id="160"/>
      <w:bookmarkEnd w:id="161"/>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62" w:name="_Toc379285943"/>
      <w:bookmarkStart w:id="163" w:name="_Toc424562276"/>
      <w:r>
        <w:rPr>
          <w:rStyle w:val="CharSectno"/>
        </w:rPr>
        <w:t>46</w:t>
      </w:r>
      <w:r>
        <w:t>.</w:t>
      </w:r>
      <w:r>
        <w:tab/>
        <w:t>Alteration or revocation of will authorised under this Part</w:t>
      </w:r>
      <w:bookmarkEnd w:id="162"/>
      <w:bookmarkEnd w:id="163"/>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64" w:name="_Toc379285944"/>
      <w:bookmarkStart w:id="165" w:name="_Toc424562277"/>
      <w:r>
        <w:rPr>
          <w:rStyle w:val="CharSectno"/>
        </w:rPr>
        <w:t>47</w:t>
      </w:r>
      <w:r>
        <w:t>.</w:t>
      </w:r>
      <w:r>
        <w:tab/>
        <w:t>Protection of privacy of persons to whom applications relate</w:t>
      </w:r>
      <w:bookmarkEnd w:id="164"/>
      <w:bookmarkEnd w:id="165"/>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66" w:name="_Toc379285945"/>
      <w:bookmarkStart w:id="167" w:name="_Toc413750949"/>
      <w:bookmarkStart w:id="168" w:name="_Toc413770807"/>
      <w:bookmarkStart w:id="169" w:name="_Toc413770889"/>
      <w:bookmarkStart w:id="170" w:name="_Toc422313415"/>
      <w:bookmarkStart w:id="171" w:name="_Toc424562278"/>
      <w:r>
        <w:rPr>
          <w:rStyle w:val="CharDivNo"/>
        </w:rPr>
        <w:t>Division 2</w:t>
      </w:r>
      <w:r>
        <w:t> — </w:t>
      </w:r>
      <w:r>
        <w:rPr>
          <w:rStyle w:val="CharDivText"/>
        </w:rPr>
        <w:t>Wills of persons who lack testamentary capacity made under the law of another place</w:t>
      </w:r>
      <w:bookmarkEnd w:id="166"/>
      <w:bookmarkEnd w:id="167"/>
      <w:bookmarkEnd w:id="168"/>
      <w:bookmarkEnd w:id="169"/>
      <w:bookmarkEnd w:id="170"/>
      <w:bookmarkEnd w:id="171"/>
    </w:p>
    <w:p>
      <w:pPr>
        <w:pStyle w:val="Footnoteheading"/>
      </w:pPr>
      <w:r>
        <w:tab/>
        <w:t>[Heading inserted by No. 27 of 2007 s. 24.]</w:t>
      </w:r>
    </w:p>
    <w:p>
      <w:pPr>
        <w:pStyle w:val="Heading5"/>
      </w:pPr>
      <w:bookmarkStart w:id="172" w:name="_Toc379285946"/>
      <w:bookmarkStart w:id="173" w:name="_Toc424562279"/>
      <w:r>
        <w:rPr>
          <w:rStyle w:val="CharSectno"/>
        </w:rPr>
        <w:t>48</w:t>
      </w:r>
      <w:r>
        <w:t>.</w:t>
      </w:r>
      <w:r>
        <w:tab/>
        <w:t>Recognition of wills</w:t>
      </w:r>
      <w:bookmarkEnd w:id="172"/>
      <w:bookmarkEnd w:id="173"/>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74" w:name="_Toc379285947"/>
      <w:bookmarkStart w:id="175" w:name="_Toc413750951"/>
      <w:bookmarkStart w:id="176" w:name="_Toc413770809"/>
      <w:bookmarkStart w:id="177" w:name="_Toc413770891"/>
      <w:bookmarkStart w:id="178" w:name="_Toc422313417"/>
      <w:bookmarkStart w:id="179" w:name="_Toc424562280"/>
      <w:r>
        <w:rPr>
          <w:rStyle w:val="CharPartNo"/>
        </w:rPr>
        <w:t>Part XII</w:t>
      </w:r>
      <w:r>
        <w:rPr>
          <w:rStyle w:val="CharDivNo"/>
        </w:rPr>
        <w:t> </w:t>
      </w:r>
      <w:r>
        <w:t>—</w:t>
      </w:r>
      <w:r>
        <w:rPr>
          <w:rStyle w:val="CharDivText"/>
        </w:rPr>
        <w:t> </w:t>
      </w:r>
      <w:r>
        <w:rPr>
          <w:rStyle w:val="CharPartText"/>
        </w:rPr>
        <w:t>Rectification of wills by Supreme Court</w:t>
      </w:r>
      <w:bookmarkEnd w:id="174"/>
      <w:bookmarkEnd w:id="175"/>
      <w:bookmarkEnd w:id="176"/>
      <w:bookmarkEnd w:id="177"/>
      <w:bookmarkEnd w:id="178"/>
      <w:bookmarkEnd w:id="179"/>
    </w:p>
    <w:p>
      <w:pPr>
        <w:pStyle w:val="Footnoteheading"/>
      </w:pPr>
      <w:r>
        <w:tab/>
        <w:t>[Heading inserted by No. 27 of 2007 s. 24.]</w:t>
      </w:r>
    </w:p>
    <w:p>
      <w:pPr>
        <w:pStyle w:val="Heading5"/>
        <w:rPr>
          <w:rFonts w:eastAsia="Arial Unicode MS"/>
        </w:rPr>
      </w:pPr>
      <w:bookmarkStart w:id="180" w:name="_Toc379285948"/>
      <w:bookmarkStart w:id="181" w:name="_Toc424562281"/>
      <w:r>
        <w:rPr>
          <w:rStyle w:val="CharSectno"/>
        </w:rPr>
        <w:t>49</w:t>
      </w:r>
      <w:r>
        <w:rPr>
          <w:rFonts w:eastAsia="Arial Unicode MS"/>
        </w:rPr>
        <w:t>.</w:t>
      </w:r>
      <w:r>
        <w:rPr>
          <w:rFonts w:eastAsia="Arial Unicode MS"/>
        </w:rPr>
        <w:tab/>
        <w:t>Term used: Court</w:t>
      </w:r>
      <w:bookmarkEnd w:id="180"/>
      <w:bookmarkEnd w:id="181"/>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pPr>
      <w:bookmarkStart w:id="182" w:name="_Toc379285949"/>
      <w:bookmarkStart w:id="183" w:name="_Toc424562282"/>
      <w:r>
        <w:rPr>
          <w:rStyle w:val="CharSectno"/>
        </w:rPr>
        <w:t>50</w:t>
      </w:r>
      <w:r>
        <w:rPr>
          <w:rFonts w:eastAsia="Arial Unicode MS"/>
        </w:rPr>
        <w:t>.</w:t>
      </w:r>
      <w:r>
        <w:rPr>
          <w:rFonts w:eastAsia="Arial Unicode MS"/>
        </w:rPr>
        <w:tab/>
      </w:r>
      <w:r>
        <w:t>Court may rectify will</w:t>
      </w:r>
      <w:bookmarkEnd w:id="182"/>
      <w:bookmarkEnd w:id="183"/>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4" w:name="_Toc322694911"/>
      <w:bookmarkStart w:id="185" w:name="_Toc322694942"/>
      <w:bookmarkStart w:id="186" w:name="_Toc322695133"/>
      <w:bookmarkStart w:id="187" w:name="_Toc323024178"/>
      <w:bookmarkStart w:id="188" w:name="_Toc323024209"/>
      <w:bookmarkStart w:id="189" w:name="_Toc340746610"/>
      <w:bookmarkStart w:id="190" w:name="_Toc340746641"/>
      <w:bookmarkStart w:id="191" w:name="_Toc413770812"/>
      <w:bookmarkStart w:id="192" w:name="_Toc413770894"/>
      <w:bookmarkStart w:id="193" w:name="_Toc422313420"/>
      <w:bookmarkStart w:id="194" w:name="_Toc424562283"/>
      <w:bookmarkStart w:id="195" w:name="_Toc379285950"/>
      <w:bookmarkStart w:id="196"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184"/>
      <w:bookmarkEnd w:id="185"/>
      <w:bookmarkEnd w:id="186"/>
      <w:bookmarkEnd w:id="187"/>
      <w:bookmarkEnd w:id="188"/>
      <w:bookmarkEnd w:id="189"/>
      <w:bookmarkEnd w:id="190"/>
      <w:bookmarkEnd w:id="191"/>
      <w:bookmarkEnd w:id="192"/>
      <w:bookmarkEnd w:id="193"/>
      <w:bookmarkEnd w:id="194"/>
    </w:p>
    <w:p>
      <w:pPr>
        <w:pStyle w:val="yShoulderClause"/>
      </w:pPr>
      <w:r>
        <w:t>[s. 32A]</w:t>
      </w:r>
    </w:p>
    <w:p>
      <w:pPr>
        <w:pStyle w:val="yFootnoteheading"/>
      </w:pPr>
      <w:bookmarkStart w:id="197" w:name="_Toc322694912"/>
      <w:bookmarkStart w:id="198" w:name="_Toc322694943"/>
      <w:bookmarkStart w:id="199" w:name="_Toc322695134"/>
      <w:bookmarkStart w:id="200" w:name="_Toc323024179"/>
      <w:bookmarkStart w:id="201" w:name="_Toc323024210"/>
      <w:bookmarkStart w:id="202" w:name="_Toc340746611"/>
      <w:bookmarkStart w:id="203" w:name="_Toc340746642"/>
      <w:r>
        <w:tab/>
        <w:t>[Heading inserted by No. 47 of 2012 s. 6.]</w:t>
      </w:r>
    </w:p>
    <w:p>
      <w:pPr>
        <w:pStyle w:val="yHeading3"/>
      </w:pPr>
      <w:bookmarkStart w:id="204" w:name="_Toc413770813"/>
      <w:bookmarkStart w:id="205" w:name="_Toc413770895"/>
      <w:bookmarkStart w:id="206" w:name="_Toc422313421"/>
      <w:bookmarkStart w:id="207" w:name="_Toc424562284"/>
      <w:r>
        <w:t>ANNEX</w:t>
      </w:r>
      <w:bookmarkEnd w:id="197"/>
      <w:bookmarkEnd w:id="198"/>
      <w:bookmarkEnd w:id="199"/>
      <w:bookmarkEnd w:id="200"/>
      <w:bookmarkEnd w:id="201"/>
      <w:bookmarkEnd w:id="202"/>
      <w:bookmarkEnd w:id="203"/>
      <w:bookmarkEnd w:id="204"/>
      <w:bookmarkEnd w:id="205"/>
      <w:bookmarkEnd w:id="206"/>
      <w:bookmarkEnd w:id="207"/>
    </w:p>
    <w:p>
      <w:pPr>
        <w:pStyle w:val="yHeading4"/>
        <w:ind w:left="1276" w:right="1275"/>
      </w:pPr>
      <w:bookmarkStart w:id="208" w:name="_Toc322694913"/>
      <w:bookmarkStart w:id="209" w:name="_Toc322694944"/>
      <w:bookmarkStart w:id="210" w:name="_Toc322695135"/>
      <w:bookmarkStart w:id="211" w:name="_Toc323024180"/>
      <w:bookmarkStart w:id="212" w:name="_Toc323024211"/>
      <w:bookmarkStart w:id="213" w:name="_Toc340746612"/>
      <w:bookmarkStart w:id="214" w:name="_Toc340746643"/>
      <w:bookmarkStart w:id="215" w:name="_Toc413770814"/>
      <w:bookmarkStart w:id="216" w:name="_Toc413770896"/>
      <w:bookmarkStart w:id="217" w:name="_Toc422313422"/>
      <w:bookmarkStart w:id="218" w:name="_Toc424562285"/>
      <w:r>
        <w:rPr>
          <w:b w:val="0"/>
          <w:szCs w:val="22"/>
        </w:rPr>
        <w:t>UNIFORM LAW ON THE FORM OF AN INTERNATIONAL WILL</w:t>
      </w:r>
      <w:bookmarkEnd w:id="208"/>
      <w:bookmarkEnd w:id="209"/>
      <w:bookmarkEnd w:id="210"/>
      <w:bookmarkEnd w:id="211"/>
      <w:bookmarkEnd w:id="212"/>
      <w:bookmarkEnd w:id="213"/>
      <w:bookmarkEnd w:id="214"/>
      <w:bookmarkEnd w:id="215"/>
      <w:bookmarkEnd w:id="216"/>
      <w:bookmarkEnd w:id="217"/>
      <w:bookmarkEnd w:id="218"/>
    </w:p>
    <w:p>
      <w:pPr>
        <w:pStyle w:val="yHeading3"/>
      </w:pPr>
      <w:bookmarkStart w:id="219" w:name="_Toc322694914"/>
      <w:bookmarkStart w:id="220" w:name="_Toc322694945"/>
      <w:bookmarkStart w:id="221" w:name="_Toc322695136"/>
      <w:bookmarkStart w:id="222" w:name="_Toc323024181"/>
      <w:bookmarkStart w:id="223" w:name="_Toc323024212"/>
      <w:bookmarkStart w:id="224" w:name="_Toc340746613"/>
      <w:bookmarkStart w:id="225" w:name="_Toc340746644"/>
      <w:bookmarkStart w:id="226" w:name="_Toc413770815"/>
      <w:bookmarkStart w:id="227" w:name="_Toc413770897"/>
      <w:bookmarkStart w:id="228" w:name="_Toc422313423"/>
      <w:bookmarkStart w:id="229" w:name="_Toc424562286"/>
      <w:r>
        <w:t>Article 1</w:t>
      </w:r>
      <w:bookmarkEnd w:id="219"/>
      <w:bookmarkEnd w:id="220"/>
      <w:bookmarkEnd w:id="221"/>
      <w:bookmarkEnd w:id="222"/>
      <w:bookmarkEnd w:id="223"/>
      <w:bookmarkEnd w:id="224"/>
      <w:bookmarkEnd w:id="225"/>
      <w:bookmarkEnd w:id="226"/>
      <w:bookmarkEnd w:id="227"/>
      <w:bookmarkEnd w:id="228"/>
      <w:bookmarkEnd w:id="229"/>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230" w:name="_Toc322694915"/>
      <w:bookmarkStart w:id="231" w:name="_Toc322694946"/>
      <w:bookmarkStart w:id="232" w:name="_Toc322695137"/>
      <w:bookmarkStart w:id="233" w:name="_Toc323024182"/>
      <w:bookmarkStart w:id="234" w:name="_Toc323024213"/>
      <w:bookmarkStart w:id="235" w:name="_Toc340746614"/>
      <w:bookmarkStart w:id="236" w:name="_Toc340746645"/>
      <w:bookmarkStart w:id="237" w:name="_Toc413770816"/>
      <w:bookmarkStart w:id="238" w:name="_Toc413770898"/>
      <w:bookmarkStart w:id="239" w:name="_Toc422313424"/>
      <w:bookmarkStart w:id="240" w:name="_Toc424562287"/>
      <w:r>
        <w:t>Article 2</w:t>
      </w:r>
      <w:bookmarkEnd w:id="230"/>
      <w:bookmarkEnd w:id="231"/>
      <w:bookmarkEnd w:id="232"/>
      <w:bookmarkEnd w:id="233"/>
      <w:bookmarkEnd w:id="234"/>
      <w:bookmarkEnd w:id="235"/>
      <w:bookmarkEnd w:id="236"/>
      <w:bookmarkEnd w:id="237"/>
      <w:bookmarkEnd w:id="238"/>
      <w:bookmarkEnd w:id="239"/>
      <w:bookmarkEnd w:id="240"/>
    </w:p>
    <w:p>
      <w:pPr>
        <w:pStyle w:val="ySubsection"/>
      </w:pPr>
      <w:r>
        <w:tab/>
      </w:r>
      <w:r>
        <w:tab/>
        <w:t>This law shall not apply to the form of testamentary dispositions made by two or more persons in one instrument.</w:t>
      </w:r>
    </w:p>
    <w:p>
      <w:pPr>
        <w:pStyle w:val="yHeading3"/>
      </w:pPr>
      <w:bookmarkStart w:id="241" w:name="_Toc322694916"/>
      <w:bookmarkStart w:id="242" w:name="_Toc322694947"/>
      <w:bookmarkStart w:id="243" w:name="_Toc322695138"/>
      <w:bookmarkStart w:id="244" w:name="_Toc323024183"/>
      <w:bookmarkStart w:id="245" w:name="_Toc323024214"/>
      <w:bookmarkStart w:id="246" w:name="_Toc340746615"/>
      <w:bookmarkStart w:id="247" w:name="_Toc340746646"/>
      <w:bookmarkStart w:id="248" w:name="_Toc413770817"/>
      <w:bookmarkStart w:id="249" w:name="_Toc413770899"/>
      <w:bookmarkStart w:id="250" w:name="_Toc422313425"/>
      <w:bookmarkStart w:id="251" w:name="_Toc424562288"/>
      <w:r>
        <w:t>Article 3</w:t>
      </w:r>
      <w:bookmarkEnd w:id="241"/>
      <w:bookmarkEnd w:id="242"/>
      <w:bookmarkEnd w:id="243"/>
      <w:bookmarkEnd w:id="244"/>
      <w:bookmarkEnd w:id="245"/>
      <w:bookmarkEnd w:id="246"/>
      <w:bookmarkEnd w:id="247"/>
      <w:bookmarkEnd w:id="248"/>
      <w:bookmarkEnd w:id="249"/>
      <w:bookmarkEnd w:id="250"/>
      <w:bookmarkEnd w:id="251"/>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252" w:name="_Toc322694917"/>
      <w:bookmarkStart w:id="253" w:name="_Toc322694948"/>
      <w:bookmarkStart w:id="254" w:name="_Toc322695139"/>
      <w:bookmarkStart w:id="255" w:name="_Toc323024184"/>
      <w:bookmarkStart w:id="256" w:name="_Toc323024215"/>
      <w:bookmarkStart w:id="257" w:name="_Toc340746616"/>
      <w:bookmarkStart w:id="258" w:name="_Toc340746647"/>
      <w:bookmarkStart w:id="259" w:name="_Toc413770818"/>
      <w:bookmarkStart w:id="260" w:name="_Toc413770900"/>
      <w:bookmarkStart w:id="261" w:name="_Toc422313426"/>
      <w:bookmarkStart w:id="262" w:name="_Toc424562289"/>
      <w:r>
        <w:t>Article 4</w:t>
      </w:r>
      <w:bookmarkEnd w:id="252"/>
      <w:bookmarkEnd w:id="253"/>
      <w:bookmarkEnd w:id="254"/>
      <w:bookmarkEnd w:id="255"/>
      <w:bookmarkEnd w:id="256"/>
      <w:bookmarkEnd w:id="257"/>
      <w:bookmarkEnd w:id="258"/>
      <w:bookmarkEnd w:id="259"/>
      <w:bookmarkEnd w:id="260"/>
      <w:bookmarkEnd w:id="261"/>
      <w:bookmarkEnd w:id="262"/>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263" w:name="_Toc322694918"/>
      <w:bookmarkStart w:id="264" w:name="_Toc322694949"/>
      <w:bookmarkStart w:id="265" w:name="_Toc322695140"/>
      <w:bookmarkStart w:id="266" w:name="_Toc323024185"/>
      <w:bookmarkStart w:id="267" w:name="_Toc323024216"/>
      <w:bookmarkStart w:id="268" w:name="_Toc340746617"/>
      <w:bookmarkStart w:id="269" w:name="_Toc340746648"/>
      <w:bookmarkStart w:id="270" w:name="_Toc413770819"/>
      <w:bookmarkStart w:id="271" w:name="_Toc413770901"/>
      <w:bookmarkStart w:id="272" w:name="_Toc422313427"/>
      <w:bookmarkStart w:id="273" w:name="_Toc424562290"/>
      <w:r>
        <w:t>Article 5</w:t>
      </w:r>
      <w:bookmarkEnd w:id="263"/>
      <w:bookmarkEnd w:id="264"/>
      <w:bookmarkEnd w:id="265"/>
      <w:bookmarkEnd w:id="266"/>
      <w:bookmarkEnd w:id="267"/>
      <w:bookmarkEnd w:id="268"/>
      <w:bookmarkEnd w:id="269"/>
      <w:bookmarkEnd w:id="270"/>
      <w:bookmarkEnd w:id="271"/>
      <w:bookmarkEnd w:id="272"/>
      <w:bookmarkEnd w:id="273"/>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274" w:name="_Toc322694919"/>
      <w:bookmarkStart w:id="275" w:name="_Toc322694950"/>
      <w:bookmarkStart w:id="276" w:name="_Toc322695141"/>
      <w:bookmarkStart w:id="277" w:name="_Toc323024186"/>
      <w:bookmarkStart w:id="278" w:name="_Toc323024217"/>
      <w:bookmarkStart w:id="279" w:name="_Toc340746618"/>
      <w:bookmarkStart w:id="280" w:name="_Toc340746649"/>
      <w:bookmarkStart w:id="281" w:name="_Toc413770820"/>
      <w:bookmarkStart w:id="282" w:name="_Toc413770902"/>
      <w:bookmarkStart w:id="283" w:name="_Toc422313428"/>
      <w:bookmarkStart w:id="284" w:name="_Toc424562291"/>
      <w:r>
        <w:t>Article 6</w:t>
      </w:r>
      <w:bookmarkEnd w:id="274"/>
      <w:bookmarkEnd w:id="275"/>
      <w:bookmarkEnd w:id="276"/>
      <w:bookmarkEnd w:id="277"/>
      <w:bookmarkEnd w:id="278"/>
      <w:bookmarkEnd w:id="279"/>
      <w:bookmarkEnd w:id="280"/>
      <w:bookmarkEnd w:id="281"/>
      <w:bookmarkEnd w:id="282"/>
      <w:bookmarkEnd w:id="283"/>
      <w:bookmarkEnd w:id="284"/>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285" w:name="_Toc322694920"/>
      <w:bookmarkStart w:id="286" w:name="_Toc322694951"/>
      <w:bookmarkStart w:id="287" w:name="_Toc322695142"/>
      <w:bookmarkStart w:id="288" w:name="_Toc323024187"/>
      <w:bookmarkStart w:id="289" w:name="_Toc323024218"/>
      <w:bookmarkStart w:id="290" w:name="_Toc340746619"/>
      <w:bookmarkStart w:id="291" w:name="_Toc340746650"/>
      <w:bookmarkStart w:id="292" w:name="_Toc413770821"/>
      <w:bookmarkStart w:id="293" w:name="_Toc413770903"/>
      <w:bookmarkStart w:id="294" w:name="_Toc422313429"/>
      <w:bookmarkStart w:id="295" w:name="_Toc424562292"/>
      <w:r>
        <w:t>Article 7</w:t>
      </w:r>
      <w:bookmarkEnd w:id="285"/>
      <w:bookmarkEnd w:id="286"/>
      <w:bookmarkEnd w:id="287"/>
      <w:bookmarkEnd w:id="288"/>
      <w:bookmarkEnd w:id="289"/>
      <w:bookmarkEnd w:id="290"/>
      <w:bookmarkEnd w:id="291"/>
      <w:bookmarkEnd w:id="292"/>
      <w:bookmarkEnd w:id="293"/>
      <w:bookmarkEnd w:id="294"/>
      <w:bookmarkEnd w:id="295"/>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296" w:name="_Toc322694921"/>
      <w:bookmarkStart w:id="297" w:name="_Toc322694952"/>
      <w:bookmarkStart w:id="298" w:name="_Toc322695143"/>
      <w:bookmarkStart w:id="299" w:name="_Toc323024188"/>
      <w:bookmarkStart w:id="300" w:name="_Toc323024219"/>
      <w:bookmarkStart w:id="301" w:name="_Toc340746620"/>
      <w:bookmarkStart w:id="302" w:name="_Toc340746651"/>
      <w:bookmarkStart w:id="303" w:name="_Toc413770822"/>
      <w:bookmarkStart w:id="304" w:name="_Toc413770904"/>
      <w:bookmarkStart w:id="305" w:name="_Toc422313430"/>
      <w:bookmarkStart w:id="306" w:name="_Toc424562293"/>
      <w:r>
        <w:t>Article 8</w:t>
      </w:r>
      <w:bookmarkEnd w:id="296"/>
      <w:bookmarkEnd w:id="297"/>
      <w:bookmarkEnd w:id="298"/>
      <w:bookmarkEnd w:id="299"/>
      <w:bookmarkEnd w:id="300"/>
      <w:bookmarkEnd w:id="301"/>
      <w:bookmarkEnd w:id="302"/>
      <w:bookmarkEnd w:id="303"/>
      <w:bookmarkEnd w:id="304"/>
      <w:bookmarkEnd w:id="305"/>
      <w:bookmarkEnd w:id="306"/>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307" w:name="_Toc322694922"/>
      <w:bookmarkStart w:id="308" w:name="_Toc322694953"/>
      <w:bookmarkStart w:id="309" w:name="_Toc322695144"/>
      <w:bookmarkStart w:id="310" w:name="_Toc323024189"/>
      <w:bookmarkStart w:id="311" w:name="_Toc323024220"/>
      <w:bookmarkStart w:id="312" w:name="_Toc340746621"/>
      <w:bookmarkStart w:id="313" w:name="_Toc340746652"/>
      <w:bookmarkStart w:id="314" w:name="_Toc413770823"/>
      <w:bookmarkStart w:id="315" w:name="_Toc413770905"/>
      <w:bookmarkStart w:id="316" w:name="_Toc422313431"/>
      <w:bookmarkStart w:id="317" w:name="_Toc424562294"/>
      <w:r>
        <w:t>Article 9</w:t>
      </w:r>
      <w:bookmarkEnd w:id="307"/>
      <w:bookmarkEnd w:id="308"/>
      <w:bookmarkEnd w:id="309"/>
      <w:bookmarkEnd w:id="310"/>
      <w:bookmarkEnd w:id="311"/>
      <w:bookmarkEnd w:id="312"/>
      <w:bookmarkEnd w:id="313"/>
      <w:bookmarkEnd w:id="314"/>
      <w:bookmarkEnd w:id="315"/>
      <w:bookmarkEnd w:id="316"/>
      <w:bookmarkEnd w:id="317"/>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318" w:name="_Toc322694923"/>
      <w:bookmarkStart w:id="319" w:name="_Toc322694954"/>
      <w:bookmarkStart w:id="320" w:name="_Toc322695145"/>
      <w:bookmarkStart w:id="321" w:name="_Toc323024190"/>
      <w:bookmarkStart w:id="322" w:name="_Toc323024221"/>
      <w:bookmarkStart w:id="323" w:name="_Toc340746622"/>
      <w:bookmarkStart w:id="324" w:name="_Toc340746653"/>
      <w:bookmarkStart w:id="325" w:name="_Toc413770824"/>
      <w:bookmarkStart w:id="326" w:name="_Toc413770906"/>
      <w:bookmarkStart w:id="327" w:name="_Toc422313432"/>
      <w:bookmarkStart w:id="328" w:name="_Toc424562295"/>
      <w:r>
        <w:t>Article 10</w:t>
      </w:r>
      <w:bookmarkEnd w:id="318"/>
      <w:bookmarkEnd w:id="319"/>
      <w:bookmarkEnd w:id="320"/>
      <w:bookmarkEnd w:id="321"/>
      <w:bookmarkEnd w:id="322"/>
      <w:bookmarkEnd w:id="323"/>
      <w:bookmarkEnd w:id="324"/>
      <w:bookmarkEnd w:id="325"/>
      <w:bookmarkEnd w:id="326"/>
      <w:bookmarkEnd w:id="327"/>
      <w:bookmarkEnd w:id="328"/>
    </w:p>
    <w:p>
      <w:pPr>
        <w:pStyle w:val="ySubsection"/>
        <w:spacing w:before="180"/>
      </w:pPr>
      <w:r>
        <w:tab/>
      </w:r>
      <w:r>
        <w:tab/>
        <w:t>The certificate drawn up by the authorized person shall be in the following form or in a substantially similar form:</w:t>
      </w:r>
    </w:p>
    <w:p>
      <w:pPr>
        <w:pStyle w:val="yHeading3"/>
      </w:pPr>
      <w:bookmarkStart w:id="329" w:name="_Toc413770825"/>
      <w:bookmarkStart w:id="330" w:name="_Toc413770907"/>
      <w:bookmarkStart w:id="331" w:name="_Toc422313433"/>
      <w:bookmarkStart w:id="332" w:name="_Toc424562296"/>
      <w:r>
        <w:t>CERTIFICATE</w:t>
      </w:r>
      <w:bookmarkEnd w:id="329"/>
      <w:bookmarkEnd w:id="330"/>
      <w:bookmarkEnd w:id="331"/>
      <w:bookmarkEnd w:id="332"/>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333" w:name="_Toc322694925"/>
      <w:bookmarkStart w:id="334" w:name="_Toc322694956"/>
      <w:bookmarkStart w:id="335" w:name="_Toc322695147"/>
      <w:bookmarkStart w:id="336" w:name="_Toc323024192"/>
      <w:bookmarkStart w:id="337" w:name="_Toc323024223"/>
      <w:bookmarkStart w:id="338" w:name="_Toc340746624"/>
      <w:bookmarkStart w:id="339" w:name="_Toc340746655"/>
      <w:bookmarkStart w:id="340" w:name="_Toc413770826"/>
      <w:bookmarkStart w:id="341" w:name="_Toc413770908"/>
      <w:bookmarkStart w:id="342" w:name="_Toc422313434"/>
      <w:bookmarkStart w:id="343" w:name="_Toc424562297"/>
      <w:r>
        <w:t>Article 11</w:t>
      </w:r>
      <w:bookmarkEnd w:id="333"/>
      <w:bookmarkEnd w:id="334"/>
      <w:bookmarkEnd w:id="335"/>
      <w:bookmarkEnd w:id="336"/>
      <w:bookmarkEnd w:id="337"/>
      <w:bookmarkEnd w:id="338"/>
      <w:bookmarkEnd w:id="339"/>
      <w:bookmarkEnd w:id="340"/>
      <w:bookmarkEnd w:id="341"/>
      <w:bookmarkEnd w:id="342"/>
      <w:bookmarkEnd w:id="343"/>
    </w:p>
    <w:p>
      <w:pPr>
        <w:pStyle w:val="ySubsection"/>
      </w:pPr>
      <w:r>
        <w:tab/>
      </w:r>
      <w:r>
        <w:tab/>
        <w:t>The authorized person shall keep a copy of the certificate and deliver another to the testator.</w:t>
      </w:r>
    </w:p>
    <w:p>
      <w:pPr>
        <w:pStyle w:val="yHeading3"/>
      </w:pPr>
      <w:bookmarkStart w:id="344" w:name="_Toc322694926"/>
      <w:bookmarkStart w:id="345" w:name="_Toc322694957"/>
      <w:bookmarkStart w:id="346" w:name="_Toc322695148"/>
      <w:bookmarkStart w:id="347" w:name="_Toc323024193"/>
      <w:bookmarkStart w:id="348" w:name="_Toc323024224"/>
      <w:bookmarkStart w:id="349" w:name="_Toc340746625"/>
      <w:bookmarkStart w:id="350" w:name="_Toc340746656"/>
      <w:bookmarkStart w:id="351" w:name="_Toc413770827"/>
      <w:bookmarkStart w:id="352" w:name="_Toc413770909"/>
      <w:bookmarkStart w:id="353" w:name="_Toc422313435"/>
      <w:bookmarkStart w:id="354" w:name="_Toc424562298"/>
      <w:r>
        <w:t>Article 12</w:t>
      </w:r>
      <w:bookmarkEnd w:id="344"/>
      <w:bookmarkEnd w:id="345"/>
      <w:bookmarkEnd w:id="346"/>
      <w:bookmarkEnd w:id="347"/>
      <w:bookmarkEnd w:id="348"/>
      <w:bookmarkEnd w:id="349"/>
      <w:bookmarkEnd w:id="350"/>
      <w:bookmarkEnd w:id="351"/>
      <w:bookmarkEnd w:id="352"/>
      <w:bookmarkEnd w:id="353"/>
      <w:bookmarkEnd w:id="354"/>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355" w:name="_Toc322694927"/>
      <w:bookmarkStart w:id="356" w:name="_Toc322694958"/>
      <w:bookmarkStart w:id="357" w:name="_Toc322695149"/>
      <w:bookmarkStart w:id="358" w:name="_Toc323024194"/>
      <w:bookmarkStart w:id="359" w:name="_Toc323024225"/>
      <w:bookmarkStart w:id="360" w:name="_Toc340746626"/>
      <w:bookmarkStart w:id="361" w:name="_Toc340746657"/>
      <w:bookmarkStart w:id="362" w:name="_Toc413770828"/>
      <w:bookmarkStart w:id="363" w:name="_Toc413770910"/>
      <w:bookmarkStart w:id="364" w:name="_Toc422313436"/>
      <w:bookmarkStart w:id="365" w:name="_Toc424562299"/>
      <w:r>
        <w:t>Article 13</w:t>
      </w:r>
      <w:bookmarkEnd w:id="355"/>
      <w:bookmarkEnd w:id="356"/>
      <w:bookmarkEnd w:id="357"/>
      <w:bookmarkEnd w:id="358"/>
      <w:bookmarkEnd w:id="359"/>
      <w:bookmarkEnd w:id="360"/>
      <w:bookmarkEnd w:id="361"/>
      <w:bookmarkEnd w:id="362"/>
      <w:bookmarkEnd w:id="363"/>
      <w:bookmarkEnd w:id="364"/>
      <w:bookmarkEnd w:id="365"/>
    </w:p>
    <w:p>
      <w:pPr>
        <w:pStyle w:val="ySubsection"/>
      </w:pPr>
      <w:r>
        <w:tab/>
      </w:r>
      <w:r>
        <w:tab/>
        <w:t>The absence or irregularity of a certificate shall not affect the formal validity of a will under this Law.</w:t>
      </w:r>
    </w:p>
    <w:p>
      <w:pPr>
        <w:pStyle w:val="yHeading3"/>
      </w:pPr>
      <w:bookmarkStart w:id="366" w:name="_Toc322694928"/>
      <w:bookmarkStart w:id="367" w:name="_Toc322694959"/>
      <w:bookmarkStart w:id="368" w:name="_Toc322695150"/>
      <w:bookmarkStart w:id="369" w:name="_Toc323024195"/>
      <w:bookmarkStart w:id="370" w:name="_Toc323024226"/>
      <w:bookmarkStart w:id="371" w:name="_Toc340746627"/>
      <w:bookmarkStart w:id="372" w:name="_Toc340746658"/>
      <w:bookmarkStart w:id="373" w:name="_Toc413770829"/>
      <w:bookmarkStart w:id="374" w:name="_Toc413770911"/>
      <w:bookmarkStart w:id="375" w:name="_Toc422313437"/>
      <w:bookmarkStart w:id="376" w:name="_Toc424562300"/>
      <w:r>
        <w:t>Article 14</w:t>
      </w:r>
      <w:bookmarkEnd w:id="366"/>
      <w:bookmarkEnd w:id="367"/>
      <w:bookmarkEnd w:id="368"/>
      <w:bookmarkEnd w:id="369"/>
      <w:bookmarkEnd w:id="370"/>
      <w:bookmarkEnd w:id="371"/>
      <w:bookmarkEnd w:id="372"/>
      <w:bookmarkEnd w:id="373"/>
      <w:bookmarkEnd w:id="374"/>
      <w:bookmarkEnd w:id="375"/>
      <w:bookmarkEnd w:id="376"/>
    </w:p>
    <w:p>
      <w:pPr>
        <w:pStyle w:val="ySubsection"/>
      </w:pPr>
      <w:r>
        <w:tab/>
      </w:r>
      <w:r>
        <w:tab/>
        <w:t>The international will shall be subject to the ordinary rules of revocation of wills.</w:t>
      </w:r>
    </w:p>
    <w:p>
      <w:pPr>
        <w:pStyle w:val="yHeading3"/>
      </w:pPr>
      <w:bookmarkStart w:id="377" w:name="_Toc322694929"/>
      <w:bookmarkStart w:id="378" w:name="_Toc322694960"/>
      <w:bookmarkStart w:id="379" w:name="_Toc322695151"/>
      <w:bookmarkStart w:id="380" w:name="_Toc323024196"/>
      <w:bookmarkStart w:id="381" w:name="_Toc323024227"/>
      <w:bookmarkStart w:id="382" w:name="_Toc340746628"/>
      <w:bookmarkStart w:id="383" w:name="_Toc340746659"/>
      <w:bookmarkStart w:id="384" w:name="_Toc413770830"/>
      <w:bookmarkStart w:id="385" w:name="_Toc413770912"/>
      <w:bookmarkStart w:id="386" w:name="_Toc422313438"/>
      <w:bookmarkStart w:id="387" w:name="_Toc424562301"/>
      <w:r>
        <w:t>Article 15</w:t>
      </w:r>
      <w:bookmarkEnd w:id="377"/>
      <w:bookmarkEnd w:id="378"/>
      <w:bookmarkEnd w:id="379"/>
      <w:bookmarkEnd w:id="380"/>
      <w:bookmarkEnd w:id="381"/>
      <w:bookmarkEnd w:id="382"/>
      <w:bookmarkEnd w:id="383"/>
      <w:bookmarkEnd w:id="384"/>
      <w:bookmarkEnd w:id="385"/>
      <w:bookmarkEnd w:id="386"/>
      <w:bookmarkEnd w:id="387"/>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by No. 47 of 2012 s. 6.]</w:t>
      </w:r>
    </w:p>
    <w:p>
      <w:pPr>
        <w:outlineLvl w:val="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89" w:name="_Toc413770831"/>
      <w:bookmarkStart w:id="390" w:name="_Toc413770913"/>
      <w:bookmarkStart w:id="391" w:name="_Toc422313439"/>
      <w:bookmarkStart w:id="392" w:name="_Toc424562302"/>
      <w:r>
        <w:t>Notes</w:t>
      </w:r>
      <w:bookmarkEnd w:id="195"/>
      <w:bookmarkEnd w:id="196"/>
      <w:bookmarkEnd w:id="389"/>
      <w:bookmarkEnd w:id="390"/>
      <w:bookmarkEnd w:id="391"/>
      <w:bookmarkEnd w:id="392"/>
    </w:p>
    <w:p>
      <w:pPr>
        <w:pStyle w:val="nSubsection"/>
      </w:pPr>
      <w:r>
        <w:rPr>
          <w:vertAlign w:val="superscript"/>
        </w:rPr>
        <w:t>1</w:t>
      </w:r>
      <w:r>
        <w:tab/>
        <w:t xml:space="preserve">This reprint is a compilation as at 10 July 2015 of the </w:t>
      </w:r>
      <w:r>
        <w:rPr>
          <w:i/>
          <w:noProof/>
        </w:rPr>
        <w:t>Wills Act 1970</w:t>
      </w:r>
      <w:r>
        <w:t xml:space="preserve"> and includes the amendments made by the other written laws referred to in the following table</w:t>
      </w:r>
      <w:r>
        <w:rPr>
          <w:vertAlign w:val="superscript"/>
        </w:rPr>
        <w:t> 4</w:t>
      </w:r>
      <w:r>
        <w:t>.  The table also contains information about any reprint.</w:t>
      </w:r>
    </w:p>
    <w:p>
      <w:pPr>
        <w:pStyle w:val="nHeading3"/>
      </w:pPr>
      <w:bookmarkStart w:id="393" w:name="_Toc424562303"/>
      <w:r>
        <w:t>Compilation table</w:t>
      </w:r>
      <w:bookmarkEnd w:id="393"/>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5"/>
        <w:gridCol w:w="1119"/>
        <w:gridCol w:w="15"/>
        <w:gridCol w:w="2536"/>
        <w:gridCol w:w="15"/>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Pr>
          <w:p>
            <w:pPr>
              <w:pStyle w:val="nTable"/>
              <w:spacing w:after="40"/>
            </w:pPr>
            <w:r>
              <w:rPr>
                <w:i/>
              </w:rPr>
              <w:t>Wills Act 1970</w:t>
            </w:r>
          </w:p>
        </w:tc>
        <w:tc>
          <w:tcPr>
            <w:tcW w:w="1135" w:type="dxa"/>
            <w:gridSpan w:val="2"/>
          </w:tcPr>
          <w:p>
            <w:pPr>
              <w:pStyle w:val="nTable"/>
              <w:spacing w:after="40"/>
            </w:pPr>
            <w:r>
              <w:t>12 of 1970</w:t>
            </w:r>
          </w:p>
        </w:tc>
        <w:tc>
          <w:tcPr>
            <w:tcW w:w="1134" w:type="dxa"/>
            <w:gridSpan w:val="2"/>
          </w:tcPr>
          <w:p>
            <w:pPr>
              <w:pStyle w:val="nTable"/>
              <w:spacing w:after="40"/>
            </w:pPr>
            <w:r>
              <w:t>29 Apr 1970</w:t>
            </w:r>
          </w:p>
        </w:tc>
        <w:tc>
          <w:tcPr>
            <w:tcW w:w="2551" w:type="dxa"/>
            <w:gridSpan w:val="2"/>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gridSpan w:val="2"/>
          </w:tcPr>
          <w:p>
            <w:pPr>
              <w:pStyle w:val="nTable"/>
              <w:spacing w:after="40"/>
            </w:pPr>
            <w:r>
              <w:rPr>
                <w:i/>
              </w:rPr>
              <w:t>Wills Act Amendment Act 1971</w:t>
            </w:r>
          </w:p>
        </w:tc>
        <w:tc>
          <w:tcPr>
            <w:tcW w:w="1135" w:type="dxa"/>
            <w:gridSpan w:val="2"/>
          </w:tcPr>
          <w:p>
            <w:pPr>
              <w:pStyle w:val="nTable"/>
              <w:spacing w:after="40"/>
            </w:pPr>
            <w:r>
              <w:t>20 of 1971</w:t>
            </w:r>
          </w:p>
        </w:tc>
        <w:tc>
          <w:tcPr>
            <w:tcW w:w="1134" w:type="dxa"/>
            <w:gridSpan w:val="2"/>
          </w:tcPr>
          <w:p>
            <w:pPr>
              <w:pStyle w:val="nTable"/>
              <w:spacing w:after="40"/>
            </w:pPr>
            <w:r>
              <w:t>1 Dec 1971</w:t>
            </w:r>
          </w:p>
        </w:tc>
        <w:tc>
          <w:tcPr>
            <w:tcW w:w="2551" w:type="dxa"/>
            <w:gridSpan w:val="2"/>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gridSpan w:val="2"/>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gridSpan w:val="2"/>
          </w:tcPr>
          <w:p>
            <w:pPr>
              <w:pStyle w:val="nTable"/>
              <w:spacing w:after="40"/>
            </w:pPr>
            <w:r>
              <w:t>12 Apr 1985</w:t>
            </w:r>
          </w:p>
        </w:tc>
        <w:tc>
          <w:tcPr>
            <w:tcW w:w="2551" w:type="dxa"/>
            <w:gridSpan w:val="2"/>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gridSpan w:val="2"/>
          </w:tcPr>
          <w:p>
            <w:pPr>
              <w:pStyle w:val="nTable"/>
              <w:spacing w:after="40"/>
            </w:pPr>
            <w:r>
              <w:rPr>
                <w:i/>
              </w:rPr>
              <w:t>Wills Amendment Act 1987</w:t>
            </w:r>
          </w:p>
        </w:tc>
        <w:tc>
          <w:tcPr>
            <w:tcW w:w="1135" w:type="dxa"/>
            <w:gridSpan w:val="2"/>
          </w:tcPr>
          <w:p>
            <w:pPr>
              <w:pStyle w:val="nTable"/>
              <w:spacing w:after="40"/>
            </w:pPr>
            <w:r>
              <w:t>69 of 1987</w:t>
            </w:r>
          </w:p>
        </w:tc>
        <w:tc>
          <w:tcPr>
            <w:tcW w:w="1134" w:type="dxa"/>
            <w:gridSpan w:val="2"/>
          </w:tcPr>
          <w:p>
            <w:pPr>
              <w:pStyle w:val="nTable"/>
              <w:spacing w:after="40"/>
            </w:pPr>
            <w:r>
              <w:t>22 Nov 1987</w:t>
            </w:r>
          </w:p>
        </w:tc>
        <w:tc>
          <w:tcPr>
            <w:tcW w:w="2551" w:type="dxa"/>
            <w:gridSpan w:val="2"/>
          </w:tcPr>
          <w:p>
            <w:pPr>
              <w:pStyle w:val="nTable"/>
              <w:spacing w:after="40"/>
            </w:pPr>
            <w:r>
              <w:t>22 Nov 1987 (see s. 2)</w:t>
            </w:r>
          </w:p>
        </w:tc>
      </w:tr>
      <w:tr>
        <w:trPr>
          <w:gridBefore w:val="1"/>
          <w:wBefore w:w="14" w:type="dxa"/>
        </w:trPr>
        <w:tc>
          <w:tcPr>
            <w:tcW w:w="2268" w:type="dxa"/>
            <w:gridSpan w:val="2"/>
          </w:tcPr>
          <w:p>
            <w:pPr>
              <w:pStyle w:val="nTable"/>
              <w:spacing w:after="40"/>
            </w:pPr>
            <w:r>
              <w:rPr>
                <w:i/>
              </w:rPr>
              <w:t>Wills Amendment Act 1989</w:t>
            </w:r>
          </w:p>
        </w:tc>
        <w:tc>
          <w:tcPr>
            <w:tcW w:w="1135" w:type="dxa"/>
            <w:gridSpan w:val="2"/>
          </w:tcPr>
          <w:p>
            <w:pPr>
              <w:pStyle w:val="nTable"/>
              <w:spacing w:after="40"/>
            </w:pPr>
            <w:r>
              <w:t>17 of 1989</w:t>
            </w:r>
          </w:p>
        </w:tc>
        <w:tc>
          <w:tcPr>
            <w:tcW w:w="1134" w:type="dxa"/>
            <w:gridSpan w:val="2"/>
          </w:tcPr>
          <w:p>
            <w:pPr>
              <w:pStyle w:val="nTable"/>
              <w:spacing w:after="40"/>
            </w:pPr>
            <w:r>
              <w:t>1 Dec 1989</w:t>
            </w:r>
          </w:p>
        </w:tc>
        <w:tc>
          <w:tcPr>
            <w:tcW w:w="2551" w:type="dxa"/>
            <w:gridSpan w:val="2"/>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gridSpan w:val="2"/>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gridSpan w:val="2"/>
          </w:tcPr>
          <w:p>
            <w:pPr>
              <w:pStyle w:val="nTable"/>
              <w:spacing w:after="40"/>
            </w:pPr>
            <w:r>
              <w:t>10 Dec 1997</w:t>
            </w:r>
          </w:p>
        </w:tc>
        <w:tc>
          <w:tcPr>
            <w:tcW w:w="2551" w:type="dxa"/>
            <w:gridSpan w:val="2"/>
          </w:tcPr>
          <w:p>
            <w:pPr>
              <w:pStyle w:val="nTable"/>
              <w:spacing w:after="40"/>
            </w:pPr>
            <w:r>
              <w:t>10 Dec 1997 (see s. 2)</w:t>
            </w:r>
          </w:p>
        </w:tc>
      </w:tr>
      <w:tr>
        <w:trPr>
          <w:gridBefore w:val="1"/>
          <w:wBefore w:w="14" w:type="dxa"/>
        </w:trPr>
        <w:tc>
          <w:tcPr>
            <w:tcW w:w="2268" w:type="dxa"/>
            <w:gridSpan w:val="2"/>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8"/>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gridSpan w:val="2"/>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8"/>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2"/>
            <w:tcBorders>
              <w:top w:val="nil"/>
              <w:bottom w:val="nil"/>
            </w:tcBorders>
          </w:tcPr>
          <w:p>
            <w:pPr>
              <w:pStyle w:val="nTable"/>
              <w:keepNext/>
              <w:spacing w:after="40"/>
              <w:rPr>
                <w:snapToGrid w:val="0"/>
              </w:rPr>
            </w:pPr>
            <w:r>
              <w:rPr>
                <w:snapToGrid w:val="0"/>
              </w:rPr>
              <w:t>48 of 2011</w:t>
            </w:r>
          </w:p>
        </w:tc>
        <w:tc>
          <w:tcPr>
            <w:tcW w:w="1134" w:type="dxa"/>
            <w:gridSpan w:val="2"/>
            <w:tcBorders>
              <w:top w:val="nil"/>
              <w:bottom w:val="nil"/>
            </w:tcBorders>
          </w:tcPr>
          <w:p>
            <w:pPr>
              <w:pStyle w:val="nTable"/>
              <w:keepNext/>
              <w:spacing w:after="40"/>
              <w:rPr>
                <w:snapToGrid w:val="0"/>
              </w:rPr>
            </w:pPr>
            <w:r>
              <w:rPr>
                <w:snapToGrid w:val="0"/>
              </w:rPr>
              <w:t>25 Oct 2011</w:t>
            </w:r>
          </w:p>
        </w:tc>
        <w:tc>
          <w:tcPr>
            <w:tcW w:w="2551"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2"/>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2"/>
            <w:tcBorders>
              <w:top w:val="nil"/>
              <w:bottom w:val="nil"/>
            </w:tcBorders>
            <w:shd w:val="clear" w:color="auto" w:fill="auto"/>
          </w:tcPr>
          <w:p>
            <w:pPr>
              <w:pStyle w:val="nTable"/>
              <w:keepNext/>
              <w:spacing w:after="40"/>
              <w:rPr>
                <w:snapToGrid w:val="0"/>
              </w:rPr>
            </w:pPr>
            <w:r>
              <w:rPr>
                <w:snapToGrid w:val="0"/>
              </w:rPr>
              <w:t>29 Nov 2012</w:t>
            </w:r>
          </w:p>
        </w:tc>
        <w:tc>
          <w:tcPr>
            <w:tcW w:w="2551"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blPrEx>
          <w:tblBorders>
            <w:top w:val="single" w:sz="8" w:space="0" w:color="auto"/>
            <w:bottom w:val="single" w:sz="8" w:space="0" w:color="auto"/>
            <w:insideH w:val="single" w:sz="8" w:space="0" w:color="auto"/>
          </w:tblBorders>
        </w:tblPrEx>
        <w:trPr>
          <w:gridAfter w:val="1"/>
          <w:wAfter w:w="15" w:type="dxa"/>
        </w:trPr>
        <w:tc>
          <w:tcPr>
            <w:tcW w:w="7087" w:type="dxa"/>
            <w:gridSpan w:val="8"/>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95" w:name="_Toc413770833"/>
      <w:bookmarkStart w:id="396" w:name="_Toc413770915"/>
      <w:bookmarkStart w:id="397" w:name="_Toc422313441"/>
      <w:bookmarkStart w:id="398" w:name="_Toc424562304"/>
      <w:r>
        <w:rPr>
          <w:sz w:val="28"/>
        </w:rPr>
        <w:t>Defined terms</w:t>
      </w:r>
      <w:bookmarkEnd w:id="395"/>
      <w:bookmarkEnd w:id="396"/>
      <w:bookmarkEnd w:id="397"/>
      <w:bookmarkEnd w:id="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Australian legal practitioner</w:t>
      </w:r>
      <w:r>
        <w:tab/>
        <w:t>32A</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repeal</w:t>
      </w:r>
      <w:r>
        <w:tab/>
        <w:t>17(1)</w:t>
      </w:r>
    </w:p>
    <w:p>
      <w:pPr>
        <w:pStyle w:val="DefinedTerms"/>
      </w:pPr>
      <w:r>
        <w:t>statutory will</w:t>
      </w:r>
      <w:r>
        <w:tab/>
        <w:t>48(1)</w:t>
      </w:r>
    </w:p>
    <w:p>
      <w:pPr>
        <w:pStyle w:val="DefinedTerms"/>
      </w:pPr>
      <w:r>
        <w:t>this jurisdiction</w:t>
      </w:r>
      <w:r>
        <w:tab/>
        <w:t>32A</w:t>
      </w:r>
    </w:p>
    <w:p>
      <w:pPr>
        <w:pStyle w:val="DefinedTerms"/>
      </w:pPr>
      <w:r>
        <w:t>will</w:t>
      </w:r>
      <w:r>
        <w:tab/>
        <w:t>4, 41(2)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0F50F6" w:rsidRDefault="000F50F6">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05-00-00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4" w:name="Compilation"/>
    <w:bookmarkEnd w:id="39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9" w:name="DefinedTerms"/>
    <w:bookmarkEnd w:id="3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13849"/>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9666</Words>
  <Characters>43981</Characters>
  <Application>Microsoft Office Word</Application>
  <DocSecurity>0</DocSecurity>
  <Lines>1221</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1970 - 05-00-00</dc:title>
  <dc:subject/>
  <dc:creator/>
  <cp:keywords/>
  <dc:description/>
  <cp:lastModifiedBy>svcMRProcess</cp:lastModifiedBy>
  <cp:revision>4</cp:revision>
  <cp:lastPrinted>2015-07-13T06:51:00Z</cp:lastPrinted>
  <dcterms:created xsi:type="dcterms:W3CDTF">2020-04-27T05:45:00Z</dcterms:created>
  <dcterms:modified xsi:type="dcterms:W3CDTF">2020-04-27T05:45:00Z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AsAtDate">
    <vt:lpwstr>10 Jul 2015</vt:lpwstr>
  </property>
  <property fmtid="{D5CDD505-2E9C-101B-9397-08002B2CF9AE}" pid="8" name="Suffix">
    <vt:lpwstr>05-00-00</vt:lpwstr>
  </property>
  <property fmtid="{D5CDD505-2E9C-101B-9397-08002B2CF9AE}" pid="9" name="CommencementDate">
    <vt:lpwstr>20150710</vt:lpwstr>
  </property>
</Properties>
</file>