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Prisons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Prisons Regulations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Prisons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_Toc427933460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these regulations</w:t>
      </w:r>
      <w:r>
        <w:tab/>
      </w:r>
      <w:r>
        <w:fldChar w:fldCharType="begin"/>
      </w:r>
      <w:r>
        <w:instrText xml:space="preserve"> PAGEREF _Toc427933461 \h </w:instrText>
      </w:r>
      <w:r>
        <w:fldChar w:fldCharType="separate"/>
      </w:r>
      <w:r>
        <w:t>1</w:t>
      </w:r>
      <w:r>
        <w:fldChar w:fldCharType="end"/>
      </w:r>
    </w:p>
    <w:p>
      <w:pPr>
        <w:pStyle w:val="TOC8"/>
        <w:rPr>
          <w:rFonts w:asciiTheme="minorHAnsi" w:eastAsiaTheme="minorEastAsia" w:hAnsiTheme="minorHAnsi" w:cstheme="minorBidi"/>
          <w:szCs w:val="22"/>
        </w:rPr>
      </w:pPr>
      <w:r>
        <w:t>2A.</w:t>
      </w:r>
      <w:r>
        <w:tab/>
        <w:t>Certain regulations not applicable to contract workers</w:t>
      </w:r>
      <w:r>
        <w:tab/>
      </w:r>
      <w:r>
        <w:fldChar w:fldCharType="begin"/>
      </w:r>
      <w:r>
        <w:instrText xml:space="preserve"> PAGEREF _Toc427933462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Engagement and conditions of prison officers</w:t>
      </w:r>
    </w:p>
    <w:p>
      <w:pPr>
        <w:pStyle w:val="TOC8"/>
        <w:rPr>
          <w:rFonts w:asciiTheme="minorHAnsi" w:eastAsiaTheme="minorEastAsia" w:hAnsiTheme="minorHAnsi" w:cstheme="minorBidi"/>
          <w:szCs w:val="22"/>
        </w:rPr>
      </w:pPr>
      <w:r>
        <w:t>3</w:t>
      </w:r>
      <w:r>
        <w:rPr>
          <w:snapToGrid w:val="0"/>
        </w:rPr>
        <w:t>.</w:t>
      </w:r>
      <w:r>
        <w:rPr>
          <w:snapToGrid w:val="0"/>
        </w:rPr>
        <w:tab/>
        <w:t>Qualifications for and engagement of prison officers</w:t>
      </w:r>
      <w:r>
        <w:tab/>
      </w:r>
      <w:r>
        <w:fldChar w:fldCharType="begin"/>
      </w:r>
      <w:r>
        <w:instrText xml:space="preserve"> PAGEREF _Toc427933464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Ranks of prison officers</w:t>
      </w:r>
      <w:r>
        <w:tab/>
      </w:r>
      <w:r>
        <w:fldChar w:fldCharType="begin"/>
      </w:r>
      <w:r>
        <w:instrText xml:space="preserve"> PAGEREF _Toc427933465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Discharge of prison officers</w:t>
      </w:r>
      <w:r>
        <w:tab/>
      </w:r>
      <w:r>
        <w:fldChar w:fldCharType="begin"/>
      </w:r>
      <w:r>
        <w:instrText xml:space="preserve"> PAGEREF _Toc427933466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prior to termination of service of prison officers</w:t>
      </w:r>
      <w:r>
        <w:tab/>
      </w:r>
      <w:r>
        <w:fldChar w:fldCharType="begin"/>
      </w:r>
      <w:r>
        <w:instrText xml:space="preserve"> PAGEREF _Toc427933467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Occupation of quarters</w:t>
      </w:r>
      <w:r>
        <w:tab/>
      </w:r>
      <w:r>
        <w:fldChar w:fldCharType="begin"/>
      </w:r>
      <w:r>
        <w:instrText xml:space="preserve"> PAGEREF _Toc427933468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uniforms</w:t>
      </w:r>
      <w:r>
        <w:tab/>
      </w:r>
      <w:r>
        <w:fldChar w:fldCharType="begin"/>
      </w:r>
      <w:r>
        <w:instrText xml:space="preserve"> PAGEREF _Toc427933469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officers and prison officers</w:t>
      </w:r>
    </w:p>
    <w:p>
      <w:pPr>
        <w:pStyle w:val="TOC8"/>
        <w:rPr>
          <w:rFonts w:asciiTheme="minorHAnsi" w:eastAsiaTheme="minorEastAsia" w:hAnsiTheme="minorHAnsi" w:cstheme="minorBidi"/>
          <w:szCs w:val="22"/>
        </w:rPr>
      </w:pPr>
      <w:r>
        <w:t>12</w:t>
      </w:r>
      <w:r>
        <w:rPr>
          <w:snapToGrid w:val="0"/>
        </w:rPr>
        <w:t>.</w:t>
      </w:r>
      <w:r>
        <w:rPr>
          <w:snapToGrid w:val="0"/>
        </w:rPr>
        <w:tab/>
        <w:t>Duty on taking charge of prisoners</w:t>
      </w:r>
      <w:r>
        <w:tab/>
      </w:r>
      <w:r>
        <w:fldChar w:fldCharType="begin"/>
      </w:r>
      <w:r>
        <w:instrText xml:space="preserve"> PAGEREF _Toc427933471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on escape of prisoner</w:t>
      </w:r>
      <w:r>
        <w:tab/>
      </w:r>
      <w:r>
        <w:fldChar w:fldCharType="begin"/>
      </w:r>
      <w:r>
        <w:instrText xml:space="preserve"> PAGEREF _Toc427933472 \h </w:instrText>
      </w:r>
      <w:r>
        <w:fldChar w:fldCharType="separate"/>
      </w:r>
      <w:r>
        <w:t>8</w:t>
      </w:r>
      <w:r>
        <w:fldChar w:fldCharType="end"/>
      </w:r>
    </w:p>
    <w:p>
      <w:pPr>
        <w:pStyle w:val="TOC8"/>
        <w:rPr>
          <w:rFonts w:asciiTheme="minorHAnsi" w:eastAsiaTheme="minorEastAsia" w:hAnsiTheme="minorHAnsi" w:cstheme="minorBidi"/>
          <w:szCs w:val="22"/>
        </w:rPr>
      </w:pPr>
      <w:r>
        <w:t>14.</w:t>
      </w:r>
      <w:r>
        <w:tab/>
        <w:t>Duty regarding prisoner absent from prison</w:t>
      </w:r>
      <w:r>
        <w:tab/>
      </w:r>
      <w:r>
        <w:fldChar w:fldCharType="begin"/>
      </w:r>
      <w:r>
        <w:instrText xml:space="preserve"> PAGEREF _Toc427933473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to warn loiterers</w:t>
      </w:r>
      <w:r>
        <w:tab/>
      </w:r>
      <w:r>
        <w:fldChar w:fldCharType="begin"/>
      </w:r>
      <w:r>
        <w:instrText xml:space="preserve"> PAGEREF _Toc427933474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to prevent interference with prisoners</w:t>
      </w:r>
      <w:r>
        <w:tab/>
      </w:r>
      <w:r>
        <w:fldChar w:fldCharType="begin"/>
      </w:r>
      <w:r>
        <w:instrText xml:space="preserve"> PAGEREF _Toc427933475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Duties as to keys and security procedures</w:t>
      </w:r>
      <w:r>
        <w:tab/>
      </w:r>
      <w:r>
        <w:fldChar w:fldCharType="begin"/>
      </w:r>
      <w:r>
        <w:instrText xml:space="preserve"> PAGEREF _Toc427933476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Miscellaneous duties</w:t>
      </w:r>
      <w:r>
        <w:tab/>
      </w:r>
      <w:r>
        <w:fldChar w:fldCharType="begin"/>
      </w:r>
      <w:r>
        <w:instrText xml:space="preserve"> PAGEREF _Toc427933477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Officer not to receive visitors</w:t>
      </w:r>
      <w:r>
        <w:tab/>
      </w:r>
      <w:r>
        <w:fldChar w:fldCharType="begin"/>
      </w:r>
      <w:r>
        <w:instrText xml:space="preserve"> PAGEREF _Toc427933478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entering prison or leaving area of duty</w:t>
      </w:r>
      <w:r>
        <w:tab/>
      </w:r>
      <w:r>
        <w:fldChar w:fldCharType="begin"/>
      </w:r>
      <w:r>
        <w:instrText xml:space="preserve"> PAGEREF _Toc427933479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Certificates of good service</w:t>
      </w:r>
      <w:r>
        <w:tab/>
      </w:r>
      <w:r>
        <w:fldChar w:fldCharType="begin"/>
      </w:r>
      <w:r>
        <w:instrText xml:space="preserve"> PAGEREF _Toc427933480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Restrictions on conduct of prison officers</w:t>
      </w:r>
      <w:r>
        <w:tab/>
      </w:r>
      <w:r>
        <w:fldChar w:fldCharType="begin"/>
      </w:r>
      <w:r>
        <w:instrText xml:space="preserve"> PAGEREF _Toc427933481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Grievances</w:t>
      </w:r>
      <w:r>
        <w:tab/>
      </w:r>
      <w:r>
        <w:fldChar w:fldCharType="begin"/>
      </w:r>
      <w:r>
        <w:instrText xml:space="preserve"> PAGEREF _Toc427933482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Responsibility when carrying firearms</w:t>
      </w:r>
      <w:r>
        <w:tab/>
      </w:r>
      <w:r>
        <w:fldChar w:fldCharType="begin"/>
      </w:r>
      <w:r>
        <w:instrText xml:space="preserve"> PAGEREF _Toc427933483 \h </w:instrText>
      </w:r>
      <w:r>
        <w:fldChar w:fldCharType="separate"/>
      </w:r>
      <w:r>
        <w:t>12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Procedure before the use of firearms</w:t>
      </w:r>
      <w:r>
        <w:tab/>
      </w:r>
      <w:r>
        <w:fldChar w:fldCharType="begin"/>
      </w:r>
      <w:r>
        <w:instrText xml:space="preserve"> PAGEREF _Toc427933484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IIIA — Alcohol and drug related aggravated prison offences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_Toc427933486 \h </w:instrText>
      </w:r>
      <w:r>
        <w:fldChar w:fldCharType="separate"/>
      </w:r>
      <w:r>
        <w:t>15</w:t>
      </w:r>
      <w:r>
        <w:fldChar w:fldCharType="end"/>
      </w:r>
    </w:p>
    <w:p>
      <w:pPr>
        <w:pStyle w:val="TOC8"/>
        <w:rPr>
          <w:rFonts w:asciiTheme="minorHAnsi" w:eastAsiaTheme="minorEastAsia" w:hAnsiTheme="minorHAnsi" w:cstheme="minorBidi"/>
          <w:szCs w:val="22"/>
        </w:rPr>
      </w:pPr>
      <w:r>
        <w:t>26A.</w:t>
      </w:r>
      <w:r>
        <w:tab/>
        <w:t>Prison officer who suspects aggravated drug or alcohol offence to inform superintendent</w:t>
      </w:r>
      <w:r>
        <w:tab/>
      </w:r>
      <w:r>
        <w:fldChar w:fldCharType="begin"/>
      </w:r>
      <w:r>
        <w:instrText xml:space="preserve"> PAGEREF _Toc427933487 \h </w:instrText>
      </w:r>
      <w:r>
        <w:fldChar w:fldCharType="separate"/>
      </w:r>
      <w:r>
        <w:t>15</w:t>
      </w:r>
      <w:r>
        <w:fldChar w:fldCharType="end"/>
      </w:r>
    </w:p>
    <w:p>
      <w:pPr>
        <w:pStyle w:val="TOC8"/>
        <w:rPr>
          <w:rFonts w:asciiTheme="minorHAnsi" w:eastAsiaTheme="minorEastAsia" w:hAnsiTheme="minorHAnsi" w:cstheme="minorBidi"/>
          <w:szCs w:val="22"/>
        </w:rPr>
      </w:pPr>
      <w:r>
        <w:t>26B.</w:t>
      </w:r>
      <w:r>
        <w:tab/>
        <w:t>Superintendent may direct that samples are to be taken</w:t>
      </w:r>
      <w:r>
        <w:tab/>
      </w:r>
      <w:r>
        <w:fldChar w:fldCharType="begin"/>
      </w:r>
      <w:r>
        <w:instrText xml:space="preserve"> PAGEREF _Toc427933488 \h </w:instrText>
      </w:r>
      <w:r>
        <w:fldChar w:fldCharType="separate"/>
      </w:r>
      <w:r>
        <w:t>15</w:t>
      </w:r>
      <w:r>
        <w:fldChar w:fldCharType="end"/>
      </w:r>
    </w:p>
    <w:p>
      <w:pPr>
        <w:pStyle w:val="TOC8"/>
        <w:rPr>
          <w:rFonts w:asciiTheme="minorHAnsi" w:eastAsiaTheme="minorEastAsia" w:hAnsiTheme="minorHAnsi" w:cstheme="minorBidi"/>
          <w:szCs w:val="22"/>
        </w:rPr>
      </w:pPr>
      <w:r>
        <w:t>26C.</w:t>
      </w:r>
      <w:r>
        <w:tab/>
        <w:t>How samples of blood, breath and sweat are to be taken</w:t>
      </w:r>
      <w:r>
        <w:tab/>
      </w:r>
      <w:r>
        <w:fldChar w:fldCharType="begin"/>
      </w:r>
      <w:r>
        <w:instrText xml:space="preserve"> PAGEREF _Toc427933489 \h </w:instrText>
      </w:r>
      <w:r>
        <w:fldChar w:fldCharType="separate"/>
      </w:r>
      <w:r>
        <w:t>16</w:t>
      </w:r>
      <w:r>
        <w:fldChar w:fldCharType="end"/>
      </w:r>
    </w:p>
    <w:p>
      <w:pPr>
        <w:pStyle w:val="TOC8"/>
        <w:rPr>
          <w:rFonts w:asciiTheme="minorHAnsi" w:eastAsiaTheme="minorEastAsia" w:hAnsiTheme="minorHAnsi" w:cstheme="minorBidi"/>
          <w:szCs w:val="22"/>
        </w:rPr>
      </w:pPr>
      <w:r>
        <w:t>26D.</w:t>
      </w:r>
      <w:r>
        <w:tab/>
        <w:t>Prisoner may be required to provide body sample</w:t>
      </w:r>
      <w:r>
        <w:tab/>
      </w:r>
      <w:r>
        <w:fldChar w:fldCharType="begin"/>
      </w:r>
      <w:r>
        <w:instrText xml:space="preserve"> PAGEREF _Toc427933490 \h </w:instrText>
      </w:r>
      <w:r>
        <w:fldChar w:fldCharType="separate"/>
      </w:r>
      <w:r>
        <w:t>17</w:t>
      </w:r>
      <w:r>
        <w:fldChar w:fldCharType="end"/>
      </w:r>
    </w:p>
    <w:p>
      <w:pPr>
        <w:pStyle w:val="TOC8"/>
        <w:rPr>
          <w:rFonts w:asciiTheme="minorHAnsi" w:eastAsiaTheme="minorEastAsia" w:hAnsiTheme="minorHAnsi" w:cstheme="minorBidi"/>
          <w:szCs w:val="22"/>
        </w:rPr>
      </w:pPr>
      <w:r>
        <w:t>26E.</w:t>
      </w:r>
      <w:r>
        <w:tab/>
        <w:t>Prisoner to submit to having sample taken when requested to do so</w:t>
      </w:r>
      <w:r>
        <w:tab/>
      </w:r>
      <w:r>
        <w:fldChar w:fldCharType="begin"/>
      </w:r>
      <w:r>
        <w:instrText xml:space="preserve"> PAGEREF _Toc427933491 \h </w:instrText>
      </w:r>
      <w:r>
        <w:fldChar w:fldCharType="separate"/>
      </w:r>
      <w:r>
        <w:t>17</w:t>
      </w:r>
      <w:r>
        <w:fldChar w:fldCharType="end"/>
      </w:r>
    </w:p>
    <w:p>
      <w:pPr>
        <w:pStyle w:val="TOC8"/>
        <w:rPr>
          <w:rFonts w:asciiTheme="minorHAnsi" w:eastAsiaTheme="minorEastAsia" w:hAnsiTheme="minorHAnsi" w:cstheme="minorBidi"/>
          <w:szCs w:val="22"/>
        </w:rPr>
      </w:pPr>
      <w:r>
        <w:t>26F.</w:t>
      </w:r>
      <w:r>
        <w:tab/>
        <w:t>Medical attention may be required</w:t>
      </w:r>
      <w:r>
        <w:tab/>
      </w:r>
      <w:r>
        <w:fldChar w:fldCharType="begin"/>
      </w:r>
      <w:r>
        <w:instrText xml:space="preserve"> PAGEREF _Toc427933492 \h </w:instrText>
      </w:r>
      <w:r>
        <w:fldChar w:fldCharType="separate"/>
      </w:r>
      <w:r>
        <w:t>18</w:t>
      </w:r>
      <w:r>
        <w:fldChar w:fldCharType="end"/>
      </w:r>
    </w:p>
    <w:p>
      <w:pPr>
        <w:pStyle w:val="TOC8"/>
        <w:rPr>
          <w:rFonts w:asciiTheme="minorHAnsi" w:eastAsiaTheme="minorEastAsia" w:hAnsiTheme="minorHAnsi" w:cstheme="minorBidi"/>
          <w:szCs w:val="22"/>
        </w:rPr>
      </w:pPr>
      <w:r>
        <w:t>26G.</w:t>
      </w:r>
      <w:r>
        <w:tab/>
        <w:t>Other samples may be taken for analysis</w:t>
      </w:r>
      <w:r>
        <w:tab/>
      </w:r>
      <w:r>
        <w:fldChar w:fldCharType="begin"/>
      </w:r>
      <w:r>
        <w:instrText xml:space="preserve"> PAGEREF _Toc427933493 \h </w:instrText>
      </w:r>
      <w:r>
        <w:fldChar w:fldCharType="separate"/>
      </w:r>
      <w:r>
        <w:t>18</w:t>
      </w:r>
      <w:r>
        <w:fldChar w:fldCharType="end"/>
      </w:r>
    </w:p>
    <w:p>
      <w:pPr>
        <w:pStyle w:val="TOC8"/>
        <w:rPr>
          <w:rFonts w:asciiTheme="minorHAnsi" w:eastAsiaTheme="minorEastAsia" w:hAnsiTheme="minorHAnsi" w:cstheme="minorBidi"/>
          <w:szCs w:val="22"/>
        </w:rPr>
      </w:pPr>
      <w:r>
        <w:t>26H.</w:t>
      </w:r>
      <w:r>
        <w:tab/>
        <w:t>Samples to be sealed, labelled and delivered to approved analysis agent</w:t>
      </w:r>
      <w:r>
        <w:tab/>
      </w:r>
      <w:r>
        <w:fldChar w:fldCharType="begin"/>
      </w:r>
      <w:r>
        <w:instrText xml:space="preserve"> PAGEREF _Toc427933494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Analyst to give certificate</w:t>
      </w:r>
      <w:r>
        <w:tab/>
      </w:r>
      <w:r>
        <w:fldChar w:fldCharType="begin"/>
      </w:r>
      <w:r>
        <w:instrText xml:space="preserve"> PAGEREF _Toc427933495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Admissibility of analyst’s certificate</w:t>
      </w:r>
      <w:r>
        <w:tab/>
      </w:r>
      <w:r>
        <w:fldChar w:fldCharType="begin"/>
      </w:r>
      <w:r>
        <w:instrText xml:space="preserve"> PAGEREF _Toc427933496 \h </w:instrText>
      </w:r>
      <w:r>
        <w:fldChar w:fldCharType="separate"/>
      </w:r>
      <w:r>
        <w:t>19</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Approval of analysis agent</w:t>
      </w:r>
      <w:r>
        <w:tab/>
      </w:r>
      <w:r>
        <w:fldChar w:fldCharType="begin"/>
      </w:r>
      <w:r>
        <w:instrText xml:space="preserve"> PAGEREF _Toc427933497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Admissibility of results of breath tests</w:t>
      </w:r>
      <w:r>
        <w:tab/>
      </w:r>
      <w:r>
        <w:fldChar w:fldCharType="begin"/>
      </w:r>
      <w:r>
        <w:instrText xml:space="preserve"> PAGEREF _Toc427933498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Removal of prison officers</w:t>
      </w:r>
    </w:p>
    <w:p>
      <w:pPr>
        <w:pStyle w:val="TOC8"/>
        <w:rPr>
          <w:rFonts w:asciiTheme="minorHAnsi" w:eastAsiaTheme="minorEastAsia" w:hAnsiTheme="minorHAnsi" w:cstheme="minorBidi"/>
          <w:szCs w:val="22"/>
        </w:rPr>
      </w:pPr>
      <w:r>
        <w:t>30.</w:t>
      </w:r>
      <w:r>
        <w:tab/>
        <w:t>Terms used</w:t>
      </w:r>
      <w:r>
        <w:tab/>
      </w:r>
      <w:r>
        <w:fldChar w:fldCharType="begin"/>
      </w:r>
      <w:r>
        <w:instrText xml:space="preserve"> PAGEREF _Toc427933500 \h </w:instrText>
      </w:r>
      <w:r>
        <w:fldChar w:fldCharType="separate"/>
      </w:r>
      <w:r>
        <w:t>21</w:t>
      </w:r>
      <w:r>
        <w:fldChar w:fldCharType="end"/>
      </w:r>
    </w:p>
    <w:p>
      <w:pPr>
        <w:pStyle w:val="TOC8"/>
        <w:rPr>
          <w:rFonts w:asciiTheme="minorHAnsi" w:eastAsiaTheme="minorEastAsia" w:hAnsiTheme="minorHAnsi" w:cstheme="minorBidi"/>
          <w:szCs w:val="22"/>
        </w:rPr>
      </w:pPr>
      <w:r>
        <w:t>31.</w:t>
      </w:r>
      <w:r>
        <w:tab/>
        <w:t>Application of this Part</w:t>
      </w:r>
      <w:r>
        <w:tab/>
      </w:r>
      <w:r>
        <w:fldChar w:fldCharType="begin"/>
      </w:r>
      <w:r>
        <w:instrText xml:space="preserve"> PAGEREF _Toc427933501 \h </w:instrText>
      </w:r>
      <w:r>
        <w:fldChar w:fldCharType="separate"/>
      </w:r>
      <w:r>
        <w:t>22</w:t>
      </w:r>
      <w:r>
        <w:fldChar w:fldCharType="end"/>
      </w:r>
    </w:p>
    <w:p>
      <w:pPr>
        <w:pStyle w:val="TOC8"/>
        <w:rPr>
          <w:rFonts w:asciiTheme="minorHAnsi" w:eastAsiaTheme="minorEastAsia" w:hAnsiTheme="minorHAnsi" w:cstheme="minorBidi"/>
          <w:szCs w:val="22"/>
        </w:rPr>
      </w:pPr>
      <w:r>
        <w:t>32A.</w:t>
      </w:r>
      <w:r>
        <w:tab/>
        <w:t>Appointment of review officer</w:t>
      </w:r>
      <w:r>
        <w:tab/>
      </w:r>
      <w:r>
        <w:fldChar w:fldCharType="begin"/>
      </w:r>
      <w:r>
        <w:instrText xml:space="preserve"> PAGEREF _Toc427933502 \h </w:instrText>
      </w:r>
      <w:r>
        <w:fldChar w:fldCharType="separate"/>
      </w:r>
      <w:r>
        <w:t>22</w:t>
      </w:r>
      <w:r>
        <w:fldChar w:fldCharType="end"/>
      </w:r>
    </w:p>
    <w:p>
      <w:pPr>
        <w:pStyle w:val="TOC8"/>
        <w:rPr>
          <w:rFonts w:asciiTheme="minorHAnsi" w:eastAsiaTheme="minorEastAsia" w:hAnsiTheme="minorHAnsi" w:cstheme="minorBidi"/>
          <w:szCs w:val="22"/>
        </w:rPr>
      </w:pPr>
      <w:r>
        <w:t>32B.</w:t>
      </w:r>
      <w:r>
        <w:tab/>
        <w:t>Role of review officer</w:t>
      </w:r>
      <w:r>
        <w:tab/>
      </w:r>
      <w:r>
        <w:fldChar w:fldCharType="begin"/>
      </w:r>
      <w:r>
        <w:instrText xml:space="preserve"> PAGEREF _Toc427933503 \h </w:instrText>
      </w:r>
      <w:r>
        <w:fldChar w:fldCharType="separate"/>
      </w:r>
      <w:r>
        <w:t>23</w:t>
      </w:r>
      <w:r>
        <w:fldChar w:fldCharType="end"/>
      </w:r>
    </w:p>
    <w:p>
      <w:pPr>
        <w:pStyle w:val="TOC8"/>
        <w:rPr>
          <w:rFonts w:asciiTheme="minorHAnsi" w:eastAsiaTheme="minorEastAsia" w:hAnsiTheme="minorHAnsi" w:cstheme="minorBidi"/>
          <w:szCs w:val="22"/>
        </w:rPr>
      </w:pPr>
      <w:r>
        <w:t>32C.</w:t>
      </w:r>
      <w:r>
        <w:tab/>
        <w:t>Provision of material to chief executive officer</w:t>
      </w:r>
      <w:r>
        <w:tab/>
      </w:r>
      <w:r>
        <w:fldChar w:fldCharType="begin"/>
      </w:r>
      <w:r>
        <w:instrText xml:space="preserve"> PAGEREF _Toc427933504 \h </w:instrText>
      </w:r>
      <w:r>
        <w:fldChar w:fldCharType="separate"/>
      </w:r>
      <w:r>
        <w:t>23</w:t>
      </w:r>
      <w:r>
        <w:fldChar w:fldCharType="end"/>
      </w:r>
    </w:p>
    <w:p>
      <w:pPr>
        <w:pStyle w:val="TOC8"/>
        <w:rPr>
          <w:rFonts w:asciiTheme="minorHAnsi" w:eastAsiaTheme="minorEastAsia" w:hAnsiTheme="minorHAnsi" w:cstheme="minorBidi"/>
          <w:szCs w:val="22"/>
        </w:rPr>
      </w:pPr>
      <w:r>
        <w:t>32D.</w:t>
      </w:r>
      <w:r>
        <w:tab/>
        <w:t>Notice of loss of confidence</w:t>
      </w:r>
      <w:r>
        <w:tab/>
      </w:r>
      <w:r>
        <w:fldChar w:fldCharType="begin"/>
      </w:r>
      <w:r>
        <w:instrText xml:space="preserve"> PAGEREF _Toc427933505 \h </w:instrText>
      </w:r>
      <w:r>
        <w:fldChar w:fldCharType="separate"/>
      </w:r>
      <w:r>
        <w:t>24</w:t>
      </w:r>
      <w:r>
        <w:fldChar w:fldCharType="end"/>
      </w:r>
    </w:p>
    <w:p>
      <w:pPr>
        <w:pStyle w:val="TOC8"/>
        <w:rPr>
          <w:rFonts w:asciiTheme="minorHAnsi" w:eastAsiaTheme="minorEastAsia" w:hAnsiTheme="minorHAnsi" w:cstheme="minorBidi"/>
          <w:szCs w:val="22"/>
        </w:rPr>
      </w:pPr>
      <w:r>
        <w:t>32E.</w:t>
      </w:r>
      <w:r>
        <w:tab/>
        <w:t>Access to material</w:t>
      </w:r>
      <w:r>
        <w:tab/>
      </w:r>
      <w:r>
        <w:fldChar w:fldCharType="begin"/>
      </w:r>
      <w:r>
        <w:instrText xml:space="preserve"> PAGEREF _Toc427933506 \h </w:instrText>
      </w:r>
      <w:r>
        <w:fldChar w:fldCharType="separate"/>
      </w:r>
      <w:r>
        <w:t>25</w:t>
      </w:r>
      <w:r>
        <w:fldChar w:fldCharType="end"/>
      </w:r>
    </w:p>
    <w:p>
      <w:pPr>
        <w:pStyle w:val="TOC8"/>
        <w:rPr>
          <w:rFonts w:asciiTheme="minorHAnsi" w:eastAsiaTheme="minorEastAsia" w:hAnsiTheme="minorHAnsi" w:cstheme="minorBidi"/>
          <w:szCs w:val="22"/>
        </w:rPr>
      </w:pPr>
      <w:r>
        <w:t>32F.</w:t>
      </w:r>
      <w:r>
        <w:tab/>
        <w:t>Chief executive officer’s assessment of prison officer’s submissions</w:t>
      </w:r>
      <w:r>
        <w:tab/>
      </w:r>
      <w:r>
        <w:fldChar w:fldCharType="begin"/>
      </w:r>
      <w:r>
        <w:instrText xml:space="preserve"> PAGEREF _Toc427933507 \h </w:instrText>
      </w:r>
      <w:r>
        <w:fldChar w:fldCharType="separate"/>
      </w:r>
      <w:r>
        <w:t>26</w:t>
      </w:r>
      <w:r>
        <w:fldChar w:fldCharType="end"/>
      </w:r>
    </w:p>
    <w:p>
      <w:pPr>
        <w:pStyle w:val="TOC8"/>
        <w:rPr>
          <w:rFonts w:asciiTheme="minorHAnsi" w:eastAsiaTheme="minorEastAsia" w:hAnsiTheme="minorHAnsi" w:cstheme="minorBidi"/>
          <w:szCs w:val="22"/>
        </w:rPr>
      </w:pPr>
      <w:r>
        <w:t>32G.</w:t>
      </w:r>
      <w:r>
        <w:tab/>
        <w:t>Further ground for removal</w:t>
      </w:r>
      <w:r>
        <w:tab/>
      </w:r>
      <w:r>
        <w:fldChar w:fldCharType="begin"/>
      </w:r>
      <w:r>
        <w:instrText xml:space="preserve"> PAGEREF _Toc427933508 \h </w:instrText>
      </w:r>
      <w:r>
        <w:fldChar w:fldCharType="separate"/>
      </w:r>
      <w:r>
        <w:t>27</w:t>
      </w:r>
      <w:r>
        <w:fldChar w:fldCharType="end"/>
      </w:r>
    </w:p>
    <w:p>
      <w:pPr>
        <w:pStyle w:val="TOC8"/>
        <w:rPr>
          <w:rFonts w:asciiTheme="minorHAnsi" w:eastAsiaTheme="minorEastAsia" w:hAnsiTheme="minorHAnsi" w:cstheme="minorBidi"/>
          <w:szCs w:val="22"/>
        </w:rPr>
      </w:pPr>
      <w:r>
        <w:t>32H.</w:t>
      </w:r>
      <w:r>
        <w:tab/>
        <w:t>Notice of chief executive officer’s decision on removal action and material relied on</w:t>
      </w:r>
      <w:r>
        <w:tab/>
      </w:r>
      <w:r>
        <w:fldChar w:fldCharType="begin"/>
      </w:r>
      <w:r>
        <w:instrText xml:space="preserve"> PAGEREF _Toc427933509 \h </w:instrText>
      </w:r>
      <w:r>
        <w:fldChar w:fldCharType="separate"/>
      </w:r>
      <w:r>
        <w:t>28</w:t>
      </w:r>
      <w:r>
        <w:fldChar w:fldCharType="end"/>
      </w:r>
    </w:p>
    <w:p>
      <w:pPr>
        <w:pStyle w:val="TOC8"/>
        <w:rPr>
          <w:rFonts w:asciiTheme="minorHAnsi" w:eastAsiaTheme="minorEastAsia" w:hAnsiTheme="minorHAnsi" w:cstheme="minorBidi"/>
          <w:szCs w:val="22"/>
        </w:rPr>
      </w:pPr>
      <w:r>
        <w:t>32I.</w:t>
      </w:r>
      <w:r>
        <w:tab/>
        <w:t>Service of notices or documents</w:t>
      </w:r>
      <w:r>
        <w:tab/>
      </w:r>
      <w:r>
        <w:fldChar w:fldCharType="begin"/>
      </w:r>
      <w:r>
        <w:instrText xml:space="preserve"> PAGEREF _Toc427933510 \h </w:instrText>
      </w:r>
      <w:r>
        <w:fldChar w:fldCharType="separate"/>
      </w:r>
      <w:r>
        <w:t>29</w:t>
      </w:r>
      <w:r>
        <w:fldChar w:fldCharType="end"/>
      </w:r>
    </w:p>
    <w:p>
      <w:pPr>
        <w:pStyle w:val="TOC8"/>
        <w:rPr>
          <w:rFonts w:asciiTheme="minorHAnsi" w:eastAsiaTheme="minorEastAsia" w:hAnsiTheme="minorHAnsi" w:cstheme="minorBidi"/>
          <w:szCs w:val="22"/>
        </w:rPr>
      </w:pPr>
      <w:r>
        <w:t>32J.</w:t>
      </w:r>
      <w:r>
        <w:tab/>
        <w:t>Application</w:t>
      </w:r>
      <w:r>
        <w:tab/>
      </w:r>
      <w:r>
        <w:fldChar w:fldCharType="begin"/>
      </w:r>
      <w:r>
        <w:instrText xml:space="preserve"> PAGEREF _Toc427933511 \h </w:instrText>
      </w:r>
      <w:r>
        <w:fldChar w:fldCharType="separate"/>
      </w:r>
      <w:r>
        <w:t>30</w:t>
      </w:r>
      <w:r>
        <w:fldChar w:fldCharType="end"/>
      </w:r>
    </w:p>
    <w:p>
      <w:pPr>
        <w:pStyle w:val="TOC8"/>
        <w:rPr>
          <w:rFonts w:asciiTheme="minorHAnsi" w:eastAsiaTheme="minorEastAsia" w:hAnsiTheme="minorHAnsi" w:cstheme="minorBidi"/>
          <w:szCs w:val="22"/>
        </w:rPr>
      </w:pPr>
      <w:r>
        <w:t>32K.</w:t>
      </w:r>
      <w:r>
        <w:tab/>
        <w:t>Restriction on suspending prison officer’s pay</w:t>
      </w:r>
      <w:r>
        <w:tab/>
      </w:r>
      <w:r>
        <w:fldChar w:fldCharType="begin"/>
      </w:r>
      <w:r>
        <w:instrText xml:space="preserve"> PAGEREF _Toc427933512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V — Prisoners — management provisions</w:t>
      </w:r>
    </w:p>
    <w:p>
      <w:pPr>
        <w:pStyle w:val="TOC4"/>
        <w:tabs>
          <w:tab w:val="right" w:leader="dot" w:pos="7077"/>
        </w:tabs>
        <w:rPr>
          <w:rFonts w:asciiTheme="minorHAnsi" w:eastAsiaTheme="minorEastAsia" w:hAnsiTheme="minorHAnsi" w:cstheme="minorBidi"/>
          <w:b w:val="0"/>
          <w:szCs w:val="22"/>
        </w:rPr>
      </w:pPr>
      <w:r>
        <w:t>Division 1 — Prisoner property</w:t>
      </w:r>
    </w:p>
    <w:p>
      <w:pPr>
        <w:pStyle w:val="TOC8"/>
        <w:rPr>
          <w:rFonts w:asciiTheme="minorHAnsi" w:eastAsiaTheme="minorEastAsia" w:hAnsiTheme="minorHAnsi" w:cstheme="minorBidi"/>
          <w:szCs w:val="22"/>
        </w:rPr>
      </w:pPr>
      <w:r>
        <w:t>32</w:t>
      </w:r>
      <w:r>
        <w:rPr>
          <w:snapToGrid w:val="0"/>
        </w:rPr>
        <w:t>.</w:t>
      </w:r>
      <w:r>
        <w:rPr>
          <w:snapToGrid w:val="0"/>
        </w:rPr>
        <w:tab/>
        <w:t>Prison clothing</w:t>
      </w:r>
      <w:r>
        <w:tab/>
      </w:r>
      <w:r>
        <w:fldChar w:fldCharType="begin"/>
      </w:r>
      <w:r>
        <w:instrText xml:space="preserve"> PAGEREF _Toc427933515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Clothing during absence from prison</w:t>
      </w:r>
      <w:r>
        <w:tab/>
      </w:r>
      <w:r>
        <w:fldChar w:fldCharType="begin"/>
      </w:r>
      <w:r>
        <w:instrText xml:space="preserve"> PAGEREF _Toc427933516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Clothing on discharge</w:t>
      </w:r>
      <w:r>
        <w:tab/>
      </w:r>
      <w:r>
        <w:fldChar w:fldCharType="begin"/>
      </w:r>
      <w:r>
        <w:instrText xml:space="preserve"> PAGEREF _Toc427933517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Prisoner’s property</w:t>
      </w:r>
      <w:r>
        <w:tab/>
      </w:r>
      <w:r>
        <w:fldChar w:fldCharType="begin"/>
      </w:r>
      <w:r>
        <w:instrText xml:space="preserve"> PAGEREF _Toc427933518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Safekeeping of prisoner’s property</w:t>
      </w:r>
      <w:r>
        <w:tab/>
      </w:r>
      <w:r>
        <w:fldChar w:fldCharType="begin"/>
      </w:r>
      <w:r>
        <w:instrText xml:space="preserve"> PAGEREF _Toc427933519 \h </w:instrText>
      </w:r>
      <w:r>
        <w:fldChar w:fldCharType="separate"/>
      </w:r>
      <w:r>
        <w:t>32</w:t>
      </w:r>
      <w:r>
        <w:fldChar w:fldCharType="end"/>
      </w:r>
    </w:p>
    <w:p>
      <w:pPr>
        <w:pStyle w:val="TOC8"/>
        <w:rPr>
          <w:rFonts w:asciiTheme="minorHAnsi" w:eastAsiaTheme="minorEastAsia" w:hAnsiTheme="minorHAnsi" w:cstheme="minorBidi"/>
          <w:szCs w:val="22"/>
        </w:rPr>
      </w:pPr>
      <w:r>
        <w:t>36A.</w:t>
      </w:r>
      <w:r>
        <w:tab/>
        <w:t>Prisoner’s property brought by other people</w:t>
      </w:r>
      <w:r>
        <w:tab/>
      </w:r>
      <w:r>
        <w:fldChar w:fldCharType="begin"/>
      </w:r>
      <w:r>
        <w:instrText xml:space="preserve"> PAGEREF _Toc427933520 \h </w:instrText>
      </w:r>
      <w:r>
        <w:fldChar w:fldCharType="separate"/>
      </w:r>
      <w:r>
        <w:t>33</w:t>
      </w:r>
      <w:r>
        <w:fldChar w:fldCharType="end"/>
      </w:r>
    </w:p>
    <w:p>
      <w:pPr>
        <w:pStyle w:val="TOC8"/>
        <w:rPr>
          <w:rFonts w:asciiTheme="minorHAnsi" w:eastAsiaTheme="minorEastAsia" w:hAnsiTheme="minorHAnsi" w:cstheme="minorBidi"/>
          <w:szCs w:val="22"/>
        </w:rPr>
      </w:pPr>
      <w:r>
        <w:t>36B.</w:t>
      </w:r>
      <w:r>
        <w:tab/>
        <w:t>Refusing to store property</w:t>
      </w:r>
      <w:r>
        <w:tab/>
      </w:r>
      <w:r>
        <w:fldChar w:fldCharType="begin"/>
      </w:r>
      <w:r>
        <w:instrText xml:space="preserve"> PAGEREF _Toc427933521 \h </w:instrText>
      </w:r>
      <w:r>
        <w:fldChar w:fldCharType="separate"/>
      </w:r>
      <w:r>
        <w:t>33</w:t>
      </w:r>
      <w:r>
        <w:fldChar w:fldCharType="end"/>
      </w:r>
    </w:p>
    <w:p>
      <w:pPr>
        <w:pStyle w:val="TOC8"/>
        <w:rPr>
          <w:rFonts w:asciiTheme="minorHAnsi" w:eastAsiaTheme="minorEastAsia" w:hAnsiTheme="minorHAnsi" w:cstheme="minorBidi"/>
          <w:szCs w:val="22"/>
        </w:rPr>
      </w:pPr>
      <w:r>
        <w:t>36C.</w:t>
      </w:r>
      <w:r>
        <w:tab/>
        <w:t>Release of property</w:t>
      </w:r>
      <w:r>
        <w:tab/>
      </w:r>
      <w:r>
        <w:fldChar w:fldCharType="begin"/>
      </w:r>
      <w:r>
        <w:instrText xml:space="preserve"> PAGEREF _Toc427933522 \h </w:instrText>
      </w:r>
      <w:r>
        <w:fldChar w:fldCharType="separate"/>
      </w:r>
      <w:r>
        <w:t>34</w:t>
      </w:r>
      <w:r>
        <w:fldChar w:fldCharType="end"/>
      </w:r>
    </w:p>
    <w:p>
      <w:pPr>
        <w:pStyle w:val="TOC8"/>
        <w:rPr>
          <w:rFonts w:asciiTheme="minorHAnsi" w:eastAsiaTheme="minorEastAsia" w:hAnsiTheme="minorHAnsi" w:cstheme="minorBidi"/>
          <w:szCs w:val="22"/>
        </w:rPr>
      </w:pPr>
      <w:r>
        <w:t>36D.</w:t>
      </w:r>
      <w:r>
        <w:tab/>
        <w:t>Transfer of property between prisons</w:t>
      </w:r>
      <w:r>
        <w:tab/>
      </w:r>
      <w:r>
        <w:fldChar w:fldCharType="begin"/>
      </w:r>
      <w:r>
        <w:instrText xml:space="preserve"> PAGEREF _Toc427933523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Disposal of unclaimed property</w:t>
      </w:r>
      <w:r>
        <w:tab/>
      </w:r>
      <w:r>
        <w:fldChar w:fldCharType="begin"/>
      </w:r>
      <w:r>
        <w:instrText xml:space="preserve"> PAGEREF _Toc427933524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Prisoner records</w:t>
      </w:r>
    </w:p>
    <w:p>
      <w:pPr>
        <w:pStyle w:val="TOC8"/>
        <w:rPr>
          <w:rFonts w:asciiTheme="minorHAnsi" w:eastAsiaTheme="minorEastAsia" w:hAnsiTheme="minorHAnsi" w:cstheme="minorBidi"/>
          <w:szCs w:val="22"/>
        </w:rPr>
      </w:pPr>
      <w:r>
        <w:t>38</w:t>
      </w:r>
      <w:r>
        <w:rPr>
          <w:snapToGrid w:val="0"/>
        </w:rPr>
        <w:t>.</w:t>
      </w:r>
      <w:r>
        <w:rPr>
          <w:snapToGrid w:val="0"/>
        </w:rPr>
        <w:tab/>
        <w:t>Recording of prisoners’ particulars</w:t>
      </w:r>
      <w:r>
        <w:tab/>
      </w:r>
      <w:r>
        <w:fldChar w:fldCharType="begin"/>
      </w:r>
      <w:r>
        <w:instrText xml:space="preserve"> PAGEREF _Toc427933526 \h </w:instrText>
      </w:r>
      <w:r>
        <w:fldChar w:fldCharType="separate"/>
      </w:r>
      <w:r>
        <w:t>36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Confidentiality of records</w:t>
      </w:r>
      <w:r>
        <w:tab/>
      </w:r>
      <w:r>
        <w:fldChar w:fldCharType="begin"/>
      </w:r>
      <w:r>
        <w:instrText xml:space="preserve"> PAGEREF _Toc427933527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Prisoner conduct</w:t>
      </w:r>
    </w:p>
    <w:p>
      <w:pPr>
        <w:pStyle w:val="TOC8"/>
        <w:rPr>
          <w:rFonts w:asciiTheme="minorHAnsi" w:eastAsiaTheme="minorEastAsia" w:hAnsiTheme="minorHAnsi" w:cstheme="minorBidi"/>
          <w:szCs w:val="22"/>
        </w:rPr>
      </w:pPr>
      <w:r>
        <w:t>40</w:t>
      </w:r>
      <w:r>
        <w:rPr>
          <w:snapToGrid w:val="0"/>
        </w:rPr>
        <w:t>.</w:t>
      </w:r>
      <w:r>
        <w:rPr>
          <w:snapToGrid w:val="0"/>
        </w:rPr>
        <w:tab/>
        <w:t>Duty to obey orders</w:t>
      </w:r>
      <w:r>
        <w:tab/>
      </w:r>
      <w:r>
        <w:fldChar w:fldCharType="begin"/>
      </w:r>
      <w:r>
        <w:instrText xml:space="preserve"> PAGEREF _Toc427933529 \h </w:instrText>
      </w:r>
      <w:r>
        <w:fldChar w:fldCharType="separate"/>
      </w:r>
      <w:r>
        <w:t>38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Conduct in personal matters</w:t>
      </w:r>
      <w:r>
        <w:tab/>
      </w:r>
      <w:r>
        <w:fldChar w:fldCharType="begin"/>
      </w:r>
      <w:r>
        <w:instrText xml:space="preserve"> PAGEREF _Toc427933530 \h </w:instrText>
      </w:r>
      <w:r>
        <w:fldChar w:fldCharType="separate"/>
      </w:r>
      <w:r>
        <w:t>38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Remaining in prison</w:t>
      </w:r>
      <w:r>
        <w:tab/>
      </w:r>
      <w:r>
        <w:fldChar w:fldCharType="begin"/>
      </w:r>
      <w:r>
        <w:instrText xml:space="preserve"> PAGEREF _Toc427933531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Prisoner work</w:t>
      </w:r>
    </w:p>
    <w:p>
      <w:pPr>
        <w:pStyle w:val="TOC8"/>
        <w:rPr>
          <w:rFonts w:asciiTheme="minorHAnsi" w:eastAsiaTheme="minorEastAsia" w:hAnsiTheme="minorHAnsi" w:cstheme="minorBidi"/>
          <w:szCs w:val="22"/>
        </w:rPr>
      </w:pPr>
      <w:r>
        <w:t>43</w:t>
      </w:r>
      <w:r>
        <w:rPr>
          <w:snapToGrid w:val="0"/>
        </w:rPr>
        <w:t>.</w:t>
      </w:r>
      <w:r>
        <w:rPr>
          <w:snapToGrid w:val="0"/>
        </w:rPr>
        <w:tab/>
        <w:t>Work</w:t>
      </w:r>
      <w:r>
        <w:tab/>
      </w:r>
      <w:r>
        <w:fldChar w:fldCharType="begin"/>
      </w:r>
      <w:r>
        <w:instrText xml:space="preserve"> PAGEREF _Toc427933533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Classification of labour performed by prisoners</w:t>
      </w:r>
      <w:r>
        <w:tab/>
      </w:r>
      <w:r>
        <w:fldChar w:fldCharType="begin"/>
      </w:r>
      <w:r>
        <w:instrText xml:space="preserve"> PAGEREF _Toc427933534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Prisoner gratuities and other moneys</w:t>
      </w:r>
    </w:p>
    <w:p>
      <w:pPr>
        <w:pStyle w:val="TOC8"/>
        <w:rPr>
          <w:rFonts w:asciiTheme="minorHAnsi" w:eastAsiaTheme="minorEastAsia" w:hAnsiTheme="minorHAnsi" w:cstheme="minorBidi"/>
          <w:szCs w:val="22"/>
        </w:rPr>
      </w:pPr>
      <w:r>
        <w:t>45</w:t>
      </w:r>
      <w:r>
        <w:rPr>
          <w:snapToGrid w:val="0"/>
        </w:rPr>
        <w:t>.</w:t>
      </w:r>
      <w:r>
        <w:rPr>
          <w:snapToGrid w:val="0"/>
        </w:rPr>
        <w:tab/>
        <w:t>Gratuities that may be credited to prisoners</w:t>
      </w:r>
      <w:r>
        <w:tab/>
      </w:r>
      <w:r>
        <w:fldChar w:fldCharType="begin"/>
      </w:r>
      <w:r>
        <w:instrText xml:space="preserve"> PAGEREF _Toc427933536 \h </w:instrText>
      </w:r>
      <w:r>
        <w:fldChar w:fldCharType="separate"/>
      </w:r>
      <w:r>
        <w:t>40</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Chief executive officer to determine level of labour</w:t>
      </w:r>
      <w:r>
        <w:tab/>
      </w:r>
      <w:r>
        <w:fldChar w:fldCharType="begin"/>
      </w:r>
      <w:r>
        <w:instrText xml:space="preserve"> PAGEREF _Toc427933537 \h </w:instrText>
      </w:r>
      <w:r>
        <w:fldChar w:fldCharType="separate"/>
      </w:r>
      <w:r>
        <w:t>40</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No gratuity for non allocated prisoners or prisoners confined as punishment</w:t>
      </w:r>
      <w:r>
        <w:tab/>
      </w:r>
      <w:r>
        <w:fldChar w:fldCharType="begin"/>
      </w:r>
      <w:r>
        <w:instrText xml:space="preserve"> PAGEREF _Toc427933538 \h </w:instrText>
      </w:r>
      <w:r>
        <w:fldChar w:fldCharType="separate"/>
      </w:r>
      <w:r>
        <w:t>41</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Medically unfit prisoner</w:t>
      </w:r>
      <w:r>
        <w:tab/>
      </w:r>
      <w:r>
        <w:fldChar w:fldCharType="begin"/>
      </w:r>
      <w:r>
        <w:instrText xml:space="preserve"> PAGEREF _Toc427933539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Proportionate payment and public holiday</w:t>
      </w:r>
      <w:r>
        <w:tab/>
      </w:r>
      <w:r>
        <w:fldChar w:fldCharType="begin"/>
      </w:r>
      <w:r>
        <w:instrText xml:space="preserve"> PAGEREF _Toc427933540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Extra or lower gratuities</w:t>
      </w:r>
      <w:r>
        <w:tab/>
      </w:r>
      <w:r>
        <w:fldChar w:fldCharType="begin"/>
      </w:r>
      <w:r>
        <w:instrText xml:space="preserve"> PAGEREF _Toc427933541 \h </w:instrText>
      </w:r>
      <w:r>
        <w:fldChar w:fldCharType="separate"/>
      </w:r>
      <w:r>
        <w:t>42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Classification and gratuity records</w:t>
      </w:r>
      <w:r>
        <w:tab/>
      </w:r>
      <w:r>
        <w:fldChar w:fldCharType="begin"/>
      </w:r>
      <w:r>
        <w:instrText xml:space="preserve"> PAGEREF _Toc427933542 \h </w:instrText>
      </w:r>
      <w:r>
        <w:fldChar w:fldCharType="separate"/>
      </w:r>
      <w:r>
        <w:t>42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Expenditure of gratuities</w:t>
      </w:r>
      <w:r>
        <w:tab/>
      </w:r>
      <w:r>
        <w:fldChar w:fldCharType="begin"/>
      </w:r>
      <w:r>
        <w:instrText xml:space="preserve"> PAGEREF _Toc427933543 \h </w:instrText>
      </w:r>
      <w:r>
        <w:fldChar w:fldCharType="separate"/>
      </w:r>
      <w:r>
        <w:t>43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Restriction on money held for prisoner</w:t>
      </w:r>
      <w:r>
        <w:tab/>
      </w:r>
      <w:r>
        <w:fldChar w:fldCharType="begin"/>
      </w:r>
      <w:r>
        <w:instrText xml:space="preserve"> PAGEREF _Toc427933544 \h </w:instrText>
      </w:r>
      <w:r>
        <w:fldChar w:fldCharType="separate"/>
      </w:r>
      <w:r>
        <w:t>43</w:t>
      </w:r>
      <w:r>
        <w:fldChar w:fldCharType="end"/>
      </w:r>
    </w:p>
    <w:p>
      <w:pPr>
        <w:pStyle w:val="TOC8"/>
        <w:rPr>
          <w:rFonts w:asciiTheme="minorHAnsi" w:eastAsiaTheme="minorEastAsia" w:hAnsiTheme="minorHAnsi" w:cstheme="minorBidi"/>
          <w:szCs w:val="22"/>
        </w:rPr>
      </w:pPr>
      <w:r>
        <w:t>49.</w:t>
      </w:r>
      <w:r>
        <w:tab/>
        <w:t>Deductions for damage etc. to property of Government or contractor</w:t>
      </w:r>
      <w:r>
        <w:tab/>
      </w:r>
      <w:r>
        <w:fldChar w:fldCharType="begin"/>
      </w:r>
      <w:r>
        <w:instrText xml:space="preserve"> PAGEREF _Toc427933545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Payment of gratuities on discharge</w:t>
      </w:r>
      <w:r>
        <w:tab/>
      </w:r>
      <w:r>
        <w:fldChar w:fldCharType="begin"/>
      </w:r>
      <w:r>
        <w:instrText xml:space="preserve"> PAGEREF _Toc427933546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Information provided to prisoners</w:t>
      </w:r>
    </w:p>
    <w:p>
      <w:pPr>
        <w:pStyle w:val="TOC8"/>
        <w:rPr>
          <w:rFonts w:asciiTheme="minorHAnsi" w:eastAsiaTheme="minorEastAsia" w:hAnsiTheme="minorHAnsi" w:cstheme="minorBidi"/>
          <w:szCs w:val="22"/>
        </w:rPr>
      </w:pPr>
      <w:r>
        <w:t>51</w:t>
      </w:r>
      <w:r>
        <w:rPr>
          <w:snapToGrid w:val="0"/>
        </w:rPr>
        <w:t>.</w:t>
      </w:r>
      <w:r>
        <w:rPr>
          <w:snapToGrid w:val="0"/>
        </w:rPr>
        <w:tab/>
        <w:t>Provision of information to prisoners</w:t>
      </w:r>
      <w:r>
        <w:tab/>
      </w:r>
      <w:r>
        <w:fldChar w:fldCharType="begin"/>
      </w:r>
      <w:r>
        <w:instrText xml:space="preserve"> PAGEREF _Toc427933548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Visitors</w:t>
      </w:r>
    </w:p>
    <w:p>
      <w:pPr>
        <w:pStyle w:val="TOC8"/>
        <w:rPr>
          <w:rFonts w:asciiTheme="minorHAnsi" w:eastAsiaTheme="minorEastAsia" w:hAnsiTheme="minorHAnsi" w:cstheme="minorBidi"/>
          <w:szCs w:val="22"/>
        </w:rPr>
      </w:pPr>
      <w:r>
        <w:t>52</w:t>
      </w:r>
      <w:r>
        <w:rPr>
          <w:snapToGrid w:val="0"/>
        </w:rPr>
        <w:t>.</w:t>
      </w:r>
      <w:r>
        <w:rPr>
          <w:snapToGrid w:val="0"/>
        </w:rPr>
        <w:tab/>
        <w:t>Visits to sentenced prisoners</w:t>
      </w:r>
      <w:r>
        <w:tab/>
      </w:r>
      <w:r>
        <w:fldChar w:fldCharType="begin"/>
      </w:r>
      <w:r>
        <w:instrText xml:space="preserve"> PAGEREF _Toc427933550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Visits — general</w:t>
      </w:r>
      <w:r>
        <w:tab/>
      </w:r>
      <w:r>
        <w:fldChar w:fldCharType="begin"/>
      </w:r>
      <w:r>
        <w:instrText xml:space="preserve"> PAGEREF _Toc427933551 \h </w:instrText>
      </w:r>
      <w:r>
        <w:fldChar w:fldCharType="separate"/>
      </w:r>
      <w:r>
        <w:t>45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Visitors may be required to produce evidence of identity</w:t>
      </w:r>
      <w:r>
        <w:tab/>
      </w:r>
      <w:r>
        <w:fldChar w:fldCharType="begin"/>
      </w:r>
      <w:r>
        <w:instrText xml:space="preserve"> PAGEREF _Toc427933552 \h </w:instrText>
      </w:r>
      <w:r>
        <w:fldChar w:fldCharType="separate"/>
      </w:r>
      <w:r>
        <w:t>46</w:t>
      </w:r>
      <w:r>
        <w:fldChar w:fldCharType="end"/>
      </w:r>
    </w:p>
    <w:p>
      <w:pPr>
        <w:pStyle w:val="TOC8"/>
        <w:rPr>
          <w:rFonts w:asciiTheme="minorHAnsi" w:eastAsiaTheme="minorEastAsia" w:hAnsiTheme="minorHAnsi" w:cstheme="minorBidi"/>
          <w:szCs w:val="22"/>
        </w:rPr>
      </w:pPr>
      <w:r>
        <w:t>53B.</w:t>
      </w:r>
      <w:r>
        <w:tab/>
        <w:t>Confirmation of visitor’s identity</w:t>
      </w:r>
      <w:r>
        <w:tab/>
      </w:r>
      <w:r>
        <w:fldChar w:fldCharType="begin"/>
      </w:r>
      <w:r>
        <w:instrText xml:space="preserve"> PAGEREF _Toc427933553 \h </w:instrText>
      </w:r>
      <w:r>
        <w:fldChar w:fldCharType="separate"/>
      </w:r>
      <w:r>
        <w:t>46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Form of visitor’s declaration</w:t>
      </w:r>
      <w:r>
        <w:tab/>
      </w:r>
      <w:r>
        <w:fldChar w:fldCharType="begin"/>
      </w:r>
      <w:r>
        <w:instrText xml:space="preserve"> PAGEREF _Toc427933554 \h </w:instrText>
      </w:r>
      <w:r>
        <w:fldChar w:fldCharType="separate"/>
      </w:r>
      <w:r>
        <w:t>47</w:t>
      </w:r>
      <w:r>
        <w:fldChar w:fldCharType="end"/>
      </w:r>
    </w:p>
    <w:p>
      <w:pPr>
        <w:pStyle w:val="TOC8"/>
        <w:rPr>
          <w:rFonts w:asciiTheme="minorHAnsi" w:eastAsiaTheme="minorEastAsia" w:hAnsiTheme="minorHAnsi" w:cstheme="minorBidi"/>
          <w:szCs w:val="22"/>
        </w:rPr>
      </w:pPr>
      <w:r>
        <w:t>54B.</w:t>
      </w:r>
      <w:r>
        <w:tab/>
        <w:t>Circumstances in which and periods for which persons may be banned from prison visits</w:t>
      </w:r>
      <w:r>
        <w:tab/>
      </w:r>
      <w:r>
        <w:fldChar w:fldCharType="begin"/>
      </w:r>
      <w:r>
        <w:instrText xml:space="preserve"> PAGEREF _Toc427933555 \h </w:instrText>
      </w:r>
      <w:r>
        <w:fldChar w:fldCharType="separate"/>
      </w:r>
      <w:r>
        <w:t>47</w:t>
      </w:r>
      <w:r>
        <w:fldChar w:fldCharType="end"/>
      </w:r>
    </w:p>
    <w:p>
      <w:pPr>
        <w:pStyle w:val="TOC8"/>
        <w:rPr>
          <w:rFonts w:asciiTheme="minorHAnsi" w:eastAsiaTheme="minorEastAsia" w:hAnsiTheme="minorHAnsi" w:cstheme="minorBidi"/>
          <w:szCs w:val="22"/>
        </w:rPr>
      </w:pPr>
      <w:r>
        <w:t>54BA.</w:t>
      </w:r>
      <w:r>
        <w:tab/>
        <w:t>Reasons that are not required to be given for the purposes of section 66(6) of the Act</w:t>
      </w:r>
      <w:r>
        <w:tab/>
      </w:r>
      <w:r>
        <w:fldChar w:fldCharType="begin"/>
      </w:r>
      <w:r>
        <w:instrText xml:space="preserve"> PAGEREF _Toc427933556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8 — Separation of prisoners</w:t>
      </w:r>
    </w:p>
    <w:p>
      <w:pPr>
        <w:pStyle w:val="TOC8"/>
        <w:rPr>
          <w:rFonts w:asciiTheme="minorHAnsi" w:eastAsiaTheme="minorEastAsia" w:hAnsiTheme="minorHAnsi" w:cstheme="minorBidi"/>
          <w:szCs w:val="22"/>
        </w:rPr>
      </w:pPr>
      <w:r>
        <w:t>54C</w:t>
      </w:r>
      <w:r>
        <w:rPr>
          <w:snapToGrid w:val="0"/>
        </w:rPr>
        <w:t>.</w:t>
      </w:r>
      <w:r>
        <w:rPr>
          <w:snapToGrid w:val="0"/>
        </w:rPr>
        <w:tab/>
        <w:t>Separation of prisoners</w:t>
      </w:r>
      <w:r>
        <w:tab/>
      </w:r>
      <w:r>
        <w:fldChar w:fldCharType="begin"/>
      </w:r>
      <w:r>
        <w:instrText xml:space="preserve"> PAGEREF _Toc427933558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9 — Absence permits</w:t>
      </w:r>
    </w:p>
    <w:p>
      <w:pPr>
        <w:pStyle w:val="TOC8"/>
        <w:rPr>
          <w:rFonts w:asciiTheme="minorHAnsi" w:eastAsiaTheme="minorEastAsia" w:hAnsiTheme="minorHAnsi" w:cstheme="minorBidi"/>
          <w:szCs w:val="22"/>
        </w:rPr>
      </w:pPr>
      <w:r>
        <w:t>54D.</w:t>
      </w:r>
      <w:r>
        <w:tab/>
        <w:t>Prescribed purposes or circumstances for absence permits</w:t>
      </w:r>
      <w:r>
        <w:tab/>
      </w:r>
      <w:r>
        <w:fldChar w:fldCharType="begin"/>
      </w:r>
      <w:r>
        <w:instrText xml:space="preserve"> PAGEREF _Toc427933560 \h </w:instrText>
      </w:r>
      <w:r>
        <w:fldChar w:fldCharType="separate"/>
      </w:r>
      <w:r>
        <w:t>51</w:t>
      </w:r>
      <w:r>
        <w:fldChar w:fldCharType="end"/>
      </w:r>
    </w:p>
    <w:p>
      <w:pPr>
        <w:pStyle w:val="TOC8"/>
        <w:rPr>
          <w:rFonts w:asciiTheme="minorHAnsi" w:eastAsiaTheme="minorEastAsia" w:hAnsiTheme="minorHAnsi" w:cstheme="minorBidi"/>
          <w:szCs w:val="22"/>
        </w:rPr>
      </w:pPr>
      <w:r>
        <w:t>54E.</w:t>
      </w:r>
      <w:r>
        <w:tab/>
        <w:t>Duration of absence permit</w:t>
      </w:r>
      <w:r>
        <w:tab/>
      </w:r>
      <w:r>
        <w:fldChar w:fldCharType="begin"/>
      </w:r>
      <w:r>
        <w:instrText xml:space="preserve"> PAGEREF _Toc427933561 \h </w:instrText>
      </w:r>
      <w:r>
        <w:fldChar w:fldCharType="separate"/>
      </w:r>
      <w:r>
        <w:t>52</w:t>
      </w:r>
      <w:r>
        <w:fldChar w:fldCharType="end"/>
      </w:r>
    </w:p>
    <w:p>
      <w:pPr>
        <w:pStyle w:val="TOC8"/>
        <w:rPr>
          <w:rFonts w:asciiTheme="minorHAnsi" w:eastAsiaTheme="minorEastAsia" w:hAnsiTheme="minorHAnsi" w:cstheme="minorBidi"/>
          <w:szCs w:val="22"/>
        </w:rPr>
      </w:pPr>
      <w:r>
        <w:t>54F.</w:t>
      </w:r>
      <w:r>
        <w:tab/>
        <w:t>Eligibility for absence permit</w:t>
      </w:r>
      <w:r>
        <w:tab/>
      </w:r>
      <w:r>
        <w:fldChar w:fldCharType="begin"/>
      </w:r>
      <w:r>
        <w:instrText xml:space="preserve"> PAGEREF _Toc427933562 \h </w:instrText>
      </w:r>
      <w:r>
        <w:fldChar w:fldCharType="separate"/>
      </w:r>
      <w:r>
        <w:t>53</w:t>
      </w:r>
      <w:r>
        <w:fldChar w:fldCharType="end"/>
      </w:r>
    </w:p>
    <w:p>
      <w:pPr>
        <w:pStyle w:val="TOC8"/>
        <w:rPr>
          <w:rFonts w:asciiTheme="minorHAnsi" w:eastAsiaTheme="minorEastAsia" w:hAnsiTheme="minorHAnsi" w:cstheme="minorBidi"/>
          <w:szCs w:val="22"/>
        </w:rPr>
      </w:pPr>
      <w:r>
        <w:t>54G.</w:t>
      </w:r>
      <w:r>
        <w:tab/>
        <w:t>Arrangements relating to accommodation and community work</w:t>
      </w:r>
      <w:r>
        <w:tab/>
      </w:r>
      <w:r>
        <w:fldChar w:fldCharType="begin"/>
      </w:r>
      <w:r>
        <w:instrText xml:space="preserve"> PAGEREF _Toc427933563 \h </w:instrText>
      </w:r>
      <w:r>
        <w:fldChar w:fldCharType="separate"/>
      </w:r>
      <w:r>
        <w:t>54</w:t>
      </w:r>
      <w:r>
        <w:fldChar w:fldCharType="end"/>
      </w:r>
    </w:p>
    <w:p>
      <w:pPr>
        <w:pStyle w:val="TOC8"/>
        <w:rPr>
          <w:rFonts w:asciiTheme="minorHAnsi" w:eastAsiaTheme="minorEastAsia" w:hAnsiTheme="minorHAnsi" w:cstheme="minorBidi"/>
          <w:szCs w:val="22"/>
        </w:rPr>
      </w:pPr>
      <w:r>
        <w:t>54H.</w:t>
      </w:r>
      <w:r>
        <w:tab/>
        <w:t>Terms of paid employment of prisoner on an absence permit</w:t>
      </w:r>
      <w:r>
        <w:tab/>
      </w:r>
      <w:r>
        <w:fldChar w:fldCharType="begin"/>
      </w:r>
      <w:r>
        <w:instrText xml:space="preserve"> PAGEREF _Toc427933564 \h </w:instrText>
      </w:r>
      <w:r>
        <w:fldChar w:fldCharType="separate"/>
      </w:r>
      <w:r>
        <w:t>54</w:t>
      </w:r>
      <w:r>
        <w:fldChar w:fldCharType="end"/>
      </w:r>
    </w:p>
    <w:p>
      <w:pPr>
        <w:pStyle w:val="TOC8"/>
        <w:rPr>
          <w:rFonts w:asciiTheme="minorHAnsi" w:eastAsiaTheme="minorEastAsia" w:hAnsiTheme="minorHAnsi" w:cstheme="minorBidi"/>
          <w:szCs w:val="22"/>
        </w:rPr>
      </w:pPr>
      <w:r>
        <w:t>54I.</w:t>
      </w:r>
      <w:r>
        <w:tab/>
        <w:t>Appointment of escorts and supervisors</w:t>
      </w:r>
      <w:r>
        <w:tab/>
      </w:r>
      <w:r>
        <w:fldChar w:fldCharType="begin"/>
      </w:r>
      <w:r>
        <w:instrText xml:space="preserve"> PAGEREF _Toc427933565 \h </w:instrText>
      </w:r>
      <w:r>
        <w:fldChar w:fldCharType="separate"/>
      </w:r>
      <w:r>
        <w:t>55</w:t>
      </w:r>
      <w:r>
        <w:fldChar w:fldCharType="end"/>
      </w:r>
    </w:p>
    <w:p>
      <w:pPr>
        <w:pStyle w:val="TOC8"/>
        <w:rPr>
          <w:rFonts w:asciiTheme="minorHAnsi" w:eastAsiaTheme="minorEastAsia" w:hAnsiTheme="minorHAnsi" w:cstheme="minorBidi"/>
          <w:szCs w:val="22"/>
        </w:rPr>
      </w:pPr>
      <w:r>
        <w:t>54J.</w:t>
      </w:r>
      <w:r>
        <w:tab/>
        <w:t>Restrictions on giving absence permits</w:t>
      </w:r>
      <w:r>
        <w:tab/>
      </w:r>
      <w:r>
        <w:fldChar w:fldCharType="begin"/>
      </w:r>
      <w:r>
        <w:instrText xml:space="preserve"> PAGEREF _Toc427933566 \h </w:instrText>
      </w:r>
      <w:r>
        <w:fldChar w:fldCharType="separate"/>
      </w:r>
      <w:r>
        <w:t>55</w:t>
      </w:r>
      <w:r>
        <w:fldChar w:fldCharType="end"/>
      </w:r>
    </w:p>
    <w:p>
      <w:pPr>
        <w:pStyle w:val="TOC8"/>
        <w:rPr>
          <w:rFonts w:asciiTheme="minorHAnsi" w:eastAsiaTheme="minorEastAsia" w:hAnsiTheme="minorHAnsi" w:cstheme="minorBidi"/>
          <w:szCs w:val="22"/>
        </w:rPr>
      </w:pPr>
      <w:r>
        <w:t>54K.</w:t>
      </w:r>
      <w:r>
        <w:tab/>
        <w:t>Standard conditions of absence permits</w:t>
      </w:r>
      <w:r>
        <w:tab/>
      </w:r>
      <w:r>
        <w:fldChar w:fldCharType="begin"/>
      </w:r>
      <w:r>
        <w:instrText xml:space="preserve"> PAGEREF _Toc427933567 \h </w:instrText>
      </w:r>
      <w:r>
        <w:fldChar w:fldCharType="separate"/>
      </w:r>
      <w:r>
        <w:t>55</w:t>
      </w:r>
      <w:r>
        <w:fldChar w:fldCharType="end"/>
      </w:r>
    </w:p>
    <w:p>
      <w:pPr>
        <w:pStyle w:val="TOC8"/>
        <w:rPr>
          <w:rFonts w:asciiTheme="minorHAnsi" w:eastAsiaTheme="minorEastAsia" w:hAnsiTheme="minorHAnsi" w:cstheme="minorBidi"/>
          <w:szCs w:val="22"/>
        </w:rPr>
      </w:pPr>
      <w:r>
        <w:t>54L.</w:t>
      </w:r>
      <w:r>
        <w:tab/>
        <w:t>Amounts deducted from moneys paid to a prisoner on an absence permit</w:t>
      </w:r>
      <w:r>
        <w:tab/>
      </w:r>
      <w:r>
        <w:fldChar w:fldCharType="begin"/>
      </w:r>
      <w:r>
        <w:instrText xml:space="preserve"> PAGEREF _Toc427933568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10 — Interstate absence permits</w:t>
      </w:r>
    </w:p>
    <w:p>
      <w:pPr>
        <w:pStyle w:val="TOC8"/>
        <w:rPr>
          <w:rFonts w:asciiTheme="minorHAnsi" w:eastAsiaTheme="minorEastAsia" w:hAnsiTheme="minorHAnsi" w:cstheme="minorBidi"/>
          <w:szCs w:val="22"/>
        </w:rPr>
      </w:pPr>
      <w:r>
        <w:t>54M.</w:t>
      </w:r>
      <w:r>
        <w:tab/>
        <w:t>Terms used in this Division</w:t>
      </w:r>
      <w:r>
        <w:tab/>
      </w:r>
      <w:r>
        <w:fldChar w:fldCharType="begin"/>
      </w:r>
      <w:r>
        <w:instrText xml:space="preserve"> PAGEREF _Toc427933570 \h </w:instrText>
      </w:r>
      <w:r>
        <w:fldChar w:fldCharType="separate"/>
      </w:r>
      <w:r>
        <w:t>56</w:t>
      </w:r>
      <w:r>
        <w:fldChar w:fldCharType="end"/>
      </w:r>
    </w:p>
    <w:p>
      <w:pPr>
        <w:pStyle w:val="TOC8"/>
        <w:rPr>
          <w:rFonts w:asciiTheme="minorHAnsi" w:eastAsiaTheme="minorEastAsia" w:hAnsiTheme="minorHAnsi" w:cstheme="minorBidi"/>
          <w:szCs w:val="22"/>
        </w:rPr>
      </w:pPr>
      <w:r>
        <w:t>54N.</w:t>
      </w:r>
      <w:r>
        <w:tab/>
        <w:t>Corresponding laws</w:t>
      </w:r>
      <w:r>
        <w:tab/>
      </w:r>
      <w:r>
        <w:fldChar w:fldCharType="begin"/>
      </w:r>
      <w:r>
        <w:instrText xml:space="preserve"> PAGEREF _Toc427933571 \h </w:instrText>
      </w:r>
      <w:r>
        <w:fldChar w:fldCharType="separate"/>
      </w:r>
      <w:r>
        <w:t>57</w:t>
      </w:r>
      <w:r>
        <w:fldChar w:fldCharType="end"/>
      </w:r>
    </w:p>
    <w:p>
      <w:pPr>
        <w:pStyle w:val="TOC8"/>
        <w:rPr>
          <w:rFonts w:asciiTheme="minorHAnsi" w:eastAsiaTheme="minorEastAsia" w:hAnsiTheme="minorHAnsi" w:cstheme="minorBidi"/>
          <w:szCs w:val="22"/>
        </w:rPr>
      </w:pPr>
      <w:r>
        <w:t>54O.</w:t>
      </w:r>
      <w:r>
        <w:tab/>
        <w:t>Interstate absence permit</w:t>
      </w:r>
      <w:r>
        <w:tab/>
      </w:r>
      <w:r>
        <w:fldChar w:fldCharType="begin"/>
      </w:r>
      <w:r>
        <w:instrText xml:space="preserve"> PAGEREF _Toc427933572 \h </w:instrText>
      </w:r>
      <w:r>
        <w:fldChar w:fldCharType="separate"/>
      </w:r>
      <w:r>
        <w:t>58</w:t>
      </w:r>
      <w:r>
        <w:fldChar w:fldCharType="end"/>
      </w:r>
    </w:p>
    <w:p>
      <w:pPr>
        <w:pStyle w:val="TOC8"/>
        <w:rPr>
          <w:rFonts w:asciiTheme="minorHAnsi" w:eastAsiaTheme="minorEastAsia" w:hAnsiTheme="minorHAnsi" w:cstheme="minorBidi"/>
          <w:szCs w:val="22"/>
        </w:rPr>
      </w:pPr>
      <w:r>
        <w:t>54P.</w:t>
      </w:r>
      <w:r>
        <w:tab/>
        <w:t>Notice to participating State or Territory</w:t>
      </w:r>
      <w:r>
        <w:tab/>
      </w:r>
      <w:r>
        <w:fldChar w:fldCharType="begin"/>
      </w:r>
      <w:r>
        <w:instrText xml:space="preserve"> PAGEREF _Toc427933573 \h </w:instrText>
      </w:r>
      <w:r>
        <w:fldChar w:fldCharType="separate"/>
      </w:r>
      <w:r>
        <w:t>58</w:t>
      </w:r>
      <w:r>
        <w:fldChar w:fldCharType="end"/>
      </w:r>
    </w:p>
    <w:p>
      <w:pPr>
        <w:pStyle w:val="TOC8"/>
        <w:rPr>
          <w:rFonts w:asciiTheme="minorHAnsi" w:eastAsiaTheme="minorEastAsia" w:hAnsiTheme="minorHAnsi" w:cstheme="minorBidi"/>
          <w:szCs w:val="22"/>
        </w:rPr>
      </w:pPr>
      <w:r>
        <w:t>54Q.</w:t>
      </w:r>
      <w:r>
        <w:tab/>
        <w:t>WA escorts</w:t>
      </w:r>
      <w:r>
        <w:tab/>
      </w:r>
      <w:r>
        <w:fldChar w:fldCharType="begin"/>
      </w:r>
      <w:r>
        <w:instrText xml:space="preserve"> PAGEREF _Toc427933574 \h </w:instrText>
      </w:r>
      <w:r>
        <w:fldChar w:fldCharType="separate"/>
      </w:r>
      <w:r>
        <w:t>59</w:t>
      </w:r>
      <w:r>
        <w:fldChar w:fldCharType="end"/>
      </w:r>
    </w:p>
    <w:p>
      <w:pPr>
        <w:pStyle w:val="TOC8"/>
        <w:rPr>
          <w:rFonts w:asciiTheme="minorHAnsi" w:eastAsiaTheme="minorEastAsia" w:hAnsiTheme="minorHAnsi" w:cstheme="minorBidi"/>
          <w:szCs w:val="22"/>
        </w:rPr>
      </w:pPr>
      <w:r>
        <w:t>54R.</w:t>
      </w:r>
      <w:r>
        <w:tab/>
        <w:t>Interstate escorts</w:t>
      </w:r>
      <w:r>
        <w:tab/>
      </w:r>
      <w:r>
        <w:fldChar w:fldCharType="begin"/>
      </w:r>
      <w:r>
        <w:instrText xml:space="preserve"> PAGEREF _Toc427933575 \h </w:instrText>
      </w:r>
      <w:r>
        <w:fldChar w:fldCharType="separate"/>
      </w:r>
      <w:r>
        <w:t>59</w:t>
      </w:r>
      <w:r>
        <w:fldChar w:fldCharType="end"/>
      </w:r>
    </w:p>
    <w:p>
      <w:pPr>
        <w:pStyle w:val="TOC8"/>
        <w:rPr>
          <w:rFonts w:asciiTheme="minorHAnsi" w:eastAsiaTheme="minorEastAsia" w:hAnsiTheme="minorHAnsi" w:cstheme="minorBidi"/>
          <w:szCs w:val="22"/>
        </w:rPr>
      </w:pPr>
      <w:r>
        <w:t>54S.</w:t>
      </w:r>
      <w:r>
        <w:tab/>
        <w:t>Arrest of interstate prisoners</w:t>
      </w:r>
      <w:r>
        <w:tab/>
      </w:r>
      <w:r>
        <w:fldChar w:fldCharType="begin"/>
      </w:r>
      <w:r>
        <w:instrText xml:space="preserve"> PAGEREF _Toc427933576 \h </w:instrText>
      </w:r>
      <w:r>
        <w:fldChar w:fldCharType="separate"/>
      </w:r>
      <w:r>
        <w:t>60</w:t>
      </w:r>
      <w:r>
        <w:fldChar w:fldCharType="end"/>
      </w:r>
    </w:p>
    <w:p>
      <w:pPr>
        <w:pStyle w:val="TOC8"/>
        <w:rPr>
          <w:rFonts w:asciiTheme="minorHAnsi" w:eastAsiaTheme="minorEastAsia" w:hAnsiTheme="minorHAnsi" w:cstheme="minorBidi"/>
          <w:szCs w:val="22"/>
        </w:rPr>
      </w:pPr>
      <w:r>
        <w:t>54T.</w:t>
      </w:r>
      <w:r>
        <w:tab/>
        <w:t>Return of arrested interstate prisoners to State or Territory of origin</w:t>
      </w:r>
      <w:r>
        <w:tab/>
      </w:r>
      <w:r>
        <w:fldChar w:fldCharType="begin"/>
      </w:r>
      <w:r>
        <w:instrText xml:space="preserve"> PAGEREF _Toc427933577 \h </w:instrText>
      </w:r>
      <w:r>
        <w:fldChar w:fldCharType="separate"/>
      </w:r>
      <w:r>
        <w:t>60</w:t>
      </w:r>
      <w:r>
        <w:fldChar w:fldCharType="end"/>
      </w:r>
    </w:p>
    <w:p>
      <w:pPr>
        <w:pStyle w:val="TOC8"/>
        <w:rPr>
          <w:rFonts w:asciiTheme="minorHAnsi" w:eastAsiaTheme="minorEastAsia" w:hAnsiTheme="minorHAnsi" w:cstheme="minorBidi"/>
          <w:szCs w:val="22"/>
        </w:rPr>
      </w:pPr>
      <w:r>
        <w:t>54U.</w:t>
      </w:r>
      <w:r>
        <w:tab/>
        <w:t>Status of detained interstate prisoners</w:t>
      </w:r>
      <w:r>
        <w:tab/>
      </w:r>
      <w:r>
        <w:fldChar w:fldCharType="begin"/>
      </w:r>
      <w:r>
        <w:instrText xml:space="preserve"> PAGEREF _Toc427933578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Bring up orders</w:t>
      </w:r>
    </w:p>
    <w:p>
      <w:pPr>
        <w:pStyle w:val="TOC8"/>
        <w:rPr>
          <w:rFonts w:asciiTheme="minorHAnsi" w:eastAsiaTheme="minorEastAsia" w:hAnsiTheme="minorHAnsi" w:cstheme="minorBidi"/>
          <w:szCs w:val="22"/>
        </w:rPr>
      </w:pPr>
      <w:r>
        <w:t>54V.</w:t>
      </w:r>
      <w:r>
        <w:tab/>
        <w:t>Superintendent authorised to issue bring up order</w:t>
      </w:r>
      <w:r>
        <w:tab/>
      </w:r>
      <w:r>
        <w:fldChar w:fldCharType="begin"/>
      </w:r>
      <w:r>
        <w:instrText xml:space="preserve"> PAGEREF _Toc427933580 \h </w:instrText>
      </w:r>
      <w:r>
        <w:fldChar w:fldCharType="separate"/>
      </w:r>
      <w:r>
        <w:t>61</w:t>
      </w:r>
      <w:r>
        <w:fldChar w:fldCharType="end"/>
      </w:r>
    </w:p>
    <w:p>
      <w:pPr>
        <w:pStyle w:val="TOC8"/>
        <w:rPr>
          <w:rFonts w:asciiTheme="minorHAnsi" w:eastAsiaTheme="minorEastAsia" w:hAnsiTheme="minorHAnsi" w:cstheme="minorBidi"/>
          <w:szCs w:val="22"/>
        </w:rPr>
      </w:pPr>
      <w:r>
        <w:t>54W.</w:t>
      </w:r>
      <w:r>
        <w:tab/>
        <w:t>Custody of prisoners on bring up orders</w:t>
      </w:r>
      <w:r>
        <w:tab/>
      </w:r>
      <w:r>
        <w:fldChar w:fldCharType="begin"/>
      </w:r>
      <w:r>
        <w:instrText xml:space="preserve"> PAGEREF _Toc427933581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VI — Remand prisoners</w:t>
      </w:r>
    </w:p>
    <w:p>
      <w:pPr>
        <w:pStyle w:val="TOC8"/>
        <w:rPr>
          <w:rFonts w:asciiTheme="minorHAnsi" w:eastAsiaTheme="minorEastAsia" w:hAnsiTheme="minorHAnsi" w:cstheme="minorBidi"/>
          <w:szCs w:val="22"/>
        </w:rPr>
      </w:pPr>
      <w:r>
        <w:t>55</w:t>
      </w:r>
      <w:r>
        <w:rPr>
          <w:snapToGrid w:val="0"/>
        </w:rPr>
        <w:t>.</w:t>
      </w:r>
      <w:r>
        <w:rPr>
          <w:snapToGrid w:val="0"/>
        </w:rPr>
        <w:tab/>
        <w:t>Remand prisoners</w:t>
      </w:r>
      <w:r>
        <w:tab/>
      </w:r>
      <w:r>
        <w:fldChar w:fldCharType="begin"/>
      </w:r>
      <w:r>
        <w:instrText xml:space="preserve"> PAGEREF _Toc427933583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Visits to remand prisoners</w:t>
      </w:r>
      <w:r>
        <w:tab/>
      </w:r>
      <w:r>
        <w:fldChar w:fldCharType="begin"/>
      </w:r>
      <w:r>
        <w:instrText xml:space="preserve"> PAGEREF _Toc427933584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Separation of remand prisoners</w:t>
      </w:r>
      <w:r>
        <w:tab/>
      </w:r>
      <w:r>
        <w:fldChar w:fldCharType="begin"/>
      </w:r>
      <w:r>
        <w:instrText xml:space="preserve"> PAGEREF _Toc427933585 \h </w:instrText>
      </w:r>
      <w:r>
        <w:fldChar w:fldCharType="separate"/>
      </w:r>
      <w:r>
        <w:t>63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Request for reclassification by remand prisoners</w:t>
      </w:r>
      <w:r>
        <w:tab/>
      </w:r>
      <w:r>
        <w:fldChar w:fldCharType="begin"/>
      </w:r>
      <w:r>
        <w:instrText xml:space="preserve"> PAGEREF _Toc427933586 \h </w:instrText>
      </w:r>
      <w:r>
        <w:fldChar w:fldCharType="separate"/>
      </w:r>
      <w:r>
        <w:t>64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Exercise by remand prisoners</w:t>
      </w:r>
      <w:r>
        <w:tab/>
      </w:r>
      <w:r>
        <w:fldChar w:fldCharType="begin"/>
      </w:r>
      <w:r>
        <w:instrText xml:space="preserve"> PAGEREF _Toc427933587 \h </w:instrText>
      </w:r>
      <w:r>
        <w:fldChar w:fldCharType="separate"/>
      </w:r>
      <w:r>
        <w:t>64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Clothing of remand prisoners</w:t>
      </w:r>
      <w:r>
        <w:tab/>
      </w:r>
      <w:r>
        <w:fldChar w:fldCharType="begin"/>
      </w:r>
      <w:r>
        <w:instrText xml:space="preserve"> PAGEREF _Toc427933588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Remand prisoner to clean cell</w:t>
      </w:r>
      <w:r>
        <w:tab/>
      </w:r>
      <w:r>
        <w:fldChar w:fldCharType="begin"/>
      </w:r>
      <w:r>
        <w:instrText xml:space="preserve"> PAGEREF _Toc427933589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Haircuts etc. of remand prisoners</w:t>
      </w:r>
      <w:r>
        <w:tab/>
      </w:r>
      <w:r>
        <w:fldChar w:fldCharType="begin"/>
      </w:r>
      <w:r>
        <w:instrText xml:space="preserve"> PAGEREF _Toc427933590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VIII — Prison offences</w:t>
      </w:r>
    </w:p>
    <w:p>
      <w:pPr>
        <w:pStyle w:val="TOC8"/>
        <w:rPr>
          <w:rFonts w:asciiTheme="minorHAnsi" w:eastAsiaTheme="minorEastAsia" w:hAnsiTheme="minorHAnsi" w:cstheme="minorBidi"/>
          <w:szCs w:val="22"/>
        </w:rPr>
      </w:pPr>
      <w:r>
        <w:t>66</w:t>
      </w:r>
      <w:r>
        <w:rPr>
          <w:snapToGrid w:val="0"/>
        </w:rPr>
        <w:t>.</w:t>
      </w:r>
      <w:r>
        <w:rPr>
          <w:snapToGrid w:val="0"/>
        </w:rPr>
        <w:tab/>
        <w:t>Determination of prison offences</w:t>
      </w:r>
      <w:r>
        <w:tab/>
      </w:r>
      <w:r>
        <w:fldChar w:fldCharType="begin"/>
      </w:r>
      <w:r>
        <w:instrText xml:space="preserve"> PAGEREF _Toc427933592 \h </w:instrText>
      </w:r>
      <w:r>
        <w:fldChar w:fldCharType="separate"/>
      </w:r>
      <w:r>
        <w:t>66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Conduct of proceedings</w:t>
      </w:r>
      <w:r>
        <w:tab/>
      </w:r>
      <w:r>
        <w:fldChar w:fldCharType="begin"/>
      </w:r>
      <w:r>
        <w:instrText xml:space="preserve"> PAGEREF _Toc427933593 \h </w:instrText>
      </w:r>
      <w:r>
        <w:fldChar w:fldCharType="separate"/>
      </w:r>
      <w:r>
        <w:t>66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Separate confinement in punishment cell</w:t>
      </w:r>
      <w:r>
        <w:tab/>
      </w:r>
      <w:r>
        <w:fldChar w:fldCharType="begin"/>
      </w:r>
      <w:r>
        <w:instrText xml:space="preserve"> PAGEREF _Toc427933594 \h </w:instrText>
      </w:r>
      <w:r>
        <w:fldChar w:fldCharType="separate"/>
      </w:r>
      <w:r>
        <w:t>67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Calculation of separate confinement in punishment cell</w:t>
      </w:r>
      <w:r>
        <w:tab/>
      </w:r>
      <w:r>
        <w:fldChar w:fldCharType="begin"/>
      </w:r>
      <w:r>
        <w:instrText xml:space="preserve"> PAGEREF _Toc427933595 \h </w:instrText>
      </w:r>
      <w:r>
        <w:fldChar w:fldCharType="separate"/>
      </w:r>
      <w:r>
        <w:t>67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Confinement in sleeping quarters</w:t>
      </w:r>
      <w:r>
        <w:tab/>
      </w:r>
      <w:r>
        <w:fldChar w:fldCharType="begin"/>
      </w:r>
      <w:r>
        <w:instrText xml:space="preserve"> PAGEREF _Toc427933596 \h </w:instrText>
      </w:r>
      <w:r>
        <w:fldChar w:fldCharType="separate"/>
      </w:r>
      <w:r>
        <w:t>67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Calculation of confinement in sleeping quarters</w:t>
      </w:r>
      <w:r>
        <w:tab/>
      </w:r>
      <w:r>
        <w:fldChar w:fldCharType="begin"/>
      </w:r>
      <w:r>
        <w:instrText xml:space="preserve"> PAGEREF _Toc427933597 \h </w:instrText>
      </w:r>
      <w:r>
        <w:fldChar w:fldCharType="separate"/>
      </w:r>
      <w:r>
        <w:t>67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Separate confinement under section 43</w:t>
      </w:r>
      <w:r>
        <w:tab/>
      </w:r>
      <w:r>
        <w:fldChar w:fldCharType="begin"/>
      </w:r>
      <w:r>
        <w:instrText xml:space="preserve"> PAGEREF _Toc427933598 \h </w:instrText>
      </w:r>
      <w:r>
        <w:fldChar w:fldCharType="separate"/>
      </w:r>
      <w:r>
        <w:t>67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Penalties of restitution and cancellation of gratuities</w:t>
      </w:r>
      <w:r>
        <w:tab/>
      </w:r>
      <w:r>
        <w:fldChar w:fldCharType="begin"/>
      </w:r>
      <w:r>
        <w:instrText xml:space="preserve"> PAGEREF _Toc427933599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IX — Death of prisoner</w:t>
      </w:r>
    </w:p>
    <w:p>
      <w:pPr>
        <w:pStyle w:val="TOC8"/>
        <w:rPr>
          <w:rFonts w:asciiTheme="minorHAnsi" w:eastAsiaTheme="minorEastAsia" w:hAnsiTheme="minorHAnsi" w:cstheme="minorBidi"/>
          <w:szCs w:val="22"/>
        </w:rPr>
      </w:pPr>
      <w:r>
        <w:t>74.</w:t>
      </w:r>
      <w:r>
        <w:tab/>
        <w:t>Procedure on death of prisoner</w:t>
      </w:r>
      <w:r>
        <w:tab/>
      </w:r>
      <w:r>
        <w:fldChar w:fldCharType="begin"/>
      </w:r>
      <w:r>
        <w:instrText xml:space="preserve"> PAGEREF _Toc427933601 \h </w:instrText>
      </w:r>
      <w:r>
        <w:fldChar w:fldCharType="separate"/>
      </w:r>
      <w:r>
        <w:t>69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Notice of death of prisoner</w:t>
      </w:r>
      <w:r>
        <w:tab/>
      </w:r>
      <w:r>
        <w:fldChar w:fldCharType="begin"/>
      </w:r>
      <w:r>
        <w:instrText xml:space="preserve"> PAGEREF _Toc427933602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Independent prison visitors</w:t>
      </w:r>
    </w:p>
    <w:p>
      <w:pPr>
        <w:pStyle w:val="TOC8"/>
        <w:rPr>
          <w:rFonts w:asciiTheme="minorHAnsi" w:eastAsiaTheme="minorEastAsia" w:hAnsiTheme="minorHAnsi" w:cstheme="minorBidi"/>
          <w:szCs w:val="22"/>
        </w:rPr>
      </w:pPr>
      <w:r>
        <w:t>76.</w:t>
      </w:r>
      <w:r>
        <w:tab/>
        <w:t>Visits by independent prison visitors</w:t>
      </w:r>
      <w:r>
        <w:tab/>
      </w:r>
      <w:r>
        <w:fldChar w:fldCharType="begin"/>
      </w:r>
      <w:r>
        <w:instrText xml:space="preserve"> PAGEREF _Toc427933604 \h </w:instrText>
      </w:r>
      <w:r>
        <w:fldChar w:fldCharType="separate"/>
      </w:r>
      <w:r>
        <w:t>70</w:t>
      </w:r>
      <w:r>
        <w:fldChar w:fldCharType="end"/>
      </w:r>
    </w:p>
    <w:p>
      <w:pPr>
        <w:pStyle w:val="TOC8"/>
        <w:rPr>
          <w:rFonts w:asciiTheme="minorHAnsi" w:eastAsiaTheme="minorEastAsia" w:hAnsiTheme="minorHAnsi" w:cstheme="minorBidi"/>
          <w:szCs w:val="22"/>
        </w:rPr>
      </w:pPr>
      <w:r>
        <w:t>77.</w:t>
      </w:r>
      <w:r>
        <w:tab/>
        <w:t>Interviews by independent prison visitors</w:t>
      </w:r>
      <w:r>
        <w:tab/>
      </w:r>
      <w:r>
        <w:fldChar w:fldCharType="begin"/>
      </w:r>
      <w:r>
        <w:instrText xml:space="preserve"> PAGEREF _Toc427933605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XI — Searches and examinations</w:t>
      </w:r>
    </w:p>
    <w:p>
      <w:pPr>
        <w:pStyle w:val="TOC8"/>
        <w:rPr>
          <w:rFonts w:asciiTheme="minorHAnsi" w:eastAsiaTheme="minorEastAsia" w:hAnsiTheme="minorHAnsi" w:cstheme="minorBidi"/>
          <w:szCs w:val="22"/>
        </w:rPr>
      </w:pPr>
      <w:r>
        <w:t>78</w:t>
      </w:r>
      <w:r>
        <w:rPr>
          <w:snapToGrid w:val="0"/>
        </w:rPr>
        <w:t>.</w:t>
      </w:r>
      <w:r>
        <w:rPr>
          <w:snapToGrid w:val="0"/>
        </w:rPr>
        <w:tab/>
        <w:t>Duties as to search of prisoners</w:t>
      </w:r>
      <w:r>
        <w:tab/>
      </w:r>
      <w:r>
        <w:fldChar w:fldCharType="begin"/>
      </w:r>
      <w:r>
        <w:instrText xml:space="preserve"> PAGEREF _Toc427933607 \h </w:instrText>
      </w:r>
      <w:r>
        <w:fldChar w:fldCharType="separate"/>
      </w:r>
      <w:r>
        <w:t>71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Examination of articles under section 49</w:t>
      </w:r>
      <w:r>
        <w:tab/>
      </w:r>
      <w:r>
        <w:fldChar w:fldCharType="begin"/>
      </w:r>
      <w:r>
        <w:instrText xml:space="preserve"> PAGEREF _Toc427933608 \h </w:instrText>
      </w:r>
      <w:r>
        <w:fldChar w:fldCharType="separate"/>
      </w:r>
      <w:r>
        <w:t>71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Searching persons under section 49</w:t>
      </w:r>
      <w:r>
        <w:tab/>
      </w:r>
      <w:r>
        <w:fldChar w:fldCharType="begin"/>
      </w:r>
      <w:r>
        <w:instrText xml:space="preserve"> PAGEREF _Toc427933609 \h </w:instrText>
      </w:r>
      <w:r>
        <w:fldChar w:fldCharType="separate"/>
      </w:r>
      <w:r>
        <w:t>72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Regulation of strip searches under section 49</w:t>
      </w:r>
      <w:r>
        <w:tab/>
      </w:r>
      <w:r>
        <w:fldChar w:fldCharType="begin"/>
      </w:r>
      <w:r>
        <w:instrText xml:space="preserve"> PAGEREF _Toc427933610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XIA — Canine section</w:t>
      </w:r>
    </w:p>
    <w:p>
      <w:pPr>
        <w:pStyle w:val="TOC8"/>
        <w:rPr>
          <w:rFonts w:asciiTheme="minorHAnsi" w:eastAsiaTheme="minorEastAsia" w:hAnsiTheme="minorHAnsi" w:cstheme="minorBidi"/>
          <w:szCs w:val="22"/>
        </w:rPr>
      </w:pPr>
      <w:r>
        <w:t>81A</w:t>
      </w:r>
      <w:r>
        <w:rPr>
          <w:snapToGrid w:val="0"/>
        </w:rPr>
        <w:t>.</w:t>
      </w:r>
      <w:r>
        <w:rPr>
          <w:snapToGrid w:val="0"/>
        </w:rPr>
        <w:tab/>
        <w:t>Terms used in this Part</w:t>
      </w:r>
      <w:r>
        <w:tab/>
      </w:r>
      <w:r>
        <w:fldChar w:fldCharType="begin"/>
      </w:r>
      <w:r>
        <w:instrText xml:space="preserve"> PAGEREF _Toc427933612 \h </w:instrText>
      </w:r>
      <w:r>
        <w:fldChar w:fldCharType="separate"/>
      </w:r>
      <w:r>
        <w:t>75</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The canine section</w:t>
      </w:r>
      <w:r>
        <w:tab/>
      </w:r>
      <w:r>
        <w:fldChar w:fldCharType="begin"/>
      </w:r>
      <w:r>
        <w:instrText xml:space="preserve"> PAGEREF _Toc427933613 \h </w:instrText>
      </w:r>
      <w:r>
        <w:fldChar w:fldCharType="separate"/>
      </w:r>
      <w:r>
        <w:t>75</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Prison dogs</w:t>
      </w:r>
      <w:r>
        <w:tab/>
      </w:r>
      <w:r>
        <w:fldChar w:fldCharType="begin"/>
      </w:r>
      <w:r>
        <w:instrText xml:space="preserve"> PAGEREF _Toc427933614 \h </w:instrText>
      </w:r>
      <w:r>
        <w:fldChar w:fldCharType="separate"/>
      </w:r>
      <w:r>
        <w:t>76</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Authorised manner for prison officer to use prison dog</w:t>
      </w:r>
      <w:r>
        <w:tab/>
      </w:r>
      <w:r>
        <w:fldChar w:fldCharType="begin"/>
      </w:r>
      <w:r>
        <w:instrText xml:space="preserve"> PAGEREF _Toc427933615 \h </w:instrText>
      </w:r>
      <w:r>
        <w:fldChar w:fldCharType="separate"/>
      </w:r>
      <w:r>
        <w:t>76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Particular duties of dog handlers</w:t>
      </w:r>
      <w:r>
        <w:tab/>
      </w:r>
      <w:r>
        <w:fldChar w:fldCharType="begin"/>
      </w:r>
      <w:r>
        <w:instrText xml:space="preserve"> PAGEREF _Toc427933616 \h </w:instrText>
      </w:r>
      <w:r>
        <w:fldChar w:fldCharType="separate"/>
      </w:r>
      <w:r>
        <w:t>76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Periodic inspections of operations of canine section</w:t>
      </w:r>
      <w:r>
        <w:tab/>
      </w:r>
      <w:r>
        <w:fldChar w:fldCharType="begin"/>
      </w:r>
      <w:r>
        <w:instrText xml:space="preserve"> PAGEREF _Toc427933617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XII — Inquiries under section 9 of Act</w:t>
      </w:r>
    </w:p>
    <w:p>
      <w:pPr>
        <w:pStyle w:val="TOC8"/>
        <w:rPr>
          <w:rFonts w:asciiTheme="minorHAnsi" w:eastAsiaTheme="minorEastAsia" w:hAnsiTheme="minorHAnsi" w:cstheme="minorBidi"/>
          <w:szCs w:val="22"/>
        </w:rPr>
      </w:pPr>
      <w:r>
        <w:t>82</w:t>
      </w:r>
      <w:r>
        <w:rPr>
          <w:snapToGrid w:val="0"/>
        </w:rPr>
        <w:t>.</w:t>
      </w:r>
      <w:r>
        <w:rPr>
          <w:snapToGrid w:val="0"/>
        </w:rPr>
        <w:tab/>
        <w:t>Appearance before section 9 inquiry</w:t>
      </w:r>
      <w:r>
        <w:tab/>
      </w:r>
      <w:r>
        <w:fldChar w:fldCharType="begin"/>
      </w:r>
      <w:r>
        <w:instrText xml:space="preserve"> PAGEREF _Toc427933619 \h </w:instrText>
      </w:r>
      <w:r>
        <w:fldChar w:fldCharType="separate"/>
      </w:r>
      <w:r>
        <w:t>78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Conduct of section 9 inquiry</w:t>
      </w:r>
      <w:r>
        <w:tab/>
      </w:r>
      <w:r>
        <w:fldChar w:fldCharType="begin"/>
      </w:r>
      <w:r>
        <w:instrText xml:space="preserve"> PAGEREF _Toc427933620 \h </w:instrText>
      </w:r>
      <w:r>
        <w:fldChar w:fldCharType="separate"/>
      </w:r>
      <w:r>
        <w:t>78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Duty of reporting officer</w:t>
      </w:r>
      <w:r>
        <w:tab/>
      </w:r>
      <w:r>
        <w:fldChar w:fldCharType="begin"/>
      </w:r>
      <w:r>
        <w:instrText xml:space="preserve"> PAGEREF _Toc427933621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XIII — Miscellaneous</w:t>
      </w:r>
    </w:p>
    <w:p>
      <w:pPr>
        <w:pStyle w:val="TOC8"/>
        <w:rPr>
          <w:rFonts w:asciiTheme="minorHAnsi" w:eastAsiaTheme="minorEastAsia" w:hAnsiTheme="minorHAnsi" w:cstheme="minorBidi"/>
          <w:szCs w:val="22"/>
        </w:rPr>
      </w:pPr>
      <w:r>
        <w:t>85.</w:t>
      </w:r>
      <w:r>
        <w:tab/>
        <w:t>Responsibility for prisoners in lock</w:t>
      </w:r>
      <w:r>
        <w:noBreakHyphen/>
        <w:t>ups</w:t>
      </w:r>
      <w:r>
        <w:tab/>
      </w:r>
      <w:r>
        <w:fldChar w:fldCharType="begin"/>
      </w:r>
      <w:r>
        <w:instrText xml:space="preserve"> PAGEREF _Toc427933623 \h </w:instrText>
      </w:r>
      <w:r>
        <w:fldChar w:fldCharType="separate"/>
      </w:r>
      <w:r>
        <w:t>80</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Identification system for persons entering specified prisons</w:t>
      </w:r>
      <w:r>
        <w:tab/>
      </w:r>
      <w:r>
        <w:fldChar w:fldCharType="begin"/>
      </w:r>
      <w:r>
        <w:instrText xml:space="preserve"> PAGEREF _Toc427933624 \h </w:instrText>
      </w:r>
      <w:r>
        <w:fldChar w:fldCharType="separate"/>
      </w:r>
      <w:r>
        <w:t>80</w:t>
      </w:r>
      <w:r>
        <w:fldChar w:fldCharType="end"/>
      </w:r>
    </w:p>
    <w:p>
      <w:pPr>
        <w:pStyle w:val="TOC8"/>
        <w:rPr>
          <w:rFonts w:asciiTheme="minorHAnsi" w:eastAsiaTheme="minorEastAsia" w:hAnsiTheme="minorHAnsi" w:cstheme="minorBidi"/>
          <w:szCs w:val="22"/>
        </w:rPr>
      </w:pPr>
      <w:r>
        <w:t>86.</w:t>
      </w:r>
      <w:r>
        <w:tab/>
        <w:t>Publication of contracts: s. 15G(5)(b)</w:t>
      </w:r>
      <w:r>
        <w:tab/>
      </w:r>
      <w:r>
        <w:fldChar w:fldCharType="begin"/>
      </w:r>
      <w:r>
        <w:instrText xml:space="preserve"> PAGEREF _Toc427933625 \h </w:instrText>
      </w:r>
      <w:r>
        <w:fldChar w:fldCharType="separate"/>
      </w:r>
      <w:r>
        <w:t>81</w:t>
      </w:r>
      <w:r>
        <w:fldChar w:fldCharType="end"/>
      </w:r>
    </w:p>
    <w:p>
      <w:pPr>
        <w:pStyle w:val="TOC8"/>
        <w:rPr>
          <w:rFonts w:asciiTheme="minorHAnsi" w:eastAsiaTheme="minorEastAsia" w:hAnsiTheme="minorHAnsi" w:cstheme="minorBidi"/>
          <w:szCs w:val="22"/>
        </w:rPr>
      </w:pPr>
      <w:r>
        <w:t>87.</w:t>
      </w:r>
      <w:r>
        <w:tab/>
        <w:t>Restriction of access to exchange information: s. 113(9)(b)</w:t>
      </w:r>
      <w:r>
        <w:tab/>
      </w:r>
      <w:r>
        <w:fldChar w:fldCharType="begin"/>
      </w:r>
      <w:r>
        <w:instrText xml:space="preserve"> PAGEREF _Toc427933626 \h </w:instrText>
      </w:r>
      <w:r>
        <w:fldChar w:fldCharType="separate"/>
      </w:r>
      <w:r>
        <w:t>81</w:t>
      </w:r>
      <w:r>
        <w:fldChar w:fldCharType="end"/>
      </w:r>
    </w:p>
    <w:p>
      <w:pPr>
        <w:pStyle w:val="TOC8"/>
        <w:rPr>
          <w:rFonts w:asciiTheme="minorHAnsi" w:eastAsiaTheme="minorEastAsia" w:hAnsiTheme="minorHAnsi" w:cstheme="minorBidi"/>
          <w:szCs w:val="22"/>
        </w:rPr>
      </w:pPr>
      <w:r>
        <w:t>88.</w:t>
      </w:r>
      <w:r>
        <w:tab/>
        <w:t>Prescribed kinds of information disclosed to victims</w:t>
      </w:r>
      <w:r>
        <w:tab/>
      </w:r>
      <w:r>
        <w:fldChar w:fldCharType="begin"/>
      </w:r>
      <w:r>
        <w:instrText xml:space="preserve"> PAGEREF _Toc427933627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_Toc427933630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Prisons Act 1981</w:t>
      </w:r>
    </w:p>
    <w:p>
      <w:pPr>
        <w:pStyle w:val="NameofActReg"/>
        <w:spacing w:before="720" w:after="840"/>
      </w:pPr>
      <w:r>
        <w:t>Prisons Regulations 1982</w:t>
      </w:r>
    </w:p>
    <w:p>
      <w:pPr>
        <w:pStyle w:val="Heading2"/>
        <w:pageBreakBefore w:val="0"/>
      </w:pPr>
      <w:bookmarkStart w:id="3" w:name="_Toc378327201"/>
      <w:bookmarkStart w:id="4" w:name="_Toc424112416"/>
      <w:bookmarkStart w:id="5" w:name="_Toc427922931"/>
      <w:bookmarkStart w:id="6" w:name="_Toc427933459"/>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8327202"/>
      <w:bookmarkStart w:id="8" w:name="_Toc427933460"/>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9" w:name="_Toc378327203"/>
      <w:bookmarkStart w:id="10" w:name="_Toc427933461"/>
      <w:r>
        <w:rPr>
          <w:rStyle w:val="CharSectno"/>
        </w:rPr>
        <w:t>2</w:t>
      </w:r>
      <w:r>
        <w:rPr>
          <w:snapToGrid w:val="0"/>
        </w:rPr>
        <w:t>.</w:t>
      </w:r>
      <w:r>
        <w:rPr>
          <w:snapToGrid w:val="0"/>
        </w:rPr>
        <w:tab/>
        <w:t>Terms used in these regulations</w:t>
      </w:r>
      <w:bookmarkEnd w:id="9"/>
      <w:bookmarkEnd w:id="10"/>
    </w:p>
    <w:p>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pPr>
        <w:pStyle w:val="Defstart"/>
      </w:pPr>
      <w:r>
        <w:rPr>
          <w:b/>
        </w:rPr>
        <w:tab/>
      </w:r>
      <w:r>
        <w:rPr>
          <w:rStyle w:val="CharDefText"/>
        </w:rPr>
        <w:t>approved</w:t>
      </w:r>
      <w:r>
        <w:t xml:space="preserve"> means approved in writing by the chief executive officer;</w:t>
      </w:r>
    </w:p>
    <w:p>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pPr>
        <w:pStyle w:val="Defstart"/>
      </w:pPr>
      <w:r>
        <w:tab/>
      </w:r>
      <w:r>
        <w:rPr>
          <w:rStyle w:val="CharDefText"/>
        </w:rPr>
        <w:t>contract worker</w:t>
      </w:r>
      <w:r>
        <w:t xml:space="preserve"> means a contract worker as defined in section 15A of the Act;</w:t>
      </w:r>
    </w:p>
    <w:p>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pPr>
        <w:pStyle w:val="Defstart"/>
        <w:keepNext/>
      </w:pPr>
      <w:r>
        <w:rPr>
          <w:b/>
        </w:rPr>
        <w:tab/>
      </w:r>
      <w:r>
        <w:rPr>
          <w:rStyle w:val="CharDefText"/>
        </w:rPr>
        <w:t>organisation</w:t>
      </w:r>
      <w:r>
        <w:t xml:space="preserve"> includes a person and a government department or agency;</w:t>
      </w:r>
    </w:p>
    <w:p>
      <w:pPr>
        <w:pStyle w:val="Defstart"/>
      </w:pPr>
      <w:r>
        <w:rPr>
          <w:b/>
        </w:rPr>
        <w:tab/>
      </w:r>
      <w:r>
        <w:rPr>
          <w:rStyle w:val="CharDefText"/>
        </w:rPr>
        <w:t>supervision</w:t>
      </w:r>
      <w:r>
        <w:t xml:space="preserve"> by a person of a prisoner does not require the person to be in the physical presence of the prisoner.</w:t>
      </w:r>
    </w:p>
    <w:p>
      <w:pPr>
        <w:pStyle w:val="Subsection"/>
      </w:pPr>
      <w:r>
        <w:tab/>
        <w:t>(2)</w:t>
      </w:r>
      <w:r>
        <w:tab/>
        <w:t xml:space="preserve">In these regulations a reference to — </w:t>
      </w:r>
    </w:p>
    <w:p>
      <w:pPr>
        <w:pStyle w:val="Indenta"/>
      </w:pPr>
      <w:r>
        <w:tab/>
        <w:t>(a)</w:t>
      </w:r>
      <w:r>
        <w:tab/>
        <w:t>a person being “in charge” of a prisoner; or</w:t>
      </w:r>
    </w:p>
    <w:p>
      <w:pPr>
        <w:pStyle w:val="Indenta"/>
      </w:pPr>
      <w:r>
        <w:tab/>
        <w:t>(b)</w:t>
      </w:r>
      <w:r>
        <w:tab/>
        <w:t>a prisoner being “in the charge” of a person,</w:t>
      </w:r>
    </w:p>
    <w:p>
      <w:pPr>
        <w:pStyle w:val="Subsection"/>
      </w:pPr>
      <w:r>
        <w:tab/>
      </w:r>
      <w:r>
        <w:tab/>
        <w:t>is a reference to the person being in the physical presence of the prisoner and having reasonable control over him or her.</w:t>
      </w:r>
    </w:p>
    <w:p>
      <w:pPr>
        <w:pStyle w:val="Footnotesection"/>
      </w:pPr>
      <w:r>
        <w:tab/>
        <w:t>[Regulation 2 inserted in Gazette 13 Sep 1996 p. 4569; amended in Gazette 2 Nov 1999 p. 5473; 7 Apr 2000 p. 1819; 12 Apr 2001 p. 2098; 3 Apr 2007 p. 1493</w:t>
      </w:r>
      <w:r>
        <w:noBreakHyphen/>
        <w:t>4; 9 May 2008 p. 1845.]</w:t>
      </w:r>
    </w:p>
    <w:p>
      <w:pPr>
        <w:pStyle w:val="Heading5"/>
      </w:pPr>
      <w:bookmarkStart w:id="11" w:name="_Toc378327204"/>
      <w:bookmarkStart w:id="12" w:name="_Toc427933462"/>
      <w:r>
        <w:rPr>
          <w:rStyle w:val="CharSectno"/>
        </w:rPr>
        <w:t>2A</w:t>
      </w:r>
      <w:r>
        <w:t>.</w:t>
      </w:r>
      <w:r>
        <w:tab/>
        <w:t>Certain regulations not applicable to contract workers</w:t>
      </w:r>
      <w:bookmarkEnd w:id="11"/>
      <w:bookmarkEnd w:id="12"/>
    </w:p>
    <w:p>
      <w:pPr>
        <w:pStyle w:val="Subsection"/>
      </w:pPr>
      <w:r>
        <w:tab/>
      </w:r>
      <w:r>
        <w:tab/>
        <w:t>A reference to a prison officer or any other officer in a provision of these regulations that is specified in the Table to this regulation does not include a reference to a contract worker.</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trPr>
          <w:cantSplit/>
        </w:trPr>
        <w:tc>
          <w:tcPr>
            <w:tcW w:w="1984" w:type="dxa"/>
          </w:tcPr>
          <w:p>
            <w:pPr>
              <w:pStyle w:val="Table"/>
              <w:spacing w:before="0" w:line="240" w:lineRule="auto"/>
            </w:pPr>
            <w:r>
              <w:t>r. 3</w:t>
            </w:r>
          </w:p>
        </w:tc>
        <w:tc>
          <w:tcPr>
            <w:tcW w:w="1985" w:type="dxa"/>
          </w:tcPr>
          <w:p>
            <w:pPr>
              <w:pStyle w:val="Table"/>
              <w:spacing w:before="0" w:line="240" w:lineRule="auto"/>
            </w:pPr>
            <w:r>
              <w:t>r. 7</w:t>
            </w:r>
          </w:p>
        </w:tc>
        <w:tc>
          <w:tcPr>
            <w:tcW w:w="1843" w:type="dxa"/>
          </w:tcPr>
          <w:p>
            <w:pPr>
              <w:pStyle w:val="Table"/>
              <w:spacing w:before="0"/>
            </w:pPr>
            <w:r>
              <w:t>r. 23</w:t>
            </w:r>
          </w:p>
        </w:tc>
      </w:tr>
      <w:tr>
        <w:trPr>
          <w:cantSplit/>
        </w:trPr>
        <w:tc>
          <w:tcPr>
            <w:tcW w:w="1984" w:type="dxa"/>
          </w:tcPr>
          <w:p>
            <w:pPr>
              <w:pStyle w:val="Table"/>
              <w:spacing w:before="0" w:line="240" w:lineRule="auto"/>
            </w:pPr>
            <w:r>
              <w:t>r. 4</w:t>
            </w:r>
          </w:p>
        </w:tc>
        <w:tc>
          <w:tcPr>
            <w:tcW w:w="1985" w:type="dxa"/>
          </w:tcPr>
          <w:p>
            <w:pPr>
              <w:pStyle w:val="Table"/>
              <w:spacing w:before="0"/>
            </w:pPr>
            <w:r>
              <w:t>r. 9(1)</w:t>
            </w:r>
          </w:p>
        </w:tc>
        <w:tc>
          <w:tcPr>
            <w:tcW w:w="1843" w:type="dxa"/>
          </w:tcPr>
          <w:p>
            <w:pPr>
              <w:pStyle w:val="Table"/>
              <w:spacing w:before="0"/>
            </w:pPr>
            <w:r>
              <w:t>r. 24</w:t>
            </w:r>
          </w:p>
        </w:tc>
      </w:tr>
      <w:tr>
        <w:trPr>
          <w:cantSplit/>
        </w:trPr>
        <w:tc>
          <w:tcPr>
            <w:tcW w:w="1984" w:type="dxa"/>
          </w:tcPr>
          <w:p>
            <w:pPr>
              <w:pStyle w:val="Table"/>
              <w:spacing w:before="0" w:line="240" w:lineRule="auto"/>
            </w:pPr>
            <w:r>
              <w:t>r. 5</w:t>
            </w:r>
          </w:p>
        </w:tc>
        <w:tc>
          <w:tcPr>
            <w:tcW w:w="1985" w:type="dxa"/>
          </w:tcPr>
          <w:p>
            <w:pPr>
              <w:pStyle w:val="Table"/>
              <w:spacing w:before="0"/>
            </w:pPr>
            <w:r>
              <w:t>r. 9(5)</w:t>
            </w:r>
          </w:p>
        </w:tc>
        <w:tc>
          <w:tcPr>
            <w:tcW w:w="1843" w:type="dxa"/>
          </w:tcPr>
          <w:p>
            <w:pPr>
              <w:pStyle w:val="Table"/>
              <w:spacing w:before="0"/>
            </w:pPr>
            <w:r>
              <w:t>r. 25</w:t>
            </w:r>
          </w:p>
        </w:tc>
      </w:tr>
      <w:tr>
        <w:trPr>
          <w:cantSplit/>
        </w:trPr>
        <w:tc>
          <w:tcPr>
            <w:tcW w:w="1984" w:type="dxa"/>
          </w:tcPr>
          <w:p>
            <w:pPr>
              <w:pStyle w:val="Table"/>
              <w:spacing w:before="0" w:line="240" w:lineRule="auto"/>
            </w:pPr>
            <w:r>
              <w:t>r. 6</w:t>
            </w:r>
          </w:p>
        </w:tc>
        <w:tc>
          <w:tcPr>
            <w:tcW w:w="1985" w:type="dxa"/>
          </w:tcPr>
          <w:p>
            <w:pPr>
              <w:pStyle w:val="Table"/>
              <w:spacing w:before="0"/>
            </w:pPr>
            <w:r>
              <w:t>r. 9(6)</w:t>
            </w:r>
          </w:p>
        </w:tc>
        <w:tc>
          <w:tcPr>
            <w:tcW w:w="1843" w:type="dxa"/>
          </w:tcPr>
          <w:p>
            <w:pPr>
              <w:pStyle w:val="Table"/>
              <w:spacing w:before="0"/>
            </w:pPr>
            <w:r>
              <w:t>Part IV</w:t>
            </w:r>
          </w:p>
        </w:tc>
      </w:tr>
    </w:tbl>
    <w:p>
      <w:pPr>
        <w:pStyle w:val="Footnotesection"/>
      </w:pPr>
      <w:r>
        <w:tab/>
        <w:t>[Regulation 2A inserted in Gazette 12 Apr 2001 p. 2099.]</w:t>
      </w:r>
    </w:p>
    <w:p>
      <w:pPr>
        <w:pStyle w:val="Heading2"/>
      </w:pPr>
      <w:bookmarkStart w:id="13" w:name="_Toc378327205"/>
      <w:bookmarkStart w:id="14" w:name="_Toc424112420"/>
      <w:bookmarkStart w:id="15" w:name="_Toc427922935"/>
      <w:bookmarkStart w:id="16" w:name="_Toc427933463"/>
      <w:r>
        <w:rPr>
          <w:rStyle w:val="CharPartNo"/>
        </w:rPr>
        <w:t>Part II</w:t>
      </w:r>
      <w:r>
        <w:rPr>
          <w:rStyle w:val="CharDivNo"/>
        </w:rPr>
        <w:t> </w:t>
      </w:r>
      <w:r>
        <w:t>—</w:t>
      </w:r>
      <w:r>
        <w:rPr>
          <w:rStyle w:val="CharDivText"/>
        </w:rPr>
        <w:t> </w:t>
      </w:r>
      <w:r>
        <w:rPr>
          <w:rStyle w:val="CharPartText"/>
        </w:rPr>
        <w:t>Engagement and conditions of prison officers</w:t>
      </w:r>
      <w:bookmarkEnd w:id="13"/>
      <w:bookmarkEnd w:id="14"/>
      <w:bookmarkEnd w:id="15"/>
      <w:bookmarkEnd w:id="16"/>
      <w:r>
        <w:rPr>
          <w:rStyle w:val="CharPartText"/>
        </w:rPr>
        <w:t xml:space="preserve"> </w:t>
      </w:r>
    </w:p>
    <w:p>
      <w:pPr>
        <w:pStyle w:val="Heading5"/>
        <w:spacing w:before="140"/>
        <w:rPr>
          <w:snapToGrid w:val="0"/>
        </w:rPr>
      </w:pPr>
      <w:bookmarkStart w:id="17" w:name="_Toc378327206"/>
      <w:bookmarkStart w:id="18" w:name="_Toc427933464"/>
      <w:r>
        <w:rPr>
          <w:rStyle w:val="CharSectno"/>
        </w:rPr>
        <w:t>3</w:t>
      </w:r>
      <w:r>
        <w:rPr>
          <w:snapToGrid w:val="0"/>
        </w:rPr>
        <w:t>.</w:t>
      </w:r>
      <w:r>
        <w:rPr>
          <w:snapToGrid w:val="0"/>
        </w:rPr>
        <w:tab/>
        <w:t>Qualifications for and engagement of prison officers</w:t>
      </w:r>
      <w:bookmarkEnd w:id="17"/>
      <w:bookmarkEnd w:id="18"/>
      <w:r>
        <w:rPr>
          <w:snapToGrid w:val="0"/>
        </w:rPr>
        <w:t xml:space="preserve"> </w:t>
      </w:r>
    </w:p>
    <w:p>
      <w:pPr>
        <w:pStyle w:val="Subsection"/>
        <w:spacing w:before="110"/>
        <w:rPr>
          <w:snapToGrid w:val="0"/>
        </w:rPr>
      </w:pPr>
      <w:r>
        <w:rPr>
          <w:snapToGrid w:val="0"/>
        </w:rPr>
        <w:tab/>
        <w:t>(1)</w:t>
      </w:r>
      <w:r>
        <w:rPr>
          <w:snapToGrid w:val="0"/>
        </w:rPr>
        <w:tab/>
        <w:t>A person is not eligible to be engaged as a prison officer unless he — </w:t>
      </w:r>
    </w:p>
    <w:p>
      <w:pPr>
        <w:pStyle w:val="Indenta"/>
        <w:spacing w:before="56"/>
        <w:rPr>
          <w:snapToGrid w:val="0"/>
        </w:rPr>
      </w:pPr>
      <w:r>
        <w:rPr>
          <w:snapToGrid w:val="0"/>
        </w:rPr>
        <w:tab/>
        <w:t>(a)</w:t>
      </w:r>
      <w:r>
        <w:rPr>
          <w:snapToGrid w:val="0"/>
        </w:rPr>
        <w:tab/>
        <w:t>is in a good condition of physical and mental health;</w:t>
      </w:r>
    </w:p>
    <w:p>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pPr>
        <w:pStyle w:val="Indenta"/>
        <w:spacing w:before="56"/>
        <w:rPr>
          <w:snapToGrid w:val="0"/>
        </w:rPr>
      </w:pPr>
      <w:r>
        <w:rPr>
          <w:snapToGrid w:val="0"/>
        </w:rPr>
        <w:tab/>
        <w:t>(c)</w:t>
      </w:r>
      <w:r>
        <w:rPr>
          <w:snapToGrid w:val="0"/>
        </w:rPr>
        <w:tab/>
        <w:t>is educated to a standard set down by the chief executive officer from time to time;</w:t>
      </w:r>
    </w:p>
    <w:p>
      <w:pPr>
        <w:pStyle w:val="Indenta"/>
        <w:spacing w:before="56"/>
        <w:rPr>
          <w:snapToGrid w:val="0"/>
        </w:rPr>
      </w:pPr>
      <w:r>
        <w:rPr>
          <w:snapToGrid w:val="0"/>
        </w:rPr>
        <w:tab/>
        <w:t>(d)</w:t>
      </w:r>
      <w:r>
        <w:rPr>
          <w:snapToGrid w:val="0"/>
        </w:rPr>
        <w:tab/>
        <w:t>meets such other requirements as are laid down by the chief executive officer from time to time; and</w:t>
      </w:r>
    </w:p>
    <w:p>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pPr>
        <w:pStyle w:val="Subsection"/>
        <w:spacing w:before="110"/>
        <w:rPr>
          <w:snapToGrid w:val="0"/>
        </w:rPr>
      </w:pPr>
      <w:r>
        <w:rPr>
          <w:snapToGrid w:val="0"/>
        </w:rPr>
        <w:tab/>
        <w:t>(4)</w:t>
      </w:r>
      <w:r>
        <w:rPr>
          <w:snapToGrid w:val="0"/>
        </w:rPr>
        <w:tab/>
        <w:t>Upon his engagement in the prison service, a prison officer shall serve a 9 month period of probation.</w:t>
      </w:r>
    </w:p>
    <w:p>
      <w:pPr>
        <w:pStyle w:val="Footnotesection"/>
        <w:spacing w:before="70"/>
        <w:ind w:left="890" w:hanging="890"/>
      </w:pPr>
      <w:r>
        <w:tab/>
        <w:t xml:space="preserve">[Regulation 3 amended in Gazette 11 Dec 1987 p. 4369; 2 Nov 1999 p. 5475.] </w:t>
      </w:r>
    </w:p>
    <w:p>
      <w:pPr>
        <w:pStyle w:val="Heading5"/>
        <w:spacing w:before="160"/>
        <w:rPr>
          <w:snapToGrid w:val="0"/>
        </w:rPr>
      </w:pPr>
      <w:bookmarkStart w:id="19" w:name="_Toc378327207"/>
      <w:bookmarkStart w:id="20" w:name="_Toc427933465"/>
      <w:r>
        <w:rPr>
          <w:rStyle w:val="CharSectno"/>
        </w:rPr>
        <w:t>4</w:t>
      </w:r>
      <w:r>
        <w:rPr>
          <w:snapToGrid w:val="0"/>
        </w:rPr>
        <w:t>.</w:t>
      </w:r>
      <w:r>
        <w:rPr>
          <w:snapToGrid w:val="0"/>
        </w:rPr>
        <w:tab/>
        <w:t>Ranks of prison officers</w:t>
      </w:r>
      <w:bookmarkEnd w:id="19"/>
      <w:bookmarkEnd w:id="20"/>
      <w:r>
        <w:rPr>
          <w:snapToGrid w:val="0"/>
        </w:rPr>
        <w:t xml:space="preserve"> </w:t>
      </w:r>
    </w:p>
    <w:p>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pPr>
        <w:pStyle w:val="Indenta"/>
        <w:spacing w:before="56"/>
        <w:rPr>
          <w:snapToGrid w:val="0"/>
        </w:rPr>
      </w:pPr>
      <w:r>
        <w:rPr>
          <w:snapToGrid w:val="0"/>
        </w:rPr>
        <w:tab/>
        <w:t>(a)</w:t>
      </w:r>
      <w:r>
        <w:rPr>
          <w:snapToGrid w:val="0"/>
        </w:rPr>
        <w:tab/>
        <w:t>prison officer; and</w:t>
      </w:r>
    </w:p>
    <w:p>
      <w:pPr>
        <w:pStyle w:val="Indenta"/>
      </w:pPr>
      <w:r>
        <w:tab/>
        <w:t>(b)</w:t>
      </w:r>
      <w:r>
        <w:tab/>
        <w:t>assistant senior prison officer; and</w:t>
      </w:r>
    </w:p>
    <w:p>
      <w:pPr>
        <w:pStyle w:val="Indenta"/>
      </w:pPr>
      <w:r>
        <w:tab/>
        <w:t>(c)</w:t>
      </w:r>
      <w:r>
        <w:tab/>
        <w:t>senior prison officer; and</w:t>
      </w:r>
    </w:p>
    <w:p>
      <w:pPr>
        <w:pStyle w:val="Indenta"/>
      </w:pPr>
      <w:r>
        <w:tab/>
        <w:t>(d)</w:t>
      </w:r>
      <w:r>
        <w:tab/>
        <w:t>principal officer.</w:t>
      </w:r>
    </w:p>
    <w:p>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pPr>
        <w:pStyle w:val="Subsection"/>
        <w:rPr>
          <w:snapToGrid w:val="0"/>
        </w:rPr>
      </w:pPr>
      <w:r>
        <w:rPr>
          <w:snapToGrid w:val="0"/>
        </w:rPr>
        <w:tab/>
        <w:t>(3)</w:t>
      </w:r>
      <w:r>
        <w:rPr>
          <w:snapToGrid w:val="0"/>
        </w:rPr>
        <w:tab/>
        <w:t>A prison officer may be promoted only by the chief executive officer.</w:t>
      </w:r>
    </w:p>
    <w:p>
      <w:pPr>
        <w:pStyle w:val="Footnotesection"/>
      </w:pPr>
      <w:r>
        <w:tab/>
        <w:t xml:space="preserve">[Regulation 4 amended in Gazette 11 Dec 1987 p. 4369; 2 Nov 1999 p. 5475; 28 Mar 2008 p. 907.] </w:t>
      </w:r>
    </w:p>
    <w:p>
      <w:pPr>
        <w:pStyle w:val="Heading5"/>
        <w:rPr>
          <w:snapToGrid w:val="0"/>
        </w:rPr>
      </w:pPr>
      <w:bookmarkStart w:id="21" w:name="_Toc378327208"/>
      <w:bookmarkStart w:id="22" w:name="_Toc427933466"/>
      <w:r>
        <w:rPr>
          <w:rStyle w:val="CharSectno"/>
        </w:rPr>
        <w:t>5</w:t>
      </w:r>
      <w:r>
        <w:rPr>
          <w:snapToGrid w:val="0"/>
        </w:rPr>
        <w:t>.</w:t>
      </w:r>
      <w:r>
        <w:rPr>
          <w:snapToGrid w:val="0"/>
        </w:rPr>
        <w:tab/>
        <w:t>Discharge of prison officers</w:t>
      </w:r>
      <w:bookmarkEnd w:id="21"/>
      <w:bookmarkEnd w:id="22"/>
      <w:r>
        <w:rPr>
          <w:snapToGrid w:val="0"/>
        </w:rPr>
        <w:t xml:space="preserve"> </w:t>
      </w:r>
    </w:p>
    <w:p>
      <w:pPr>
        <w:pStyle w:val="Subsection"/>
        <w:rPr>
          <w:snapToGrid w:val="0"/>
        </w:rPr>
      </w:pPr>
      <w:r>
        <w:rPr>
          <w:snapToGrid w:val="0"/>
        </w:rPr>
        <w:tab/>
        <w:t>(1)</w:t>
      </w:r>
      <w:r>
        <w:rPr>
          <w:snapToGrid w:val="0"/>
        </w:rPr>
        <w:tab/>
        <w:t>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Executive Director, Public Health and Scientific Support Services.</w:t>
      </w:r>
    </w:p>
    <w:p>
      <w:pPr>
        <w:pStyle w:val="Subsection"/>
        <w:rPr>
          <w:snapToGrid w:val="0"/>
        </w:rPr>
      </w:pPr>
      <w:r>
        <w:rPr>
          <w:snapToGrid w:val="0"/>
        </w:rPr>
        <w:tab/>
        <w:t>(1a)</w:t>
      </w:r>
      <w:r>
        <w:rPr>
          <w:snapToGrid w:val="0"/>
        </w:rPr>
        <w:tab/>
        <w:t>If, 7 days prior to the day of examination, the prison officer has not nominated a medical practitioner who has consented to attend the medical examination, the Executive Director, Public Health and Scientific Support Services may appoint a medical practitioner who shall, for the purposes of subregulation (1), be deemed to have been nominated by the prison officer.</w:t>
      </w:r>
    </w:p>
    <w:p>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pPr>
        <w:pStyle w:val="Subsection"/>
        <w:rPr>
          <w:snapToGrid w:val="0"/>
        </w:rPr>
      </w:pPr>
      <w:r>
        <w:rPr>
          <w:snapToGrid w:val="0"/>
        </w:rPr>
        <w:tab/>
        <w:t>(5)</w:t>
      </w:r>
      <w:r>
        <w:rPr>
          <w:snapToGrid w:val="0"/>
        </w:rPr>
        <w:tab/>
        <w:t>The chief executive officer may extend the period of a prison officer’s probation.</w:t>
      </w:r>
    </w:p>
    <w:p>
      <w:pPr>
        <w:pStyle w:val="Footnotesection"/>
      </w:pPr>
      <w:r>
        <w:tab/>
        <w:t xml:space="preserve">[Regulation 5 amended in Gazette 24 Dec 1982 p. 4906; 17 Aug 1984 p. 2449; 11 Dec 1987 p. 4369; 20 May 1988 p. 1668; 2 Nov 1999 p. 5475.] </w:t>
      </w:r>
    </w:p>
    <w:p>
      <w:pPr>
        <w:pStyle w:val="Heading5"/>
        <w:rPr>
          <w:snapToGrid w:val="0"/>
        </w:rPr>
      </w:pPr>
      <w:bookmarkStart w:id="23" w:name="_Toc378327209"/>
      <w:bookmarkStart w:id="24" w:name="_Toc427933467"/>
      <w:r>
        <w:rPr>
          <w:rStyle w:val="CharSectno"/>
        </w:rPr>
        <w:t>6</w:t>
      </w:r>
      <w:r>
        <w:rPr>
          <w:snapToGrid w:val="0"/>
        </w:rPr>
        <w:t>.</w:t>
      </w:r>
      <w:r>
        <w:rPr>
          <w:snapToGrid w:val="0"/>
        </w:rPr>
        <w:tab/>
        <w:t>Notice prior to termination of service of prison officers</w:t>
      </w:r>
      <w:bookmarkEnd w:id="23"/>
      <w:bookmarkEnd w:id="24"/>
      <w:r>
        <w:rPr>
          <w:snapToGrid w:val="0"/>
        </w:rPr>
        <w:t xml:space="preserve"> </w:t>
      </w:r>
    </w:p>
    <w:p>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pPr>
        <w:pStyle w:val="Subsection"/>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pPr>
        <w:pStyle w:val="Footnotesection"/>
      </w:pPr>
      <w:r>
        <w:tab/>
        <w:t xml:space="preserve">[Regulation 6 amended in Gazette 11 Dec 1987 p. 4369; 2 Nov 1999 p. 5475.] </w:t>
      </w:r>
    </w:p>
    <w:p>
      <w:pPr>
        <w:pStyle w:val="Heading5"/>
        <w:rPr>
          <w:snapToGrid w:val="0"/>
        </w:rPr>
      </w:pPr>
      <w:bookmarkStart w:id="25" w:name="_Toc378327210"/>
      <w:bookmarkStart w:id="26" w:name="_Toc427933468"/>
      <w:r>
        <w:rPr>
          <w:rStyle w:val="CharSectno"/>
        </w:rPr>
        <w:t>7</w:t>
      </w:r>
      <w:r>
        <w:rPr>
          <w:snapToGrid w:val="0"/>
        </w:rPr>
        <w:t>.</w:t>
      </w:r>
      <w:r>
        <w:rPr>
          <w:snapToGrid w:val="0"/>
        </w:rPr>
        <w:tab/>
        <w:t>Occupation of quarters</w:t>
      </w:r>
      <w:bookmarkEnd w:id="25"/>
      <w:bookmarkEnd w:id="26"/>
      <w:r>
        <w:rPr>
          <w:snapToGrid w:val="0"/>
        </w:rPr>
        <w:t xml:space="preserve"> </w:t>
      </w:r>
    </w:p>
    <w:p>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pPr>
        <w:pStyle w:val="Subsection"/>
        <w:rPr>
          <w:snapToGrid w:val="0"/>
        </w:rPr>
      </w:pPr>
      <w:r>
        <w:rPr>
          <w:snapToGrid w:val="0"/>
        </w:rPr>
        <w:tab/>
        <w:t>(2)</w:t>
      </w:r>
      <w:r>
        <w:rPr>
          <w:snapToGrid w:val="0"/>
        </w:rPr>
        <w:tab/>
        <w:t>An officer occupying quarters shall — </w:t>
      </w:r>
    </w:p>
    <w:p>
      <w:pPr>
        <w:pStyle w:val="Indenta"/>
        <w:rPr>
          <w:snapToGrid w:val="0"/>
        </w:rPr>
      </w:pPr>
      <w:r>
        <w:rPr>
          <w:snapToGrid w:val="0"/>
        </w:rPr>
        <w:tab/>
        <w:t>(a)</w:t>
      </w:r>
      <w:r>
        <w:rPr>
          <w:snapToGrid w:val="0"/>
        </w:rPr>
        <w:tab/>
        <w:t>keep the quarters in good order and condition and in a thorough state of cleanliness;</w:t>
      </w:r>
    </w:p>
    <w:p>
      <w:pPr>
        <w:pStyle w:val="Indenta"/>
        <w:rPr>
          <w:snapToGrid w:val="0"/>
        </w:rPr>
      </w:pPr>
      <w:r>
        <w:rPr>
          <w:snapToGrid w:val="0"/>
        </w:rPr>
        <w:tab/>
        <w:t>(b)</w:t>
      </w:r>
      <w:r>
        <w:rPr>
          <w:snapToGrid w:val="0"/>
        </w:rPr>
        <w:tab/>
        <w:t>subject to fair wear and tear, keep the quarters, outbuildings and yards in a state of good repair; and</w:t>
      </w:r>
    </w:p>
    <w:p>
      <w:pPr>
        <w:pStyle w:val="Indenta"/>
        <w:rPr>
          <w:snapToGrid w:val="0"/>
        </w:rPr>
      </w:pPr>
      <w:r>
        <w:rPr>
          <w:snapToGrid w:val="0"/>
        </w:rPr>
        <w:tab/>
        <w:t>(c)</w:t>
      </w:r>
      <w:r>
        <w:rPr>
          <w:snapToGrid w:val="0"/>
        </w:rPr>
        <w:tab/>
        <w:t>where the quarters are on a farming property, not keep any animal without the approval of the superintendent.</w:t>
      </w:r>
    </w:p>
    <w:p>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pPr>
        <w:pStyle w:val="Subsection"/>
        <w:rPr>
          <w:snapToGrid w:val="0"/>
        </w:rPr>
      </w:pPr>
      <w:r>
        <w:rPr>
          <w:snapToGrid w:val="0"/>
        </w:rPr>
        <w:tab/>
        <w:t>(6)</w:t>
      </w:r>
      <w:r>
        <w:rPr>
          <w:snapToGrid w:val="0"/>
        </w:rPr>
        <w:tab/>
        <w:t>The superintendent may, having given reasonable notice to an officer occupying quarters, inspect those quarters at any time.</w:t>
      </w:r>
    </w:p>
    <w:p>
      <w:pPr>
        <w:pStyle w:val="Footnotesection"/>
      </w:pPr>
      <w:r>
        <w:tab/>
        <w:t xml:space="preserve">[Regulation 7 amended in Gazette 11 Dec 1987 p. 4369; 2 Nov 1999 p. 5475.] </w:t>
      </w:r>
    </w:p>
    <w:p>
      <w:pPr>
        <w:pStyle w:val="Ednotesection"/>
      </w:pPr>
      <w:r>
        <w:t>[</w:t>
      </w:r>
      <w:r>
        <w:rPr>
          <w:b/>
        </w:rPr>
        <w:t>8.</w:t>
      </w:r>
      <w:r>
        <w:rPr>
          <w:b/>
        </w:rPr>
        <w:tab/>
      </w:r>
      <w:r>
        <w:t xml:space="preserve">Deleted in Gazette 28 Jun 1994 p. 3021.] </w:t>
      </w:r>
    </w:p>
    <w:p>
      <w:pPr>
        <w:pStyle w:val="Heading5"/>
        <w:rPr>
          <w:snapToGrid w:val="0"/>
        </w:rPr>
      </w:pPr>
      <w:bookmarkStart w:id="27" w:name="_Toc378327211"/>
      <w:bookmarkStart w:id="28" w:name="_Toc427933469"/>
      <w:r>
        <w:rPr>
          <w:rStyle w:val="CharSectno"/>
        </w:rPr>
        <w:t>9</w:t>
      </w:r>
      <w:r>
        <w:rPr>
          <w:snapToGrid w:val="0"/>
        </w:rPr>
        <w:t>.</w:t>
      </w:r>
      <w:r>
        <w:rPr>
          <w:snapToGrid w:val="0"/>
        </w:rPr>
        <w:tab/>
        <w:t>Requirements as to uniforms</w:t>
      </w:r>
      <w:bookmarkEnd w:id="27"/>
      <w:bookmarkEnd w:id="28"/>
      <w:r>
        <w:rPr>
          <w:snapToGrid w:val="0"/>
        </w:rPr>
        <w:t xml:space="preserve"> </w:t>
      </w:r>
    </w:p>
    <w:p>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pPr>
        <w:pStyle w:val="Subsection"/>
        <w:rPr>
          <w:snapToGrid w:val="0"/>
        </w:rPr>
      </w:pPr>
      <w:r>
        <w:rPr>
          <w:snapToGrid w:val="0"/>
        </w:rPr>
        <w:tab/>
        <w:t>(4)</w:t>
      </w:r>
      <w:r>
        <w:rPr>
          <w:snapToGrid w:val="0"/>
        </w:rPr>
        <w:tab/>
        <w:t>A prison officer — </w:t>
      </w:r>
    </w:p>
    <w:p>
      <w:pPr>
        <w:pStyle w:val="Indenta"/>
        <w:rPr>
          <w:snapToGrid w:val="0"/>
        </w:rPr>
      </w:pPr>
      <w:r>
        <w:rPr>
          <w:snapToGrid w:val="0"/>
        </w:rPr>
        <w:tab/>
        <w:t>(a)</w:t>
      </w:r>
      <w:r>
        <w:rPr>
          <w:snapToGrid w:val="0"/>
        </w:rPr>
        <w:tab/>
        <w:t>shall not permit or allow any other person to wear his uniform or any part thereof; and</w:t>
      </w:r>
    </w:p>
    <w:p>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pPr>
        <w:pStyle w:val="Subsection"/>
        <w:rPr>
          <w:snapToGrid w:val="0"/>
        </w:rPr>
      </w:pPr>
      <w:r>
        <w:rPr>
          <w:snapToGrid w:val="0"/>
        </w:rPr>
        <w:tab/>
        <w:t>(6)</w:t>
      </w:r>
      <w:r>
        <w:rPr>
          <w:snapToGrid w:val="0"/>
        </w:rPr>
        <w:tab/>
        <w:t>A prison officer who is serving the first 3 months of his probationary service may be issued with a uniform which is not new issue.</w:t>
      </w:r>
    </w:p>
    <w:p>
      <w:pPr>
        <w:pStyle w:val="Footnotesection"/>
      </w:pPr>
      <w:r>
        <w:tab/>
        <w:t xml:space="preserve">[Regulation 9 amended in Gazette 11 Dec 1987 p. 4369; 2 Nov 1999 p. 5475.] </w:t>
      </w:r>
    </w:p>
    <w:p>
      <w:pPr>
        <w:pStyle w:val="Ednotesection"/>
        <w:rPr>
          <w:b/>
        </w:rPr>
      </w:pPr>
      <w:r>
        <w:t>[</w:t>
      </w:r>
      <w:r>
        <w:rPr>
          <w:b/>
        </w:rPr>
        <w:t>10</w:t>
      </w:r>
      <w:r>
        <w:rPr>
          <w:b/>
          <w:bCs/>
        </w:rPr>
        <w:t>,</w:t>
      </w:r>
      <w:r>
        <w:rPr>
          <w:b/>
        </w:rPr>
        <w:t xml:space="preserve"> 11.</w:t>
      </w:r>
      <w:r>
        <w:rPr>
          <w:b/>
        </w:rPr>
        <w:tab/>
      </w:r>
      <w:r>
        <w:t>Deleted</w:t>
      </w:r>
      <w:r>
        <w:rPr>
          <w:b/>
        </w:rPr>
        <w:t xml:space="preserve"> </w:t>
      </w:r>
      <w:r>
        <w:t>in Gazette 18 May 2001 p. 2403.]</w:t>
      </w:r>
    </w:p>
    <w:p>
      <w:pPr>
        <w:pStyle w:val="Heading2"/>
      </w:pPr>
      <w:bookmarkStart w:id="29" w:name="_Toc378327212"/>
      <w:bookmarkStart w:id="30" w:name="_Toc424112427"/>
      <w:bookmarkStart w:id="31" w:name="_Toc427922942"/>
      <w:bookmarkStart w:id="32" w:name="_Toc427933470"/>
      <w:r>
        <w:rPr>
          <w:rStyle w:val="CharPartNo"/>
        </w:rPr>
        <w:t>Part III</w:t>
      </w:r>
      <w:r>
        <w:rPr>
          <w:rStyle w:val="CharDivNo"/>
        </w:rPr>
        <w:t> </w:t>
      </w:r>
      <w:r>
        <w:t>—</w:t>
      </w:r>
      <w:r>
        <w:rPr>
          <w:rStyle w:val="CharDivText"/>
        </w:rPr>
        <w:t> </w:t>
      </w:r>
      <w:r>
        <w:rPr>
          <w:rStyle w:val="CharPartText"/>
        </w:rPr>
        <w:t>Functions of officers and prison officers</w:t>
      </w:r>
      <w:bookmarkEnd w:id="29"/>
      <w:bookmarkEnd w:id="30"/>
      <w:bookmarkEnd w:id="31"/>
      <w:bookmarkEnd w:id="32"/>
      <w:r>
        <w:rPr>
          <w:rStyle w:val="CharPartText"/>
        </w:rPr>
        <w:t xml:space="preserve"> </w:t>
      </w:r>
    </w:p>
    <w:p>
      <w:pPr>
        <w:pStyle w:val="Heading5"/>
        <w:rPr>
          <w:snapToGrid w:val="0"/>
        </w:rPr>
      </w:pPr>
      <w:bookmarkStart w:id="33" w:name="_Toc378327213"/>
      <w:bookmarkStart w:id="34" w:name="_Toc427933471"/>
      <w:r>
        <w:rPr>
          <w:rStyle w:val="CharSectno"/>
        </w:rPr>
        <w:t>12</w:t>
      </w:r>
      <w:r>
        <w:rPr>
          <w:snapToGrid w:val="0"/>
        </w:rPr>
        <w:t>.</w:t>
      </w:r>
      <w:r>
        <w:rPr>
          <w:snapToGrid w:val="0"/>
        </w:rPr>
        <w:tab/>
        <w:t>Duty on taking charge of prisoners</w:t>
      </w:r>
      <w:bookmarkEnd w:id="33"/>
      <w:bookmarkEnd w:id="34"/>
      <w:r>
        <w:rPr>
          <w:snapToGrid w:val="0"/>
        </w:rPr>
        <w:t xml:space="preserve"> </w:t>
      </w:r>
    </w:p>
    <w:p>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pPr>
        <w:pStyle w:val="Heading5"/>
        <w:spacing w:before="180"/>
        <w:rPr>
          <w:snapToGrid w:val="0"/>
        </w:rPr>
      </w:pPr>
      <w:bookmarkStart w:id="35" w:name="_Toc378327214"/>
      <w:bookmarkStart w:id="36" w:name="_Toc427933472"/>
      <w:r>
        <w:rPr>
          <w:rStyle w:val="CharSectno"/>
        </w:rPr>
        <w:t>13</w:t>
      </w:r>
      <w:r>
        <w:rPr>
          <w:snapToGrid w:val="0"/>
        </w:rPr>
        <w:t>.</w:t>
      </w:r>
      <w:r>
        <w:rPr>
          <w:snapToGrid w:val="0"/>
        </w:rPr>
        <w:tab/>
        <w:t>Duty on escape of prisoner</w:t>
      </w:r>
      <w:bookmarkEnd w:id="35"/>
      <w:bookmarkEnd w:id="36"/>
      <w:r>
        <w:rPr>
          <w:snapToGrid w:val="0"/>
        </w:rPr>
        <w:t xml:space="preserve"> </w:t>
      </w:r>
    </w:p>
    <w:p>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pPr>
        <w:pStyle w:val="Indenta"/>
        <w:rPr>
          <w:snapToGrid w:val="0"/>
        </w:rPr>
      </w:pPr>
      <w:r>
        <w:rPr>
          <w:snapToGrid w:val="0"/>
        </w:rPr>
        <w:tab/>
        <w:t>(a)</w:t>
      </w:r>
      <w:r>
        <w:rPr>
          <w:snapToGrid w:val="0"/>
        </w:rPr>
        <w:tab/>
        <w:t>where the escape has occurred from within a prison, to the superintendent; and</w:t>
      </w:r>
    </w:p>
    <w:p>
      <w:pPr>
        <w:pStyle w:val="Indenta"/>
        <w:rPr>
          <w:snapToGrid w:val="0"/>
        </w:rPr>
      </w:pPr>
      <w:r>
        <w:rPr>
          <w:snapToGrid w:val="0"/>
        </w:rPr>
        <w:tab/>
        <w:t>(b)</w:t>
      </w:r>
      <w:r>
        <w:rPr>
          <w:snapToGrid w:val="0"/>
        </w:rPr>
        <w:tab/>
        <w:t>where the escape has occurred outside a prison, to the superintendent or to the nearest police station.</w:t>
      </w:r>
    </w:p>
    <w:p>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pPr>
        <w:pStyle w:val="Heading5"/>
        <w:spacing w:before="180"/>
      </w:pPr>
      <w:bookmarkStart w:id="37" w:name="_Toc378327215"/>
      <w:bookmarkStart w:id="38" w:name="_Toc427933473"/>
      <w:r>
        <w:rPr>
          <w:rStyle w:val="CharSectno"/>
        </w:rPr>
        <w:t>14</w:t>
      </w:r>
      <w:r>
        <w:t>.</w:t>
      </w:r>
      <w:r>
        <w:tab/>
        <w:t>Duty regarding prisoner absent from prison</w:t>
      </w:r>
      <w:bookmarkEnd w:id="37"/>
      <w:bookmarkEnd w:id="38"/>
      <w:r>
        <w:t xml:space="preserve"> </w:t>
      </w:r>
    </w:p>
    <w:p>
      <w:pPr>
        <w:pStyle w:val="Subsection"/>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pPr>
        <w:pStyle w:val="Footnotesection"/>
      </w:pPr>
      <w:r>
        <w:tab/>
        <w:t>[Regulation 14 inserted in Gazette 3 Apr 2007 p. 1494.]</w:t>
      </w:r>
    </w:p>
    <w:p>
      <w:pPr>
        <w:pStyle w:val="Heading5"/>
        <w:rPr>
          <w:snapToGrid w:val="0"/>
        </w:rPr>
      </w:pPr>
      <w:bookmarkStart w:id="39" w:name="_Toc378327216"/>
      <w:bookmarkStart w:id="40" w:name="_Toc427933474"/>
      <w:r>
        <w:rPr>
          <w:rStyle w:val="CharSectno"/>
        </w:rPr>
        <w:t>15</w:t>
      </w:r>
      <w:r>
        <w:rPr>
          <w:snapToGrid w:val="0"/>
        </w:rPr>
        <w:t>.</w:t>
      </w:r>
      <w:r>
        <w:rPr>
          <w:snapToGrid w:val="0"/>
        </w:rPr>
        <w:tab/>
        <w:t>Duty to warn loiterers</w:t>
      </w:r>
      <w:bookmarkEnd w:id="39"/>
      <w:bookmarkEnd w:id="40"/>
      <w:r>
        <w:rPr>
          <w:snapToGrid w:val="0"/>
        </w:rPr>
        <w:t xml:space="preserve"> </w:t>
      </w:r>
    </w:p>
    <w:p>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pPr>
        <w:pStyle w:val="Heading5"/>
        <w:rPr>
          <w:snapToGrid w:val="0"/>
        </w:rPr>
      </w:pPr>
      <w:bookmarkStart w:id="41" w:name="_Toc378327217"/>
      <w:bookmarkStart w:id="42" w:name="_Toc427933475"/>
      <w:r>
        <w:rPr>
          <w:rStyle w:val="CharSectno"/>
        </w:rPr>
        <w:t>16</w:t>
      </w:r>
      <w:r>
        <w:rPr>
          <w:snapToGrid w:val="0"/>
        </w:rPr>
        <w:t>.</w:t>
      </w:r>
      <w:r>
        <w:rPr>
          <w:snapToGrid w:val="0"/>
        </w:rPr>
        <w:tab/>
        <w:t>Duty to prevent interference with prisoners</w:t>
      </w:r>
      <w:bookmarkEnd w:id="41"/>
      <w:bookmarkEnd w:id="42"/>
      <w:r>
        <w:rPr>
          <w:snapToGrid w:val="0"/>
        </w:rPr>
        <w:t xml:space="preserve"> </w:t>
      </w:r>
    </w:p>
    <w:p>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pPr>
        <w:pStyle w:val="Heading5"/>
        <w:rPr>
          <w:snapToGrid w:val="0"/>
        </w:rPr>
      </w:pPr>
      <w:bookmarkStart w:id="43" w:name="_Toc378327218"/>
      <w:bookmarkStart w:id="44" w:name="_Toc427933476"/>
      <w:r>
        <w:rPr>
          <w:rStyle w:val="CharSectno"/>
        </w:rPr>
        <w:t>17</w:t>
      </w:r>
      <w:r>
        <w:rPr>
          <w:snapToGrid w:val="0"/>
        </w:rPr>
        <w:t>.</w:t>
      </w:r>
      <w:r>
        <w:rPr>
          <w:snapToGrid w:val="0"/>
        </w:rPr>
        <w:tab/>
        <w:t>Duties as to keys and security procedures</w:t>
      </w:r>
      <w:bookmarkEnd w:id="43"/>
      <w:bookmarkEnd w:id="44"/>
      <w:r>
        <w:rPr>
          <w:snapToGrid w:val="0"/>
        </w:rPr>
        <w:t xml:space="preserve"> </w:t>
      </w:r>
    </w:p>
    <w:p>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pPr>
        <w:pStyle w:val="Indenta"/>
        <w:rPr>
          <w:snapToGrid w:val="0"/>
        </w:rPr>
      </w:pPr>
      <w:r>
        <w:rPr>
          <w:snapToGrid w:val="0"/>
        </w:rPr>
        <w:tab/>
        <w:t>(b)</w:t>
      </w:r>
      <w:r>
        <w:rPr>
          <w:snapToGrid w:val="0"/>
        </w:rPr>
        <w:tab/>
        <w:t>shall not part with the possession of or leave any such item unattended or lying about; and</w:t>
      </w:r>
    </w:p>
    <w:p>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pPr>
        <w:pStyle w:val="Heading5"/>
        <w:rPr>
          <w:snapToGrid w:val="0"/>
        </w:rPr>
      </w:pPr>
      <w:bookmarkStart w:id="45" w:name="_Toc378327219"/>
      <w:bookmarkStart w:id="46" w:name="_Toc427933477"/>
      <w:r>
        <w:rPr>
          <w:rStyle w:val="CharSectno"/>
        </w:rPr>
        <w:t>18</w:t>
      </w:r>
      <w:r>
        <w:rPr>
          <w:snapToGrid w:val="0"/>
        </w:rPr>
        <w:t>.</w:t>
      </w:r>
      <w:r>
        <w:rPr>
          <w:snapToGrid w:val="0"/>
        </w:rPr>
        <w:tab/>
        <w:t>Miscellaneous duties</w:t>
      </w:r>
      <w:bookmarkEnd w:id="45"/>
      <w:bookmarkEnd w:id="46"/>
      <w:r>
        <w:rPr>
          <w:snapToGrid w:val="0"/>
        </w:rPr>
        <w:t xml:space="preserve"> </w:t>
      </w:r>
    </w:p>
    <w:p>
      <w:pPr>
        <w:pStyle w:val="Subsection"/>
        <w:rPr>
          <w:snapToGrid w:val="0"/>
        </w:rPr>
      </w:pPr>
      <w:r>
        <w:rPr>
          <w:snapToGrid w:val="0"/>
        </w:rPr>
        <w:tab/>
        <w:t>(1)</w:t>
      </w:r>
      <w:r>
        <w:rPr>
          <w:snapToGrid w:val="0"/>
        </w:rPr>
        <w:tab/>
        <w:t>It is the responsibility of a prison officer when he is on duty — </w:t>
      </w:r>
    </w:p>
    <w:p>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pPr>
        <w:pStyle w:val="Footnotesection"/>
      </w:pPr>
      <w:r>
        <w:tab/>
        <w:t xml:space="preserve">[Regulation 18 amended in Gazette 11 Dec 1987 p. 4369; 3 Apr 2007 p. 1494.] </w:t>
      </w:r>
    </w:p>
    <w:p>
      <w:pPr>
        <w:pStyle w:val="Heading5"/>
        <w:rPr>
          <w:snapToGrid w:val="0"/>
        </w:rPr>
      </w:pPr>
      <w:bookmarkStart w:id="47" w:name="_Toc378327220"/>
      <w:bookmarkStart w:id="48" w:name="_Toc427933478"/>
      <w:r>
        <w:rPr>
          <w:rStyle w:val="CharSectno"/>
        </w:rPr>
        <w:t>19</w:t>
      </w:r>
      <w:r>
        <w:rPr>
          <w:snapToGrid w:val="0"/>
        </w:rPr>
        <w:t>.</w:t>
      </w:r>
      <w:r>
        <w:rPr>
          <w:snapToGrid w:val="0"/>
        </w:rPr>
        <w:tab/>
        <w:t>Officer not to receive visitors</w:t>
      </w:r>
      <w:bookmarkEnd w:id="47"/>
      <w:bookmarkEnd w:id="48"/>
      <w:r>
        <w:rPr>
          <w:snapToGrid w:val="0"/>
        </w:rPr>
        <w:t xml:space="preserve"> </w:t>
      </w:r>
    </w:p>
    <w:p>
      <w:pPr>
        <w:pStyle w:val="Subsection"/>
        <w:rPr>
          <w:snapToGrid w:val="0"/>
        </w:rPr>
      </w:pPr>
      <w:r>
        <w:rPr>
          <w:snapToGrid w:val="0"/>
        </w:rPr>
        <w:tab/>
      </w:r>
      <w:r>
        <w:rPr>
          <w:snapToGrid w:val="0"/>
        </w:rPr>
        <w:tab/>
        <w:t>An officer shall not receive any visitor at the prison when on duty without the permission of the superintendent.</w:t>
      </w:r>
    </w:p>
    <w:p>
      <w:pPr>
        <w:pStyle w:val="Heading5"/>
        <w:rPr>
          <w:snapToGrid w:val="0"/>
        </w:rPr>
      </w:pPr>
      <w:bookmarkStart w:id="49" w:name="_Toc378327221"/>
      <w:bookmarkStart w:id="50" w:name="_Toc427933479"/>
      <w:r>
        <w:rPr>
          <w:rStyle w:val="CharSectno"/>
        </w:rPr>
        <w:t>20</w:t>
      </w:r>
      <w:r>
        <w:rPr>
          <w:snapToGrid w:val="0"/>
        </w:rPr>
        <w:t>.</w:t>
      </w:r>
      <w:r>
        <w:rPr>
          <w:snapToGrid w:val="0"/>
        </w:rPr>
        <w:tab/>
        <w:t>Restriction on entering prison or leaving area of duty</w:t>
      </w:r>
      <w:bookmarkEnd w:id="49"/>
      <w:bookmarkEnd w:id="50"/>
      <w:r>
        <w:rPr>
          <w:snapToGrid w:val="0"/>
        </w:rPr>
        <w:t xml:space="preserve"> </w:t>
      </w:r>
    </w:p>
    <w:p>
      <w:pPr>
        <w:pStyle w:val="Subsection"/>
        <w:rPr>
          <w:snapToGrid w:val="0"/>
        </w:rPr>
      </w:pPr>
      <w:r>
        <w:rPr>
          <w:snapToGrid w:val="0"/>
        </w:rPr>
        <w:tab/>
        <w:t>(1)</w:t>
      </w:r>
      <w:r>
        <w:rPr>
          <w:snapToGrid w:val="0"/>
        </w:rPr>
        <w:tab/>
        <w:t>An officer who is not on duty shall not enter a prison without the permission of the superintendent.</w:t>
      </w:r>
    </w:p>
    <w:p>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pPr>
        <w:pStyle w:val="Heading5"/>
        <w:rPr>
          <w:snapToGrid w:val="0"/>
        </w:rPr>
      </w:pPr>
      <w:bookmarkStart w:id="51" w:name="_Toc378327222"/>
      <w:bookmarkStart w:id="52" w:name="_Toc427933480"/>
      <w:r>
        <w:rPr>
          <w:rStyle w:val="CharSectno"/>
        </w:rPr>
        <w:t>21</w:t>
      </w:r>
      <w:r>
        <w:rPr>
          <w:snapToGrid w:val="0"/>
        </w:rPr>
        <w:t>.</w:t>
      </w:r>
      <w:r>
        <w:rPr>
          <w:snapToGrid w:val="0"/>
        </w:rPr>
        <w:tab/>
        <w:t>Certificates of good service</w:t>
      </w:r>
      <w:bookmarkEnd w:id="51"/>
      <w:bookmarkEnd w:id="52"/>
      <w:r>
        <w:rPr>
          <w:snapToGrid w:val="0"/>
        </w:rPr>
        <w:t xml:space="preserve"> </w:t>
      </w:r>
    </w:p>
    <w:p>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pPr>
        <w:pStyle w:val="Subsection"/>
        <w:rPr>
          <w:snapToGrid w:val="0"/>
        </w:rPr>
      </w:pPr>
      <w:r>
        <w:rPr>
          <w:snapToGrid w:val="0"/>
        </w:rPr>
        <w:tab/>
        <w:t>(2)</w:t>
      </w:r>
      <w:r>
        <w:rPr>
          <w:snapToGrid w:val="0"/>
        </w:rPr>
        <w:tab/>
        <w:t>The chief executive officer may issue a certificate of good service to a prison officer upon his discharge.</w:t>
      </w:r>
    </w:p>
    <w:p>
      <w:pPr>
        <w:pStyle w:val="Footnotesection"/>
      </w:pPr>
      <w:r>
        <w:tab/>
        <w:t>[Regulation 21 amended in Gazette 11 Dec 1987 p. 4369; 2 Nov 1999 p. 5475.]</w:t>
      </w:r>
    </w:p>
    <w:p>
      <w:pPr>
        <w:pStyle w:val="Heading5"/>
        <w:rPr>
          <w:snapToGrid w:val="0"/>
        </w:rPr>
      </w:pPr>
      <w:bookmarkStart w:id="53" w:name="_Toc378327223"/>
      <w:bookmarkStart w:id="54" w:name="_Toc427933481"/>
      <w:r>
        <w:rPr>
          <w:rStyle w:val="CharSectno"/>
        </w:rPr>
        <w:t>22</w:t>
      </w:r>
      <w:r>
        <w:rPr>
          <w:snapToGrid w:val="0"/>
        </w:rPr>
        <w:t>.</w:t>
      </w:r>
      <w:r>
        <w:rPr>
          <w:snapToGrid w:val="0"/>
        </w:rPr>
        <w:tab/>
        <w:t>Restrictions on conduct of prison officers</w:t>
      </w:r>
      <w:bookmarkEnd w:id="53"/>
      <w:bookmarkEnd w:id="54"/>
      <w:r>
        <w:rPr>
          <w:snapToGrid w:val="0"/>
        </w:rPr>
        <w:t xml:space="preserve"> </w:t>
      </w:r>
    </w:p>
    <w:p>
      <w:pPr>
        <w:pStyle w:val="Subsection"/>
        <w:rPr>
          <w:snapToGrid w:val="0"/>
        </w:rPr>
      </w:pPr>
      <w:r>
        <w:rPr>
          <w:snapToGrid w:val="0"/>
        </w:rPr>
        <w:tab/>
        <w:t>(1)</w:t>
      </w:r>
      <w:r>
        <w:rPr>
          <w:snapToGrid w:val="0"/>
        </w:rPr>
        <w:tab/>
        <w:t>Subject to subregulation (2) a prison officer shall not — </w:t>
      </w:r>
    </w:p>
    <w:p>
      <w:pPr>
        <w:pStyle w:val="Indenta"/>
        <w:rPr>
          <w:snapToGrid w:val="0"/>
        </w:rPr>
      </w:pPr>
      <w:r>
        <w:rPr>
          <w:snapToGrid w:val="0"/>
        </w:rPr>
        <w:tab/>
        <w:t>(a)</w:t>
      </w:r>
      <w:r>
        <w:rPr>
          <w:snapToGrid w:val="0"/>
        </w:rPr>
        <w:tab/>
        <w:t>make any comment to any person, either orally or in writing concerning any officer, prison, or prisoner; or</w:t>
      </w:r>
    </w:p>
    <w:p>
      <w:pPr>
        <w:pStyle w:val="Indenta"/>
        <w:rPr>
          <w:snapToGrid w:val="0"/>
        </w:rPr>
      </w:pPr>
      <w:r>
        <w:rPr>
          <w:snapToGrid w:val="0"/>
        </w:rPr>
        <w:tab/>
        <w:t>(b)</w:t>
      </w:r>
      <w:r>
        <w:rPr>
          <w:snapToGrid w:val="0"/>
        </w:rPr>
        <w:tab/>
        <w:t>use for any purpose information gained by or conveyed to him through his service in the prison service,</w:t>
      </w:r>
    </w:p>
    <w:p>
      <w:pPr>
        <w:pStyle w:val="Subsection"/>
        <w:rPr>
          <w:snapToGrid w:val="0"/>
        </w:rPr>
      </w:pPr>
      <w:r>
        <w:rPr>
          <w:snapToGrid w:val="0"/>
        </w:rPr>
        <w:tab/>
      </w:r>
      <w:r>
        <w:rPr>
          <w:snapToGrid w:val="0"/>
        </w:rPr>
        <w:tab/>
        <w:t>except in connection with the discharge of his duties or with the prior written approval of the superintendent.</w:t>
      </w:r>
    </w:p>
    <w:p>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pPr>
        <w:pStyle w:val="Subsection"/>
        <w:rPr>
          <w:snapToGrid w:val="0"/>
        </w:rPr>
      </w:pPr>
      <w:r>
        <w:rPr>
          <w:snapToGrid w:val="0"/>
        </w:rPr>
        <w:tab/>
        <w:t>(3)</w:t>
      </w:r>
      <w:r>
        <w:rPr>
          <w:snapToGrid w:val="0"/>
        </w:rPr>
        <w:tab/>
        <w:t>A prison officer shall not — </w:t>
      </w:r>
    </w:p>
    <w:p>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pPr>
        <w:pStyle w:val="Indenta"/>
        <w:rPr>
          <w:snapToGrid w:val="0"/>
        </w:rPr>
      </w:pPr>
      <w:r>
        <w:rPr>
          <w:snapToGrid w:val="0"/>
        </w:rPr>
        <w:tab/>
        <w:t>(b)</w:t>
      </w:r>
      <w:r>
        <w:rPr>
          <w:snapToGrid w:val="0"/>
        </w:rPr>
        <w:tab/>
        <w:t>engage in any trade, profession, business or calling other than that of being a prison officer,</w:t>
      </w:r>
    </w:p>
    <w:p>
      <w:pPr>
        <w:pStyle w:val="Subsection"/>
        <w:rPr>
          <w:snapToGrid w:val="0"/>
        </w:rPr>
      </w:pPr>
      <w:r>
        <w:rPr>
          <w:snapToGrid w:val="0"/>
        </w:rPr>
        <w:tab/>
      </w:r>
      <w:r>
        <w:rPr>
          <w:snapToGrid w:val="0"/>
        </w:rPr>
        <w:tab/>
        <w:t>except with the prior written approval of the chief executive officer.</w:t>
      </w:r>
    </w:p>
    <w:p>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pPr>
        <w:pStyle w:val="Footnotesection"/>
      </w:pPr>
      <w:r>
        <w:tab/>
        <w:t xml:space="preserve">[Regulation 22 amended in Gazette 11 Dec 1987 p. 4369; 2 Nov 1999 p. 5475.] </w:t>
      </w:r>
    </w:p>
    <w:p>
      <w:pPr>
        <w:pStyle w:val="Heading5"/>
        <w:rPr>
          <w:snapToGrid w:val="0"/>
        </w:rPr>
      </w:pPr>
      <w:bookmarkStart w:id="55" w:name="_Toc378327224"/>
      <w:bookmarkStart w:id="56" w:name="_Toc427933482"/>
      <w:r>
        <w:rPr>
          <w:rStyle w:val="CharSectno"/>
        </w:rPr>
        <w:t>23</w:t>
      </w:r>
      <w:r>
        <w:rPr>
          <w:snapToGrid w:val="0"/>
        </w:rPr>
        <w:t>.</w:t>
      </w:r>
      <w:r>
        <w:rPr>
          <w:snapToGrid w:val="0"/>
        </w:rPr>
        <w:tab/>
        <w:t>Grievances</w:t>
      </w:r>
      <w:bookmarkEnd w:id="55"/>
      <w:bookmarkEnd w:id="56"/>
      <w:r>
        <w:rPr>
          <w:snapToGrid w:val="0"/>
        </w:rPr>
        <w:t xml:space="preserve"> </w:t>
      </w:r>
    </w:p>
    <w:p>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pPr>
        <w:pStyle w:val="Footnotesection"/>
      </w:pPr>
      <w:r>
        <w:tab/>
        <w:t xml:space="preserve">[Regulation 23 amended in Gazette 11 Dec 1987 p. 4369; 2 Nov 1999 p. 5475.] </w:t>
      </w:r>
    </w:p>
    <w:p>
      <w:pPr>
        <w:pStyle w:val="Heading5"/>
        <w:rPr>
          <w:snapToGrid w:val="0"/>
        </w:rPr>
      </w:pPr>
      <w:bookmarkStart w:id="57" w:name="_Toc378327225"/>
      <w:bookmarkStart w:id="58" w:name="_Toc427933483"/>
      <w:r>
        <w:rPr>
          <w:rStyle w:val="CharSectno"/>
        </w:rPr>
        <w:t>24</w:t>
      </w:r>
      <w:r>
        <w:rPr>
          <w:snapToGrid w:val="0"/>
        </w:rPr>
        <w:t>.</w:t>
      </w:r>
      <w:r>
        <w:rPr>
          <w:snapToGrid w:val="0"/>
        </w:rPr>
        <w:tab/>
        <w:t>Responsibility when carrying firearms</w:t>
      </w:r>
      <w:bookmarkEnd w:id="57"/>
      <w:bookmarkEnd w:id="58"/>
      <w:r>
        <w:rPr>
          <w:snapToGrid w:val="0"/>
        </w:rPr>
        <w:t xml:space="preserve"> </w:t>
      </w:r>
    </w:p>
    <w:p>
      <w:pPr>
        <w:pStyle w:val="Subsection"/>
        <w:rPr>
          <w:snapToGrid w:val="0"/>
        </w:rPr>
      </w:pPr>
      <w:r>
        <w:rPr>
          <w:snapToGrid w:val="0"/>
        </w:rPr>
        <w:tab/>
        <w:t>(1)</w:t>
      </w:r>
      <w:r>
        <w:rPr>
          <w:snapToGrid w:val="0"/>
        </w:rPr>
        <w:tab/>
        <w:t>A prison officer may be required to undertake training in the use of firearms and ammunition and may thereafter, when on duty, be required to carry firearms and ammunition.</w:t>
      </w:r>
    </w:p>
    <w:p>
      <w:pPr>
        <w:pStyle w:val="Subsection"/>
        <w:rPr>
          <w:snapToGrid w:val="0"/>
        </w:rPr>
      </w:pPr>
      <w:r>
        <w:rPr>
          <w:snapToGrid w:val="0"/>
        </w:rPr>
        <w:tab/>
        <w:t>(2)</w:t>
      </w:r>
      <w:r>
        <w:rPr>
          <w:snapToGrid w:val="0"/>
        </w:rPr>
        <w:tab/>
        <w:t>Firearms and ammunition shall be issued only by an officer so authorised by the superintendent.</w:t>
      </w:r>
    </w:p>
    <w:p>
      <w:pPr>
        <w:pStyle w:val="Subsection"/>
        <w:rPr>
          <w:snapToGrid w:val="0"/>
        </w:rPr>
      </w:pPr>
      <w:r>
        <w:rPr>
          <w:snapToGrid w:val="0"/>
        </w:rPr>
        <w:tab/>
        <w:t>(3)</w:t>
      </w:r>
      <w:r>
        <w:rPr>
          <w:snapToGrid w:val="0"/>
        </w:rPr>
        <w:tab/>
        <w:t>When on duty under arms, a prison officer shall — </w:t>
      </w:r>
    </w:p>
    <w:p>
      <w:pPr>
        <w:pStyle w:val="Indenta"/>
        <w:rPr>
          <w:snapToGrid w:val="0"/>
        </w:rPr>
      </w:pPr>
      <w:r>
        <w:rPr>
          <w:snapToGrid w:val="0"/>
        </w:rPr>
        <w:tab/>
        <w:t>(a)</w:t>
      </w:r>
      <w:r>
        <w:rPr>
          <w:snapToGrid w:val="0"/>
        </w:rPr>
        <w:tab/>
        <w:t>be responsible for firearms and ammunition issued to him;</w:t>
      </w:r>
    </w:p>
    <w:p>
      <w:pPr>
        <w:pStyle w:val="Indenta"/>
        <w:rPr>
          <w:snapToGrid w:val="0"/>
        </w:rPr>
      </w:pPr>
      <w:r>
        <w:rPr>
          <w:snapToGrid w:val="0"/>
        </w:rPr>
        <w:tab/>
        <w:t>(b)</w:t>
      </w:r>
      <w:r>
        <w:rPr>
          <w:snapToGrid w:val="0"/>
        </w:rPr>
        <w:tab/>
        <w:t>ensure that the firearms are properly loaded and that he is carrying the appropriate ammunition for those firearms;</w:t>
      </w:r>
    </w:p>
    <w:p>
      <w:pPr>
        <w:pStyle w:val="Indenta"/>
        <w:rPr>
          <w:snapToGrid w:val="0"/>
        </w:rPr>
      </w:pPr>
      <w:r>
        <w:rPr>
          <w:snapToGrid w:val="0"/>
        </w:rPr>
        <w:tab/>
        <w:t>(c)</w:t>
      </w:r>
      <w:r>
        <w:rPr>
          <w:snapToGrid w:val="0"/>
        </w:rPr>
        <w:tab/>
        <w:t>handle those firearms and that ammunition so that no accident may occur;</w:t>
      </w:r>
    </w:p>
    <w:p>
      <w:pPr>
        <w:pStyle w:val="Indenta"/>
        <w:rPr>
          <w:snapToGrid w:val="0"/>
        </w:rPr>
      </w:pPr>
      <w:r>
        <w:rPr>
          <w:snapToGrid w:val="0"/>
        </w:rPr>
        <w:tab/>
        <w:t>(d)</w:t>
      </w:r>
      <w:r>
        <w:rPr>
          <w:snapToGrid w:val="0"/>
        </w:rPr>
        <w:tab/>
        <w:t>report to his superior officer forthwith if he has any reason to doubt the serviceability of the firearms;</w:t>
      </w:r>
    </w:p>
    <w:p>
      <w:pPr>
        <w:pStyle w:val="Indenta"/>
        <w:rPr>
          <w:snapToGrid w:val="0"/>
        </w:rPr>
      </w:pPr>
      <w:r>
        <w:rPr>
          <w:snapToGrid w:val="0"/>
        </w:rPr>
        <w:tab/>
        <w:t>(e)</w:t>
      </w:r>
      <w:r>
        <w:rPr>
          <w:snapToGrid w:val="0"/>
        </w:rPr>
        <w:tab/>
        <w:t>remain alert and vigilant at his post;</w:t>
      </w:r>
    </w:p>
    <w:p>
      <w:pPr>
        <w:pStyle w:val="Indenta"/>
        <w:rPr>
          <w:snapToGrid w:val="0"/>
        </w:rPr>
      </w:pPr>
      <w:r>
        <w:rPr>
          <w:snapToGrid w:val="0"/>
        </w:rPr>
        <w:tab/>
        <w:t>(f)</w:t>
      </w:r>
      <w:r>
        <w:rPr>
          <w:snapToGrid w:val="0"/>
        </w:rPr>
        <w:tab/>
        <w:t>immediately he observes any irregularity in the routine of the prison which may jeopardise the security of the prison, report such irregularity to the superintendent or his superior officer or make his report to the nearest officer with whom he can communicate and that officer shall forthwith inform the superintendent of the report made to him; and</w:t>
      </w:r>
    </w:p>
    <w:p>
      <w:pPr>
        <w:pStyle w:val="Indenta"/>
        <w:rPr>
          <w:snapToGrid w:val="0"/>
        </w:rPr>
      </w:pPr>
      <w:r>
        <w:rPr>
          <w:snapToGrid w:val="0"/>
        </w:rPr>
        <w:tab/>
        <w:t>(g)</w:t>
      </w:r>
      <w:r>
        <w:rPr>
          <w:snapToGrid w:val="0"/>
        </w:rPr>
        <w:tab/>
        <w:t>report to his superior officer forthwith any discharge of the firearms or loss or damage of ammunition.</w:t>
      </w:r>
    </w:p>
    <w:p>
      <w:pPr>
        <w:pStyle w:val="Subsection"/>
        <w:rPr>
          <w:snapToGrid w:val="0"/>
        </w:rPr>
      </w:pPr>
      <w:r>
        <w:rPr>
          <w:snapToGrid w:val="0"/>
        </w:rPr>
        <w:tab/>
        <w:t>(4)</w:t>
      </w:r>
      <w:r>
        <w:rPr>
          <w:snapToGrid w:val="0"/>
        </w:rPr>
        <w:tab/>
        <w:t>When on duty under arms, a prison officer shall not — </w:t>
      </w:r>
    </w:p>
    <w:p>
      <w:pPr>
        <w:pStyle w:val="Indenta"/>
        <w:rPr>
          <w:snapToGrid w:val="0"/>
        </w:rPr>
      </w:pPr>
      <w:r>
        <w:rPr>
          <w:snapToGrid w:val="0"/>
        </w:rPr>
        <w:tab/>
        <w:t>(a)</w:t>
      </w:r>
      <w:r>
        <w:rPr>
          <w:snapToGrid w:val="0"/>
        </w:rPr>
        <w:tab/>
        <w:t>deface the firearms;</w:t>
      </w:r>
    </w:p>
    <w:p>
      <w:pPr>
        <w:pStyle w:val="Indenta"/>
        <w:rPr>
          <w:snapToGrid w:val="0"/>
        </w:rPr>
      </w:pPr>
      <w:r>
        <w:rPr>
          <w:snapToGrid w:val="0"/>
        </w:rPr>
        <w:tab/>
        <w:t>(b)</w:t>
      </w:r>
      <w:r>
        <w:rPr>
          <w:snapToGrid w:val="0"/>
        </w:rPr>
        <w:tab/>
        <w:t>make any alteration to the firearms without the authority of the superintendent; or</w:t>
      </w:r>
    </w:p>
    <w:p>
      <w:pPr>
        <w:pStyle w:val="Indenta"/>
        <w:rPr>
          <w:snapToGrid w:val="0"/>
        </w:rPr>
      </w:pPr>
      <w:r>
        <w:rPr>
          <w:snapToGrid w:val="0"/>
        </w:rPr>
        <w:tab/>
        <w:t>(c)</w:t>
      </w:r>
      <w:r>
        <w:rPr>
          <w:snapToGrid w:val="0"/>
        </w:rPr>
        <w:tab/>
        <w:t>permit any prisoner to approach within 10 metres of him.</w:t>
      </w:r>
    </w:p>
    <w:p>
      <w:pPr>
        <w:pStyle w:val="Heading5"/>
        <w:rPr>
          <w:snapToGrid w:val="0"/>
        </w:rPr>
      </w:pPr>
      <w:bookmarkStart w:id="59" w:name="_Toc378327226"/>
      <w:bookmarkStart w:id="60" w:name="_Toc427933484"/>
      <w:r>
        <w:rPr>
          <w:rStyle w:val="CharSectno"/>
        </w:rPr>
        <w:t>25</w:t>
      </w:r>
      <w:r>
        <w:rPr>
          <w:snapToGrid w:val="0"/>
        </w:rPr>
        <w:t>.</w:t>
      </w:r>
      <w:r>
        <w:rPr>
          <w:snapToGrid w:val="0"/>
        </w:rPr>
        <w:tab/>
        <w:t>Procedure before the use of firearms</w:t>
      </w:r>
      <w:bookmarkEnd w:id="59"/>
      <w:bookmarkEnd w:id="60"/>
      <w:r>
        <w:rPr>
          <w:snapToGrid w:val="0"/>
        </w:rPr>
        <w:t xml:space="preserve"> </w:t>
      </w:r>
    </w:p>
    <w:p>
      <w:pPr>
        <w:pStyle w:val="Subsection"/>
        <w:rPr>
          <w:snapToGrid w:val="0"/>
        </w:rPr>
      </w:pPr>
      <w:r>
        <w:rPr>
          <w:snapToGrid w:val="0"/>
        </w:rPr>
        <w:tab/>
        <w:t>(1)</w:t>
      </w:r>
      <w:r>
        <w:rPr>
          <w:snapToGrid w:val="0"/>
        </w:rPr>
        <w:tab/>
        <w:t>Before using a firearm against a prisoner or other person, a prison officer shall, where it is practicable in the circumstances to do so — </w:t>
      </w:r>
    </w:p>
    <w:p>
      <w:pPr>
        <w:pStyle w:val="Indenta"/>
        <w:rPr>
          <w:snapToGrid w:val="0"/>
        </w:rPr>
      </w:pPr>
      <w:r>
        <w:rPr>
          <w:snapToGrid w:val="0"/>
        </w:rPr>
        <w:tab/>
        <w:t>(a)</w:t>
      </w:r>
      <w:r>
        <w:rPr>
          <w:snapToGrid w:val="0"/>
        </w:rPr>
        <w:tab/>
        <w:t>order the prisoner or person to halt;</w:t>
      </w:r>
    </w:p>
    <w:p>
      <w:pPr>
        <w:pStyle w:val="Indenta"/>
        <w:rPr>
          <w:snapToGrid w:val="0"/>
        </w:rPr>
      </w:pPr>
      <w:r>
        <w:rPr>
          <w:snapToGrid w:val="0"/>
        </w:rPr>
        <w:tab/>
        <w:t>(b)</w:t>
      </w:r>
      <w:r>
        <w:rPr>
          <w:snapToGrid w:val="0"/>
        </w:rPr>
        <w:tab/>
        <w:t>if the prisoner or person so ordered refuses or neglects to halt, the prison officer shall immediately call aloud “halt or I’ll fire” or words to similar effect.</w:t>
      </w:r>
    </w:p>
    <w:p>
      <w:pPr>
        <w:pStyle w:val="Subsection"/>
        <w:rPr>
          <w:snapToGrid w:val="0"/>
        </w:rPr>
      </w:pPr>
      <w:r>
        <w:rPr>
          <w:snapToGrid w:val="0"/>
        </w:rPr>
        <w:tab/>
        <w:t>(2)</w:t>
      </w:r>
      <w:r>
        <w:rPr>
          <w:snapToGrid w:val="0"/>
        </w:rPr>
        <w:tab/>
        <w:t>Before using a firearm against a prisoner or other person, a prison officer may, where it is practicable in the circumstances to do so, fire a warning shot.</w:t>
      </w:r>
    </w:p>
    <w:p>
      <w:pPr>
        <w:pStyle w:val="Subsection"/>
        <w:rPr>
          <w:snapToGrid w:val="0"/>
        </w:rPr>
      </w:pPr>
      <w:r>
        <w:rPr>
          <w:snapToGrid w:val="0"/>
        </w:rPr>
        <w:tab/>
        <w:t>(3)</w:t>
      </w:r>
      <w:r>
        <w:rPr>
          <w:snapToGrid w:val="0"/>
        </w:rPr>
        <w:tab/>
        <w:t>In exercising his discretion whether to use or to continue to use a firearm, a prison officer shall have regard to the risk, in the immediate circumstances, of injury which the use of fire power would impose upon any person other than the prisoner or person against whom fire power may be used.</w:t>
      </w:r>
    </w:p>
    <w:p>
      <w:pPr>
        <w:pStyle w:val="Footnotesection"/>
      </w:pPr>
      <w:r>
        <w:tab/>
        <w:t>[Regulation 25 amended in Gazette 24 Dec 1982 p. 4907.]</w:t>
      </w:r>
    </w:p>
    <w:p>
      <w:pPr>
        <w:pStyle w:val="Heading2"/>
      </w:pPr>
      <w:bookmarkStart w:id="61" w:name="_Toc378327227"/>
      <w:bookmarkStart w:id="62" w:name="_Toc424112442"/>
      <w:bookmarkStart w:id="63" w:name="_Toc427922957"/>
      <w:bookmarkStart w:id="64" w:name="_Toc427933485"/>
      <w:r>
        <w:rPr>
          <w:rStyle w:val="CharPartNo"/>
        </w:rPr>
        <w:t>Part IIIA</w:t>
      </w:r>
      <w:r>
        <w:t xml:space="preserve"> — </w:t>
      </w:r>
      <w:r>
        <w:rPr>
          <w:rStyle w:val="CharPartText"/>
        </w:rPr>
        <w:t>Alcohol and drug related aggravated prison offences</w:t>
      </w:r>
      <w:bookmarkEnd w:id="61"/>
      <w:bookmarkEnd w:id="62"/>
      <w:bookmarkEnd w:id="63"/>
      <w:bookmarkEnd w:id="64"/>
    </w:p>
    <w:p>
      <w:pPr>
        <w:pStyle w:val="Footnoteheading"/>
        <w:ind w:left="890"/>
      </w:pPr>
      <w:r>
        <w:tab/>
        <w:t>[Heading inserted in Gazette 7 Apr 2000 p. 1820.]</w:t>
      </w:r>
    </w:p>
    <w:p>
      <w:pPr>
        <w:pStyle w:val="Heading5"/>
      </w:pPr>
      <w:bookmarkStart w:id="65" w:name="_Toc378327228"/>
      <w:bookmarkStart w:id="66" w:name="_Toc427933486"/>
      <w:r>
        <w:rPr>
          <w:rStyle w:val="CharSectno"/>
        </w:rPr>
        <w:t>26</w:t>
      </w:r>
      <w:r>
        <w:t>.</w:t>
      </w:r>
      <w:r>
        <w:tab/>
        <w:t>Terms used in this Part</w:t>
      </w:r>
      <w:bookmarkEnd w:id="65"/>
      <w:bookmarkEnd w:id="66"/>
    </w:p>
    <w:p>
      <w:pPr>
        <w:pStyle w:val="Subsection"/>
      </w:pPr>
      <w:r>
        <w:tab/>
      </w:r>
      <w:r>
        <w:tab/>
        <w:t xml:space="preserve">In this Part — </w:t>
      </w:r>
    </w:p>
    <w:p>
      <w:pPr>
        <w:pStyle w:val="Defstart"/>
      </w:pPr>
      <w:r>
        <w:tab/>
      </w:r>
      <w:r>
        <w:rPr>
          <w:rStyle w:val="CharDefText"/>
        </w:rPr>
        <w:t>aggravated alcohol offence</w:t>
      </w:r>
      <w:r>
        <w:t xml:space="preserve"> means an aggravated prison offence under section 70(f) of the Act;</w:t>
      </w:r>
    </w:p>
    <w:p>
      <w:pPr>
        <w:pStyle w:val="Defstart"/>
      </w:pPr>
      <w:r>
        <w:tab/>
      </w:r>
      <w:r>
        <w:rPr>
          <w:rStyle w:val="CharDefText"/>
        </w:rPr>
        <w:t>aggravated drug offence</w:t>
      </w:r>
      <w:r>
        <w:t xml:space="preserve"> means an aggravated prison offence under section 70(d) or (e) of the Act;</w:t>
      </w:r>
    </w:p>
    <w:p>
      <w:pPr>
        <w:pStyle w:val="Defstart"/>
      </w:pPr>
      <w:r>
        <w:tab/>
      </w:r>
      <w:r>
        <w:rPr>
          <w:rStyle w:val="CharDefText"/>
        </w:rPr>
        <w:t>sweat patch</w:t>
      </w:r>
      <w:r>
        <w:t xml:space="preserve"> means an adhesive patch attached to the body of a prisoner for the taking of a sample of sweat from the prisoner.</w:t>
      </w:r>
    </w:p>
    <w:p>
      <w:pPr>
        <w:pStyle w:val="Footnotesection"/>
      </w:pPr>
      <w:r>
        <w:tab/>
        <w:t>[Regulation 26 inserted in Gazette 7 Apr 2000 p. 1820; amended in Gazette 3 Apr 2007 p. 1494.]</w:t>
      </w:r>
    </w:p>
    <w:p>
      <w:pPr>
        <w:pStyle w:val="Heading5"/>
      </w:pPr>
      <w:bookmarkStart w:id="67" w:name="_Toc378327229"/>
      <w:bookmarkStart w:id="68" w:name="_Toc427933487"/>
      <w:r>
        <w:rPr>
          <w:rStyle w:val="CharSectno"/>
        </w:rPr>
        <w:t>26A</w:t>
      </w:r>
      <w:r>
        <w:t>.</w:t>
      </w:r>
      <w:r>
        <w:tab/>
        <w:t>Prison officer who suspects aggravated drug or alcohol offence to inform superintendent</w:t>
      </w:r>
      <w:bookmarkEnd w:id="67"/>
      <w:bookmarkEnd w:id="68"/>
    </w:p>
    <w:p>
      <w:pPr>
        <w:pStyle w:val="Subsection"/>
      </w:pPr>
      <w:r>
        <w:tab/>
      </w:r>
      <w:r>
        <w:tab/>
        <w:t>A prison officer who has reasonable grounds for suspecting that a prisoner has committed an aggravated drug offence or an aggravated alcohol offence shall inform the superintendent.</w:t>
      </w:r>
    </w:p>
    <w:p>
      <w:pPr>
        <w:pStyle w:val="Footnotesection"/>
      </w:pPr>
      <w:r>
        <w:tab/>
        <w:t>[Regulation 26A inserted in Gazette 7 Apr 2000 p. 1820.]</w:t>
      </w:r>
    </w:p>
    <w:p>
      <w:pPr>
        <w:pStyle w:val="Heading5"/>
      </w:pPr>
      <w:bookmarkStart w:id="69" w:name="_Toc378327230"/>
      <w:bookmarkStart w:id="70" w:name="_Toc427933488"/>
      <w:r>
        <w:rPr>
          <w:rStyle w:val="CharSectno"/>
        </w:rPr>
        <w:t>26B</w:t>
      </w:r>
      <w:r>
        <w:t>.</w:t>
      </w:r>
      <w:r>
        <w:tab/>
        <w:t>Superintendent may direct that samples are to be taken</w:t>
      </w:r>
      <w:bookmarkEnd w:id="69"/>
      <w:bookmarkEnd w:id="70"/>
    </w:p>
    <w:p>
      <w:pPr>
        <w:pStyle w:val="Subsection"/>
      </w:pPr>
      <w:r>
        <w:tab/>
        <w:t>(1)</w:t>
      </w:r>
      <w:r>
        <w:tab/>
        <w:t xml:space="preserve">The superintendent may direct a prison officer to take a sample at random of — </w:t>
      </w:r>
    </w:p>
    <w:p>
      <w:pPr>
        <w:pStyle w:val="Indenta"/>
      </w:pPr>
      <w:r>
        <w:tab/>
        <w:t>(a)</w:t>
      </w:r>
      <w:r>
        <w:tab/>
        <w:t>the blood, saliva, sweat or urine of prisoners to determine whether an aggravated drug offence or an aggravated alcohol offence has been committed by any prisoner; or</w:t>
      </w:r>
    </w:p>
    <w:p>
      <w:pPr>
        <w:pStyle w:val="Indenta"/>
      </w:pPr>
      <w:r>
        <w:tab/>
        <w:t>(b)</w:t>
      </w:r>
      <w:r>
        <w:tab/>
        <w:t>the breath of prisoners to determine whether an aggravated alcohol offence has been committed by any prisoner.</w:t>
      </w:r>
    </w:p>
    <w:p>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pPr>
        <w:pStyle w:val="Subsection"/>
      </w:pPr>
      <w:r>
        <w:tab/>
        <w:t>(3)</w:t>
      </w:r>
      <w:r>
        <w:tab/>
        <w:t>This regulation is subject to regulation 26C.</w:t>
      </w:r>
    </w:p>
    <w:p>
      <w:pPr>
        <w:pStyle w:val="Footnotesection"/>
        <w:spacing w:before="100"/>
        <w:ind w:left="890" w:hanging="890"/>
      </w:pPr>
      <w:r>
        <w:tab/>
        <w:t>[Regulation 26B inserted in Gazette 7 Apr 2000 p. 1820.]</w:t>
      </w:r>
    </w:p>
    <w:p>
      <w:pPr>
        <w:pStyle w:val="Heading5"/>
      </w:pPr>
      <w:bookmarkStart w:id="71" w:name="_Toc378327231"/>
      <w:bookmarkStart w:id="72" w:name="_Toc427933489"/>
      <w:r>
        <w:rPr>
          <w:rStyle w:val="CharSectno"/>
        </w:rPr>
        <w:t>26C</w:t>
      </w:r>
      <w:r>
        <w:t>.</w:t>
      </w:r>
      <w:r>
        <w:tab/>
        <w:t>How samples of blood, breath and sweat are to be taken</w:t>
      </w:r>
      <w:bookmarkEnd w:id="71"/>
      <w:bookmarkEnd w:id="72"/>
    </w:p>
    <w:p>
      <w:pPr>
        <w:pStyle w:val="Subsection"/>
      </w:pPr>
      <w:r>
        <w:tab/>
        <w:t>(1)</w:t>
      </w:r>
      <w:r>
        <w:tab/>
        <w:t xml:space="preserve">A sample of the blood of a prisoner shall be taken — </w:t>
      </w:r>
    </w:p>
    <w:p>
      <w:pPr>
        <w:pStyle w:val="Indenta"/>
        <w:spacing w:before="60"/>
      </w:pPr>
      <w:r>
        <w:tab/>
        <w:t>(a)</w:t>
      </w:r>
      <w:r>
        <w:tab/>
        <w:t>with a sterile syringe and discharged into a sterile container; and</w:t>
      </w:r>
    </w:p>
    <w:p>
      <w:pPr>
        <w:pStyle w:val="Indenta"/>
        <w:spacing w:before="60"/>
      </w:pPr>
      <w:r>
        <w:tab/>
        <w:t>(b)</w:t>
      </w:r>
      <w:r>
        <w:tab/>
        <w:t xml:space="preserve">by a medical officer or an officer who is a nurse, as defined in the </w:t>
      </w:r>
      <w:r>
        <w:rPr>
          <w:i/>
        </w:rPr>
        <w:t>Nurses Act 1992</w:t>
      </w:r>
      <w:r>
        <w:rPr>
          <w:iCs/>
          <w:vertAlign w:val="superscript"/>
        </w:rPr>
        <w:t> 2</w:t>
      </w:r>
      <w:r>
        <w:t>.</w:t>
      </w:r>
    </w:p>
    <w:p>
      <w:pPr>
        <w:pStyle w:val="Subsection"/>
      </w:pPr>
      <w:r>
        <w:tab/>
        <w:t>(2)</w:t>
      </w:r>
      <w:r>
        <w:tab/>
        <w:t xml:space="preserve">A sample of the breath of a prisoner shall be taken — </w:t>
      </w:r>
    </w:p>
    <w:p>
      <w:pPr>
        <w:pStyle w:val="Indenta"/>
        <w:spacing w:before="60"/>
      </w:pPr>
      <w:r>
        <w:tab/>
        <w:t>(a)</w:t>
      </w:r>
      <w:r>
        <w:tab/>
        <w:t>by means of apparatus of a type approved for that purpose; and</w:t>
      </w:r>
    </w:p>
    <w:p>
      <w:pPr>
        <w:pStyle w:val="Indenta"/>
        <w:spacing w:before="60"/>
      </w:pPr>
      <w:r>
        <w:tab/>
        <w:t>(b)</w:t>
      </w:r>
      <w:r>
        <w:tab/>
        <w:t>by an officer who has been approved to use that apparatus.</w:t>
      </w:r>
    </w:p>
    <w:p>
      <w:pPr>
        <w:pStyle w:val="Subsection"/>
      </w:pPr>
      <w:r>
        <w:tab/>
        <w:t>(3)</w:t>
      </w:r>
      <w:r>
        <w:tab/>
        <w:t xml:space="preserve">A sample of the sweat of a prisoner shall be taken — </w:t>
      </w:r>
    </w:p>
    <w:p>
      <w:pPr>
        <w:pStyle w:val="Indenta"/>
        <w:spacing w:before="60"/>
      </w:pPr>
      <w:r>
        <w:tab/>
        <w:t>(a)</w:t>
      </w:r>
      <w:r>
        <w:tab/>
        <w:t>by means of a sweat patch, of a type approved for that purpose, attached to the prisoner for not more than 7 days; and</w:t>
      </w:r>
    </w:p>
    <w:p>
      <w:pPr>
        <w:pStyle w:val="Indenta"/>
        <w:spacing w:before="60"/>
      </w:pPr>
      <w:r>
        <w:tab/>
        <w:t>(b)</w:t>
      </w:r>
      <w:r>
        <w:tab/>
        <w:t>by a prison officer or other approved person who has successfully completed approved training as to the application and removal of sweat patches.</w:t>
      </w:r>
    </w:p>
    <w:p>
      <w:pPr>
        <w:pStyle w:val="Footnotesection"/>
        <w:spacing w:before="100"/>
        <w:ind w:left="890" w:hanging="890"/>
      </w:pPr>
      <w:r>
        <w:tab/>
        <w:t>[Regulation 26C inserted in Gazette 7 Apr 2000 p. 1821; amended in Gazette 12 Apr 2001 p. 2099; 3 Apr 2007 p. 1495.]</w:t>
      </w:r>
    </w:p>
    <w:p>
      <w:pPr>
        <w:pStyle w:val="Heading5"/>
      </w:pPr>
      <w:bookmarkStart w:id="73" w:name="_Toc378327232"/>
      <w:bookmarkStart w:id="74" w:name="_Toc427933490"/>
      <w:r>
        <w:rPr>
          <w:rStyle w:val="CharSectno"/>
        </w:rPr>
        <w:t>26D</w:t>
      </w:r>
      <w:r>
        <w:t>.</w:t>
      </w:r>
      <w:r>
        <w:tab/>
        <w:t>Prisoner may be required to provide body sample</w:t>
      </w:r>
      <w:bookmarkEnd w:id="73"/>
      <w:bookmarkEnd w:id="74"/>
    </w:p>
    <w:p>
      <w:pPr>
        <w:pStyle w:val="Subsection"/>
        <w:keepNext/>
        <w:keepLines/>
      </w:pPr>
      <w:r>
        <w:tab/>
      </w:r>
      <w:r>
        <w:tab/>
        <w:t xml:space="preserve">Subject to regulation 26C, a prison officer — </w:t>
      </w:r>
    </w:p>
    <w:p>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pPr>
        <w:pStyle w:val="Indenta"/>
      </w:pPr>
      <w:r>
        <w:tab/>
        <w:t>(b)</w:t>
      </w:r>
      <w:r>
        <w:tab/>
        <w:t>shall require a prisoner to provide a sample of the prisoner’s blood, saliva, sweat, breath or urine if directed to do so by the superintendent under regulation 26B.</w:t>
      </w:r>
    </w:p>
    <w:p>
      <w:pPr>
        <w:pStyle w:val="Footnotesection"/>
      </w:pPr>
      <w:r>
        <w:tab/>
        <w:t>[Regulation 26D inserted in Gazette 7 Apr 2000 p. 1821.]</w:t>
      </w:r>
    </w:p>
    <w:p>
      <w:pPr>
        <w:pStyle w:val="Heading5"/>
      </w:pPr>
      <w:bookmarkStart w:id="75" w:name="_Toc378327233"/>
      <w:bookmarkStart w:id="76" w:name="_Toc427933491"/>
      <w:r>
        <w:rPr>
          <w:rStyle w:val="CharSectno"/>
        </w:rPr>
        <w:t>26E</w:t>
      </w:r>
      <w:r>
        <w:t>.</w:t>
      </w:r>
      <w:r>
        <w:tab/>
        <w:t>Prisoner to submit to having sample taken when requested to do so</w:t>
      </w:r>
      <w:bookmarkEnd w:id="75"/>
      <w:bookmarkEnd w:id="76"/>
    </w:p>
    <w:p>
      <w:pPr>
        <w:pStyle w:val="Subsection"/>
      </w:pPr>
      <w:r>
        <w:tab/>
        <w:t>(1)</w:t>
      </w:r>
      <w:r>
        <w:tab/>
        <w:t xml:space="preserve">A prisoner who is required to provide a sample under regulation 26D shall — </w:t>
      </w:r>
    </w:p>
    <w:p>
      <w:pPr>
        <w:pStyle w:val="Indenta"/>
      </w:pPr>
      <w:r>
        <w:tab/>
        <w:t>(a)</w:t>
      </w:r>
      <w:r>
        <w:tab/>
        <w:t>submit himself for the purpose of having the body sample taken; and</w:t>
      </w:r>
    </w:p>
    <w:p>
      <w:pPr>
        <w:pStyle w:val="Indenta"/>
      </w:pPr>
      <w:r>
        <w:tab/>
        <w:t>(b)</w:t>
      </w:r>
      <w:r>
        <w:tab/>
        <w:t>cooperate fully in providing the sample.</w:t>
      </w:r>
    </w:p>
    <w:p>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pPr>
        <w:pStyle w:val="Indenta"/>
      </w:pPr>
      <w:r>
        <w:tab/>
        <w:t>(a)</w:t>
      </w:r>
      <w:r>
        <w:tab/>
        <w:t>the removal or interference was carried out by a person referred to in regulation 26C(3)(b); or</w:t>
      </w:r>
    </w:p>
    <w:p>
      <w:pPr>
        <w:pStyle w:val="Indenta"/>
      </w:pPr>
      <w:r>
        <w:tab/>
        <w:t>(b)</w:t>
      </w:r>
      <w:r>
        <w:tab/>
        <w:t xml:space="preserve">the prisoner proves that — </w:t>
      </w:r>
    </w:p>
    <w:p>
      <w:pPr>
        <w:pStyle w:val="Indenti"/>
      </w:pPr>
      <w:r>
        <w:tab/>
        <w:t>(i)</w:t>
      </w:r>
      <w:r>
        <w:tab/>
        <w:t>the removal or interference was carried out against the prisoner’s wishes; and</w:t>
      </w:r>
    </w:p>
    <w:p>
      <w:pPr>
        <w:pStyle w:val="Indenti"/>
      </w:pPr>
      <w:r>
        <w:tab/>
        <w:t>(ii)</w:t>
      </w:r>
      <w:r>
        <w:tab/>
        <w:t>the prisoner promptly reported the removal or interference to a prison officer.</w:t>
      </w:r>
    </w:p>
    <w:p>
      <w:pPr>
        <w:pStyle w:val="Footnotesection"/>
      </w:pPr>
      <w:r>
        <w:tab/>
        <w:t>[Regulation 26E inserted in Gazette 7 Apr 2000 p. 1821</w:t>
      </w:r>
      <w:r>
        <w:noBreakHyphen/>
        <w:t>2.]</w:t>
      </w:r>
    </w:p>
    <w:p>
      <w:pPr>
        <w:pStyle w:val="Heading5"/>
      </w:pPr>
      <w:bookmarkStart w:id="77" w:name="_Toc378327234"/>
      <w:bookmarkStart w:id="78" w:name="_Toc427933492"/>
      <w:r>
        <w:rPr>
          <w:rStyle w:val="CharSectno"/>
        </w:rPr>
        <w:t>26F</w:t>
      </w:r>
      <w:r>
        <w:t>.</w:t>
      </w:r>
      <w:r>
        <w:tab/>
        <w:t>Medical attention may be required</w:t>
      </w:r>
      <w:bookmarkEnd w:id="77"/>
      <w:bookmarkEnd w:id="78"/>
    </w:p>
    <w:p>
      <w:pPr>
        <w:pStyle w:val="Subsection"/>
      </w:pPr>
      <w:r>
        <w:tab/>
      </w:r>
      <w:r>
        <w:tab/>
        <w:t>On receiving information under regulation 26A regarding a prisoner, the superintendent may request a medical officer to assess the prisoner to determine whether the prisoner requires medical attention.</w:t>
      </w:r>
    </w:p>
    <w:p>
      <w:pPr>
        <w:pStyle w:val="Footnotesection"/>
      </w:pPr>
      <w:r>
        <w:tab/>
        <w:t>[Regulation 26F inserted in Gazette 7 Apr 2000 p. 1822; amended in Gazette 12 Apr 2001 p. 2099.]</w:t>
      </w:r>
    </w:p>
    <w:p>
      <w:pPr>
        <w:pStyle w:val="Heading5"/>
      </w:pPr>
      <w:bookmarkStart w:id="79" w:name="_Toc378327235"/>
      <w:bookmarkStart w:id="80" w:name="_Toc427933493"/>
      <w:r>
        <w:rPr>
          <w:rStyle w:val="CharSectno"/>
        </w:rPr>
        <w:t>26G</w:t>
      </w:r>
      <w:r>
        <w:t>.</w:t>
      </w:r>
      <w:r>
        <w:tab/>
        <w:t>Other samples may be taken for analysis</w:t>
      </w:r>
      <w:bookmarkEnd w:id="79"/>
      <w:bookmarkEnd w:id="80"/>
    </w:p>
    <w:p>
      <w:pPr>
        <w:pStyle w:val="Subsection"/>
      </w:pPr>
      <w:r>
        <w:tab/>
      </w:r>
      <w:r>
        <w:tab/>
        <w:t>A prison officer may take for the purpose of analysis, a sample of any drug, alcohol, glue containing toluene, or other intoxicating substances found in the possession of a prisoner and not lawfully issued to him.</w:t>
      </w:r>
    </w:p>
    <w:p>
      <w:pPr>
        <w:pStyle w:val="Footnotesection"/>
      </w:pPr>
      <w:r>
        <w:tab/>
        <w:t>[Regulation 26G inserted in Gazette 7 Apr 2000 p. 1822.]</w:t>
      </w:r>
    </w:p>
    <w:p>
      <w:pPr>
        <w:pStyle w:val="Heading5"/>
      </w:pPr>
      <w:bookmarkStart w:id="81" w:name="_Toc378327236"/>
      <w:bookmarkStart w:id="82" w:name="_Toc427933494"/>
      <w:r>
        <w:rPr>
          <w:rStyle w:val="CharSectno"/>
        </w:rPr>
        <w:t>26H</w:t>
      </w:r>
      <w:r>
        <w:t>.</w:t>
      </w:r>
      <w:r>
        <w:tab/>
        <w:t>Samples to be sealed, labelled and delivered to approved analysis agent</w:t>
      </w:r>
      <w:bookmarkEnd w:id="81"/>
      <w:bookmarkEnd w:id="82"/>
    </w:p>
    <w:p>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pPr>
        <w:pStyle w:val="Indenta"/>
      </w:pPr>
      <w:r>
        <w:tab/>
        <w:t>(a)</w:t>
      </w:r>
      <w:r>
        <w:tab/>
        <w:t>the name of the prisoner;</w:t>
      </w:r>
    </w:p>
    <w:p>
      <w:pPr>
        <w:pStyle w:val="Indenta"/>
      </w:pPr>
      <w:r>
        <w:tab/>
        <w:t>(b)</w:t>
      </w:r>
      <w:r>
        <w:tab/>
        <w:t>the type of the sample;</w:t>
      </w:r>
    </w:p>
    <w:p>
      <w:pPr>
        <w:pStyle w:val="Indenta"/>
      </w:pPr>
      <w:r>
        <w:tab/>
        <w:t>(c)</w:t>
      </w:r>
      <w:r>
        <w:tab/>
        <w:t>the name of the prison officer, or other person authorised under regulation 26C(1)(b), (2)(b) or (3)(b) who took the sample; and</w:t>
      </w:r>
    </w:p>
    <w:p>
      <w:pPr>
        <w:pStyle w:val="Indenta"/>
      </w:pPr>
      <w:r>
        <w:tab/>
        <w:t>(d)</w:t>
      </w:r>
      <w:r>
        <w:tab/>
        <w:t>the time and date that the sample was taken.</w:t>
      </w:r>
    </w:p>
    <w:p>
      <w:pPr>
        <w:pStyle w:val="Subsection"/>
      </w:pPr>
      <w:r>
        <w:tab/>
        <w:t>(2)</w:t>
      </w:r>
      <w:r>
        <w:tab/>
        <w:t>The superintendent shall authorise the delivery of a sample taken under this Part to the approved analysis agent.</w:t>
      </w:r>
    </w:p>
    <w:p>
      <w:pPr>
        <w:pStyle w:val="Footnotesection"/>
      </w:pPr>
      <w:r>
        <w:tab/>
        <w:t>[Regulation 26H inserted in Gazette 7 Apr 2000 p. 1822.]</w:t>
      </w:r>
    </w:p>
    <w:p>
      <w:pPr>
        <w:pStyle w:val="Heading5"/>
        <w:rPr>
          <w:snapToGrid w:val="0"/>
        </w:rPr>
      </w:pPr>
      <w:bookmarkStart w:id="83" w:name="_Toc378327237"/>
      <w:bookmarkStart w:id="84" w:name="_Toc427933495"/>
      <w:r>
        <w:rPr>
          <w:rStyle w:val="CharSectno"/>
        </w:rPr>
        <w:t>27</w:t>
      </w:r>
      <w:r>
        <w:rPr>
          <w:snapToGrid w:val="0"/>
        </w:rPr>
        <w:t>.</w:t>
      </w:r>
      <w:r>
        <w:rPr>
          <w:snapToGrid w:val="0"/>
        </w:rPr>
        <w:tab/>
        <w:t>Analyst to give certificate</w:t>
      </w:r>
      <w:bookmarkEnd w:id="83"/>
      <w:bookmarkEnd w:id="84"/>
      <w:r>
        <w:rPr>
          <w:snapToGrid w:val="0"/>
        </w:rPr>
        <w:t xml:space="preserve"> </w:t>
      </w:r>
    </w:p>
    <w:p>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pPr>
        <w:pStyle w:val="Subsection"/>
        <w:spacing w:before="150"/>
        <w:rPr>
          <w:snapToGrid w:val="0"/>
        </w:rPr>
      </w:pPr>
      <w:r>
        <w:rPr>
          <w:snapToGrid w:val="0"/>
        </w:rPr>
        <w:tab/>
        <w:t>(3)</w:t>
      </w:r>
      <w:r>
        <w:rPr>
          <w:snapToGrid w:val="0"/>
        </w:rPr>
        <w:tab/>
        <w:t xml:space="preserve">For the purposes of these regulations, an analyst is a person appointed as an analyst under the </w:t>
      </w:r>
      <w:r>
        <w:rPr>
          <w:i/>
          <w:snapToGrid w:val="0"/>
        </w:rPr>
        <w:t>Health Act 1911</w:t>
      </w:r>
      <w:r>
        <w:rPr>
          <w:snapToGrid w:val="0"/>
        </w:rPr>
        <w:t xml:space="preserve"> and employed by </w:t>
      </w:r>
      <w:r>
        <w:t>an approved</w:t>
      </w:r>
      <w:r>
        <w:rPr>
          <w:snapToGrid w:val="0"/>
        </w:rPr>
        <w:t xml:space="preserve"> analysis agent.</w:t>
      </w:r>
    </w:p>
    <w:p>
      <w:pPr>
        <w:pStyle w:val="Footnotesection"/>
      </w:pPr>
      <w:r>
        <w:tab/>
        <w:t>[Regulation 27 amended in Gazette 24 Dec 1982 p. 4907; 9 Aug 1991 p. 4113; 13 Sep 1996 p. 4569; 7 Apr 2000 p. 1822</w:t>
      </w:r>
      <w:r>
        <w:noBreakHyphen/>
        <w:t xml:space="preserve">3.] </w:t>
      </w:r>
    </w:p>
    <w:p>
      <w:pPr>
        <w:pStyle w:val="Heading5"/>
        <w:rPr>
          <w:snapToGrid w:val="0"/>
        </w:rPr>
      </w:pPr>
      <w:bookmarkStart w:id="85" w:name="_Toc378327238"/>
      <w:bookmarkStart w:id="86" w:name="_Toc427933496"/>
      <w:r>
        <w:rPr>
          <w:rStyle w:val="CharSectno"/>
        </w:rPr>
        <w:t>28</w:t>
      </w:r>
      <w:r>
        <w:rPr>
          <w:snapToGrid w:val="0"/>
        </w:rPr>
        <w:t>.</w:t>
      </w:r>
      <w:r>
        <w:rPr>
          <w:snapToGrid w:val="0"/>
        </w:rPr>
        <w:tab/>
        <w:t>Admissibility of analyst’s certificate</w:t>
      </w:r>
      <w:bookmarkEnd w:id="85"/>
      <w:bookmarkEnd w:id="86"/>
      <w:r>
        <w:rPr>
          <w:snapToGrid w:val="0"/>
        </w:rPr>
        <w:t xml:space="preserve"> </w:t>
      </w:r>
    </w:p>
    <w:p>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pPr>
        <w:pStyle w:val="Heading5"/>
        <w:rPr>
          <w:snapToGrid w:val="0"/>
        </w:rPr>
      </w:pPr>
      <w:bookmarkStart w:id="87" w:name="_Toc378327239"/>
      <w:bookmarkStart w:id="88" w:name="_Toc427933497"/>
      <w:r>
        <w:rPr>
          <w:rStyle w:val="CharSectno"/>
        </w:rPr>
        <w:t>28A</w:t>
      </w:r>
      <w:r>
        <w:rPr>
          <w:snapToGrid w:val="0"/>
        </w:rPr>
        <w:t>.</w:t>
      </w:r>
      <w:r>
        <w:rPr>
          <w:snapToGrid w:val="0"/>
        </w:rPr>
        <w:tab/>
        <w:t>Approval of analysis agent</w:t>
      </w:r>
      <w:bookmarkEnd w:id="87"/>
      <w:bookmarkEnd w:id="88"/>
      <w:r>
        <w:rPr>
          <w:snapToGrid w:val="0"/>
        </w:rPr>
        <w:t xml:space="preserve"> </w:t>
      </w:r>
    </w:p>
    <w:p>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pPr>
        <w:pStyle w:val="Footnotesection"/>
      </w:pPr>
      <w:r>
        <w:tab/>
        <w:t xml:space="preserve">[Regulation 28A inserted in Gazette 13 Sep 1996 p. 4570; amended in Gazette 7 Apr 2000 p. 1823; 9 May 2008 p. 1845.] </w:t>
      </w:r>
    </w:p>
    <w:p>
      <w:pPr>
        <w:pStyle w:val="Heading5"/>
        <w:rPr>
          <w:snapToGrid w:val="0"/>
        </w:rPr>
      </w:pPr>
      <w:bookmarkStart w:id="89" w:name="_Toc378327240"/>
      <w:bookmarkStart w:id="90" w:name="_Toc427933498"/>
      <w:r>
        <w:rPr>
          <w:rStyle w:val="CharSectno"/>
        </w:rPr>
        <w:t>29</w:t>
      </w:r>
      <w:r>
        <w:rPr>
          <w:snapToGrid w:val="0"/>
        </w:rPr>
        <w:t>.</w:t>
      </w:r>
      <w:r>
        <w:rPr>
          <w:snapToGrid w:val="0"/>
        </w:rPr>
        <w:tab/>
        <w:t>Admissibility of results of breath tests</w:t>
      </w:r>
      <w:bookmarkEnd w:id="89"/>
      <w:bookmarkEnd w:id="90"/>
      <w:r>
        <w:rPr>
          <w:snapToGrid w:val="0"/>
        </w:rPr>
        <w:t xml:space="preserve"> </w:t>
      </w:r>
    </w:p>
    <w:p>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pPr>
        <w:pStyle w:val="Footnotesection"/>
      </w:pPr>
      <w:r>
        <w:tab/>
        <w:t xml:space="preserve">[Regulation 29 inserted in Gazette 27 Mar 1992 p. 1343; amended in Gazette 7 Apr 2000 p. 1823.] </w:t>
      </w:r>
    </w:p>
    <w:p>
      <w:pPr>
        <w:pStyle w:val="Heading2"/>
      </w:pPr>
      <w:bookmarkStart w:id="91" w:name="_Toc427922971"/>
      <w:bookmarkStart w:id="92" w:name="_Toc427933499"/>
      <w:bookmarkStart w:id="93" w:name="_Toc378327241"/>
      <w:bookmarkStart w:id="94" w:name="_Toc424112456"/>
      <w:r>
        <w:rPr>
          <w:rStyle w:val="CharPartNo"/>
        </w:rPr>
        <w:t>Part IV</w:t>
      </w:r>
      <w:r>
        <w:rPr>
          <w:rStyle w:val="CharDivNo"/>
        </w:rPr>
        <w:t> </w:t>
      </w:r>
      <w:r>
        <w:t>—</w:t>
      </w:r>
      <w:r>
        <w:rPr>
          <w:rStyle w:val="CharDivText"/>
        </w:rPr>
        <w:t> </w:t>
      </w:r>
      <w:r>
        <w:rPr>
          <w:rStyle w:val="CharPartText"/>
        </w:rPr>
        <w:t>Removal of prison officers</w:t>
      </w:r>
      <w:bookmarkEnd w:id="91"/>
      <w:bookmarkEnd w:id="92"/>
    </w:p>
    <w:p>
      <w:pPr>
        <w:pStyle w:val="Footnoteheading"/>
      </w:pPr>
      <w:r>
        <w:tab/>
        <w:t xml:space="preserve">[Heading inserted in Gazette 21 Aug 2015 p. 3317.] </w:t>
      </w:r>
    </w:p>
    <w:p>
      <w:pPr>
        <w:pStyle w:val="Heading5"/>
      </w:pPr>
      <w:bookmarkStart w:id="95" w:name="_Toc427933500"/>
      <w:r>
        <w:rPr>
          <w:rStyle w:val="CharSectno"/>
        </w:rPr>
        <w:t>30</w:t>
      </w:r>
      <w:r>
        <w:t>.</w:t>
      </w:r>
      <w:r>
        <w:tab/>
        <w:t>Terms used</w:t>
      </w:r>
      <w:bookmarkEnd w:id="95"/>
      <w:r>
        <w:t xml:space="preserve"> </w:t>
      </w:r>
    </w:p>
    <w:p>
      <w:pPr>
        <w:pStyle w:val="Subsection"/>
        <w:rPr>
          <w:b/>
          <w:i/>
        </w:rPr>
      </w:pPr>
      <w:r>
        <w:tab/>
      </w:r>
      <w:r>
        <w:tab/>
        <w:t>In this Part, unless the contrary intention appears —</w:t>
      </w:r>
    </w:p>
    <w:p>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pPr>
        <w:pStyle w:val="Defstart"/>
      </w:pPr>
      <w:r>
        <w:rPr>
          <w:b/>
          <w:i/>
        </w:rPr>
        <w:tab/>
      </w:r>
      <w:r>
        <w:rPr>
          <w:rStyle w:val="CharDefText"/>
        </w:rPr>
        <w:t>notice</w:t>
      </w:r>
      <w:r>
        <w:t xml:space="preserve"> means a notice given under section 102(1) of the Act;</w:t>
      </w:r>
    </w:p>
    <w:p>
      <w:pPr>
        <w:pStyle w:val="Defstart"/>
      </w:pPr>
      <w:r>
        <w:tab/>
      </w:r>
      <w:r>
        <w:rPr>
          <w:rStyle w:val="CharDefText"/>
        </w:rPr>
        <w:t>prison officer</w:t>
      </w:r>
      <w:r>
        <w:t xml:space="preserve"> has the same meaning as in Part X Division 3 of the Act;</w:t>
      </w:r>
    </w:p>
    <w:p>
      <w:pPr>
        <w:pStyle w:val="Defstart"/>
      </w:pPr>
      <w:r>
        <w:tab/>
      </w:r>
      <w:r>
        <w:rPr>
          <w:rStyle w:val="CharDefText"/>
        </w:rPr>
        <w:t>privilege</w:t>
      </w:r>
      <w:r>
        <w:t xml:space="preserve"> means — </w:t>
      </w:r>
    </w:p>
    <w:p>
      <w:pPr>
        <w:pStyle w:val="Defpara"/>
      </w:pPr>
      <w:r>
        <w:tab/>
        <w:t>(a)</w:t>
      </w:r>
      <w:r>
        <w:tab/>
        <w:t>a privilege that would attach to a document prepared for the purpose of pending or contemplated legal proceedings or in connection with the obtaining or giving of legal advice; or</w:t>
      </w:r>
    </w:p>
    <w:p>
      <w:pPr>
        <w:pStyle w:val="Defpara"/>
      </w:pPr>
      <w:r>
        <w:tab/>
        <w:t>(b)</w:t>
      </w:r>
      <w:r>
        <w:tab/>
        <w:t>immunity from production of a document or any material where the production would be against the public interest; or</w:t>
      </w:r>
    </w:p>
    <w:p>
      <w:pPr>
        <w:pStyle w:val="Defpara"/>
      </w:pPr>
      <w:r>
        <w:tab/>
        <w:t>(c)</w:t>
      </w:r>
      <w:r>
        <w:tab/>
        <w:t>immunity from production of a document or any material under a written law;</w:t>
      </w:r>
    </w:p>
    <w:p>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pPr>
        <w:pStyle w:val="Defstart"/>
      </w:pPr>
      <w:r>
        <w:tab/>
      </w:r>
      <w:r>
        <w:rPr>
          <w:rStyle w:val="CharDefText"/>
        </w:rPr>
        <w:t>removal action</w:t>
      </w:r>
      <w:r>
        <w:rPr>
          <w:b/>
          <w:i/>
        </w:rPr>
        <w:t xml:space="preserve"> </w:t>
      </w:r>
      <w:r>
        <w:t>has the meaning given in section 101 of the Act;</w:t>
      </w:r>
    </w:p>
    <w:p>
      <w:pPr>
        <w:pStyle w:val="Defstart"/>
      </w:pPr>
      <w:r>
        <w:tab/>
      </w:r>
      <w:r>
        <w:rPr>
          <w:rStyle w:val="CharDefText"/>
        </w:rPr>
        <w:t>review officer</w:t>
      </w:r>
      <w:r>
        <w:t xml:space="preserve"> means a person appointed under regulation 32A;</w:t>
      </w:r>
    </w:p>
    <w:p>
      <w:pPr>
        <w:pStyle w:val="Defstart"/>
      </w:pPr>
      <w:r>
        <w:tab/>
      </w:r>
      <w:r>
        <w:rPr>
          <w:rStyle w:val="CharDefText"/>
        </w:rPr>
        <w:t>submission period</w:t>
      </w:r>
      <w:r>
        <w:rPr>
          <w:b/>
          <w:i/>
        </w:rPr>
        <w:t xml:space="preserve"> </w:t>
      </w:r>
      <w:r>
        <w:t>has the meaning given in section 102(2) of the Act;</w:t>
      </w:r>
    </w:p>
    <w:p>
      <w:pPr>
        <w:pStyle w:val="Defstart"/>
      </w:pPr>
      <w:r>
        <w:tab/>
      </w:r>
      <w:r>
        <w:rPr>
          <w:rStyle w:val="CharDefText"/>
        </w:rPr>
        <w:t>suitability to continue as a prison officer</w:t>
      </w:r>
      <w:r>
        <w:t xml:space="preserve"> has the meaning given in section 99 of the Act; </w:t>
      </w:r>
    </w:p>
    <w:p>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pPr>
        <w:pStyle w:val="Footnotesection"/>
      </w:pPr>
      <w:r>
        <w:tab/>
        <w:t>[Regulation 30 inserted in Gazette 21 Aug 2015 p. 3317</w:t>
      </w:r>
      <w:r>
        <w:noBreakHyphen/>
        <w:t xml:space="preserve">18.] </w:t>
      </w:r>
    </w:p>
    <w:p>
      <w:pPr>
        <w:pStyle w:val="Heading5"/>
      </w:pPr>
      <w:bookmarkStart w:id="96" w:name="_Toc427933501"/>
      <w:r>
        <w:rPr>
          <w:rStyle w:val="CharSectno"/>
        </w:rPr>
        <w:t>31</w:t>
      </w:r>
      <w:r>
        <w:t>.</w:t>
      </w:r>
      <w:r>
        <w:tab/>
        <w:t>Application of this Part</w:t>
      </w:r>
      <w:bookmarkEnd w:id="96"/>
    </w:p>
    <w:p>
      <w:pPr>
        <w:pStyle w:val="Subsection"/>
      </w:pPr>
      <w:r>
        <w:tab/>
      </w:r>
      <w:r>
        <w:tab/>
        <w:t xml:space="preserve">This Part applies if, under Part X Division 3 of the Act, the chief executive officer — </w:t>
      </w:r>
    </w:p>
    <w:p>
      <w:pPr>
        <w:pStyle w:val="Indenta"/>
      </w:pPr>
      <w:r>
        <w:tab/>
        <w:t>(a)</w:t>
      </w:r>
      <w:r>
        <w:tab/>
        <w:t>is contemplating taking removal action; or</w:t>
      </w:r>
    </w:p>
    <w:p>
      <w:pPr>
        <w:pStyle w:val="Indenta"/>
      </w:pPr>
      <w:r>
        <w:tab/>
        <w:t>(b)</w:t>
      </w:r>
      <w:r>
        <w:tab/>
        <w:t xml:space="preserve">has decided to take removal action; or  </w:t>
      </w:r>
    </w:p>
    <w:p>
      <w:pPr>
        <w:pStyle w:val="Indenta"/>
      </w:pPr>
      <w:r>
        <w:tab/>
        <w:t>(c)</w:t>
      </w:r>
      <w:r>
        <w:tab/>
        <w:t xml:space="preserve">has taken removal action. </w:t>
      </w:r>
    </w:p>
    <w:p>
      <w:pPr>
        <w:pStyle w:val="Footnotesection"/>
      </w:pPr>
      <w:r>
        <w:tab/>
        <w:t xml:space="preserve">[Regulation 31 inserted in Gazette 21 Aug 2015 p. 3318.] </w:t>
      </w:r>
    </w:p>
    <w:p>
      <w:pPr>
        <w:pStyle w:val="Heading5"/>
      </w:pPr>
      <w:bookmarkStart w:id="97" w:name="_Toc427933502"/>
      <w:r>
        <w:rPr>
          <w:rStyle w:val="CharSectno"/>
        </w:rPr>
        <w:t>32A</w:t>
      </w:r>
      <w:r>
        <w:t>.</w:t>
      </w:r>
      <w:r>
        <w:tab/>
        <w:t>Appointment of review officer</w:t>
      </w:r>
      <w:bookmarkEnd w:id="97"/>
    </w:p>
    <w:p>
      <w:pPr>
        <w:pStyle w:val="Subsection"/>
      </w:pPr>
      <w:r>
        <w:tab/>
        <w:t>(1)</w:t>
      </w:r>
      <w:r>
        <w:tab/>
        <w:t>If the chief executive officer is contemplating taking removal action in relation to a prison officer, the chief executive officer may appoint a review officer in relation to that prison officer.</w:t>
      </w:r>
    </w:p>
    <w:p>
      <w:pPr>
        <w:pStyle w:val="Subsection"/>
      </w:pPr>
      <w:r>
        <w:tab/>
        <w:t>(2)</w:t>
      </w:r>
      <w:r>
        <w:tab/>
        <w:t xml:space="preserve">A person must not be appointed as a review officer in relation to a prison officer if that person has been directly involved in — </w:t>
      </w:r>
    </w:p>
    <w:p>
      <w:pPr>
        <w:pStyle w:val="Indenta"/>
      </w:pPr>
      <w:r>
        <w:tab/>
        <w:t>(a)</w:t>
      </w:r>
      <w:r>
        <w:tab/>
        <w:t>a previous investigation that resulted in information being supplied to the chief executive officer regarding that prison officer’s suitability to continue as a prison officer; or</w:t>
      </w:r>
    </w:p>
    <w:p>
      <w:pPr>
        <w:pStyle w:val="Indenta"/>
      </w:pPr>
      <w:r>
        <w:tab/>
        <w:t>(b)</w:t>
      </w:r>
      <w:r>
        <w:tab/>
        <w:t xml:space="preserve">a previous investigation of a suspected breach of discipline by that prison officer that resulted in — </w:t>
      </w:r>
    </w:p>
    <w:p>
      <w:pPr>
        <w:pStyle w:val="Indenti"/>
      </w:pPr>
      <w:r>
        <w:tab/>
        <w:t>(i)</w:t>
      </w:r>
      <w:r>
        <w:tab/>
        <w:t xml:space="preserve">a decision under the </w:t>
      </w:r>
      <w:r>
        <w:rPr>
          <w:i/>
        </w:rPr>
        <w:t>Public Sector Management Act 1994</w:t>
      </w:r>
      <w:r>
        <w:t xml:space="preserve"> section 81(1)(a); and</w:t>
      </w:r>
    </w:p>
    <w:p>
      <w:pPr>
        <w:pStyle w:val="Indenti"/>
      </w:pPr>
      <w:r>
        <w:tab/>
        <w:t>(ii)</w:t>
      </w:r>
      <w:r>
        <w:tab/>
        <w:t xml:space="preserve">disciplinary action as defined in section 80A of that Act; </w:t>
      </w:r>
    </w:p>
    <w:p>
      <w:pPr>
        <w:pStyle w:val="Indenta"/>
      </w:pPr>
      <w:r>
        <w:tab/>
      </w:r>
      <w:r>
        <w:tab/>
        <w:t>or</w:t>
      </w:r>
    </w:p>
    <w:p>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pPr>
        <w:pStyle w:val="Indenta"/>
      </w:pPr>
      <w:r>
        <w:tab/>
        <w:t>(d)</w:t>
      </w:r>
      <w:r>
        <w:tab/>
        <w:t>any decision-making relating to an investigation referred to in paragraph (a), (b) or (c).</w:t>
      </w:r>
    </w:p>
    <w:p>
      <w:pPr>
        <w:pStyle w:val="Footnotesection"/>
      </w:pPr>
      <w:r>
        <w:tab/>
        <w:t>[Regulation 32A inserted in Gazette 21 Aug 2015 p. 3318</w:t>
      </w:r>
      <w:r>
        <w:noBreakHyphen/>
        <w:t xml:space="preserve">19.] </w:t>
      </w:r>
    </w:p>
    <w:p>
      <w:pPr>
        <w:pStyle w:val="Heading5"/>
      </w:pPr>
      <w:bookmarkStart w:id="98" w:name="_Toc427933503"/>
      <w:r>
        <w:rPr>
          <w:rStyle w:val="CharSectno"/>
        </w:rPr>
        <w:t>32B</w:t>
      </w:r>
      <w:r>
        <w:t>.</w:t>
      </w:r>
      <w:r>
        <w:tab/>
        <w:t>Role of review officer</w:t>
      </w:r>
      <w:bookmarkEnd w:id="98"/>
    </w:p>
    <w:p>
      <w:pPr>
        <w:pStyle w:val="Subsection"/>
      </w:pPr>
      <w:r>
        <w:tab/>
        <w:t>(1)</w:t>
      </w:r>
      <w:r>
        <w:tab/>
        <w:t>The review officer must conduct an investigation into the prison officer referred to in regulation 32A(1) and prepare —</w:t>
      </w:r>
    </w:p>
    <w:p>
      <w:pPr>
        <w:pStyle w:val="Indenta"/>
      </w:pPr>
      <w:r>
        <w:tab/>
        <w:t>(a)</w:t>
      </w:r>
      <w:r>
        <w:tab/>
        <w:t>a summary of investigation; and</w:t>
      </w:r>
    </w:p>
    <w:p>
      <w:pPr>
        <w:pStyle w:val="Indenta"/>
      </w:pPr>
      <w:r>
        <w:tab/>
        <w:t>(b)</w:t>
      </w:r>
      <w:r>
        <w:tab/>
        <w:t>an inspection list.</w:t>
      </w:r>
    </w:p>
    <w:p>
      <w:pPr>
        <w:pStyle w:val="Subsection"/>
      </w:pPr>
      <w:r>
        <w:tab/>
        <w:t>(2)</w:t>
      </w:r>
      <w:r>
        <w:tab/>
        <w:t>The review officer must identify in the inspection list any document in respect of which privilege is claimed and state in that inspection list each ground on which the privilege is claimed.</w:t>
      </w:r>
    </w:p>
    <w:p>
      <w:pPr>
        <w:pStyle w:val="Subsection"/>
      </w:pPr>
      <w:r>
        <w:tab/>
        <w:t>(3)</w:t>
      </w:r>
      <w:r>
        <w:tab/>
        <w:t>The review officer is subject to the direction of the chief executive officer in conducting the investigation and preparing the summary of investigation and inspection list.</w:t>
      </w:r>
    </w:p>
    <w:p>
      <w:pPr>
        <w:pStyle w:val="Footnotesection"/>
      </w:pPr>
      <w:r>
        <w:tab/>
        <w:t xml:space="preserve">[Regulation 32B inserted in Gazette 21 Aug 2015 p. 3319.] </w:t>
      </w:r>
    </w:p>
    <w:p>
      <w:pPr>
        <w:pStyle w:val="Heading5"/>
      </w:pPr>
      <w:bookmarkStart w:id="99" w:name="_Toc427933504"/>
      <w:r>
        <w:rPr>
          <w:rStyle w:val="CharSectno"/>
        </w:rPr>
        <w:t>32C</w:t>
      </w:r>
      <w:r>
        <w:t>.</w:t>
      </w:r>
      <w:r>
        <w:tab/>
        <w:t>Provision of material to chief executive officer</w:t>
      </w:r>
      <w:bookmarkEnd w:id="99"/>
    </w:p>
    <w:p>
      <w:pPr>
        <w:pStyle w:val="Subsection"/>
      </w:pPr>
      <w:r>
        <w:tab/>
        <w:t>(1)</w:t>
      </w:r>
      <w:r>
        <w:tab/>
        <w:t>When the review officer completes the investigation, the review officer must provide the chief executive officer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considers appropriate.</w:t>
      </w:r>
    </w:p>
    <w:p>
      <w:pPr>
        <w:pStyle w:val="Subsection"/>
      </w:pPr>
      <w:r>
        <w:tab/>
        <w:t>(2)</w:t>
      </w:r>
      <w:r>
        <w:tab/>
        <w:t>Before the chief executive officer decides whether or not to give a notice, the chief executive officer may cause further material, including written reports, to be provided to the chief executive officer.</w:t>
      </w:r>
    </w:p>
    <w:p>
      <w:pPr>
        <w:pStyle w:val="Subsection"/>
      </w:pPr>
      <w:r>
        <w:tab/>
        <w:t>(3)</w:t>
      </w:r>
      <w:r>
        <w:tab/>
        <w:t xml:space="preserve">The chief executive officer may direct the review officer to — </w:t>
      </w:r>
    </w:p>
    <w:p>
      <w:pPr>
        <w:pStyle w:val="Indenta"/>
      </w:pPr>
      <w:r>
        <w:tab/>
        <w:t>(a)</w:t>
      </w:r>
      <w:r>
        <w:tab/>
        <w:t xml:space="preserve">conduct a further investigation in accordance with regulation 32B and subregulation (1); and </w:t>
      </w:r>
    </w:p>
    <w:p>
      <w:pPr>
        <w:pStyle w:val="Indenta"/>
      </w:pPr>
      <w:r>
        <w:tab/>
        <w:t>(b)</w:t>
      </w:r>
      <w:r>
        <w:tab/>
        <w:t xml:space="preserve">prepare and submit to the chief executive officer — </w:t>
      </w:r>
    </w:p>
    <w:p>
      <w:pPr>
        <w:pStyle w:val="Indenti"/>
      </w:pPr>
      <w:r>
        <w:tab/>
        <w:t>(i)</w:t>
      </w:r>
      <w:r>
        <w:tab/>
        <w:t xml:space="preserve">a supplementary summary of investigation; and </w:t>
      </w:r>
    </w:p>
    <w:p>
      <w:pPr>
        <w:pStyle w:val="Indenti"/>
      </w:pPr>
      <w:r>
        <w:tab/>
        <w:t>(ii)</w:t>
      </w:r>
      <w:r>
        <w:tab/>
        <w:t>a supplementary inspection list.</w:t>
      </w:r>
    </w:p>
    <w:p>
      <w:pPr>
        <w:pStyle w:val="Subsection"/>
      </w:pPr>
      <w:r>
        <w:tab/>
        <w:t>(4)</w:t>
      </w:r>
      <w:r>
        <w:tab/>
        <w:t>The chief executive officer’s direction may include a direction as to the matters to be investigated and included in the supplementary summary of investigation.</w:t>
      </w:r>
    </w:p>
    <w:p>
      <w:pPr>
        <w:pStyle w:val="Footnotesection"/>
      </w:pPr>
      <w:r>
        <w:tab/>
        <w:t>[Regulation 32C inserted in Gazette 21 Aug 2015 p. 3319</w:t>
      </w:r>
      <w:r>
        <w:noBreakHyphen/>
        <w:t xml:space="preserve">20.] </w:t>
      </w:r>
    </w:p>
    <w:p>
      <w:pPr>
        <w:pStyle w:val="Heading5"/>
      </w:pPr>
      <w:bookmarkStart w:id="100" w:name="_Toc427933505"/>
      <w:r>
        <w:rPr>
          <w:rStyle w:val="CharSectno"/>
        </w:rPr>
        <w:t>32D</w:t>
      </w:r>
      <w:r>
        <w:t>.</w:t>
      </w:r>
      <w:r>
        <w:tab/>
        <w:t>Notice of loss of confidence</w:t>
      </w:r>
      <w:bookmarkEnd w:id="100"/>
    </w:p>
    <w:p>
      <w:pPr>
        <w:pStyle w:val="Subsection"/>
      </w:pPr>
      <w:r>
        <w:tab/>
        <w:t>(1)</w:t>
      </w:r>
      <w:r>
        <w:tab/>
        <w:t>In addition to the grounds to be set out under section 102(1) of the Act, a notice must —</w:t>
      </w:r>
    </w:p>
    <w:p>
      <w:pPr>
        <w:pStyle w:val="Indenta"/>
      </w:pPr>
      <w:r>
        <w:tab/>
        <w:t>(a)</w:t>
      </w:r>
      <w:r>
        <w:tab/>
        <w:t>set out the particular conduct or behaviour on which the chief executive officer’s loss of confidence is based; and</w:t>
      </w:r>
    </w:p>
    <w:p>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pPr>
        <w:pStyle w:val="Indenta"/>
      </w:pPr>
      <w:r>
        <w:tab/>
        <w:t>(a)</w:t>
      </w:r>
      <w:r>
        <w:tab/>
        <w:t>any summary of investigation and any supplementary summary of investigation;</w:t>
      </w:r>
    </w:p>
    <w:p>
      <w:pPr>
        <w:pStyle w:val="Indenta"/>
      </w:pPr>
      <w:r>
        <w:tab/>
        <w:t>(b)</w:t>
      </w:r>
      <w:r>
        <w:tab/>
        <w:t>any inspection list and any supplementary inspection list;</w:t>
      </w:r>
    </w:p>
    <w:p>
      <w:pPr>
        <w:pStyle w:val="Indenta"/>
      </w:pPr>
      <w:r>
        <w:tab/>
        <w:t>(c)</w:t>
      </w:r>
      <w:r>
        <w:tab/>
        <w:t>any document examined and taken into account in deciding to give the notice.</w:t>
      </w:r>
    </w:p>
    <w:p>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pPr>
        <w:pStyle w:val="Subsection"/>
      </w:pPr>
      <w:r>
        <w:tab/>
        <w:t>(4)</w:t>
      </w:r>
      <w:r>
        <w:tab/>
        <w:t>Subregulations (2) and (3) do not apply to any document or material that is privileged.</w:t>
      </w:r>
    </w:p>
    <w:p>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pPr>
        <w:pStyle w:val="Footnotesection"/>
      </w:pPr>
      <w:r>
        <w:tab/>
        <w:t xml:space="preserve">[Regulation 32D inserted in Gazette 21 Aug 2015 p. 3320.] </w:t>
      </w:r>
    </w:p>
    <w:p>
      <w:pPr>
        <w:pStyle w:val="Heading5"/>
      </w:pPr>
      <w:bookmarkStart w:id="101" w:name="_Toc427933506"/>
      <w:r>
        <w:rPr>
          <w:rStyle w:val="CharSectno"/>
        </w:rPr>
        <w:t>32E</w:t>
      </w:r>
      <w:r>
        <w:t>.</w:t>
      </w:r>
      <w:r>
        <w:tab/>
        <w:t>Access to material</w:t>
      </w:r>
      <w:bookmarkEnd w:id="101"/>
    </w:p>
    <w:p>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pPr>
        <w:pStyle w:val="Indenta"/>
      </w:pPr>
      <w:r>
        <w:tab/>
        <w:t>(a)</w:t>
      </w:r>
      <w:r>
        <w:tab/>
        <w:t>the prison officer has seen or created in the course of his or her duties as a prison officer; and</w:t>
      </w:r>
    </w:p>
    <w:p>
      <w:pPr>
        <w:pStyle w:val="Indenta"/>
      </w:pPr>
      <w:r>
        <w:tab/>
        <w:t>(b)</w:t>
      </w:r>
      <w:r>
        <w:tab/>
        <w:t>is relevant to any issue concerning the prison officer referred to in the notice.</w:t>
      </w:r>
    </w:p>
    <w:p>
      <w:pPr>
        <w:pStyle w:val="Subsection"/>
      </w:pPr>
      <w:r>
        <w:tab/>
        <w:t>(3)</w:t>
      </w:r>
      <w:r>
        <w:tab/>
        <w:t>The request must be made as soon as practicable after, and in any event within 14 days after, the day on which the prison officer was given the notice.</w:t>
      </w:r>
    </w:p>
    <w:p>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pPr>
        <w:pStyle w:val="Footnotesection"/>
      </w:pPr>
      <w:r>
        <w:tab/>
        <w:t xml:space="preserve">[Regulation 32E inserted in Gazette 21 Aug 2015 p. 3321.] </w:t>
      </w:r>
    </w:p>
    <w:p>
      <w:pPr>
        <w:pStyle w:val="Heading5"/>
      </w:pPr>
      <w:bookmarkStart w:id="102" w:name="_Toc427933507"/>
      <w:r>
        <w:rPr>
          <w:rStyle w:val="CharSectno"/>
        </w:rPr>
        <w:t>32F</w:t>
      </w:r>
      <w:r>
        <w:t>.</w:t>
      </w:r>
      <w:r>
        <w:tab/>
        <w:t>Chief executive officer’s assessment of prison officer’s submissions</w:t>
      </w:r>
      <w:bookmarkEnd w:id="102"/>
    </w:p>
    <w:p>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pPr>
        <w:pStyle w:val="Subsection"/>
      </w:pPr>
      <w:r>
        <w:tab/>
        <w:t>(4)</w:t>
      </w:r>
      <w:r>
        <w:tab/>
        <w:t>If the further investigation or analysis cannot be completed within the period referred to in subregulation (3), the chief executive officer must give the prison officer a notice stating —</w:t>
      </w:r>
    </w:p>
    <w:p>
      <w:pPr>
        <w:pStyle w:val="Indenta"/>
      </w:pPr>
      <w:r>
        <w:tab/>
        <w:t>(a)</w:t>
      </w:r>
      <w:r>
        <w:tab/>
        <w:t>the reason for the further investigation or analysis; and</w:t>
      </w:r>
    </w:p>
    <w:p>
      <w:pPr>
        <w:pStyle w:val="Indenta"/>
      </w:pPr>
      <w:r>
        <w:tab/>
        <w:t>(b)</w:t>
      </w:r>
      <w:r>
        <w:tab/>
        <w:t>the time period required to complete the further investigation or analysis; and</w:t>
      </w:r>
    </w:p>
    <w:p>
      <w:pPr>
        <w:pStyle w:val="Indenta"/>
      </w:pPr>
      <w:r>
        <w:tab/>
        <w:t>(c)</w:t>
      </w:r>
      <w:r>
        <w:tab/>
        <w:t>the reason for the need for that time period.</w:t>
      </w:r>
    </w:p>
    <w:p>
      <w:pPr>
        <w:pStyle w:val="Subsection"/>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pPr>
        <w:pStyle w:val="Footnotesection"/>
      </w:pPr>
      <w:r>
        <w:tab/>
        <w:t>[Regulation 32F inserted in Gazette 21 Aug 2015 p. 3321</w:t>
      </w:r>
      <w:r>
        <w:noBreakHyphen/>
        <w:t xml:space="preserve">2.] </w:t>
      </w:r>
    </w:p>
    <w:p>
      <w:pPr>
        <w:pStyle w:val="Heading5"/>
      </w:pPr>
      <w:bookmarkStart w:id="103" w:name="_Toc427933508"/>
      <w:r>
        <w:rPr>
          <w:rStyle w:val="CharSectno"/>
        </w:rPr>
        <w:t>32G</w:t>
      </w:r>
      <w:r>
        <w:t>.</w:t>
      </w:r>
      <w:r>
        <w:tab/>
        <w:t>Further ground for removal</w:t>
      </w:r>
      <w:bookmarkEnd w:id="103"/>
      <w:r>
        <w:t xml:space="preserve"> </w:t>
      </w:r>
    </w:p>
    <w:p>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pPr>
        <w:pStyle w:val="Indenta"/>
      </w:pPr>
      <w:r>
        <w:tab/>
        <w:t>(a)</w:t>
      </w:r>
      <w:r>
        <w:tab/>
        <w:t>give the prison officer notice in writing of the further ground; and</w:t>
      </w:r>
    </w:p>
    <w:p>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pPr>
        <w:pStyle w:val="Indenti"/>
      </w:pPr>
      <w:r>
        <w:tab/>
        <w:t>(i)</w:t>
      </w:r>
      <w:r>
        <w:tab/>
        <w:t>a copy of a document already given to the prison officer or any material already made available for inspection by the prison officer under this Part; and</w:t>
      </w:r>
    </w:p>
    <w:p>
      <w:pPr>
        <w:pStyle w:val="Indenti"/>
      </w:pPr>
      <w:r>
        <w:tab/>
        <w:t>(ii)</w:t>
      </w:r>
      <w:r>
        <w:tab/>
        <w:t>a privileged document or material;</w:t>
      </w:r>
    </w:p>
    <w:p>
      <w:pPr>
        <w:pStyle w:val="Indenta"/>
      </w:pPr>
      <w:r>
        <w:tab/>
      </w:r>
      <w:r>
        <w:tab/>
        <w:t>and</w:t>
      </w:r>
    </w:p>
    <w:p>
      <w:pPr>
        <w:pStyle w:val="Indenta"/>
      </w:pPr>
      <w:r>
        <w:tab/>
        <w:t>(c)</w:t>
      </w:r>
      <w:r>
        <w:tab/>
        <w:t>allow the prison officer a specified period to provide a response to the further ground.</w:t>
      </w:r>
    </w:p>
    <w:p>
      <w:pPr>
        <w:pStyle w:val="Subsection"/>
      </w:pPr>
      <w:r>
        <w:tab/>
        <w:t>(2)</w:t>
      </w:r>
      <w:r>
        <w:tab/>
        <w:t>For the purpose of subregulation (1)(c), the specified period is —</w:t>
      </w:r>
    </w:p>
    <w:p>
      <w:pPr>
        <w:pStyle w:val="Indenta"/>
      </w:pPr>
      <w:r>
        <w:tab/>
        <w:t>(a)</w:t>
      </w:r>
      <w:r>
        <w:tab/>
        <w:t xml:space="preserve">a period of 21 days beginning on the later of the following days —  </w:t>
      </w:r>
    </w:p>
    <w:p>
      <w:pPr>
        <w:pStyle w:val="Indenti"/>
      </w:pPr>
      <w:r>
        <w:tab/>
        <w:t>(i)</w:t>
      </w:r>
      <w:r>
        <w:tab/>
        <w:t xml:space="preserve">the day on which the prison officer is given the notice of the further ground; </w:t>
      </w:r>
    </w:p>
    <w:p>
      <w:pPr>
        <w:pStyle w:val="Indenti"/>
      </w:pPr>
      <w:r>
        <w:tab/>
        <w:t>(ii)</w:t>
      </w:r>
      <w:r>
        <w:tab/>
        <w:t xml:space="preserve">the day on which the prison officer is provided with copies of all of the documents required to be provided under subregulation (1)(b); </w:t>
      </w:r>
    </w:p>
    <w:p>
      <w:pPr>
        <w:pStyle w:val="Indenti"/>
      </w:pPr>
      <w:r>
        <w:tab/>
        <w:t>(iii)</w:t>
      </w:r>
      <w:r>
        <w:tab/>
        <w:t>the day on which all material required to be made available has been made available to the prison officer for inspection under subregulation (1)(b);</w:t>
      </w:r>
    </w:p>
    <w:p>
      <w:pPr>
        <w:pStyle w:val="Indenta"/>
      </w:pPr>
      <w:r>
        <w:tab/>
      </w:r>
      <w:r>
        <w:tab/>
        <w:t>or</w:t>
      </w:r>
    </w:p>
    <w:p>
      <w:pPr>
        <w:pStyle w:val="Indenta"/>
      </w:pPr>
      <w:r>
        <w:tab/>
        <w:t>(b)</w:t>
      </w:r>
      <w:r>
        <w:tab/>
        <w:t xml:space="preserve">any longer period approved by the chief executive officer before the end of the period referred to in paragraph (a), on — </w:t>
      </w:r>
    </w:p>
    <w:p>
      <w:pPr>
        <w:pStyle w:val="Indenti"/>
      </w:pPr>
      <w:r>
        <w:tab/>
        <w:t>(i)</w:t>
      </w:r>
      <w:r>
        <w:tab/>
        <w:t xml:space="preserve">an application made by the prison officer; or </w:t>
      </w:r>
    </w:p>
    <w:p>
      <w:pPr>
        <w:pStyle w:val="Indenti"/>
      </w:pPr>
      <w:r>
        <w:tab/>
        <w:t>(ii)</w:t>
      </w:r>
      <w:r>
        <w:tab/>
        <w:t>the initiative of the chief executive officer.</w:t>
      </w:r>
    </w:p>
    <w:p>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[Regulation 32G inserted in Gazette 21 Aug 2015 p. 3322</w:t>
      </w:r>
      <w:r>
        <w:noBreakHyphen/>
        <w:t xml:space="preserve">3.] </w:t>
      </w:r>
    </w:p>
    <w:p>
      <w:pPr>
        <w:pStyle w:val="Heading5"/>
      </w:pPr>
      <w:bookmarkStart w:id="104" w:name="_Toc427933509"/>
      <w:r>
        <w:rPr>
          <w:rStyle w:val="CharSectno"/>
        </w:rPr>
        <w:t>32H</w:t>
      </w:r>
      <w:r>
        <w:t>.</w:t>
      </w:r>
      <w:r>
        <w:tab/>
        <w:t>Notice of chief executive officer’s decision on removal action and material relied on</w:t>
      </w:r>
      <w:bookmarkEnd w:id="104"/>
      <w:r>
        <w:t xml:space="preserve"> </w:t>
      </w:r>
    </w:p>
    <w:p>
      <w:pPr>
        <w:pStyle w:val="Subsection"/>
      </w:pPr>
      <w:r>
        <w:tab/>
        <w:t>(1)</w:t>
      </w:r>
      <w:r>
        <w:tab/>
        <w:t>As far as practicable, a decision notice as defined in section 102(3)(b) of the Act must be given to the prison officer within 7 days after the chief executive officer has decided to take removal action.</w:t>
      </w:r>
    </w:p>
    <w:p>
      <w:pPr>
        <w:pStyle w:val="Subsection"/>
      </w:pPr>
      <w:r>
        <w:tab/>
        <w:t>(2)</w:t>
      </w:r>
      <w:r>
        <w:tab/>
        <w:t>The chief executive officer is not required to comply with section 102(6) of the Act to the extent that —</w:t>
      </w:r>
    </w:p>
    <w:p>
      <w:pPr>
        <w:pStyle w:val="Indenta"/>
      </w:pPr>
      <w:r>
        <w:tab/>
        <w:t>(a)</w:t>
      </w:r>
      <w:r>
        <w:tab/>
        <w:t>the chief executive officer has already provided the prison officer with a copy of the document or made available to the prison officer for inspection any other material under this Part; or</w:t>
      </w:r>
    </w:p>
    <w:p>
      <w:pPr>
        <w:pStyle w:val="Indenta"/>
      </w:pPr>
      <w:r>
        <w:tab/>
        <w:t>(b)</w:t>
      </w:r>
      <w:r>
        <w:tab/>
        <w:t>the document or material is privileged.</w:t>
      </w:r>
    </w:p>
    <w:p>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pPr>
        <w:pStyle w:val="Subsection"/>
      </w:pPr>
      <w:r>
        <w:tab/>
        <w:t>(4)</w:t>
      </w:r>
      <w:r>
        <w:tab/>
        <w:t>Subregulation (3) does not apply if the chief executive officer has already advised the prison officer under this Part of each ground on which the document or material is privileged.</w:t>
      </w:r>
    </w:p>
    <w:p>
      <w:pPr>
        <w:pStyle w:val="Footnotesection"/>
      </w:pPr>
      <w:r>
        <w:tab/>
        <w:t xml:space="preserve">[Regulation 32H inserted in Gazette 21 Aug 2015 p. 3323.] </w:t>
      </w:r>
    </w:p>
    <w:p>
      <w:pPr>
        <w:pStyle w:val="Heading5"/>
      </w:pPr>
      <w:bookmarkStart w:id="105" w:name="_Toc427933510"/>
      <w:r>
        <w:rPr>
          <w:rStyle w:val="CharSectno"/>
        </w:rPr>
        <w:t>32I</w:t>
      </w:r>
      <w:r>
        <w:t>.</w:t>
      </w:r>
      <w:r>
        <w:tab/>
        <w:t>Service of notices or documents</w:t>
      </w:r>
      <w:bookmarkEnd w:id="105"/>
    </w:p>
    <w:p>
      <w:pPr>
        <w:pStyle w:val="Subsection"/>
      </w:pPr>
      <w:r>
        <w:tab/>
        <w:t>(1)</w:t>
      </w:r>
      <w:r>
        <w:tab/>
        <w:t>If a notice or document is required to be given to a prison officer under Part X Division 3 of the Act or this Part, service may be effected on the prison officer —</w:t>
      </w:r>
    </w:p>
    <w:p>
      <w:pPr>
        <w:pStyle w:val="Indenta"/>
      </w:pPr>
      <w:r>
        <w:tab/>
        <w:t>(a)</w:t>
      </w:r>
      <w:r>
        <w:tab/>
        <w:t>by delivering it to the prison officer personally; or</w:t>
      </w:r>
    </w:p>
    <w:p>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pPr>
        <w:pStyle w:val="Indenta"/>
      </w:pPr>
      <w:r>
        <w:tab/>
        <w:t>(c)</w:t>
      </w:r>
      <w:r>
        <w:tab/>
        <w:t>by leaving it for the prison officer at the prison officer’s usual or last known residential address; or</w:t>
      </w:r>
    </w:p>
    <w:p>
      <w:pPr>
        <w:pStyle w:val="Indenta"/>
      </w:pPr>
      <w:r>
        <w:tab/>
        <w:t>(d)</w:t>
      </w:r>
      <w:r>
        <w:tab/>
        <w:t>by leaving it for the prison officer at an address for service given by the prison officer in writing to the chief executive officer.</w:t>
      </w:r>
    </w:p>
    <w:p>
      <w:pPr>
        <w:pStyle w:val="Subsection"/>
      </w:pPr>
      <w:r>
        <w:tab/>
        <w:t>(2)</w:t>
      </w:r>
      <w:r>
        <w:tab/>
        <w:t>Service under subregulation (1) is to be taken to be effected —</w:t>
      </w:r>
    </w:p>
    <w:p>
      <w:pPr>
        <w:pStyle w:val="Indenta"/>
      </w:pPr>
      <w:r>
        <w:tab/>
        <w:t>(a)</w:t>
      </w:r>
      <w:r>
        <w:tab/>
        <w:t>in the case of service under subregulation (1)(a), at the time of delivery to the prison officer;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residential address; or</w:t>
      </w:r>
    </w:p>
    <w:p>
      <w:pPr>
        <w:pStyle w:val="Indenta"/>
      </w:pPr>
      <w:r>
        <w:tab/>
        <w:t>(d)</w:t>
      </w:r>
      <w:r>
        <w:tab/>
        <w:t>in the case of service under subregulation (1)(d), at the time it is left at the address given to the chief executive officer.</w:t>
      </w:r>
    </w:p>
    <w:p>
      <w:pPr>
        <w:pStyle w:val="Footnotesection"/>
      </w:pPr>
      <w:r>
        <w:tab/>
        <w:t xml:space="preserve">[Regulation 32I inserted in Gazette 21 Aug 2015 p. 3324.] </w:t>
      </w:r>
    </w:p>
    <w:p>
      <w:pPr>
        <w:pStyle w:val="Heading5"/>
      </w:pPr>
      <w:bookmarkStart w:id="106" w:name="_Toc427933511"/>
      <w:r>
        <w:rPr>
          <w:rStyle w:val="CharSectno"/>
        </w:rPr>
        <w:t>32J</w:t>
      </w:r>
      <w:r>
        <w:t>.</w:t>
      </w:r>
      <w:r>
        <w:tab/>
        <w:t>Application</w:t>
      </w:r>
      <w:bookmarkEnd w:id="106"/>
      <w:r>
        <w:t xml:space="preserve"> </w:t>
      </w:r>
    </w:p>
    <w:p>
      <w:pPr>
        <w:pStyle w:val="Subsection"/>
      </w:pPr>
      <w:r>
        <w:tab/>
      </w:r>
      <w:r>
        <w:tab/>
        <w:t>Regulations 31 to 32H do not apply where a prison officer is discharged under regulation 5.</w:t>
      </w:r>
    </w:p>
    <w:p>
      <w:pPr>
        <w:pStyle w:val="Footnotesection"/>
      </w:pPr>
      <w:r>
        <w:tab/>
        <w:t xml:space="preserve">[Regulation 32J inserted in Gazette 21 Aug 2015 p. 3324.] </w:t>
      </w:r>
    </w:p>
    <w:p>
      <w:pPr>
        <w:pStyle w:val="Heading5"/>
      </w:pPr>
      <w:bookmarkStart w:id="107" w:name="_Toc427933512"/>
      <w:r>
        <w:rPr>
          <w:rStyle w:val="CharSectno"/>
        </w:rPr>
        <w:t>32K</w:t>
      </w:r>
      <w:r>
        <w:t>.</w:t>
      </w:r>
      <w:r>
        <w:tab/>
        <w:t>Restriction on suspending prison officer’s pay</w:t>
      </w:r>
      <w:bookmarkEnd w:id="107"/>
    </w:p>
    <w:p>
      <w:pPr>
        <w:pStyle w:val="Subsection"/>
      </w:pPr>
      <w:r>
        <w:tab/>
      </w:r>
      <w:r>
        <w:tab/>
        <w:t>During any period in which consideration is being given to a prison officer’s suitability to continue as a prison officer, the chief executive officer cannot suspend the prison officer’s pay.</w:t>
      </w:r>
    </w:p>
    <w:p>
      <w:pPr>
        <w:pStyle w:val="Footnotesection"/>
      </w:pPr>
      <w:r>
        <w:tab/>
        <w:t xml:space="preserve">[Regulation 32K inserted in Gazette 21 Aug 2015 p. 3324.] </w:t>
      </w:r>
    </w:p>
    <w:p>
      <w:pPr>
        <w:pStyle w:val="Heading2"/>
      </w:pPr>
      <w:bookmarkStart w:id="108" w:name="_Toc378327244"/>
      <w:bookmarkStart w:id="109" w:name="_Toc424112459"/>
      <w:bookmarkStart w:id="110" w:name="_Toc427922985"/>
      <w:bookmarkStart w:id="111" w:name="_Toc427933513"/>
      <w:bookmarkEnd w:id="93"/>
      <w:bookmarkEnd w:id="94"/>
      <w:r>
        <w:rPr>
          <w:rStyle w:val="CharPartNo"/>
        </w:rPr>
        <w:t>Part V</w:t>
      </w:r>
      <w:r>
        <w:t> — </w:t>
      </w:r>
      <w:r>
        <w:rPr>
          <w:rStyle w:val="CharPartText"/>
        </w:rPr>
        <w:t>Prisoners — management provisions</w:t>
      </w:r>
      <w:bookmarkEnd w:id="108"/>
      <w:bookmarkEnd w:id="109"/>
      <w:bookmarkEnd w:id="110"/>
      <w:bookmarkEnd w:id="111"/>
      <w:r>
        <w:rPr>
          <w:rStyle w:val="CharPartText"/>
        </w:rPr>
        <w:t xml:space="preserve"> </w:t>
      </w:r>
    </w:p>
    <w:p>
      <w:pPr>
        <w:pStyle w:val="Heading3"/>
      </w:pPr>
      <w:bookmarkStart w:id="112" w:name="_Toc378327245"/>
      <w:bookmarkStart w:id="113" w:name="_Toc424112460"/>
      <w:bookmarkStart w:id="114" w:name="_Toc427922986"/>
      <w:bookmarkStart w:id="115" w:name="_Toc427933514"/>
      <w:r>
        <w:rPr>
          <w:rStyle w:val="CharDivNo"/>
        </w:rPr>
        <w:t>Division 1</w:t>
      </w:r>
      <w:r>
        <w:t> — </w:t>
      </w:r>
      <w:r>
        <w:rPr>
          <w:rStyle w:val="CharDivText"/>
        </w:rPr>
        <w:t>Prisoner property</w:t>
      </w:r>
      <w:bookmarkEnd w:id="112"/>
      <w:bookmarkEnd w:id="113"/>
      <w:bookmarkEnd w:id="114"/>
      <w:bookmarkEnd w:id="115"/>
    </w:p>
    <w:p>
      <w:pPr>
        <w:pStyle w:val="Footnoteheading"/>
      </w:pPr>
      <w:r>
        <w:tab/>
        <w:t>[Heading inserted in Gazette 3 Apr 2007 p. 1495.]</w:t>
      </w:r>
    </w:p>
    <w:p>
      <w:pPr>
        <w:pStyle w:val="Heading5"/>
        <w:rPr>
          <w:snapToGrid w:val="0"/>
        </w:rPr>
      </w:pPr>
      <w:bookmarkStart w:id="116" w:name="_Toc378327246"/>
      <w:bookmarkStart w:id="117" w:name="_Toc427933515"/>
      <w:r>
        <w:rPr>
          <w:rStyle w:val="CharSectno"/>
        </w:rPr>
        <w:t>32</w:t>
      </w:r>
      <w:r>
        <w:rPr>
          <w:snapToGrid w:val="0"/>
        </w:rPr>
        <w:t>.</w:t>
      </w:r>
      <w:r>
        <w:rPr>
          <w:snapToGrid w:val="0"/>
        </w:rPr>
        <w:tab/>
        <w:t>Prison clothing</w:t>
      </w:r>
      <w:bookmarkEnd w:id="116"/>
      <w:bookmarkEnd w:id="117"/>
      <w:r>
        <w:rPr>
          <w:snapToGrid w:val="0"/>
        </w:rPr>
        <w:t xml:space="preserve"> </w:t>
      </w:r>
    </w:p>
    <w:p>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pPr>
        <w:pStyle w:val="Heading5"/>
        <w:rPr>
          <w:snapToGrid w:val="0"/>
        </w:rPr>
      </w:pPr>
      <w:bookmarkStart w:id="118" w:name="_Toc378327247"/>
      <w:bookmarkStart w:id="119" w:name="_Toc427933516"/>
      <w:r>
        <w:rPr>
          <w:rStyle w:val="CharSectno"/>
        </w:rPr>
        <w:t>33</w:t>
      </w:r>
      <w:r>
        <w:rPr>
          <w:snapToGrid w:val="0"/>
        </w:rPr>
        <w:t>.</w:t>
      </w:r>
      <w:r>
        <w:rPr>
          <w:snapToGrid w:val="0"/>
        </w:rPr>
        <w:tab/>
        <w:t>Clothing during absence from prison</w:t>
      </w:r>
      <w:bookmarkEnd w:id="118"/>
      <w:bookmarkEnd w:id="119"/>
      <w:r>
        <w:rPr>
          <w:snapToGrid w:val="0"/>
        </w:rPr>
        <w:t xml:space="preserve"> </w:t>
      </w:r>
    </w:p>
    <w:p>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pPr>
        <w:pStyle w:val="Footnotesection"/>
      </w:pPr>
      <w:r>
        <w:tab/>
        <w:t>[Regulation 33 amended in Gazette 3 Apr 2007 p. 1495.]</w:t>
      </w:r>
    </w:p>
    <w:p>
      <w:pPr>
        <w:pStyle w:val="Heading5"/>
        <w:rPr>
          <w:snapToGrid w:val="0"/>
        </w:rPr>
      </w:pPr>
      <w:bookmarkStart w:id="120" w:name="_Toc378327248"/>
      <w:bookmarkStart w:id="121" w:name="_Toc427933517"/>
      <w:r>
        <w:rPr>
          <w:rStyle w:val="CharSectno"/>
        </w:rPr>
        <w:t>34</w:t>
      </w:r>
      <w:r>
        <w:rPr>
          <w:snapToGrid w:val="0"/>
        </w:rPr>
        <w:t>.</w:t>
      </w:r>
      <w:r>
        <w:rPr>
          <w:snapToGrid w:val="0"/>
        </w:rPr>
        <w:tab/>
        <w:t>Clothing on discharge</w:t>
      </w:r>
      <w:bookmarkEnd w:id="120"/>
      <w:bookmarkEnd w:id="121"/>
      <w:r>
        <w:rPr>
          <w:snapToGrid w:val="0"/>
        </w:rPr>
        <w:t xml:space="preserve"> </w:t>
      </w:r>
    </w:p>
    <w:p>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pPr>
        <w:pStyle w:val="Footnotesection"/>
      </w:pPr>
      <w:r>
        <w:tab/>
        <w:t xml:space="preserve">[Regulation 34 amended in Gazette 11 Dec 1987 p. 4369; 2 Nov 1999 p. 5475.] </w:t>
      </w:r>
    </w:p>
    <w:p>
      <w:pPr>
        <w:pStyle w:val="Heading5"/>
        <w:rPr>
          <w:snapToGrid w:val="0"/>
        </w:rPr>
      </w:pPr>
      <w:bookmarkStart w:id="122" w:name="_Toc378327249"/>
      <w:bookmarkStart w:id="123" w:name="_Toc427933518"/>
      <w:r>
        <w:rPr>
          <w:rStyle w:val="CharSectno"/>
        </w:rPr>
        <w:t>35</w:t>
      </w:r>
      <w:r>
        <w:rPr>
          <w:snapToGrid w:val="0"/>
        </w:rPr>
        <w:t>.</w:t>
      </w:r>
      <w:r>
        <w:rPr>
          <w:snapToGrid w:val="0"/>
        </w:rPr>
        <w:tab/>
        <w:t>Prisoner’s property</w:t>
      </w:r>
      <w:bookmarkEnd w:id="122"/>
      <w:bookmarkEnd w:id="123"/>
      <w:r>
        <w:rPr>
          <w:snapToGrid w:val="0"/>
        </w:rPr>
        <w:t xml:space="preserve"> </w:t>
      </w:r>
    </w:p>
    <w:p>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pPr>
        <w:pStyle w:val="Footnotesection"/>
      </w:pPr>
      <w:r>
        <w:tab/>
        <w:t>[Regulation 35 amended in Gazette 11 Feb 2003 p. 413.]</w:t>
      </w:r>
    </w:p>
    <w:p>
      <w:pPr>
        <w:pStyle w:val="Heading5"/>
        <w:rPr>
          <w:snapToGrid w:val="0"/>
        </w:rPr>
      </w:pPr>
      <w:bookmarkStart w:id="124" w:name="_Toc378327250"/>
      <w:bookmarkStart w:id="125" w:name="_Toc427933519"/>
      <w:r>
        <w:rPr>
          <w:rStyle w:val="CharSectno"/>
        </w:rPr>
        <w:t>36</w:t>
      </w:r>
      <w:r>
        <w:rPr>
          <w:snapToGrid w:val="0"/>
        </w:rPr>
        <w:t>.</w:t>
      </w:r>
      <w:r>
        <w:rPr>
          <w:snapToGrid w:val="0"/>
        </w:rPr>
        <w:tab/>
        <w:t>Safekeeping of prisoner’s property</w:t>
      </w:r>
      <w:bookmarkEnd w:id="124"/>
      <w:bookmarkEnd w:id="125"/>
      <w:r>
        <w:rPr>
          <w:snapToGrid w:val="0"/>
        </w:rPr>
        <w:t xml:space="preserve"> </w:t>
      </w:r>
    </w:p>
    <w:p>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pPr>
        <w:pStyle w:val="Subsection"/>
        <w:rPr>
          <w:snapToGrid w:val="0"/>
        </w:rPr>
      </w:pPr>
      <w:r>
        <w:rPr>
          <w:snapToGrid w:val="0"/>
        </w:rPr>
        <w:tab/>
        <w:t>(2)</w:t>
      </w:r>
      <w:r>
        <w:rPr>
          <w:snapToGrid w:val="0"/>
        </w:rPr>
        <w:tab/>
        <w:t>Any property retained at the prison on behalf of a prisoner shall be kept in safe keeping.</w:t>
      </w:r>
    </w:p>
    <w:p>
      <w:pPr>
        <w:pStyle w:val="Subsection"/>
        <w:rPr>
          <w:snapToGrid w:val="0"/>
        </w:rPr>
      </w:pPr>
      <w:r>
        <w:rPr>
          <w:snapToGrid w:val="0"/>
        </w:rPr>
        <w:tab/>
        <w:t>(3)</w:t>
      </w:r>
      <w:r>
        <w:rPr>
          <w:snapToGrid w:val="0"/>
        </w:rPr>
        <w:tab/>
        <w:t>The property of the prisoner shall be made available to that prisoner on his release or as soon as practicable thereafter.</w:t>
      </w:r>
    </w:p>
    <w:p>
      <w:pPr>
        <w:pStyle w:val="Ednotesubsection"/>
      </w:pPr>
      <w:r>
        <w:tab/>
        <w:t>[(4)</w:t>
      </w:r>
      <w:r>
        <w:tab/>
        <w:t>deleted]</w:t>
      </w:r>
    </w:p>
    <w:p>
      <w:pPr>
        <w:pStyle w:val="Subsection"/>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pPr>
        <w:pStyle w:val="Footnotesection"/>
      </w:pPr>
      <w:r>
        <w:tab/>
        <w:t>[Regulation 36 amended in Gazette 11 Feb 2003 p. 413</w:t>
      </w:r>
      <w:r>
        <w:noBreakHyphen/>
        <w:t>14.]</w:t>
      </w:r>
    </w:p>
    <w:p>
      <w:pPr>
        <w:pStyle w:val="Heading5"/>
      </w:pPr>
      <w:bookmarkStart w:id="126" w:name="_Toc378327251"/>
      <w:bookmarkStart w:id="127" w:name="_Toc427933520"/>
      <w:r>
        <w:rPr>
          <w:rStyle w:val="CharSectno"/>
        </w:rPr>
        <w:t>36A</w:t>
      </w:r>
      <w:r>
        <w:t>.</w:t>
      </w:r>
      <w:r>
        <w:tab/>
        <w:t>Prisoner’s property brought by other people</w:t>
      </w:r>
      <w:bookmarkEnd w:id="126"/>
      <w:bookmarkEnd w:id="127"/>
    </w:p>
    <w:p>
      <w:pPr>
        <w:pStyle w:val="Subsection"/>
        <w:spacing w:before="200"/>
      </w:pPr>
      <w:r>
        <w:tab/>
        <w:t>(1)</w:t>
      </w:r>
      <w:r>
        <w:tab/>
        <w:t>A person who brings to a prison any property to be delivered to a prisoner, shall surrender the property to the superintendent upon arrival at the prison.</w:t>
      </w:r>
    </w:p>
    <w:p>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pPr>
        <w:pStyle w:val="Footnotesection"/>
      </w:pPr>
      <w:r>
        <w:tab/>
        <w:t>[Regulation 36A inserted in Gazette 11 Feb 2003 p. 414.]</w:t>
      </w:r>
    </w:p>
    <w:p>
      <w:pPr>
        <w:pStyle w:val="Heading5"/>
      </w:pPr>
      <w:bookmarkStart w:id="128" w:name="_Toc378327252"/>
      <w:bookmarkStart w:id="129" w:name="_Toc427933521"/>
      <w:r>
        <w:rPr>
          <w:rStyle w:val="CharSectno"/>
        </w:rPr>
        <w:t>36B</w:t>
      </w:r>
      <w:r>
        <w:t>.</w:t>
      </w:r>
      <w:r>
        <w:tab/>
        <w:t>Refusing to store property</w:t>
      </w:r>
      <w:bookmarkEnd w:id="128"/>
      <w:bookmarkEnd w:id="129"/>
    </w:p>
    <w:p>
      <w:pPr>
        <w:pStyle w:val="Subsection"/>
        <w:spacing w:before="200"/>
      </w:pPr>
      <w:r>
        <w:tab/>
        <w:t>(1)</w:t>
      </w:r>
      <w:r>
        <w:tab/>
        <w:t xml:space="preserve">A superintendent may, at any time — </w:t>
      </w:r>
    </w:p>
    <w:p>
      <w:pPr>
        <w:pStyle w:val="Indenta"/>
      </w:pPr>
      <w:r>
        <w:tab/>
        <w:t>(a)</w:t>
      </w:r>
      <w:r>
        <w:tab/>
        <w:t>refuse to store, at a prison, any or all of a prisoner’s property; or</w:t>
      </w:r>
    </w:p>
    <w:p>
      <w:pPr>
        <w:pStyle w:val="Indenta"/>
      </w:pPr>
      <w:r>
        <w:tab/>
        <w:t>(b)</w:t>
      </w:r>
      <w:r>
        <w:tab/>
        <w:t>decide to stop storing, at a prison, any or all of a prisoner’s property,</w:t>
      </w:r>
    </w:p>
    <w:p>
      <w:pPr>
        <w:pStyle w:val="Subsection"/>
      </w:pPr>
      <w:r>
        <w:tab/>
      </w:r>
      <w:r>
        <w:tab/>
        <w:t>in accordance with any directions issued by the chief executive officer.</w:t>
      </w:r>
    </w:p>
    <w:p>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pPr>
        <w:pStyle w:val="Subsection"/>
        <w:spacing w:before="200"/>
      </w:pPr>
      <w:r>
        <w:tab/>
        <w:t>(3)</w:t>
      </w:r>
      <w:r>
        <w:tab/>
        <w:t xml:space="preserve">If, under subregulation (1) or (2), a superintendent refuses to store a prisoner’s property, or decides to stop storing a prisoner’s property, the superintendent is to — </w:t>
      </w:r>
    </w:p>
    <w:p>
      <w:pPr>
        <w:pStyle w:val="Indenta"/>
      </w:pPr>
      <w:r>
        <w:tab/>
        <w:t>(a)</w:t>
      </w:r>
      <w:r>
        <w:tab/>
        <w:t>inform the prisoner, in writing, that the property is not, or is no longer, going to be stored at the prison; and</w:t>
      </w:r>
    </w:p>
    <w:p>
      <w:pPr>
        <w:pStyle w:val="Indenta"/>
      </w:pPr>
      <w:r>
        <w:tab/>
        <w:t>(b)</w:t>
      </w:r>
      <w:r>
        <w:tab/>
        <w:t>request the prisoner, in writing, to make arrangements to have the property removed within a time specified in that request.</w:t>
      </w:r>
    </w:p>
    <w:p>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pPr>
        <w:pStyle w:val="Subsection"/>
        <w:spacing w:before="200"/>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36B inserted in Gazette 11 Feb 2003 p. 414</w:t>
      </w:r>
      <w:r>
        <w:noBreakHyphen/>
        <w:t>15.]</w:t>
      </w:r>
    </w:p>
    <w:p>
      <w:pPr>
        <w:pStyle w:val="Heading5"/>
      </w:pPr>
      <w:bookmarkStart w:id="130" w:name="_Toc378327253"/>
      <w:bookmarkStart w:id="131" w:name="_Toc427933522"/>
      <w:r>
        <w:rPr>
          <w:rStyle w:val="CharSectno"/>
        </w:rPr>
        <w:t>36C</w:t>
      </w:r>
      <w:r>
        <w:t>.</w:t>
      </w:r>
      <w:r>
        <w:tab/>
        <w:t>Release of property</w:t>
      </w:r>
      <w:bookmarkEnd w:id="130"/>
      <w:bookmarkEnd w:id="131"/>
    </w:p>
    <w:p>
      <w:pPr>
        <w:pStyle w:val="Subsection"/>
        <w:spacing w:before="200"/>
      </w:pPr>
      <w:r>
        <w:tab/>
        <w:t>(1)</w:t>
      </w:r>
      <w:r>
        <w:tab/>
        <w:t>A superintendent may release to a prisoner, or to a person nominated in writing by that prisoner, all or any of the prisoner’s property stored at the prison.</w:t>
      </w:r>
    </w:p>
    <w:p>
      <w:pPr>
        <w:pStyle w:val="Subsection"/>
        <w:spacing w:before="200"/>
      </w:pPr>
      <w:r>
        <w:tab/>
        <w:t>(2)</w:t>
      </w:r>
      <w:r>
        <w:tab/>
        <w:t>Property shall not be released to a prisoner’s nominee, unless that nominee signs an acknowledgment of the receipt of the property at the time the property is released.</w:t>
      </w:r>
    </w:p>
    <w:p>
      <w:pPr>
        <w:pStyle w:val="Footnotesection"/>
      </w:pPr>
      <w:r>
        <w:tab/>
        <w:t>[Regulation 36C inserted in Gazette 11 Feb 2003 p. 415.]</w:t>
      </w:r>
    </w:p>
    <w:p>
      <w:pPr>
        <w:pStyle w:val="Heading5"/>
      </w:pPr>
      <w:bookmarkStart w:id="132" w:name="_Toc378327254"/>
      <w:bookmarkStart w:id="133" w:name="_Toc427933523"/>
      <w:r>
        <w:rPr>
          <w:rStyle w:val="CharSectno"/>
        </w:rPr>
        <w:t>36D</w:t>
      </w:r>
      <w:r>
        <w:t>.</w:t>
      </w:r>
      <w:r>
        <w:tab/>
        <w:t>Transfer of property between prisons</w:t>
      </w:r>
      <w:bookmarkEnd w:id="132"/>
      <w:bookmarkEnd w:id="133"/>
    </w:p>
    <w:p>
      <w:pPr>
        <w:pStyle w:val="Subsection"/>
        <w:spacing w:before="200"/>
      </w:pPr>
      <w:r>
        <w:tab/>
        <w:t>(1)</w:t>
      </w:r>
      <w:r>
        <w:tab/>
        <w:t>The chief executive officer may issue a direction specifying the maximum amount of a prisoner’s property that can be transferred with the prisoner from one prison to another.</w:t>
      </w:r>
    </w:p>
    <w:p>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pPr>
        <w:pStyle w:val="Indenta"/>
      </w:pPr>
      <w:r>
        <w:tab/>
        <w:t>(a)</w:t>
      </w:r>
      <w:r>
        <w:tab/>
        <w:t>inform the prisoner, in writing, that not all the property can be transferred with the prisoner because it exceeds the allowed maximum; and</w:t>
      </w:r>
    </w:p>
    <w:p>
      <w:pPr>
        <w:pStyle w:val="Indenta"/>
        <w:keepNext/>
      </w:pPr>
      <w:r>
        <w:tab/>
        <w:t>(b)</w:t>
      </w:r>
      <w:r>
        <w:tab/>
        <w:t xml:space="preserve">request the prisoner, in writing, — </w:t>
      </w:r>
    </w:p>
    <w:p>
      <w:pPr>
        <w:pStyle w:val="Indenti"/>
      </w:pPr>
      <w:r>
        <w:tab/>
        <w:t>(i)</w:t>
      </w:r>
      <w:r>
        <w:tab/>
        <w:t>to nominate the items of property that are not to be transferred with the prisoner; and</w:t>
      </w:r>
    </w:p>
    <w:p>
      <w:pPr>
        <w:pStyle w:val="Indenti"/>
      </w:pPr>
      <w:r>
        <w:tab/>
        <w:t>(ii)</w:t>
      </w:r>
      <w:r>
        <w:tab/>
        <w:t>to arrange for those items to be removed within a time specified in that request.</w:t>
      </w:r>
    </w:p>
    <w:p>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pPr>
        <w:pStyle w:val="Subsection"/>
      </w:pPr>
      <w:r>
        <w:tab/>
        <w:t>(5)</w:t>
      </w:r>
      <w:r>
        <w:tab/>
        <w:t xml:space="preserve">The superintendent shall ensure that — </w:t>
      </w:r>
    </w:p>
    <w:p>
      <w:pPr>
        <w:pStyle w:val="Indenta"/>
      </w:pPr>
      <w:r>
        <w:tab/>
        <w:t>(a)</w:t>
      </w:r>
      <w:r>
        <w:tab/>
        <w:t>the disposal of a prisoner’s property under subregulation (4) is recorded in the inventory of the prisoner’s property; and</w:t>
      </w:r>
    </w:p>
    <w:p>
      <w:pPr>
        <w:pStyle w:val="Indenta"/>
      </w:pPr>
      <w:r>
        <w:tab/>
        <w:t>(b)</w:t>
      </w:r>
      <w:r>
        <w:tab/>
        <w:t>if the disposal is by way of public auction, the net proceeds from the sale of that property are credited to the prisoner’s account.</w:t>
      </w:r>
    </w:p>
    <w:p>
      <w:pPr>
        <w:pStyle w:val="Footnotesection"/>
      </w:pPr>
      <w:r>
        <w:tab/>
        <w:t>[Regulation 36D inserted in Gazette 11 Feb 2003 p. 415</w:t>
      </w:r>
      <w:r>
        <w:noBreakHyphen/>
        <w:t>16.]</w:t>
      </w:r>
    </w:p>
    <w:p>
      <w:pPr>
        <w:pStyle w:val="Heading5"/>
        <w:rPr>
          <w:snapToGrid w:val="0"/>
        </w:rPr>
      </w:pPr>
      <w:bookmarkStart w:id="134" w:name="_Toc378327255"/>
      <w:bookmarkStart w:id="135" w:name="_Toc427933524"/>
      <w:r>
        <w:rPr>
          <w:rStyle w:val="CharSectno"/>
        </w:rPr>
        <w:t>37</w:t>
      </w:r>
      <w:r>
        <w:rPr>
          <w:snapToGrid w:val="0"/>
        </w:rPr>
        <w:t>.</w:t>
      </w:r>
      <w:r>
        <w:rPr>
          <w:snapToGrid w:val="0"/>
        </w:rPr>
        <w:tab/>
        <w:t>Disposal of unclaimed property</w:t>
      </w:r>
      <w:bookmarkEnd w:id="134"/>
      <w:bookmarkEnd w:id="135"/>
      <w:r>
        <w:rPr>
          <w:snapToGrid w:val="0"/>
        </w:rPr>
        <w:t xml:space="preserve"> </w:t>
      </w:r>
    </w:p>
    <w:p>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pPr>
        <w:pStyle w:val="Indenta"/>
        <w:rPr>
          <w:snapToGrid w:val="0"/>
        </w:rPr>
      </w:pPr>
      <w:r>
        <w:rPr>
          <w:snapToGrid w:val="0"/>
        </w:rPr>
        <w:tab/>
        <w:t>(a)</w:t>
      </w:r>
      <w:r>
        <w:rPr>
          <w:snapToGrid w:val="0"/>
        </w:rPr>
        <w:tab/>
        <w:t>sold at a public auction;</w:t>
      </w:r>
    </w:p>
    <w:p>
      <w:pPr>
        <w:pStyle w:val="Indenta"/>
        <w:rPr>
          <w:snapToGrid w:val="0"/>
        </w:rPr>
      </w:pPr>
      <w:r>
        <w:rPr>
          <w:snapToGrid w:val="0"/>
        </w:rPr>
        <w:tab/>
        <w:t>(b)</w:t>
      </w:r>
      <w:r>
        <w:rPr>
          <w:snapToGrid w:val="0"/>
        </w:rPr>
        <w:tab/>
        <w:t xml:space="preserve">given to an association incorporated under the </w:t>
      </w:r>
      <w:r>
        <w:rPr>
          <w:i/>
          <w:iCs/>
        </w:rPr>
        <w:t>Associations Incorporation Act 1987</w:t>
      </w:r>
      <w:r>
        <w:t xml:space="preserve">; </w:t>
      </w:r>
      <w:r>
        <w:rPr>
          <w:snapToGrid w:val="0"/>
        </w:rPr>
        <w:t>or</w:t>
      </w:r>
    </w:p>
    <w:p>
      <w:pPr>
        <w:pStyle w:val="Indenta"/>
        <w:rPr>
          <w:snapToGrid w:val="0"/>
        </w:rPr>
      </w:pPr>
      <w:r>
        <w:rPr>
          <w:snapToGrid w:val="0"/>
        </w:rPr>
        <w:tab/>
        <w:t>(c)</w:t>
      </w:r>
      <w:r>
        <w:rPr>
          <w:snapToGrid w:val="0"/>
        </w:rPr>
        <w:tab/>
        <w:t>destroyed or otherwise disposed of.</w:t>
      </w:r>
    </w:p>
    <w:p>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pPr>
        <w:pStyle w:val="Footnotesection"/>
      </w:pPr>
      <w:r>
        <w:tab/>
        <w:t xml:space="preserve">[Regulation 37 amended in Gazette 11 Dec 1987 p. 4369; 2 Nov 1999 p. 5475; 11 Feb 2003 p. 416; 9 May 2008 p. 1844.] </w:t>
      </w:r>
    </w:p>
    <w:p>
      <w:pPr>
        <w:pStyle w:val="Heading3"/>
      </w:pPr>
      <w:bookmarkStart w:id="136" w:name="_Toc378327256"/>
      <w:bookmarkStart w:id="137" w:name="_Toc424112471"/>
      <w:bookmarkStart w:id="138" w:name="_Toc427922997"/>
      <w:bookmarkStart w:id="139" w:name="_Toc427933525"/>
      <w:r>
        <w:rPr>
          <w:rStyle w:val="CharDivNo"/>
        </w:rPr>
        <w:t>Division 2</w:t>
      </w:r>
      <w:r>
        <w:t> — </w:t>
      </w:r>
      <w:r>
        <w:rPr>
          <w:rStyle w:val="CharDivText"/>
        </w:rPr>
        <w:t>Prisoner records</w:t>
      </w:r>
      <w:bookmarkEnd w:id="136"/>
      <w:bookmarkEnd w:id="137"/>
      <w:bookmarkEnd w:id="138"/>
      <w:bookmarkEnd w:id="139"/>
    </w:p>
    <w:p>
      <w:pPr>
        <w:pStyle w:val="Footnoteheading"/>
      </w:pPr>
      <w:r>
        <w:tab/>
        <w:t>[Heading inserted in Gazette 3 Apr 2007 p. 1495.]</w:t>
      </w:r>
    </w:p>
    <w:p>
      <w:pPr>
        <w:pStyle w:val="Heading5"/>
        <w:rPr>
          <w:snapToGrid w:val="0"/>
        </w:rPr>
      </w:pPr>
      <w:bookmarkStart w:id="140" w:name="_Toc378327257"/>
      <w:bookmarkStart w:id="141" w:name="_Toc427933526"/>
      <w:r>
        <w:rPr>
          <w:rStyle w:val="CharSectno"/>
        </w:rPr>
        <w:t>38</w:t>
      </w:r>
      <w:r>
        <w:rPr>
          <w:snapToGrid w:val="0"/>
        </w:rPr>
        <w:t>.</w:t>
      </w:r>
      <w:r>
        <w:rPr>
          <w:snapToGrid w:val="0"/>
        </w:rPr>
        <w:tab/>
        <w:t>Recording of prisoners’ particulars</w:t>
      </w:r>
      <w:bookmarkEnd w:id="140"/>
      <w:bookmarkEnd w:id="141"/>
      <w:r>
        <w:rPr>
          <w:snapToGrid w:val="0"/>
        </w:rPr>
        <w:t xml:space="preserve"> </w:t>
      </w:r>
    </w:p>
    <w:p>
      <w:pPr>
        <w:pStyle w:val="Subsection"/>
        <w:rPr>
          <w:snapToGrid w:val="0"/>
        </w:rPr>
      </w:pPr>
      <w:r>
        <w:rPr>
          <w:snapToGrid w:val="0"/>
        </w:rPr>
        <w:tab/>
        <w:t>(1)</w:t>
      </w:r>
      <w:r>
        <w:rPr>
          <w:snapToGrid w:val="0"/>
        </w:rPr>
        <w:tab/>
        <w:t>Upon his admission to prison and at any other time which the superintendent considers necessary — </w:t>
      </w:r>
    </w:p>
    <w:p>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pPr>
        <w:pStyle w:val="Subsection"/>
        <w:spacing w:before="200"/>
      </w:pPr>
      <w:r>
        <w:tab/>
        <w:t>(1b)</w:t>
      </w:r>
      <w:r>
        <w:tab/>
        <w:t>A record of the prisoner’s name kept under subregulation (1)(a) may be changed at any time if the superintendent considers that such change is necessary.</w:t>
      </w:r>
    </w:p>
    <w:p>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pPr>
        <w:pStyle w:val="Footnotesection"/>
      </w:pPr>
      <w:r>
        <w:tab/>
        <w:t>[Regulation 38 amended in Gazette 12 Apr 2001 p. 2099; 14 Sep 2004 p. 4057.]</w:t>
      </w:r>
    </w:p>
    <w:p>
      <w:pPr>
        <w:pStyle w:val="Heading5"/>
        <w:rPr>
          <w:snapToGrid w:val="0"/>
        </w:rPr>
      </w:pPr>
      <w:bookmarkStart w:id="142" w:name="_Toc378327258"/>
      <w:bookmarkStart w:id="143" w:name="_Toc427933527"/>
      <w:r>
        <w:rPr>
          <w:rStyle w:val="CharSectno"/>
        </w:rPr>
        <w:t>39</w:t>
      </w:r>
      <w:r>
        <w:rPr>
          <w:snapToGrid w:val="0"/>
        </w:rPr>
        <w:t>.</w:t>
      </w:r>
      <w:r>
        <w:rPr>
          <w:snapToGrid w:val="0"/>
        </w:rPr>
        <w:tab/>
        <w:t>Confidentiality of records</w:t>
      </w:r>
      <w:bookmarkEnd w:id="142"/>
      <w:bookmarkEnd w:id="143"/>
      <w:r>
        <w:rPr>
          <w:snapToGrid w:val="0"/>
        </w:rPr>
        <w:t xml:space="preserve"> </w:t>
      </w:r>
    </w:p>
    <w:p>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pPr>
        <w:pStyle w:val="Subsection"/>
        <w:spacing w:before="200"/>
        <w:rPr>
          <w:snapToGrid w:val="0"/>
        </w:rPr>
      </w:pPr>
      <w:r>
        <w:rPr>
          <w:snapToGrid w:val="0"/>
        </w:rPr>
        <w:tab/>
        <w:t>(2)</w:t>
      </w:r>
      <w:r>
        <w:rPr>
          <w:snapToGrid w:val="0"/>
        </w:rPr>
        <w:tab/>
        <w:t>The chief executive officer may, for statistical purposes, retain a record of — </w:t>
      </w:r>
    </w:p>
    <w:p>
      <w:pPr>
        <w:pStyle w:val="Indenta"/>
        <w:rPr>
          <w:snapToGrid w:val="0"/>
        </w:rPr>
      </w:pPr>
      <w:r>
        <w:rPr>
          <w:snapToGrid w:val="0"/>
        </w:rPr>
        <w:tab/>
        <w:t>(a)</w:t>
      </w:r>
      <w:r>
        <w:rPr>
          <w:snapToGrid w:val="0"/>
        </w:rPr>
        <w:tab/>
        <w:t>the name and date of birth;</w:t>
      </w:r>
    </w:p>
    <w:p>
      <w:pPr>
        <w:pStyle w:val="Indenta"/>
        <w:rPr>
          <w:snapToGrid w:val="0"/>
        </w:rPr>
      </w:pPr>
      <w:r>
        <w:rPr>
          <w:snapToGrid w:val="0"/>
        </w:rPr>
        <w:tab/>
        <w:t>(b)</w:t>
      </w:r>
      <w:r>
        <w:rPr>
          <w:snapToGrid w:val="0"/>
        </w:rPr>
        <w:tab/>
        <w:t>the usual place of residence at the time of admission;</w:t>
      </w:r>
    </w:p>
    <w:p>
      <w:pPr>
        <w:pStyle w:val="Indenta"/>
        <w:rPr>
          <w:snapToGrid w:val="0"/>
        </w:rPr>
      </w:pPr>
      <w:r>
        <w:rPr>
          <w:snapToGrid w:val="0"/>
        </w:rPr>
        <w:tab/>
        <w:t>(c)</w:t>
      </w:r>
      <w:r>
        <w:rPr>
          <w:snapToGrid w:val="0"/>
        </w:rPr>
        <w:tab/>
        <w:t>the date and reason for admission; and</w:t>
      </w:r>
    </w:p>
    <w:p>
      <w:pPr>
        <w:pStyle w:val="Indenta"/>
        <w:rPr>
          <w:snapToGrid w:val="0"/>
        </w:rPr>
      </w:pPr>
      <w:r>
        <w:rPr>
          <w:snapToGrid w:val="0"/>
        </w:rPr>
        <w:tab/>
        <w:t>(d)</w:t>
      </w:r>
      <w:r>
        <w:rPr>
          <w:snapToGrid w:val="0"/>
        </w:rPr>
        <w:tab/>
        <w:t>the date and reason for discharge,</w:t>
      </w:r>
    </w:p>
    <w:p>
      <w:pPr>
        <w:pStyle w:val="Subsection"/>
        <w:rPr>
          <w:snapToGrid w:val="0"/>
        </w:rPr>
      </w:pPr>
      <w:r>
        <w:rPr>
          <w:snapToGrid w:val="0"/>
        </w:rPr>
        <w:tab/>
      </w:r>
      <w:r>
        <w:rPr>
          <w:snapToGrid w:val="0"/>
        </w:rPr>
        <w:tab/>
        <w:t>of a prisoner referred to in subregulation (1).</w:t>
      </w:r>
    </w:p>
    <w:p>
      <w:pPr>
        <w:pStyle w:val="Footnotesection"/>
      </w:pPr>
      <w:r>
        <w:tab/>
        <w:t xml:space="preserve">[Regulation 39 amended in Gazette 11 Dec 1987 p. 4369; 2 Nov 1999 p. 5475; 3 Apr 2007 p. 1495.] </w:t>
      </w:r>
    </w:p>
    <w:p>
      <w:pPr>
        <w:pStyle w:val="Heading3"/>
        <w:keepLines/>
      </w:pPr>
      <w:bookmarkStart w:id="144" w:name="_Toc378327259"/>
      <w:bookmarkStart w:id="145" w:name="_Toc424112474"/>
      <w:bookmarkStart w:id="146" w:name="_Toc427923000"/>
      <w:bookmarkStart w:id="147" w:name="_Toc427933528"/>
      <w:r>
        <w:rPr>
          <w:rStyle w:val="CharDivNo"/>
        </w:rPr>
        <w:t>Division 3</w:t>
      </w:r>
      <w:r>
        <w:t> — </w:t>
      </w:r>
      <w:r>
        <w:rPr>
          <w:rStyle w:val="CharDivText"/>
        </w:rPr>
        <w:t>Prisoner conduct</w:t>
      </w:r>
      <w:bookmarkEnd w:id="144"/>
      <w:bookmarkEnd w:id="145"/>
      <w:bookmarkEnd w:id="146"/>
      <w:bookmarkEnd w:id="147"/>
    </w:p>
    <w:p>
      <w:pPr>
        <w:pStyle w:val="Footnoteheading"/>
        <w:keepNext/>
        <w:keepLines/>
      </w:pPr>
      <w:r>
        <w:tab/>
        <w:t>[Heading inserted in Gazette 3 Apr 2007 p. 1495.]</w:t>
      </w:r>
    </w:p>
    <w:p>
      <w:pPr>
        <w:pStyle w:val="Heading5"/>
        <w:rPr>
          <w:snapToGrid w:val="0"/>
        </w:rPr>
      </w:pPr>
      <w:bookmarkStart w:id="148" w:name="_Toc378327260"/>
      <w:bookmarkStart w:id="149" w:name="_Toc427933529"/>
      <w:r>
        <w:rPr>
          <w:rStyle w:val="CharSectno"/>
        </w:rPr>
        <w:t>40</w:t>
      </w:r>
      <w:r>
        <w:rPr>
          <w:snapToGrid w:val="0"/>
        </w:rPr>
        <w:t>.</w:t>
      </w:r>
      <w:r>
        <w:rPr>
          <w:snapToGrid w:val="0"/>
        </w:rPr>
        <w:tab/>
        <w:t>Duty to obey orders</w:t>
      </w:r>
      <w:bookmarkEnd w:id="148"/>
      <w:bookmarkEnd w:id="149"/>
      <w:r>
        <w:rPr>
          <w:snapToGrid w:val="0"/>
        </w:rPr>
        <w:t xml:space="preserve"> </w:t>
      </w:r>
    </w:p>
    <w:p>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pPr>
        <w:pStyle w:val="Heading5"/>
        <w:rPr>
          <w:snapToGrid w:val="0"/>
        </w:rPr>
      </w:pPr>
      <w:bookmarkStart w:id="150" w:name="_Toc378327261"/>
      <w:bookmarkStart w:id="151" w:name="_Toc427933530"/>
      <w:r>
        <w:rPr>
          <w:rStyle w:val="CharSectno"/>
        </w:rPr>
        <w:t>41</w:t>
      </w:r>
      <w:r>
        <w:rPr>
          <w:snapToGrid w:val="0"/>
        </w:rPr>
        <w:t>.</w:t>
      </w:r>
      <w:r>
        <w:rPr>
          <w:snapToGrid w:val="0"/>
        </w:rPr>
        <w:tab/>
        <w:t>Conduct in personal matters</w:t>
      </w:r>
      <w:bookmarkEnd w:id="150"/>
      <w:bookmarkEnd w:id="151"/>
      <w:r>
        <w:rPr>
          <w:snapToGrid w:val="0"/>
        </w:rPr>
        <w:t xml:space="preserve"> </w:t>
      </w:r>
    </w:p>
    <w:p>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pPr>
        <w:pStyle w:val="Subsection"/>
        <w:spacing w:before="140"/>
        <w:rPr>
          <w:snapToGrid w:val="0"/>
        </w:rPr>
      </w:pPr>
      <w:r>
        <w:rPr>
          <w:snapToGrid w:val="0"/>
        </w:rPr>
        <w:tab/>
        <w:t>(3)</w:t>
      </w:r>
      <w:r>
        <w:rPr>
          <w:snapToGrid w:val="0"/>
        </w:rPr>
        <w:tab/>
        <w:t>A prisoner shall bathe or shower and put on clean clothing as directed by the superintendent.</w:t>
      </w:r>
    </w:p>
    <w:p>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pPr>
        <w:pStyle w:val="Heading5"/>
        <w:rPr>
          <w:snapToGrid w:val="0"/>
        </w:rPr>
      </w:pPr>
      <w:bookmarkStart w:id="152" w:name="_Toc378327262"/>
      <w:bookmarkStart w:id="153" w:name="_Toc427933531"/>
      <w:r>
        <w:rPr>
          <w:rStyle w:val="CharSectno"/>
        </w:rPr>
        <w:t>42</w:t>
      </w:r>
      <w:r>
        <w:rPr>
          <w:snapToGrid w:val="0"/>
        </w:rPr>
        <w:t>.</w:t>
      </w:r>
      <w:r>
        <w:rPr>
          <w:snapToGrid w:val="0"/>
        </w:rPr>
        <w:tab/>
        <w:t>Remaining in prison</w:t>
      </w:r>
      <w:bookmarkEnd w:id="152"/>
      <w:bookmarkEnd w:id="153"/>
      <w:r>
        <w:rPr>
          <w:snapToGrid w:val="0"/>
        </w:rPr>
        <w:t xml:space="preserve"> </w:t>
      </w:r>
    </w:p>
    <w:p>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pPr>
        <w:pStyle w:val="Footnotesection"/>
      </w:pPr>
      <w:r>
        <w:tab/>
        <w:t xml:space="preserve">[Regulation 42 amended in Gazette 11 Dec 1987 p. 4369; 2 Nov 1999 p. 5475.] </w:t>
      </w:r>
    </w:p>
    <w:p>
      <w:pPr>
        <w:pStyle w:val="Heading3"/>
      </w:pPr>
      <w:bookmarkStart w:id="154" w:name="_Toc378327263"/>
      <w:bookmarkStart w:id="155" w:name="_Toc424112478"/>
      <w:bookmarkStart w:id="156" w:name="_Toc427923004"/>
      <w:bookmarkStart w:id="157" w:name="_Toc427933532"/>
      <w:r>
        <w:rPr>
          <w:rStyle w:val="CharDivNo"/>
        </w:rPr>
        <w:t>Division 4</w:t>
      </w:r>
      <w:r>
        <w:t> — </w:t>
      </w:r>
      <w:r>
        <w:rPr>
          <w:rStyle w:val="CharDivText"/>
        </w:rPr>
        <w:t>Prisoner work</w:t>
      </w:r>
      <w:bookmarkEnd w:id="154"/>
      <w:bookmarkEnd w:id="155"/>
      <w:bookmarkEnd w:id="156"/>
      <w:bookmarkEnd w:id="157"/>
    </w:p>
    <w:p>
      <w:pPr>
        <w:pStyle w:val="Footnoteheading"/>
      </w:pPr>
      <w:r>
        <w:tab/>
        <w:t>[Heading inserted in Gazette 3 Apr 2007 p. 1495.]</w:t>
      </w:r>
    </w:p>
    <w:p>
      <w:pPr>
        <w:pStyle w:val="Heading5"/>
        <w:rPr>
          <w:snapToGrid w:val="0"/>
        </w:rPr>
      </w:pPr>
      <w:bookmarkStart w:id="158" w:name="_Toc378327264"/>
      <w:bookmarkStart w:id="159" w:name="_Toc427933533"/>
      <w:r>
        <w:rPr>
          <w:rStyle w:val="CharSectno"/>
        </w:rPr>
        <w:t>43</w:t>
      </w:r>
      <w:r>
        <w:rPr>
          <w:snapToGrid w:val="0"/>
        </w:rPr>
        <w:t>.</w:t>
      </w:r>
      <w:r>
        <w:rPr>
          <w:snapToGrid w:val="0"/>
        </w:rPr>
        <w:tab/>
        <w:t>Work</w:t>
      </w:r>
      <w:bookmarkEnd w:id="158"/>
      <w:bookmarkEnd w:id="159"/>
      <w:r>
        <w:rPr>
          <w:snapToGrid w:val="0"/>
        </w:rPr>
        <w:t xml:space="preserve"> </w:t>
      </w:r>
    </w:p>
    <w:p>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pPr>
        <w:pStyle w:val="Subsection"/>
        <w:rPr>
          <w:snapToGrid w:val="0"/>
        </w:rPr>
      </w:pPr>
      <w:r>
        <w:rPr>
          <w:snapToGrid w:val="0"/>
        </w:rPr>
        <w:tab/>
        <w:t>(2)</w:t>
      </w:r>
      <w:r>
        <w:rPr>
          <w:snapToGrid w:val="0"/>
        </w:rPr>
        <w:tab/>
        <w:t>A prisoner on remand shall not be required to work.</w:t>
      </w:r>
    </w:p>
    <w:p>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pPr>
        <w:pStyle w:val="Footnotesection"/>
      </w:pPr>
      <w:r>
        <w:tab/>
        <w:t xml:space="preserve">[Regulation 43 amended in Gazette 11 May 1990 p. 2266.] </w:t>
      </w:r>
    </w:p>
    <w:p>
      <w:pPr>
        <w:pStyle w:val="Heading5"/>
        <w:rPr>
          <w:snapToGrid w:val="0"/>
        </w:rPr>
      </w:pPr>
      <w:bookmarkStart w:id="160" w:name="_Toc378327265"/>
      <w:bookmarkStart w:id="161" w:name="_Toc427933534"/>
      <w:r>
        <w:rPr>
          <w:rStyle w:val="CharSectno"/>
        </w:rPr>
        <w:t>44</w:t>
      </w:r>
      <w:r>
        <w:rPr>
          <w:snapToGrid w:val="0"/>
        </w:rPr>
        <w:t>.</w:t>
      </w:r>
      <w:r>
        <w:rPr>
          <w:snapToGrid w:val="0"/>
        </w:rPr>
        <w:tab/>
        <w:t>Classification of labour performed by prisoners</w:t>
      </w:r>
      <w:bookmarkEnd w:id="160"/>
      <w:bookmarkEnd w:id="161"/>
      <w:r>
        <w:rPr>
          <w:snapToGrid w:val="0"/>
        </w:rPr>
        <w:t xml:space="preserve"> </w:t>
      </w:r>
    </w:p>
    <w:p>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tc>
          <w:tcPr>
            <w:tcW w:w="4800" w:type="dxa"/>
          </w:tcPr>
          <w:p>
            <w:pPr>
              <w:pStyle w:val="Table"/>
              <w:rPr>
                <w:snapToGrid w:val="0"/>
              </w:rPr>
            </w:pPr>
            <w:r>
              <w:rPr>
                <w:snapToGrid w:val="0"/>
              </w:rPr>
              <w:t>Level 1 — work that requires exceptional skill and requires a special aptitude and diligence.</w:t>
            </w:r>
          </w:p>
        </w:tc>
      </w:tr>
      <w:tr>
        <w:tc>
          <w:tcPr>
            <w:tcW w:w="4800" w:type="dxa"/>
          </w:tcPr>
          <w:p>
            <w:pPr>
              <w:pStyle w:val="Table"/>
              <w:rPr>
                <w:snapToGrid w:val="0"/>
              </w:rPr>
            </w:pPr>
            <w:r>
              <w:rPr>
                <w:snapToGrid w:val="0"/>
              </w:rPr>
              <w:t>Level 2 — work that requires above average skill and requires above average diligence.</w:t>
            </w:r>
          </w:p>
        </w:tc>
      </w:tr>
      <w:tr>
        <w:tc>
          <w:tcPr>
            <w:tcW w:w="4800" w:type="dxa"/>
          </w:tcPr>
          <w:p>
            <w:pPr>
              <w:pStyle w:val="Table"/>
              <w:rPr>
                <w:snapToGrid w:val="0"/>
              </w:rPr>
            </w:pPr>
            <w:r>
              <w:rPr>
                <w:snapToGrid w:val="0"/>
              </w:rPr>
              <w:t>Level 3 — work that requires average skill or average diligence.</w:t>
            </w:r>
          </w:p>
        </w:tc>
      </w:tr>
      <w:tr>
        <w:tc>
          <w:tcPr>
            <w:tcW w:w="4800" w:type="dxa"/>
          </w:tcPr>
          <w:p>
            <w:pPr>
              <w:pStyle w:val="Table"/>
              <w:rPr>
                <w:snapToGrid w:val="0"/>
              </w:rPr>
            </w:pPr>
            <w:r>
              <w:rPr>
                <w:snapToGrid w:val="0"/>
              </w:rPr>
              <w:t>Level 4 — work that requires a minimum of skill and ordinary diligence.</w:t>
            </w:r>
          </w:p>
        </w:tc>
      </w:tr>
      <w:tr>
        <w:tc>
          <w:tcPr>
            <w:tcW w:w="4800" w:type="dxa"/>
          </w:tcPr>
          <w:p>
            <w:pPr>
              <w:pStyle w:val="Table"/>
              <w:rPr>
                <w:snapToGrid w:val="0"/>
              </w:rPr>
            </w:pPr>
            <w:r>
              <w:rPr>
                <w:snapToGrid w:val="0"/>
              </w:rPr>
              <w:t>Level 5 — work that does not come within the other levels of this classification and in which the duties are only of a general nature.</w:t>
            </w:r>
          </w:p>
        </w:tc>
      </w:tr>
    </w:tbl>
    <w:p>
      <w:pPr>
        <w:pStyle w:val="Subsection"/>
        <w:spacing w:before="200"/>
        <w:rPr>
          <w:snapToGrid w:val="0"/>
        </w:rPr>
      </w:pPr>
      <w:r>
        <w:rPr>
          <w:snapToGrid w:val="0"/>
        </w:rPr>
        <w:tab/>
        <w:t>(2)</w:t>
      </w:r>
      <w:r>
        <w:rPr>
          <w:snapToGrid w:val="0"/>
        </w:rPr>
        <w:tab/>
        <w:t>The level at which work is classified shall be at the discretion of the chief executive officer.</w:t>
      </w:r>
    </w:p>
    <w:p>
      <w:pPr>
        <w:pStyle w:val="Footnotesection"/>
      </w:pPr>
      <w:r>
        <w:tab/>
        <w:t xml:space="preserve">[Regulation 44 inserted in Gazette 11 May 1990 p. 2266.] </w:t>
      </w:r>
    </w:p>
    <w:p>
      <w:pPr>
        <w:pStyle w:val="Heading3"/>
        <w:spacing w:before="320"/>
      </w:pPr>
      <w:bookmarkStart w:id="162" w:name="_Toc378327266"/>
      <w:bookmarkStart w:id="163" w:name="_Toc424112481"/>
      <w:bookmarkStart w:id="164" w:name="_Toc427923007"/>
      <w:bookmarkStart w:id="165" w:name="_Toc427933535"/>
      <w:r>
        <w:rPr>
          <w:rStyle w:val="CharDivNo"/>
        </w:rPr>
        <w:t>Division 5</w:t>
      </w:r>
      <w:r>
        <w:t> — </w:t>
      </w:r>
      <w:r>
        <w:rPr>
          <w:rStyle w:val="CharDivText"/>
        </w:rPr>
        <w:t>Prisoner gratuities and other moneys</w:t>
      </w:r>
      <w:bookmarkEnd w:id="162"/>
      <w:bookmarkEnd w:id="163"/>
      <w:bookmarkEnd w:id="164"/>
      <w:bookmarkEnd w:id="165"/>
    </w:p>
    <w:p>
      <w:pPr>
        <w:pStyle w:val="Footnoteheading"/>
      </w:pPr>
      <w:r>
        <w:tab/>
        <w:t>[Heading inserted in Gazette 3 Apr 2007 p. 1495.]</w:t>
      </w:r>
    </w:p>
    <w:p>
      <w:pPr>
        <w:pStyle w:val="Heading5"/>
        <w:spacing w:before="260"/>
        <w:rPr>
          <w:snapToGrid w:val="0"/>
        </w:rPr>
      </w:pPr>
      <w:bookmarkStart w:id="166" w:name="_Toc378327267"/>
      <w:bookmarkStart w:id="167" w:name="_Toc427933536"/>
      <w:r>
        <w:rPr>
          <w:rStyle w:val="CharSectno"/>
        </w:rPr>
        <w:t>45</w:t>
      </w:r>
      <w:r>
        <w:rPr>
          <w:snapToGrid w:val="0"/>
        </w:rPr>
        <w:t>.</w:t>
      </w:r>
      <w:r>
        <w:rPr>
          <w:snapToGrid w:val="0"/>
        </w:rPr>
        <w:tab/>
        <w:t>Gratuities that may be credited to prisoners</w:t>
      </w:r>
      <w:bookmarkEnd w:id="166"/>
      <w:bookmarkEnd w:id="167"/>
      <w:r>
        <w:rPr>
          <w:snapToGrid w:val="0"/>
        </w:rPr>
        <w:t xml:space="preserve"> </w:t>
      </w:r>
    </w:p>
    <w:p>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tc>
          <w:tcPr>
            <w:tcW w:w="3054" w:type="dxa"/>
          </w:tcPr>
          <w:p>
            <w:pPr>
              <w:pStyle w:val="Table"/>
              <w:rPr>
                <w:snapToGrid w:val="0"/>
              </w:rPr>
            </w:pPr>
            <w:r>
              <w:rPr>
                <w:snapToGrid w:val="0"/>
              </w:rPr>
              <w:t>Level 1 — $35 per week</w:t>
            </w:r>
          </w:p>
        </w:tc>
      </w:tr>
      <w:tr>
        <w:tc>
          <w:tcPr>
            <w:tcW w:w="3054" w:type="dxa"/>
          </w:tcPr>
          <w:p>
            <w:pPr>
              <w:pStyle w:val="Table"/>
              <w:spacing w:before="0"/>
              <w:rPr>
                <w:snapToGrid w:val="0"/>
              </w:rPr>
            </w:pPr>
            <w:r>
              <w:rPr>
                <w:snapToGrid w:val="0"/>
              </w:rPr>
              <w:t>Level 2 — $27 per week</w:t>
            </w:r>
          </w:p>
        </w:tc>
      </w:tr>
      <w:tr>
        <w:tc>
          <w:tcPr>
            <w:tcW w:w="3054" w:type="dxa"/>
          </w:tcPr>
          <w:p>
            <w:pPr>
              <w:pStyle w:val="Table"/>
              <w:spacing w:before="0"/>
              <w:rPr>
                <w:snapToGrid w:val="0"/>
              </w:rPr>
            </w:pPr>
            <w:r>
              <w:rPr>
                <w:snapToGrid w:val="0"/>
              </w:rPr>
              <w:t>Level 3 — $21 per week</w:t>
            </w:r>
          </w:p>
        </w:tc>
      </w:tr>
      <w:tr>
        <w:tc>
          <w:tcPr>
            <w:tcW w:w="3054" w:type="dxa"/>
          </w:tcPr>
          <w:p>
            <w:pPr>
              <w:pStyle w:val="Table"/>
              <w:spacing w:before="0"/>
              <w:rPr>
                <w:snapToGrid w:val="0"/>
              </w:rPr>
            </w:pPr>
            <w:r>
              <w:rPr>
                <w:snapToGrid w:val="0"/>
              </w:rPr>
              <w:t>Level 4 — $15 per week</w:t>
            </w:r>
          </w:p>
        </w:tc>
      </w:tr>
      <w:tr>
        <w:tc>
          <w:tcPr>
            <w:tcW w:w="3054" w:type="dxa"/>
          </w:tcPr>
          <w:p>
            <w:pPr>
              <w:pStyle w:val="Table"/>
              <w:spacing w:before="0"/>
              <w:rPr>
                <w:snapToGrid w:val="0"/>
              </w:rPr>
            </w:pPr>
            <w:r>
              <w:rPr>
                <w:snapToGrid w:val="0"/>
              </w:rPr>
              <w:t>Level 5 — $11 per week.</w:t>
            </w:r>
          </w:p>
        </w:tc>
      </w:tr>
    </w:tbl>
    <w:p>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pPr>
        <w:pStyle w:val="Footnotesection"/>
      </w:pPr>
      <w:r>
        <w:tab/>
        <w:t>[Regulation 45 inserted in Gazette 11 May 1990 p. 2266</w:t>
      </w:r>
      <w:r>
        <w:noBreakHyphen/>
        <w:t xml:space="preserve">7.] </w:t>
      </w:r>
    </w:p>
    <w:p>
      <w:pPr>
        <w:pStyle w:val="Heading5"/>
        <w:spacing w:before="260"/>
        <w:rPr>
          <w:snapToGrid w:val="0"/>
        </w:rPr>
      </w:pPr>
      <w:bookmarkStart w:id="168" w:name="_Toc378327268"/>
      <w:bookmarkStart w:id="169" w:name="_Toc427933537"/>
      <w:r>
        <w:rPr>
          <w:rStyle w:val="CharSectno"/>
        </w:rPr>
        <w:t>45A</w:t>
      </w:r>
      <w:r>
        <w:rPr>
          <w:snapToGrid w:val="0"/>
        </w:rPr>
        <w:t>.</w:t>
      </w:r>
      <w:r>
        <w:rPr>
          <w:snapToGrid w:val="0"/>
        </w:rPr>
        <w:tab/>
        <w:t>Chief executive officer to determine level of labour</w:t>
      </w:r>
      <w:bookmarkEnd w:id="168"/>
      <w:bookmarkEnd w:id="169"/>
      <w:r>
        <w:rPr>
          <w:snapToGrid w:val="0"/>
        </w:rPr>
        <w:t xml:space="preserve"> </w:t>
      </w:r>
    </w:p>
    <w:p>
      <w:pPr>
        <w:pStyle w:val="Subsection"/>
        <w:spacing w:before="220"/>
        <w:rPr>
          <w:snapToGrid w:val="0"/>
        </w:rPr>
      </w:pPr>
      <w:r>
        <w:rPr>
          <w:snapToGrid w:val="0"/>
        </w:rPr>
        <w:tab/>
      </w:r>
      <w:r>
        <w:rPr>
          <w:snapToGrid w:val="0"/>
        </w:rPr>
        <w:tab/>
        <w:t>A prisoner shall be allocated such level of labour as is determined by the chief executive officer.</w:t>
      </w:r>
    </w:p>
    <w:p>
      <w:pPr>
        <w:pStyle w:val="Footnotesection"/>
      </w:pPr>
      <w:r>
        <w:tab/>
        <w:t xml:space="preserve">[Regulation 45A inserted in Gazette 11 May 1990 p. 2267.] </w:t>
      </w:r>
    </w:p>
    <w:p>
      <w:pPr>
        <w:pStyle w:val="Heading5"/>
        <w:rPr>
          <w:snapToGrid w:val="0"/>
        </w:rPr>
      </w:pPr>
      <w:bookmarkStart w:id="170" w:name="_Toc378327269"/>
      <w:bookmarkStart w:id="171" w:name="_Toc427933538"/>
      <w:r>
        <w:rPr>
          <w:rStyle w:val="CharSectno"/>
        </w:rPr>
        <w:t>45B</w:t>
      </w:r>
      <w:r>
        <w:rPr>
          <w:snapToGrid w:val="0"/>
        </w:rPr>
        <w:t>.</w:t>
      </w:r>
      <w:r>
        <w:rPr>
          <w:snapToGrid w:val="0"/>
        </w:rPr>
        <w:tab/>
        <w:t>No gratuity for non allocated prisoners or prisoners confined as punishment</w:t>
      </w:r>
      <w:bookmarkEnd w:id="170"/>
      <w:bookmarkEnd w:id="171"/>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pPr>
        <w:pStyle w:val="Indenta"/>
        <w:rPr>
          <w:snapToGrid w:val="0"/>
        </w:rPr>
      </w:pPr>
      <w:r>
        <w:rPr>
          <w:snapToGrid w:val="0"/>
        </w:rPr>
        <w:tab/>
        <w:t>(b)</w:t>
      </w:r>
      <w:r>
        <w:rPr>
          <w:snapToGrid w:val="0"/>
        </w:rPr>
        <w:tab/>
        <w:t>a prisoner consistently refuses to work; or</w:t>
      </w:r>
    </w:p>
    <w:p>
      <w:pPr>
        <w:pStyle w:val="Indenta"/>
        <w:rPr>
          <w:snapToGrid w:val="0"/>
        </w:rPr>
      </w:pPr>
      <w:r>
        <w:rPr>
          <w:snapToGrid w:val="0"/>
        </w:rPr>
        <w:tab/>
        <w:t>(c)</w:t>
      </w:r>
      <w:r>
        <w:rPr>
          <w:snapToGrid w:val="0"/>
        </w:rPr>
        <w:tab/>
        <w:t>a prisoner is undergoing a penalty of confinement in his sleeping quarters or separate confinement in a punishment cell,</w:t>
      </w:r>
    </w:p>
    <w:p>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pPr>
        <w:pStyle w:val="Subsection"/>
      </w:pPr>
      <w:r>
        <w:tab/>
        <w:t>(2)</w:t>
      </w:r>
      <w:r>
        <w:tab/>
        <w:t>Where a prisoner’s gratuities are cancelled for a period not exceeding 14 days under a determination under Part VII of the Act, that prisoner shall for that period continue to perform work.</w:t>
      </w:r>
    </w:p>
    <w:p>
      <w:pPr>
        <w:pStyle w:val="Footnotesection"/>
      </w:pPr>
      <w:r>
        <w:tab/>
        <w:t xml:space="preserve">[Regulation 45B inserted in Gazette 11 May 1990 p. 2267; amended in Gazette 3 Apr 2007 p. 1496.] </w:t>
      </w:r>
    </w:p>
    <w:p>
      <w:pPr>
        <w:pStyle w:val="Heading5"/>
        <w:rPr>
          <w:snapToGrid w:val="0"/>
        </w:rPr>
      </w:pPr>
      <w:bookmarkStart w:id="172" w:name="_Toc378327270"/>
      <w:bookmarkStart w:id="173" w:name="_Toc427933539"/>
      <w:r>
        <w:rPr>
          <w:rStyle w:val="CharSectno"/>
        </w:rPr>
        <w:t>45C</w:t>
      </w:r>
      <w:r>
        <w:rPr>
          <w:snapToGrid w:val="0"/>
        </w:rPr>
        <w:t>.</w:t>
      </w:r>
      <w:r>
        <w:rPr>
          <w:snapToGrid w:val="0"/>
        </w:rPr>
        <w:tab/>
        <w:t>Medically unfit prisoner</w:t>
      </w:r>
      <w:bookmarkEnd w:id="172"/>
      <w:bookmarkEnd w:id="173"/>
      <w:r>
        <w:rPr>
          <w:snapToGrid w:val="0"/>
        </w:rPr>
        <w:t xml:space="preserve"> </w:t>
      </w:r>
    </w:p>
    <w:p>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pPr>
        <w:pStyle w:val="Subsection"/>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pPr>
        <w:pStyle w:val="Footnotesection"/>
      </w:pPr>
      <w:r>
        <w:tab/>
        <w:t xml:space="preserve">[Regulation 45C inserted in Gazette 11 May 1990 p. 2267.] </w:t>
      </w:r>
    </w:p>
    <w:p>
      <w:pPr>
        <w:pStyle w:val="Heading5"/>
        <w:rPr>
          <w:snapToGrid w:val="0"/>
        </w:rPr>
      </w:pPr>
      <w:bookmarkStart w:id="174" w:name="_Toc378327271"/>
      <w:bookmarkStart w:id="175" w:name="_Toc427933540"/>
      <w:r>
        <w:rPr>
          <w:rStyle w:val="CharSectno"/>
        </w:rPr>
        <w:t>45D</w:t>
      </w:r>
      <w:r>
        <w:rPr>
          <w:snapToGrid w:val="0"/>
        </w:rPr>
        <w:t>.</w:t>
      </w:r>
      <w:r>
        <w:rPr>
          <w:snapToGrid w:val="0"/>
        </w:rPr>
        <w:tab/>
        <w:t>Proportionate payment and public holiday</w:t>
      </w:r>
      <w:bookmarkEnd w:id="174"/>
      <w:bookmarkEnd w:id="175"/>
      <w:r>
        <w:rPr>
          <w:snapToGrid w:val="0"/>
        </w:rPr>
        <w:t xml:space="preserve"> </w:t>
      </w:r>
    </w:p>
    <w:p>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pPr>
        <w:pStyle w:val="Footnotesection"/>
      </w:pPr>
      <w:r>
        <w:tab/>
        <w:t xml:space="preserve">[Regulation 45D inserted in Gazette 11 May 1990 p. 2267.] </w:t>
      </w:r>
    </w:p>
    <w:p>
      <w:pPr>
        <w:pStyle w:val="Heading5"/>
        <w:spacing w:before="200"/>
        <w:rPr>
          <w:snapToGrid w:val="0"/>
        </w:rPr>
      </w:pPr>
      <w:bookmarkStart w:id="176" w:name="_Toc378327272"/>
      <w:bookmarkStart w:id="177" w:name="_Toc427933541"/>
      <w:r>
        <w:rPr>
          <w:rStyle w:val="CharSectno"/>
        </w:rPr>
        <w:t>45E</w:t>
      </w:r>
      <w:r>
        <w:rPr>
          <w:snapToGrid w:val="0"/>
        </w:rPr>
        <w:t>.</w:t>
      </w:r>
      <w:r>
        <w:rPr>
          <w:snapToGrid w:val="0"/>
        </w:rPr>
        <w:tab/>
        <w:t>Extra or lower gratuities</w:t>
      </w:r>
      <w:bookmarkEnd w:id="176"/>
      <w:bookmarkEnd w:id="177"/>
      <w:r>
        <w:rPr>
          <w:snapToGrid w:val="0"/>
        </w:rPr>
        <w:t xml:space="preserve"> </w:t>
      </w:r>
    </w:p>
    <w:p>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pPr>
        <w:pStyle w:val="Footnotesection"/>
      </w:pPr>
      <w:r>
        <w:tab/>
        <w:t xml:space="preserve">[Regulation 45E inserted in Gazette 11 May 1990 p. 2267.] </w:t>
      </w:r>
    </w:p>
    <w:p>
      <w:pPr>
        <w:pStyle w:val="Heading5"/>
        <w:rPr>
          <w:snapToGrid w:val="0"/>
        </w:rPr>
      </w:pPr>
      <w:bookmarkStart w:id="178" w:name="_Toc378327273"/>
      <w:bookmarkStart w:id="179" w:name="_Toc427933542"/>
      <w:r>
        <w:rPr>
          <w:rStyle w:val="CharSectno"/>
        </w:rPr>
        <w:t>46</w:t>
      </w:r>
      <w:r>
        <w:rPr>
          <w:snapToGrid w:val="0"/>
        </w:rPr>
        <w:t>.</w:t>
      </w:r>
      <w:r>
        <w:rPr>
          <w:snapToGrid w:val="0"/>
        </w:rPr>
        <w:tab/>
        <w:t>Classification and gratuity records</w:t>
      </w:r>
      <w:bookmarkEnd w:id="178"/>
      <w:bookmarkEnd w:id="179"/>
      <w:r>
        <w:rPr>
          <w:snapToGrid w:val="0"/>
        </w:rPr>
        <w:t xml:space="preserve"> </w:t>
      </w:r>
    </w:p>
    <w:p>
      <w:pPr>
        <w:pStyle w:val="Subsection"/>
        <w:rPr>
          <w:snapToGrid w:val="0"/>
        </w:rPr>
      </w:pPr>
      <w:r>
        <w:rPr>
          <w:snapToGrid w:val="0"/>
        </w:rPr>
        <w:tab/>
      </w:r>
      <w:r>
        <w:rPr>
          <w:snapToGrid w:val="0"/>
        </w:rPr>
        <w:tab/>
        <w:t>The superintendent shall cause to be kept for each prisoner — </w:t>
      </w:r>
    </w:p>
    <w:p>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pPr>
        <w:pStyle w:val="Footnotesection"/>
      </w:pPr>
      <w:r>
        <w:tab/>
        <w:t xml:space="preserve">[Regulation 46 amended in Gazette 11 May 1990 p. 2267.] </w:t>
      </w:r>
    </w:p>
    <w:p>
      <w:pPr>
        <w:pStyle w:val="Heading5"/>
        <w:rPr>
          <w:snapToGrid w:val="0"/>
        </w:rPr>
      </w:pPr>
      <w:bookmarkStart w:id="180" w:name="_Toc378327274"/>
      <w:bookmarkStart w:id="181" w:name="_Toc427933543"/>
      <w:r>
        <w:rPr>
          <w:rStyle w:val="CharSectno"/>
        </w:rPr>
        <w:t>47</w:t>
      </w:r>
      <w:r>
        <w:rPr>
          <w:snapToGrid w:val="0"/>
        </w:rPr>
        <w:t>.</w:t>
      </w:r>
      <w:r>
        <w:rPr>
          <w:snapToGrid w:val="0"/>
        </w:rPr>
        <w:tab/>
        <w:t>Expenditure of gratuities</w:t>
      </w:r>
      <w:bookmarkEnd w:id="180"/>
      <w:bookmarkEnd w:id="181"/>
      <w:r>
        <w:rPr>
          <w:snapToGrid w:val="0"/>
        </w:rPr>
        <w:t xml:space="preserve"> </w:t>
      </w:r>
    </w:p>
    <w:p>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pPr>
        <w:pStyle w:val="Heading5"/>
        <w:rPr>
          <w:snapToGrid w:val="0"/>
        </w:rPr>
      </w:pPr>
      <w:bookmarkStart w:id="182" w:name="_Toc378327275"/>
      <w:bookmarkStart w:id="183" w:name="_Toc427933544"/>
      <w:r>
        <w:rPr>
          <w:rStyle w:val="CharSectno"/>
        </w:rPr>
        <w:t>48</w:t>
      </w:r>
      <w:r>
        <w:rPr>
          <w:snapToGrid w:val="0"/>
        </w:rPr>
        <w:t>.</w:t>
      </w:r>
      <w:r>
        <w:rPr>
          <w:snapToGrid w:val="0"/>
        </w:rPr>
        <w:tab/>
        <w:t>Restriction on money held for prisoner</w:t>
      </w:r>
      <w:bookmarkEnd w:id="182"/>
      <w:bookmarkEnd w:id="183"/>
      <w:r>
        <w:rPr>
          <w:snapToGrid w:val="0"/>
        </w:rPr>
        <w:t xml:space="preserve"> </w:t>
      </w:r>
    </w:p>
    <w:p>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pPr>
        <w:pStyle w:val="Subsection"/>
        <w:rPr>
          <w:snapToGrid w:val="0"/>
        </w:rPr>
      </w:pPr>
      <w:r>
        <w:rPr>
          <w:snapToGrid w:val="0"/>
        </w:rPr>
        <w:tab/>
        <w:t>(3)</w:t>
      </w:r>
      <w:r>
        <w:rPr>
          <w:snapToGrid w:val="0"/>
        </w:rPr>
        <w:tab/>
        <w:t>Nothing in this regulation affects the provisions of regulations 49 and 73.</w:t>
      </w:r>
    </w:p>
    <w:p>
      <w:pPr>
        <w:pStyle w:val="Footnotesection"/>
      </w:pPr>
      <w:r>
        <w:tab/>
        <w:t xml:space="preserve">[Regulation 48 amended in Gazette 11 Dec 1987 p. 4369; 11 May 1990 p. 2267; 2 Nov 1999 p. 5475.] </w:t>
      </w:r>
    </w:p>
    <w:p>
      <w:pPr>
        <w:pStyle w:val="Heading5"/>
        <w:spacing w:before="180"/>
      </w:pPr>
      <w:bookmarkStart w:id="184" w:name="_Toc378327276"/>
      <w:bookmarkStart w:id="185" w:name="_Toc427933545"/>
      <w:r>
        <w:rPr>
          <w:rStyle w:val="CharSectno"/>
        </w:rPr>
        <w:t>49</w:t>
      </w:r>
      <w:r>
        <w:t>.</w:t>
      </w:r>
      <w:r>
        <w:tab/>
        <w:t>Deductions for damage etc. to property of Government or contractor</w:t>
      </w:r>
      <w:bookmarkEnd w:id="184"/>
      <w:bookmarkEnd w:id="185"/>
    </w:p>
    <w:p>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pPr>
        <w:pStyle w:val="Subsection"/>
        <w:spacing w:before="100"/>
      </w:pPr>
      <w:r>
        <w:tab/>
        <w:t>(2)</w:t>
      </w:r>
      <w:r>
        <w:tab/>
        <w:t xml:space="preserve">In this regulation — </w:t>
      </w:r>
    </w:p>
    <w:p>
      <w:pPr>
        <w:pStyle w:val="Defstart"/>
      </w:pPr>
      <w:r>
        <w:tab/>
      </w:r>
      <w:r>
        <w:rPr>
          <w:rStyle w:val="CharDefText"/>
        </w:rPr>
        <w:t>property</w:t>
      </w:r>
      <w:r>
        <w:t xml:space="preserve"> — </w:t>
      </w:r>
    </w:p>
    <w:p>
      <w:pPr>
        <w:pStyle w:val="Defpara"/>
        <w:spacing w:before="60"/>
      </w:pPr>
      <w:r>
        <w:tab/>
        <w:t>(a)</w:t>
      </w:r>
      <w:r>
        <w:tab/>
        <w:t xml:space="preserve">if prisons services in relation to a prison are being provided under a contract, means either — </w:t>
      </w:r>
    </w:p>
    <w:p>
      <w:pPr>
        <w:pStyle w:val="Defsubpara"/>
        <w:spacing w:before="60"/>
      </w:pPr>
      <w:r>
        <w:tab/>
        <w:t>(i)</w:t>
      </w:r>
      <w:r>
        <w:tab/>
        <w:t>property of the State of Western Australia; or</w:t>
      </w:r>
    </w:p>
    <w:p>
      <w:pPr>
        <w:pStyle w:val="Defsubpara"/>
        <w:spacing w:before="60"/>
      </w:pPr>
      <w:r>
        <w:tab/>
        <w:t>(ii)</w:t>
      </w:r>
      <w:r>
        <w:tab/>
        <w:t>property of the contractor;</w:t>
      </w:r>
    </w:p>
    <w:p>
      <w:pPr>
        <w:pStyle w:val="Defpara"/>
        <w:spacing w:before="60"/>
      </w:pPr>
      <w:r>
        <w:tab/>
      </w:r>
      <w:r>
        <w:tab/>
        <w:t>and</w:t>
      </w:r>
    </w:p>
    <w:p>
      <w:pPr>
        <w:pStyle w:val="Defpara"/>
        <w:spacing w:before="60"/>
      </w:pPr>
      <w:r>
        <w:tab/>
        <w:t>(b)</w:t>
      </w:r>
      <w:r>
        <w:tab/>
        <w:t>in any other case, means property of the State of Western Australia.</w:t>
      </w:r>
    </w:p>
    <w:p>
      <w:pPr>
        <w:pStyle w:val="Footnotesection"/>
      </w:pPr>
      <w:r>
        <w:tab/>
        <w:t>[Regulation 49 inserted in Gazette 12 Apr 2001 p. 2099</w:t>
      </w:r>
      <w:r>
        <w:noBreakHyphen/>
        <w:t>100.]</w:t>
      </w:r>
    </w:p>
    <w:p>
      <w:pPr>
        <w:pStyle w:val="Ednotesection"/>
        <w:spacing w:before="160"/>
        <w:ind w:left="890" w:hanging="890"/>
      </w:pPr>
      <w:r>
        <w:t>[</w:t>
      </w:r>
      <w:r>
        <w:rPr>
          <w:b/>
        </w:rPr>
        <w:t>49A.</w:t>
      </w:r>
      <w:r>
        <w:tab/>
        <w:t>Inserted in Gazette 2 Nov 1999 p. 5473 (disallowed, see Gazette 21 Dec 1999 p. 6417).]</w:t>
      </w:r>
    </w:p>
    <w:p>
      <w:pPr>
        <w:pStyle w:val="Heading5"/>
        <w:spacing w:before="160"/>
        <w:rPr>
          <w:snapToGrid w:val="0"/>
        </w:rPr>
      </w:pPr>
      <w:bookmarkStart w:id="186" w:name="_Toc378327277"/>
      <w:bookmarkStart w:id="187" w:name="_Toc427933546"/>
      <w:r>
        <w:rPr>
          <w:rStyle w:val="CharSectno"/>
        </w:rPr>
        <w:t>50</w:t>
      </w:r>
      <w:r>
        <w:rPr>
          <w:snapToGrid w:val="0"/>
        </w:rPr>
        <w:t>.</w:t>
      </w:r>
      <w:r>
        <w:rPr>
          <w:snapToGrid w:val="0"/>
        </w:rPr>
        <w:tab/>
        <w:t>Payment of gratuities on discharge</w:t>
      </w:r>
      <w:bookmarkEnd w:id="186"/>
      <w:bookmarkEnd w:id="187"/>
      <w:r>
        <w:rPr>
          <w:snapToGrid w:val="0"/>
        </w:rPr>
        <w:t xml:space="preserve"> </w:t>
      </w:r>
    </w:p>
    <w:p>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pPr>
        <w:pStyle w:val="Heading3"/>
        <w:spacing w:before="200"/>
      </w:pPr>
      <w:bookmarkStart w:id="188" w:name="_Toc378327278"/>
      <w:bookmarkStart w:id="189" w:name="_Toc424112493"/>
      <w:bookmarkStart w:id="190" w:name="_Toc427923019"/>
      <w:bookmarkStart w:id="191" w:name="_Toc427933547"/>
      <w:r>
        <w:rPr>
          <w:rStyle w:val="CharDivNo"/>
        </w:rPr>
        <w:t>Division 6</w:t>
      </w:r>
      <w:r>
        <w:t> — </w:t>
      </w:r>
      <w:r>
        <w:rPr>
          <w:rStyle w:val="CharDivText"/>
        </w:rPr>
        <w:t>Information provided to prisoners</w:t>
      </w:r>
      <w:bookmarkEnd w:id="188"/>
      <w:bookmarkEnd w:id="189"/>
      <w:bookmarkEnd w:id="190"/>
      <w:bookmarkEnd w:id="191"/>
    </w:p>
    <w:p>
      <w:pPr>
        <w:pStyle w:val="Footnoteheading"/>
      </w:pPr>
      <w:r>
        <w:tab/>
        <w:t>[Heading inserted in Gazette 3 Apr 2007 p. 1496.]</w:t>
      </w:r>
    </w:p>
    <w:p>
      <w:pPr>
        <w:pStyle w:val="Heading5"/>
        <w:spacing w:before="160"/>
        <w:rPr>
          <w:snapToGrid w:val="0"/>
        </w:rPr>
      </w:pPr>
      <w:bookmarkStart w:id="192" w:name="_Toc378327279"/>
      <w:bookmarkStart w:id="193" w:name="_Toc427933548"/>
      <w:r>
        <w:rPr>
          <w:rStyle w:val="CharSectno"/>
        </w:rPr>
        <w:t>51</w:t>
      </w:r>
      <w:r>
        <w:rPr>
          <w:snapToGrid w:val="0"/>
        </w:rPr>
        <w:t>.</w:t>
      </w:r>
      <w:r>
        <w:rPr>
          <w:snapToGrid w:val="0"/>
        </w:rPr>
        <w:tab/>
        <w:t>Provision of information to prisoners</w:t>
      </w:r>
      <w:bookmarkEnd w:id="192"/>
      <w:bookmarkEnd w:id="193"/>
      <w:r>
        <w:rPr>
          <w:snapToGrid w:val="0"/>
        </w:rPr>
        <w:t xml:space="preserve"> </w:t>
      </w:r>
    </w:p>
    <w:p>
      <w:pPr>
        <w:pStyle w:val="Subsection"/>
        <w:spacing w:before="100"/>
        <w:rPr>
          <w:snapToGrid w:val="0"/>
        </w:rPr>
      </w:pPr>
      <w:r>
        <w:rPr>
          <w:snapToGrid w:val="0"/>
        </w:rPr>
        <w:tab/>
        <w:t>(1)</w:t>
      </w:r>
      <w:r>
        <w:rPr>
          <w:snapToGrid w:val="0"/>
        </w:rPr>
        <w:tab/>
        <w:t>A prisoner who so requests shall at a time convenient to the superintendent be informed of — </w:t>
      </w:r>
    </w:p>
    <w:p>
      <w:pPr>
        <w:pStyle w:val="Indenta"/>
        <w:spacing w:before="60"/>
        <w:rPr>
          <w:snapToGrid w:val="0"/>
        </w:rPr>
      </w:pPr>
      <w:r>
        <w:rPr>
          <w:snapToGrid w:val="0"/>
        </w:rPr>
        <w:tab/>
        <w:t>(a)</w:t>
      </w:r>
      <w:r>
        <w:rPr>
          <w:snapToGrid w:val="0"/>
        </w:rPr>
        <w:tab/>
        <w:t>the contents of the warrant or other instrument by which he is held in custody;</w:t>
      </w:r>
    </w:p>
    <w:p>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pPr>
        <w:pStyle w:val="Indenta"/>
        <w:rPr>
          <w:snapToGrid w:val="0"/>
        </w:rPr>
      </w:pPr>
      <w:r>
        <w:rPr>
          <w:snapToGrid w:val="0"/>
        </w:rPr>
        <w:tab/>
        <w:t>(c)</w:t>
      </w:r>
      <w:r>
        <w:rPr>
          <w:snapToGrid w:val="0"/>
        </w:rPr>
        <w:tab/>
        <w:t>the information recorded on his gratuity card; and</w:t>
      </w:r>
    </w:p>
    <w:p>
      <w:pPr>
        <w:pStyle w:val="Indenta"/>
        <w:rPr>
          <w:snapToGrid w:val="0"/>
        </w:rPr>
      </w:pPr>
      <w:r>
        <w:rPr>
          <w:snapToGrid w:val="0"/>
        </w:rPr>
        <w:tab/>
        <w:t>(d)</w:t>
      </w:r>
      <w:r>
        <w:rPr>
          <w:snapToGrid w:val="0"/>
        </w:rPr>
        <w:tab/>
        <w:t>the details contained in the records referred to in regulations 35 and 46.</w:t>
      </w:r>
    </w:p>
    <w:p>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pPr>
        <w:pStyle w:val="Heading3"/>
      </w:pPr>
      <w:bookmarkStart w:id="194" w:name="_Toc378327280"/>
      <w:bookmarkStart w:id="195" w:name="_Toc424112495"/>
      <w:bookmarkStart w:id="196" w:name="_Toc427923021"/>
      <w:bookmarkStart w:id="197" w:name="_Toc427933549"/>
      <w:r>
        <w:rPr>
          <w:rStyle w:val="CharDivNo"/>
        </w:rPr>
        <w:t>Division 7</w:t>
      </w:r>
      <w:r>
        <w:t> — </w:t>
      </w:r>
      <w:r>
        <w:rPr>
          <w:rStyle w:val="CharDivText"/>
        </w:rPr>
        <w:t>Visitors</w:t>
      </w:r>
      <w:bookmarkEnd w:id="194"/>
      <w:bookmarkEnd w:id="195"/>
      <w:bookmarkEnd w:id="196"/>
      <w:bookmarkEnd w:id="197"/>
    </w:p>
    <w:p>
      <w:pPr>
        <w:pStyle w:val="Footnoteheading"/>
      </w:pPr>
      <w:r>
        <w:tab/>
        <w:t>[Heading inserted in Gazette 3 Apr 2007 p. 1496.]</w:t>
      </w:r>
    </w:p>
    <w:p>
      <w:pPr>
        <w:pStyle w:val="Heading5"/>
        <w:spacing w:before="180"/>
        <w:rPr>
          <w:snapToGrid w:val="0"/>
        </w:rPr>
      </w:pPr>
      <w:bookmarkStart w:id="198" w:name="_Toc378327281"/>
      <w:bookmarkStart w:id="199" w:name="_Toc427933550"/>
      <w:r>
        <w:rPr>
          <w:rStyle w:val="CharSectno"/>
        </w:rPr>
        <w:t>52</w:t>
      </w:r>
      <w:r>
        <w:rPr>
          <w:snapToGrid w:val="0"/>
        </w:rPr>
        <w:t>.</w:t>
      </w:r>
      <w:r>
        <w:rPr>
          <w:snapToGrid w:val="0"/>
        </w:rPr>
        <w:tab/>
        <w:t>Visits to sentenced prisoners</w:t>
      </w:r>
      <w:bookmarkEnd w:id="198"/>
      <w:bookmarkEnd w:id="199"/>
      <w:r>
        <w:rPr>
          <w:snapToGrid w:val="0"/>
        </w:rPr>
        <w:t xml:space="preserve"> </w:t>
      </w:r>
    </w:p>
    <w:p>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weekly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 xml:space="preserve">[Regulation 52 amended in Gazette 22 Apr 1983 p. 1250; 30 Jun 2003 p. 2625.] </w:t>
      </w:r>
    </w:p>
    <w:p>
      <w:pPr>
        <w:pStyle w:val="Heading5"/>
        <w:spacing w:before="180"/>
        <w:rPr>
          <w:snapToGrid w:val="0"/>
        </w:rPr>
      </w:pPr>
      <w:bookmarkStart w:id="200" w:name="_Toc378327282"/>
      <w:bookmarkStart w:id="201" w:name="_Toc427933551"/>
      <w:r>
        <w:rPr>
          <w:rStyle w:val="CharSectno"/>
        </w:rPr>
        <w:t>53</w:t>
      </w:r>
      <w:r>
        <w:rPr>
          <w:snapToGrid w:val="0"/>
        </w:rPr>
        <w:t>.</w:t>
      </w:r>
      <w:r>
        <w:rPr>
          <w:snapToGrid w:val="0"/>
        </w:rPr>
        <w:tab/>
        <w:t>Visits — general</w:t>
      </w:r>
      <w:bookmarkEnd w:id="200"/>
      <w:bookmarkEnd w:id="201"/>
      <w:r>
        <w:rPr>
          <w:snapToGrid w:val="0"/>
        </w:rPr>
        <w:t xml:space="preserve"> </w:t>
      </w:r>
    </w:p>
    <w:p>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pPr>
        <w:pStyle w:val="Subsection"/>
        <w:spacing w:before="120"/>
        <w:rPr>
          <w:snapToGrid w:val="0"/>
        </w:rPr>
      </w:pPr>
      <w:r>
        <w:rPr>
          <w:snapToGrid w:val="0"/>
        </w:rPr>
        <w:tab/>
        <w:t>(2)</w:t>
      </w:r>
      <w:r>
        <w:rPr>
          <w:snapToGrid w:val="0"/>
        </w:rPr>
        <w:tab/>
        <w:t>Subject to section 63 of the Act a prisoner may refuse to see or to speak to any visitor.</w:t>
      </w:r>
    </w:p>
    <w:p>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pPr>
        <w:pStyle w:val="Footnotesection"/>
        <w:spacing w:before="100"/>
        <w:ind w:left="890" w:hanging="890"/>
      </w:pPr>
      <w:r>
        <w:tab/>
        <w:t>[Regulation 53 amended in Gazette 2 Nov 1999 p. 5474.]</w:t>
      </w:r>
    </w:p>
    <w:p>
      <w:pPr>
        <w:pStyle w:val="Heading5"/>
        <w:spacing w:before="180"/>
        <w:rPr>
          <w:snapToGrid w:val="0"/>
        </w:rPr>
      </w:pPr>
      <w:bookmarkStart w:id="202" w:name="_Toc378327283"/>
      <w:bookmarkStart w:id="203" w:name="_Toc427933552"/>
      <w:r>
        <w:rPr>
          <w:rStyle w:val="CharSectno"/>
        </w:rPr>
        <w:t>53A</w:t>
      </w:r>
      <w:r>
        <w:rPr>
          <w:snapToGrid w:val="0"/>
        </w:rPr>
        <w:t>.</w:t>
      </w:r>
      <w:r>
        <w:rPr>
          <w:snapToGrid w:val="0"/>
        </w:rPr>
        <w:tab/>
        <w:t>Visitors may be required to produce evidence of identity</w:t>
      </w:r>
      <w:bookmarkEnd w:id="202"/>
      <w:bookmarkEnd w:id="203"/>
      <w:r>
        <w:rPr>
          <w:snapToGrid w:val="0"/>
        </w:rPr>
        <w:t xml:space="preserve"> </w:t>
      </w:r>
    </w:p>
    <w:p>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pPr>
        <w:pStyle w:val="Subsection"/>
        <w:spacing w:before="120"/>
        <w:rPr>
          <w:snapToGrid w:val="0"/>
        </w:rPr>
      </w:pPr>
      <w:r>
        <w:rPr>
          <w:snapToGrid w:val="0"/>
        </w:rPr>
        <w:tab/>
        <w:t>(2)</w:t>
      </w:r>
      <w:r>
        <w:rPr>
          <w:snapToGrid w:val="0"/>
        </w:rPr>
        <w:tab/>
        <w:t xml:space="preserve">In subregulation (1) — </w:t>
      </w:r>
    </w:p>
    <w:p>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pPr>
        <w:pStyle w:val="Footnotesection"/>
        <w:spacing w:before="100"/>
        <w:ind w:left="890" w:hanging="890"/>
      </w:pPr>
      <w:r>
        <w:tab/>
        <w:t xml:space="preserve">[Regulation 53A inserted in Gazette 19 Mar 1996 p. 1241.] </w:t>
      </w:r>
    </w:p>
    <w:p>
      <w:pPr>
        <w:pStyle w:val="Heading5"/>
      </w:pPr>
      <w:bookmarkStart w:id="204" w:name="_Toc378327284"/>
      <w:bookmarkStart w:id="205" w:name="_Toc427933553"/>
      <w:r>
        <w:rPr>
          <w:rStyle w:val="CharSectno"/>
        </w:rPr>
        <w:t>53B</w:t>
      </w:r>
      <w:r>
        <w:t>.</w:t>
      </w:r>
      <w:r>
        <w:tab/>
        <w:t>Confirmation of visitor’s identity</w:t>
      </w:r>
      <w:bookmarkEnd w:id="204"/>
      <w:bookmarkEnd w:id="205"/>
    </w:p>
    <w:p>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pPr>
        <w:pStyle w:val="Subsection"/>
      </w:pPr>
      <w:r>
        <w:tab/>
        <w:t>(2)</w:t>
      </w:r>
      <w:r>
        <w:tab/>
        <w:t xml:space="preserve">A prison cannot be specified for the purposes of subregulation (1) unless equipment required for the method of identity confirmation is in place at that prison. </w:t>
      </w:r>
    </w:p>
    <w:p>
      <w:pPr>
        <w:pStyle w:val="Subsection"/>
      </w:pPr>
      <w:r>
        <w:tab/>
        <w:t>(3)</w:t>
      </w:r>
      <w:r>
        <w:tab/>
        <w:t>A person who refuses or otherwise fails to undergo initial identity confirmation when required to do so may be refused entry to the prison.</w:t>
      </w:r>
    </w:p>
    <w:p>
      <w:pPr>
        <w:pStyle w:val="Ednotesubsection"/>
      </w:pPr>
      <w:r>
        <w:tab/>
        <w:t>[(4)</w:t>
      </w:r>
      <w:r>
        <w:tab/>
        <w:t>deleted]</w:t>
      </w:r>
    </w:p>
    <w:p>
      <w:pPr>
        <w:pStyle w:val="Footnotesection"/>
      </w:pPr>
      <w:r>
        <w:tab/>
        <w:t>[Regulation 53B inserted in Gazette 28 Mar 2008 p. 907</w:t>
      </w:r>
      <w:r>
        <w:noBreakHyphen/>
        <w:t>8; amended in Gazette 28 Nov 2008 p. 5030.]</w:t>
      </w:r>
    </w:p>
    <w:p>
      <w:pPr>
        <w:pStyle w:val="Heading5"/>
        <w:spacing w:before="180"/>
        <w:rPr>
          <w:snapToGrid w:val="0"/>
        </w:rPr>
      </w:pPr>
      <w:bookmarkStart w:id="206" w:name="_Toc378327285"/>
      <w:bookmarkStart w:id="207" w:name="_Toc427933554"/>
      <w:r>
        <w:rPr>
          <w:rStyle w:val="CharSectno"/>
        </w:rPr>
        <w:t>54</w:t>
      </w:r>
      <w:r>
        <w:rPr>
          <w:snapToGrid w:val="0"/>
        </w:rPr>
        <w:t>.</w:t>
      </w:r>
      <w:r>
        <w:rPr>
          <w:snapToGrid w:val="0"/>
        </w:rPr>
        <w:tab/>
        <w:t>Form of visitor’s declaration</w:t>
      </w:r>
      <w:bookmarkEnd w:id="206"/>
      <w:bookmarkEnd w:id="207"/>
      <w:r>
        <w:rPr>
          <w:snapToGrid w:val="0"/>
        </w:rPr>
        <w:t xml:space="preserve"> </w:t>
      </w:r>
    </w:p>
    <w:p>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pPr>
        <w:pStyle w:val="Ednotesection"/>
      </w:pPr>
      <w:r>
        <w:t>[</w:t>
      </w:r>
      <w:r>
        <w:rPr>
          <w:b/>
          <w:bCs/>
        </w:rPr>
        <w:t>54A.</w:t>
      </w:r>
      <w:r>
        <w:tab/>
        <w:t>Deleted in Gazette 3 Apr 2007 p. 1496.]</w:t>
      </w:r>
    </w:p>
    <w:p>
      <w:pPr>
        <w:pStyle w:val="Heading5"/>
      </w:pPr>
      <w:bookmarkStart w:id="208" w:name="_Toc378327286"/>
      <w:bookmarkStart w:id="209" w:name="_Toc427933555"/>
      <w:r>
        <w:rPr>
          <w:rStyle w:val="CharSectno"/>
        </w:rPr>
        <w:t>54B</w:t>
      </w:r>
      <w:r>
        <w:t>.</w:t>
      </w:r>
      <w:r>
        <w:tab/>
        <w:t>Circumstances in which and periods for which persons may be banned from prison visits</w:t>
      </w:r>
      <w:bookmarkEnd w:id="208"/>
      <w:bookmarkEnd w:id="209"/>
    </w:p>
    <w:p>
      <w:pPr>
        <w:pStyle w:val="Subsection"/>
      </w:pPr>
      <w:r>
        <w:tab/>
        <w:t>(1)</w:t>
      </w:r>
      <w:r>
        <w:tab/>
        <w:t>This regulation applies to a person who wishes to visit or have access to and speak to a prisoner under section 59, 64 or 65 of the Act.</w:t>
      </w:r>
    </w:p>
    <w:p>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trPr>
          <w:tblHeader/>
        </w:trPr>
        <w:tc>
          <w:tcPr>
            <w:tcW w:w="3960" w:type="dxa"/>
            <w:tcBorders>
              <w:top w:val="single" w:sz="4" w:space="0" w:color="auto"/>
              <w:bottom w:val="single" w:sz="4" w:space="0" w:color="auto"/>
            </w:tcBorders>
          </w:tcPr>
          <w:p>
            <w:pPr>
              <w:pStyle w:val="zTablet"/>
              <w:jc w:val="center"/>
              <w:rPr>
                <w:b/>
              </w:rPr>
            </w:pPr>
            <w:r>
              <w:rPr>
                <w:b/>
              </w:rPr>
              <w:t>Column 1</w:t>
            </w:r>
          </w:p>
          <w:p>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pPr>
              <w:pStyle w:val="zTablet"/>
              <w:jc w:val="center"/>
              <w:rPr>
                <w:b/>
              </w:rPr>
            </w:pPr>
            <w:r>
              <w:rPr>
                <w:b/>
              </w:rPr>
              <w:t>Column 2</w:t>
            </w:r>
          </w:p>
          <w:p>
            <w:pPr>
              <w:pStyle w:val="zTablet"/>
              <w:jc w:val="center"/>
              <w:rPr>
                <w:b/>
              </w:rPr>
            </w:pPr>
            <w:r>
              <w:rPr>
                <w:b/>
              </w:rPr>
              <w:t>Maximum period for which a person may be banned from visiting a prison</w:t>
            </w:r>
          </w:p>
        </w:tc>
      </w:tr>
      <w:tr>
        <w:trPr>
          <w:cantSplit/>
        </w:trPr>
        <w:tc>
          <w:tcPr>
            <w:tcW w:w="3960" w:type="dxa"/>
          </w:tcPr>
          <w:p>
            <w:pPr>
              <w:pStyle w:val="zTablet"/>
            </w:pPr>
            <w:r>
              <w:t>The person is a serious security risk to a prison or the prison system.</w:t>
            </w:r>
          </w:p>
        </w:tc>
        <w:tc>
          <w:tcPr>
            <w:tcW w:w="2400" w:type="dxa"/>
          </w:tcPr>
          <w:p>
            <w:pPr>
              <w:pStyle w:val="zTablet"/>
              <w:jc w:val="center"/>
            </w:pPr>
            <w:r>
              <w:br/>
              <w:t>12 months</w:t>
            </w:r>
          </w:p>
        </w:tc>
      </w:tr>
      <w:tr>
        <w:trPr>
          <w:cantSplit/>
        </w:trPr>
        <w:tc>
          <w:tcPr>
            <w:tcW w:w="3960" w:type="dxa"/>
          </w:tcPr>
          <w:p>
            <w:pPr>
              <w:pStyle w:val="zTablet"/>
            </w:pPr>
            <w:r>
              <w:t>The person has attempted to take a weapon into a prison.</w:t>
            </w:r>
          </w:p>
        </w:tc>
        <w:tc>
          <w:tcPr>
            <w:tcW w:w="2400" w:type="dxa"/>
          </w:tcPr>
          <w:p>
            <w:pPr>
              <w:pStyle w:val="zTablet"/>
              <w:jc w:val="center"/>
            </w:pPr>
            <w:r>
              <w:br/>
              <w:t>12 months</w:t>
            </w:r>
          </w:p>
        </w:tc>
      </w:tr>
      <w:tr>
        <w:trPr>
          <w:cantSplit/>
        </w:trPr>
        <w:tc>
          <w:tcPr>
            <w:tcW w:w="3960" w:type="dxa"/>
          </w:tcPr>
          <w:p>
            <w:pPr>
              <w:pStyle w:val="zTablet"/>
            </w:pPr>
            <w:r>
              <w:t>The person has attempted to take an unauthorised item other than a weapon into a prison.</w:t>
            </w:r>
          </w:p>
        </w:tc>
        <w:tc>
          <w:tcPr>
            <w:tcW w:w="2400" w:type="dxa"/>
          </w:tcPr>
          <w:p>
            <w:pPr>
              <w:pStyle w:val="zTablet"/>
              <w:jc w:val="center"/>
            </w:pPr>
            <w:r>
              <w:br/>
            </w:r>
            <w:r>
              <w:br/>
              <w:t>6 months</w:t>
            </w:r>
          </w:p>
        </w:tc>
      </w:tr>
      <w:tr>
        <w:trPr>
          <w:cantSplit/>
        </w:trPr>
        <w:tc>
          <w:tcPr>
            <w:tcW w:w="3960" w:type="dxa"/>
          </w:tcPr>
          <w:p>
            <w:pPr>
              <w:pStyle w:val="zTablet"/>
            </w:pPr>
            <w:r>
              <w:t>The person has threatened or assaulted a contractor, medical officer, officer, prison officer or subcontractor while that person was carrying out functions under the Act.</w:t>
            </w:r>
          </w:p>
        </w:tc>
        <w:tc>
          <w:tcPr>
            <w:tcW w:w="2400" w:type="dxa"/>
          </w:tcPr>
          <w:p>
            <w:pPr>
              <w:pStyle w:val="zTablet"/>
              <w:jc w:val="center"/>
            </w:pPr>
            <w:r>
              <w:br/>
            </w:r>
            <w:r>
              <w:br/>
            </w:r>
            <w:r>
              <w:br/>
              <w:t>12 months</w:t>
            </w:r>
          </w:p>
        </w:tc>
      </w:tr>
      <w:tr>
        <w:trPr>
          <w:cantSplit/>
        </w:trPr>
        <w:tc>
          <w:tcPr>
            <w:tcW w:w="3960" w:type="dxa"/>
          </w:tcPr>
          <w:p>
            <w:pPr>
              <w:pStyle w:val="zTablet"/>
            </w:pPr>
            <w:r>
              <w:t>The person has threatened to harm or has harmed a dog used to search visitors to prisoners or prisons.</w:t>
            </w:r>
          </w:p>
        </w:tc>
        <w:tc>
          <w:tcPr>
            <w:tcW w:w="2400" w:type="dxa"/>
          </w:tcPr>
          <w:p>
            <w:pPr>
              <w:pStyle w:val="zTablet"/>
              <w:jc w:val="center"/>
            </w:pPr>
            <w:r>
              <w:br/>
            </w:r>
            <w:r>
              <w:br/>
              <w:t>6 months</w:t>
            </w:r>
          </w:p>
        </w:tc>
      </w:tr>
      <w:tr>
        <w:trPr>
          <w:cantSplit/>
        </w:trPr>
        <w:tc>
          <w:tcPr>
            <w:tcW w:w="3960" w:type="dxa"/>
          </w:tcPr>
          <w:p>
            <w:pPr>
              <w:pStyle w:val="zTablet"/>
            </w:pPr>
            <w:r>
              <w:t>The person has coerced or attempted to coerce a visitor to a prisoner to contravene section 50(1) of the Act.</w:t>
            </w:r>
          </w:p>
        </w:tc>
        <w:tc>
          <w:tcPr>
            <w:tcW w:w="2400" w:type="dxa"/>
          </w:tcPr>
          <w:p>
            <w:pPr>
              <w:pStyle w:val="zTablet"/>
              <w:jc w:val="center"/>
            </w:pPr>
            <w:r>
              <w:br/>
            </w:r>
            <w:r>
              <w:br/>
              <w:t>12 months</w:t>
            </w:r>
          </w:p>
        </w:tc>
      </w:tr>
      <w:tr>
        <w:trPr>
          <w:cantSplit/>
        </w:trPr>
        <w:tc>
          <w:tcPr>
            <w:tcW w:w="3960" w:type="dxa"/>
          </w:tcPr>
          <w:p>
            <w:pPr>
              <w:pStyle w:val="zTablet"/>
            </w:pPr>
            <w:r>
              <w:t xml:space="preserve">The person is the subject of a charge relating to or has been convicted of an offence under the following provisions — </w:t>
            </w:r>
          </w:p>
        </w:tc>
        <w:tc>
          <w:tcPr>
            <w:tcW w:w="2400" w:type="dxa"/>
          </w:tcPr>
          <w:p>
            <w:pPr>
              <w:pStyle w:val="zTablet"/>
              <w:jc w:val="center"/>
            </w:pPr>
          </w:p>
        </w:tc>
      </w:tr>
      <w:tr>
        <w:trPr>
          <w:cantSplit/>
        </w:trPr>
        <w:tc>
          <w:tcPr>
            <w:tcW w:w="3960" w:type="dxa"/>
          </w:tcPr>
          <w:p>
            <w:pPr>
              <w:pStyle w:val="zTablet"/>
            </w:pPr>
            <w:r>
              <w:rPr>
                <w:i/>
              </w:rPr>
              <w:t>Court Security and Custodial Services Act 1999</w:t>
            </w:r>
            <w:r>
              <w:t xml:space="preserve"> section 90 or 91</w:t>
            </w:r>
          </w:p>
        </w:tc>
        <w:tc>
          <w:tcPr>
            <w:tcW w:w="2400" w:type="dxa"/>
          </w:tcPr>
          <w:p>
            <w:pPr>
              <w:pStyle w:val="zTablet"/>
              <w:jc w:val="center"/>
            </w:pPr>
            <w:r>
              <w:br/>
              <w:t>12 months</w:t>
            </w:r>
          </w:p>
        </w:tc>
      </w:tr>
      <w:tr>
        <w:trPr>
          <w:cantSplit/>
        </w:trPr>
        <w:tc>
          <w:tcPr>
            <w:tcW w:w="3960" w:type="dxa"/>
          </w:tcPr>
          <w:p>
            <w:pPr>
              <w:pStyle w:val="zTablet"/>
            </w:pPr>
            <w:r>
              <w:rPr>
                <w:i/>
              </w:rPr>
              <w:t>Court Security and Custodial Services Act 1999</w:t>
            </w:r>
            <w:r>
              <w:t xml:space="preserve"> section 92</w:t>
            </w:r>
          </w:p>
        </w:tc>
        <w:tc>
          <w:tcPr>
            <w:tcW w:w="2400" w:type="dxa"/>
          </w:tcPr>
          <w:p>
            <w:pPr>
              <w:pStyle w:val="zTablet"/>
              <w:jc w:val="center"/>
            </w:pPr>
            <w:r>
              <w:br/>
              <w:t>6 months</w:t>
            </w:r>
          </w:p>
        </w:tc>
      </w:tr>
      <w:tr>
        <w:trPr>
          <w:cantSplit/>
        </w:trPr>
        <w:tc>
          <w:tcPr>
            <w:tcW w:w="3960" w:type="dxa"/>
          </w:tcPr>
          <w:p>
            <w:pPr>
              <w:pStyle w:val="zTablet"/>
            </w:pPr>
            <w:r>
              <w:rPr>
                <w:i/>
              </w:rPr>
              <w:t>Prisons Act 1981</w:t>
            </w:r>
            <w:r>
              <w:t xml:space="preserve"> section 49(6)</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50(1)(a)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50(2)</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50(3)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52(1)(a) or (b)</w:t>
            </w:r>
          </w:p>
        </w:tc>
        <w:tc>
          <w:tcPr>
            <w:tcW w:w="2400" w:type="dxa"/>
          </w:tcPr>
          <w:p>
            <w:pPr>
              <w:pStyle w:val="zTablet"/>
              <w:jc w:val="center"/>
            </w:pPr>
            <w:r>
              <w:t>6 months</w:t>
            </w:r>
          </w:p>
        </w:tc>
      </w:tr>
      <w:tr>
        <w:trPr>
          <w:cantSplit/>
        </w:trPr>
        <w:tc>
          <w:tcPr>
            <w:tcW w:w="3960" w:type="dxa"/>
          </w:tcPr>
          <w:p>
            <w:pPr>
              <w:pStyle w:val="zTablet"/>
            </w:pPr>
            <w:r>
              <w:rPr>
                <w:i/>
              </w:rPr>
              <w:t>Prisons Act 1981</w:t>
            </w:r>
            <w:r>
              <w:t xml:space="preserve"> section 52(3)</w:t>
            </w:r>
          </w:p>
        </w:tc>
        <w:tc>
          <w:tcPr>
            <w:tcW w:w="2400" w:type="dxa"/>
          </w:tcPr>
          <w:p>
            <w:pPr>
              <w:pStyle w:val="zTablet"/>
              <w:jc w:val="center"/>
            </w:pPr>
            <w:r>
              <w:t>3 months</w:t>
            </w:r>
          </w:p>
        </w:tc>
      </w:tr>
      <w:tr>
        <w:trPr>
          <w:cantSplit/>
        </w:trPr>
        <w:tc>
          <w:tcPr>
            <w:tcW w:w="3960" w:type="dxa"/>
          </w:tcPr>
          <w:p>
            <w:pPr>
              <w:pStyle w:val="zTablet"/>
            </w:pPr>
            <w:r>
              <w:rPr>
                <w:i/>
              </w:rPr>
              <w:t>Prisons Act 1981</w:t>
            </w:r>
            <w:r>
              <w:t xml:space="preserve"> section 52(4)(a) or (b)</w:t>
            </w:r>
          </w:p>
        </w:tc>
        <w:tc>
          <w:tcPr>
            <w:tcW w:w="2400" w:type="dxa"/>
          </w:tcPr>
          <w:p>
            <w:pPr>
              <w:pStyle w:val="zTablet"/>
              <w:jc w:val="center"/>
            </w:pPr>
            <w:r>
              <w:t>12 months</w:t>
            </w:r>
          </w:p>
        </w:tc>
      </w:tr>
      <w:tr>
        <w:trPr>
          <w:cantSplit/>
        </w:trPr>
        <w:tc>
          <w:tcPr>
            <w:tcW w:w="3960" w:type="dxa"/>
          </w:tcPr>
          <w:p>
            <w:pPr>
              <w:pStyle w:val="zTablet"/>
            </w:pPr>
            <w:r>
              <w:rPr>
                <w:i/>
              </w:rPr>
              <w:t>Prisons Act 1981</w:t>
            </w:r>
            <w:r>
              <w:t xml:space="preserve"> section 60(4)</w:t>
            </w:r>
          </w:p>
        </w:tc>
        <w:tc>
          <w:tcPr>
            <w:tcW w:w="2400" w:type="dxa"/>
          </w:tcPr>
          <w:p>
            <w:pPr>
              <w:pStyle w:val="zTablet"/>
              <w:jc w:val="center"/>
            </w:pPr>
            <w:r>
              <w:t>3 months</w:t>
            </w:r>
          </w:p>
        </w:tc>
      </w:tr>
      <w:tr>
        <w:trPr>
          <w:cantSplit/>
        </w:trPr>
        <w:tc>
          <w:tcPr>
            <w:tcW w:w="3960" w:type="dxa"/>
          </w:tcPr>
          <w:p>
            <w:pPr>
              <w:pStyle w:val="zTablet"/>
            </w:pPr>
            <w:r>
              <w:rPr>
                <w:i/>
              </w:rPr>
              <w:t>The Criminal Code</w:t>
            </w:r>
            <w:r>
              <w:t xml:space="preserve"> section 145</w:t>
            </w:r>
          </w:p>
        </w:tc>
        <w:tc>
          <w:tcPr>
            <w:tcW w:w="2400" w:type="dxa"/>
          </w:tcPr>
          <w:p>
            <w:pPr>
              <w:pStyle w:val="zTablet"/>
              <w:jc w:val="center"/>
            </w:pPr>
            <w:r>
              <w:t>12 months</w:t>
            </w:r>
          </w:p>
        </w:tc>
      </w:tr>
      <w:tr>
        <w:trPr>
          <w:cantSplit/>
        </w:trPr>
        <w:tc>
          <w:tcPr>
            <w:tcW w:w="3960" w:type="dxa"/>
          </w:tcPr>
          <w:p>
            <w:pPr>
              <w:pStyle w:val="zTablet"/>
            </w:pPr>
            <w:r>
              <w:rPr>
                <w:i/>
              </w:rPr>
              <w:t>Young Offenders Act 1994</w:t>
            </w:r>
            <w:r>
              <w:t xml:space="preserve"> section 191 or 192</w:t>
            </w:r>
          </w:p>
        </w:tc>
        <w:tc>
          <w:tcPr>
            <w:tcW w:w="2400" w:type="dxa"/>
          </w:tcPr>
          <w:p>
            <w:pPr>
              <w:pStyle w:val="zTablet"/>
              <w:jc w:val="center"/>
            </w:pPr>
            <w:r>
              <w:br/>
              <w:t>6 months</w:t>
            </w:r>
          </w:p>
        </w:tc>
      </w:tr>
      <w:tr>
        <w:trPr>
          <w:cantSplit/>
        </w:trPr>
        <w:tc>
          <w:tcPr>
            <w:tcW w:w="3960" w:type="dxa"/>
            <w:tcBorders>
              <w:bottom w:val="single" w:sz="4" w:space="0" w:color="auto"/>
            </w:tcBorders>
          </w:tcPr>
          <w:p>
            <w:pPr>
              <w:pStyle w:val="zTablet"/>
              <w:rPr>
                <w:i/>
              </w:rPr>
            </w:pPr>
            <w:r>
              <w:rPr>
                <w:i/>
              </w:rPr>
              <w:t>Young Offenders Act 1994</w:t>
            </w:r>
            <w:r>
              <w:t xml:space="preserve"> section 193(2) or 194</w:t>
            </w:r>
          </w:p>
        </w:tc>
        <w:tc>
          <w:tcPr>
            <w:tcW w:w="2400" w:type="dxa"/>
            <w:tcBorders>
              <w:bottom w:val="single" w:sz="4" w:space="0" w:color="auto"/>
            </w:tcBorders>
          </w:tcPr>
          <w:p>
            <w:pPr>
              <w:pStyle w:val="zTablet"/>
              <w:jc w:val="center"/>
            </w:pPr>
            <w:r>
              <w:br/>
              <w:t>12 months</w:t>
            </w:r>
          </w:p>
        </w:tc>
      </w:tr>
    </w:tbl>
    <w:p>
      <w:pPr>
        <w:pStyle w:val="Footnotesection"/>
      </w:pPr>
      <w:r>
        <w:tab/>
        <w:t>[Regulation 54B inserted in Gazette 11 Jun 2004 p. 2000</w:t>
      </w:r>
      <w:r>
        <w:noBreakHyphen/>
        <w:t>1.]</w:t>
      </w:r>
    </w:p>
    <w:p>
      <w:pPr>
        <w:pStyle w:val="Heading5"/>
      </w:pPr>
      <w:bookmarkStart w:id="210" w:name="_Toc378327287"/>
      <w:bookmarkStart w:id="211" w:name="_Toc427933556"/>
      <w:r>
        <w:rPr>
          <w:rStyle w:val="CharSectno"/>
        </w:rPr>
        <w:t>54BA</w:t>
      </w:r>
      <w:r>
        <w:t>.</w:t>
      </w:r>
      <w:r>
        <w:tab/>
        <w:t>Reasons that are not required to be given for the purposes of section 66(6) of the Act</w:t>
      </w:r>
      <w:bookmarkEnd w:id="210"/>
      <w:bookmarkEnd w:id="211"/>
    </w:p>
    <w:p>
      <w:pPr>
        <w:pStyle w:val="Subsection"/>
      </w:pPr>
      <w:r>
        <w:tab/>
      </w:r>
      <w:r>
        <w:tab/>
        <w:t>For the purposes of section 66(7)(b) of the Act, the reasons listed in the Table to this regulation are prescribed as reasons that the chief executive officer is not required to give under section 66(6) of the Act.</w:t>
      </w:r>
    </w:p>
    <w:p>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trPr>
          <w:cantSplit/>
        </w:trPr>
        <w:tc>
          <w:tcPr>
            <w:tcW w:w="6480" w:type="dxa"/>
          </w:tcPr>
          <w:p>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trPr>
          <w:cantSplit/>
        </w:trPr>
        <w:tc>
          <w:tcPr>
            <w:tcW w:w="6480" w:type="dxa"/>
          </w:tcPr>
          <w:p>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trPr>
          <w:cantSplit/>
        </w:trPr>
        <w:tc>
          <w:tcPr>
            <w:tcW w:w="6480" w:type="dxa"/>
          </w:tcPr>
          <w:p>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trPr>
          <w:cantSplit/>
        </w:trPr>
        <w:tc>
          <w:tcPr>
            <w:tcW w:w="6480" w:type="dxa"/>
          </w:tcPr>
          <w:p>
            <w:pPr>
              <w:pStyle w:val="zTablet"/>
              <w:rPr>
                <w:sz w:val="24"/>
              </w:rPr>
            </w:pPr>
            <w:r>
              <w:rPr>
                <w:sz w:val="24"/>
              </w:rPr>
              <w:t>Giving the reason could reasonably be expected to prejudice the fair trial of a person or the impartial adjudication of a disciplinary matter.</w:t>
            </w:r>
          </w:p>
        </w:tc>
      </w:tr>
      <w:tr>
        <w:trPr>
          <w:cantSplit/>
        </w:trPr>
        <w:tc>
          <w:tcPr>
            <w:tcW w:w="6480" w:type="dxa"/>
          </w:tcPr>
          <w:p>
            <w:pPr>
              <w:pStyle w:val="zTablet"/>
              <w:rPr>
                <w:sz w:val="24"/>
              </w:rPr>
            </w:pPr>
            <w:r>
              <w:rPr>
                <w:sz w:val="24"/>
              </w:rPr>
              <w:t>Giving the reason could reasonably be expected to endanger the life or physical safety of a person.</w:t>
            </w:r>
          </w:p>
        </w:tc>
      </w:tr>
      <w:tr>
        <w:trPr>
          <w:cantSplit/>
        </w:trPr>
        <w:tc>
          <w:tcPr>
            <w:tcW w:w="6480" w:type="dxa"/>
          </w:tcPr>
          <w:p>
            <w:pPr>
              <w:pStyle w:val="zTablet"/>
              <w:rPr>
                <w:sz w:val="24"/>
              </w:rPr>
            </w:pPr>
            <w:r>
              <w:rPr>
                <w:sz w:val="24"/>
              </w:rPr>
              <w:t>Giving the reason could reasonably be expected to endanger the security of property.</w:t>
            </w:r>
          </w:p>
        </w:tc>
      </w:tr>
      <w:tr>
        <w:trPr>
          <w:cantSplit/>
        </w:trPr>
        <w:tc>
          <w:tcPr>
            <w:tcW w:w="6480" w:type="dxa"/>
          </w:tcPr>
          <w:p>
            <w:pPr>
              <w:pStyle w:val="zTablet"/>
              <w:rPr>
                <w:sz w:val="24"/>
              </w:rPr>
            </w:pPr>
            <w:r>
              <w:rPr>
                <w:sz w:val="24"/>
              </w:rPr>
              <w:t>Giving the reason could reasonably be expected to prejudice the maintenance or enforcement of lawful measures to protect public safety.</w:t>
            </w:r>
          </w:p>
        </w:tc>
      </w:tr>
      <w:tr>
        <w:trPr>
          <w:cantSplit/>
        </w:trPr>
        <w:tc>
          <w:tcPr>
            <w:tcW w:w="6480" w:type="dxa"/>
          </w:tcPr>
          <w:p>
            <w:pPr>
              <w:pStyle w:val="zTablet"/>
              <w:rPr>
                <w:sz w:val="24"/>
              </w:rPr>
            </w:pPr>
            <w:r>
              <w:rPr>
                <w:sz w:val="24"/>
              </w:rPr>
              <w:t>Giving the reason could reasonably be expected to facilitate the escape of any person from lawful custody or endanger the security of a prison.</w:t>
            </w:r>
          </w:p>
        </w:tc>
      </w:tr>
    </w:tbl>
    <w:p>
      <w:pPr>
        <w:pStyle w:val="Footnotesection"/>
      </w:pPr>
      <w:r>
        <w:tab/>
        <w:t>[Regulation 54BA inserted in Gazette 11 Jun 2004 p. 2001</w:t>
      </w:r>
      <w:r>
        <w:noBreakHyphen/>
        <w:t>2.]</w:t>
      </w:r>
    </w:p>
    <w:p>
      <w:pPr>
        <w:pStyle w:val="Heading3"/>
      </w:pPr>
      <w:bookmarkStart w:id="212" w:name="_Toc378327288"/>
      <w:bookmarkStart w:id="213" w:name="_Toc424112503"/>
      <w:bookmarkStart w:id="214" w:name="_Toc427923029"/>
      <w:bookmarkStart w:id="215" w:name="_Toc427933557"/>
      <w:r>
        <w:rPr>
          <w:rStyle w:val="CharDivNo"/>
        </w:rPr>
        <w:t>Division 8</w:t>
      </w:r>
      <w:r>
        <w:t> — </w:t>
      </w:r>
      <w:r>
        <w:rPr>
          <w:rStyle w:val="CharDivText"/>
        </w:rPr>
        <w:t>Separation of prisoners</w:t>
      </w:r>
      <w:bookmarkEnd w:id="212"/>
      <w:bookmarkEnd w:id="213"/>
      <w:bookmarkEnd w:id="214"/>
      <w:bookmarkEnd w:id="215"/>
    </w:p>
    <w:p>
      <w:pPr>
        <w:pStyle w:val="Footnoteheading"/>
      </w:pPr>
      <w:r>
        <w:tab/>
        <w:t>[Heading inserted in Gazette 3 Apr 2007 p. 1496.]</w:t>
      </w:r>
    </w:p>
    <w:p>
      <w:pPr>
        <w:pStyle w:val="Heading5"/>
        <w:rPr>
          <w:snapToGrid w:val="0"/>
        </w:rPr>
      </w:pPr>
      <w:bookmarkStart w:id="216" w:name="_Toc378327289"/>
      <w:bookmarkStart w:id="217" w:name="_Toc427933558"/>
      <w:r>
        <w:rPr>
          <w:rStyle w:val="CharSectno"/>
        </w:rPr>
        <w:t>54C</w:t>
      </w:r>
      <w:r>
        <w:rPr>
          <w:snapToGrid w:val="0"/>
        </w:rPr>
        <w:t>.</w:t>
      </w:r>
      <w:r>
        <w:rPr>
          <w:snapToGrid w:val="0"/>
        </w:rPr>
        <w:tab/>
        <w:t>Separation of prisoners</w:t>
      </w:r>
      <w:bookmarkEnd w:id="216"/>
      <w:bookmarkEnd w:id="217"/>
      <w:r>
        <w:rPr>
          <w:snapToGrid w:val="0"/>
        </w:rPr>
        <w:t xml:space="preserve"> </w:t>
      </w:r>
    </w:p>
    <w:p>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pPr>
        <w:pStyle w:val="Indenta"/>
        <w:rPr>
          <w:snapToGrid w:val="0"/>
        </w:rPr>
      </w:pPr>
      <w:r>
        <w:rPr>
          <w:snapToGrid w:val="0"/>
        </w:rPr>
        <w:tab/>
        <w:t>(a)</w:t>
      </w:r>
      <w:r>
        <w:rPr>
          <w:snapToGrid w:val="0"/>
        </w:rPr>
        <w:tab/>
        <w:t>that prisoners of a particular category or description be confined in a separate part of the prison — </w:t>
      </w:r>
    </w:p>
    <w:p>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pPr>
        <w:pStyle w:val="Indenti"/>
        <w:rPr>
          <w:snapToGrid w:val="0"/>
        </w:rPr>
      </w:pPr>
      <w:r>
        <w:rPr>
          <w:snapToGrid w:val="0"/>
        </w:rPr>
        <w:tab/>
        <w:t>(ii)</w:t>
      </w:r>
      <w:r>
        <w:rPr>
          <w:snapToGrid w:val="0"/>
        </w:rPr>
        <w:tab/>
        <w:t>from time to time determine the prisoners who shall be confined in that part of the prison; and</w:t>
      </w:r>
    </w:p>
    <w:p>
      <w:pPr>
        <w:pStyle w:val="Indenti"/>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pPr>
        <w:pStyle w:val="Indenta"/>
        <w:rPr>
          <w:snapToGrid w:val="0"/>
        </w:rPr>
      </w:pPr>
      <w:r>
        <w:rPr>
          <w:snapToGrid w:val="0"/>
        </w:rPr>
        <w:tab/>
        <w:t>(b)</w:t>
      </w:r>
      <w:r>
        <w:rPr>
          <w:snapToGrid w:val="0"/>
        </w:rPr>
        <w:tab/>
        <w:t>that special provision be made for prisoners of a particular category or description — </w:t>
      </w:r>
    </w:p>
    <w:p>
      <w:pPr>
        <w:pStyle w:val="Indenti"/>
        <w:rPr>
          <w:snapToGrid w:val="0"/>
        </w:rPr>
      </w:pPr>
      <w:r>
        <w:rPr>
          <w:snapToGrid w:val="0"/>
        </w:rPr>
        <w:tab/>
        <w:t>(i)</w:t>
      </w:r>
      <w:r>
        <w:rPr>
          <w:snapToGrid w:val="0"/>
        </w:rPr>
        <w:tab/>
        <w:t>by order under section 35 of the Act make provision for the management, control, security and routine of such prisoners; and</w:t>
      </w:r>
    </w:p>
    <w:p>
      <w:pPr>
        <w:pStyle w:val="Indenti"/>
        <w:rPr>
          <w:snapToGrid w:val="0"/>
        </w:rPr>
      </w:pPr>
      <w:r>
        <w:rPr>
          <w:snapToGrid w:val="0"/>
        </w:rPr>
        <w:tab/>
        <w:t>(ii)</w:t>
      </w:r>
      <w:r>
        <w:rPr>
          <w:snapToGrid w:val="0"/>
        </w:rPr>
        <w:tab/>
        <w:t>from time to time determine the prisoners to whom those provisions shall apply.</w:t>
      </w:r>
    </w:p>
    <w:p>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pPr>
        <w:pStyle w:val="Indenta"/>
        <w:rPr>
          <w:snapToGrid w:val="0"/>
        </w:rPr>
      </w:pPr>
      <w:r>
        <w:rPr>
          <w:snapToGrid w:val="0"/>
        </w:rPr>
        <w:tab/>
        <w:t>(a)</w:t>
      </w:r>
      <w:r>
        <w:rPr>
          <w:snapToGrid w:val="0"/>
        </w:rPr>
        <w:tab/>
        <w:t>applicable in a part of a prison set aside under subregulation (1)(a)(i) and to the prisoners confined in that part; or</w:t>
      </w:r>
    </w:p>
    <w:p>
      <w:pPr>
        <w:pStyle w:val="Indenta"/>
        <w:rPr>
          <w:snapToGrid w:val="0"/>
        </w:rPr>
      </w:pPr>
      <w:r>
        <w:rPr>
          <w:snapToGrid w:val="0"/>
        </w:rPr>
        <w:tab/>
        <w:t>(b)</w:t>
      </w:r>
      <w:r>
        <w:rPr>
          <w:snapToGrid w:val="0"/>
        </w:rPr>
        <w:tab/>
        <w:t>applicable under subregulation (1)(b) to prisoners of a particular category or description,</w:t>
      </w:r>
    </w:p>
    <w:p>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pPr>
        <w:pStyle w:val="Footnotesection"/>
      </w:pPr>
      <w:r>
        <w:tab/>
        <w:t xml:space="preserve">[Regulation 54C inserted in Gazette 25 Mar 1988 p. 898; amended in Gazette 2 Nov 1999 p. 5475.] </w:t>
      </w:r>
    </w:p>
    <w:p>
      <w:pPr>
        <w:pStyle w:val="Heading3"/>
      </w:pPr>
      <w:bookmarkStart w:id="218" w:name="_Toc378327290"/>
      <w:bookmarkStart w:id="219" w:name="_Toc424112505"/>
      <w:bookmarkStart w:id="220" w:name="_Toc427923031"/>
      <w:bookmarkStart w:id="221" w:name="_Toc427933559"/>
      <w:r>
        <w:rPr>
          <w:rStyle w:val="CharDivNo"/>
        </w:rPr>
        <w:t>Division 9</w:t>
      </w:r>
      <w:r>
        <w:t> — </w:t>
      </w:r>
      <w:r>
        <w:rPr>
          <w:rStyle w:val="CharDivText"/>
        </w:rPr>
        <w:t>Absence permits</w:t>
      </w:r>
      <w:bookmarkEnd w:id="218"/>
      <w:bookmarkEnd w:id="219"/>
      <w:bookmarkEnd w:id="220"/>
      <w:bookmarkEnd w:id="221"/>
    </w:p>
    <w:p>
      <w:pPr>
        <w:pStyle w:val="Footnoteheading"/>
      </w:pPr>
      <w:r>
        <w:tab/>
        <w:t>[Heading inserted in Gazette 3 Apr 2007 p. 1496.]</w:t>
      </w:r>
    </w:p>
    <w:p>
      <w:pPr>
        <w:pStyle w:val="Heading5"/>
      </w:pPr>
      <w:bookmarkStart w:id="222" w:name="_Toc378327291"/>
      <w:bookmarkStart w:id="223" w:name="_Toc427933560"/>
      <w:r>
        <w:rPr>
          <w:rStyle w:val="CharSectno"/>
        </w:rPr>
        <w:t>54D</w:t>
      </w:r>
      <w:r>
        <w:t>.</w:t>
      </w:r>
      <w:r>
        <w:tab/>
        <w:t>Prescribed purposes or circumstances for absence permits</w:t>
      </w:r>
      <w:bookmarkEnd w:id="222"/>
      <w:bookmarkEnd w:id="223"/>
    </w:p>
    <w:p>
      <w:pPr>
        <w:pStyle w:val="Subsection"/>
      </w:pPr>
      <w:r>
        <w:tab/>
      </w:r>
      <w:r>
        <w:tab/>
        <w:t xml:space="preserve">For the purposes of section 83(3)(a) of the Act, a prescribed purpose is, or prescribed circumstances are — </w:t>
      </w:r>
    </w:p>
    <w:p>
      <w:pPr>
        <w:pStyle w:val="Indenta"/>
      </w:pPr>
      <w:r>
        <w:tab/>
        <w:t>(a)</w:t>
      </w:r>
      <w:r>
        <w:tab/>
        <w:t>facilitating the rehabilitation of a prisoner and the successful reintegration of the prisoner into the community;</w:t>
      </w:r>
    </w:p>
    <w:p>
      <w:pPr>
        <w:pStyle w:val="Indenta"/>
      </w:pPr>
      <w:r>
        <w:tab/>
        <w:t>(b)</w:t>
      </w:r>
      <w:r>
        <w:tab/>
        <w:t>facilitating the education and training of a prisoner;</w:t>
      </w:r>
    </w:p>
    <w:p>
      <w:pPr>
        <w:pStyle w:val="Indenta"/>
      </w:pPr>
      <w:r>
        <w:tab/>
        <w:t>(c)</w:t>
      </w:r>
      <w:r>
        <w:tab/>
        <w:t>facilitating the employment, or the preparation for employment, of a prisoner;</w:t>
      </w:r>
    </w:p>
    <w:p>
      <w:pPr>
        <w:pStyle w:val="Indenta"/>
      </w:pPr>
      <w:r>
        <w:tab/>
        <w:t>(d)</w:t>
      </w:r>
      <w:r>
        <w:tab/>
        <w:t>facilitating participation by a prisoner in community work or work associated with the operation of the prison;</w:t>
      </w:r>
    </w:p>
    <w:p>
      <w:pPr>
        <w:pStyle w:val="Indenta"/>
      </w:pPr>
      <w:r>
        <w:tab/>
        <w:t>(e)</w:t>
      </w:r>
      <w:r>
        <w:tab/>
        <w:t xml:space="preserve">facilitating the maintenance by a prisoner of cultural ties and enabling the prisoner to meet cultural obligations; </w:t>
      </w:r>
    </w:p>
    <w:p>
      <w:pPr>
        <w:pStyle w:val="Indenta"/>
      </w:pPr>
      <w:r>
        <w:tab/>
        <w:t>(f)</w:t>
      </w:r>
      <w:r>
        <w:tab/>
        <w:t xml:space="preserve">facilitating the observance by a prisoner of religious or spiritual beliefs or practices; </w:t>
      </w:r>
    </w:p>
    <w:p>
      <w:pPr>
        <w:pStyle w:val="Indenta"/>
      </w:pPr>
      <w:r>
        <w:tab/>
        <w:t>(g)</w:t>
      </w:r>
      <w:r>
        <w:tab/>
        <w:t>facilitating a prisoner’s participation in recreational activities or other activities that will promote the wellbeing of the prisoner;</w:t>
      </w:r>
    </w:p>
    <w:p>
      <w:pPr>
        <w:pStyle w:val="Indenta"/>
      </w:pPr>
      <w:r>
        <w:tab/>
        <w:t>(h)</w:t>
      </w:r>
      <w:r>
        <w:tab/>
        <w:t>preparing a prisoner for release;</w:t>
      </w:r>
    </w:p>
    <w:p>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pPr>
        <w:pStyle w:val="Indenta"/>
      </w:pPr>
      <w:r>
        <w:tab/>
        <w:t>(j)</w:t>
      </w:r>
      <w:r>
        <w:tab/>
        <w:t>enabling the prisoner to be absent from prison on compassionate grounds;</w:t>
      </w:r>
    </w:p>
    <w:p>
      <w:pPr>
        <w:pStyle w:val="Indenta"/>
      </w:pPr>
      <w:r>
        <w:tab/>
        <w:t>(k)</w:t>
      </w:r>
      <w:r>
        <w:tab/>
        <w:t xml:space="preserve">facilitating the provision of medical, dental or other approved ancillary health services to a prisoner; </w:t>
      </w:r>
    </w:p>
    <w:p>
      <w:pPr>
        <w:pStyle w:val="Indenta"/>
      </w:pPr>
      <w:r>
        <w:tab/>
        <w:t>(l)</w:t>
      </w:r>
      <w:r>
        <w:tab/>
        <w:t>facilitating the investigation of an offence or the administration of justice.</w:t>
      </w:r>
    </w:p>
    <w:p>
      <w:pPr>
        <w:pStyle w:val="Footnotesection"/>
      </w:pPr>
      <w:r>
        <w:tab/>
        <w:t>[Regulation 54D inserted in Gazette 3 Apr 2007 p. 1496</w:t>
      </w:r>
      <w:r>
        <w:noBreakHyphen/>
        <w:t>7.]</w:t>
      </w:r>
    </w:p>
    <w:p>
      <w:pPr>
        <w:pStyle w:val="Heading5"/>
      </w:pPr>
      <w:bookmarkStart w:id="224" w:name="_Toc378327292"/>
      <w:bookmarkStart w:id="225" w:name="_Toc427933561"/>
      <w:r>
        <w:rPr>
          <w:rStyle w:val="CharSectno"/>
        </w:rPr>
        <w:t>54E</w:t>
      </w:r>
      <w:r>
        <w:t>.</w:t>
      </w:r>
      <w:r>
        <w:tab/>
        <w:t>Duration of absence permit</w:t>
      </w:r>
      <w:bookmarkEnd w:id="224"/>
      <w:bookmarkEnd w:id="225"/>
    </w:p>
    <w:p>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12 hours, plus travelling time to and from the prison,</w:t>
      </w:r>
    </w:p>
    <w:p>
      <w:pPr>
        <w:pStyle w:val="Subsection"/>
      </w:pPr>
      <w:r>
        <w:tab/>
      </w:r>
      <w:r>
        <w:tab/>
        <w:t>whichever is shorter.</w:t>
      </w:r>
    </w:p>
    <w:p>
      <w:pPr>
        <w:pStyle w:val="Subsection"/>
      </w:pPr>
      <w:r>
        <w:tab/>
        <w:t>(2)</w:t>
      </w:r>
      <w:r>
        <w:tab/>
        <w:t>In the case of an absence permit for a purpose or in circumstances mentioned in regulation 54D(i), the period specified in the absence permit under section 83(2)(a) of the Act shall be not longer than —</w:t>
      </w:r>
    </w:p>
    <w:p>
      <w:pPr>
        <w:pStyle w:val="Indenta"/>
      </w:pPr>
      <w:r>
        <w:tab/>
        <w:t>(a)</w:t>
      </w:r>
      <w:r>
        <w:tab/>
        <w:t>the shortest period reasonably required for that purpose or in those circumstances, including travel time; or</w:t>
      </w:r>
    </w:p>
    <w:p>
      <w:pPr>
        <w:pStyle w:val="Indenta"/>
      </w:pPr>
      <w:r>
        <w:tab/>
        <w:t>(b)</w:t>
      </w:r>
      <w:r>
        <w:tab/>
        <w:t>36 hours, plus travelling time to and from the prison,</w:t>
      </w:r>
    </w:p>
    <w:p>
      <w:pPr>
        <w:pStyle w:val="Subsection"/>
      </w:pPr>
      <w:r>
        <w:tab/>
      </w:r>
      <w:r>
        <w:tab/>
        <w:t>whichever is shorter.</w:t>
      </w:r>
    </w:p>
    <w:p>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pPr>
        <w:pStyle w:val="Footnotesection"/>
      </w:pPr>
      <w:r>
        <w:tab/>
        <w:t>[Regulation 54E inserted in Gazette 3 Apr 2007 p. 1497</w:t>
      </w:r>
      <w:r>
        <w:noBreakHyphen/>
        <w:t>8.]</w:t>
      </w:r>
    </w:p>
    <w:p>
      <w:pPr>
        <w:pStyle w:val="Heading5"/>
      </w:pPr>
      <w:bookmarkStart w:id="226" w:name="_Toc378327293"/>
      <w:bookmarkStart w:id="227" w:name="_Toc427933562"/>
      <w:r>
        <w:rPr>
          <w:rStyle w:val="CharSectno"/>
        </w:rPr>
        <w:t>54F</w:t>
      </w:r>
      <w:r>
        <w:t>.</w:t>
      </w:r>
      <w:r>
        <w:tab/>
        <w:t>Eligibility for absence permit</w:t>
      </w:r>
      <w:bookmarkEnd w:id="226"/>
      <w:bookmarkEnd w:id="227"/>
    </w:p>
    <w:p>
      <w:pPr>
        <w:pStyle w:val="Subsection"/>
      </w:pPr>
      <w:r>
        <w:tab/>
        <w:t>(1)</w:t>
      </w:r>
      <w:r>
        <w:tab/>
        <w:t>A prisoner is not eligible to receive an absence permit except in accordance with this regulation.</w:t>
      </w:r>
    </w:p>
    <w:p>
      <w:pPr>
        <w:pStyle w:val="Subsection"/>
      </w:pPr>
      <w:r>
        <w:tab/>
        <w:t>(2)</w:t>
      </w:r>
      <w:r>
        <w:tab/>
        <w:t>Every prisoner is eligible to receive an absence permit for a purpose or in circumstances mentioned in regulation 54D(j), (k) or (l).</w:t>
      </w:r>
    </w:p>
    <w:p>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pPr>
        <w:pStyle w:val="Footnotesection"/>
      </w:pPr>
      <w:r>
        <w:tab/>
        <w:t>[Regulation 54F inserted in Gazette 3 Apr 2007 p. 1498.]</w:t>
      </w:r>
    </w:p>
    <w:p>
      <w:pPr>
        <w:pStyle w:val="Heading5"/>
      </w:pPr>
      <w:bookmarkStart w:id="228" w:name="_Toc378327294"/>
      <w:bookmarkStart w:id="229" w:name="_Toc427933563"/>
      <w:r>
        <w:rPr>
          <w:rStyle w:val="CharSectno"/>
        </w:rPr>
        <w:t>54G</w:t>
      </w:r>
      <w:r>
        <w:t>.</w:t>
      </w:r>
      <w:r>
        <w:tab/>
        <w:t>Arrangements relating to accommodation and community work</w:t>
      </w:r>
      <w:bookmarkEnd w:id="228"/>
      <w:bookmarkEnd w:id="229"/>
    </w:p>
    <w:p>
      <w:pPr>
        <w:pStyle w:val="Subsection"/>
      </w:pPr>
      <w:r>
        <w:tab/>
      </w:r>
      <w:r>
        <w:tab/>
        <w:t>The chief executive officer may —</w:t>
      </w:r>
    </w:p>
    <w:p>
      <w:pPr>
        <w:pStyle w:val="Indenta"/>
      </w:pPr>
      <w:r>
        <w:tab/>
        <w:t>(a)</w:t>
      </w:r>
      <w:r>
        <w:tab/>
        <w:t xml:space="preserve">enter into an arrangement with a person for — </w:t>
      </w:r>
    </w:p>
    <w:p>
      <w:pPr>
        <w:pStyle w:val="Indenti"/>
      </w:pPr>
      <w:r>
        <w:tab/>
        <w:t>(i)</w:t>
      </w:r>
      <w:r>
        <w:tab/>
        <w:t>a prisoner to stay in accommodation provided or arranged by the person; or</w:t>
      </w:r>
    </w:p>
    <w:p>
      <w:pPr>
        <w:pStyle w:val="Indenti"/>
      </w:pPr>
      <w:r>
        <w:tab/>
        <w:t>(ii)</w:t>
      </w:r>
      <w:r>
        <w:tab/>
        <w:t>a prisoner to perform community work for, or arranged by, the person; or</w:t>
      </w:r>
    </w:p>
    <w:p>
      <w:pPr>
        <w:pStyle w:val="Indenti"/>
      </w:pPr>
      <w:r>
        <w:tab/>
        <w:t>(iii)</w:t>
      </w:r>
      <w:r>
        <w:tab/>
        <w:t>the person to accompany the prisoner,</w:t>
      </w:r>
    </w:p>
    <w:p>
      <w:pPr>
        <w:pStyle w:val="Indenta"/>
      </w:pPr>
      <w:r>
        <w:tab/>
      </w:r>
      <w:r>
        <w:tab/>
        <w:t>while the prisoner is absent from prison on an absence permit; and</w:t>
      </w:r>
    </w:p>
    <w:p>
      <w:pPr>
        <w:pStyle w:val="Indenta"/>
      </w:pPr>
      <w:r>
        <w:tab/>
        <w:t>(b)</w:t>
      </w:r>
      <w:r>
        <w:tab/>
        <w:t>as part of an arrangement under paragraph (a)(ii), require a financial contribution, payment or commitment from the person to cover expenses incurred by the Department in relation to the absence permit.</w:t>
      </w:r>
    </w:p>
    <w:p>
      <w:pPr>
        <w:pStyle w:val="Footnotesection"/>
      </w:pPr>
      <w:r>
        <w:tab/>
        <w:t>[Regulation 54G inserted in Gazette 3 Apr 2007 p. 1498</w:t>
      </w:r>
      <w:r>
        <w:noBreakHyphen/>
        <w:t>9.]</w:t>
      </w:r>
    </w:p>
    <w:p>
      <w:pPr>
        <w:pStyle w:val="Heading5"/>
      </w:pPr>
      <w:bookmarkStart w:id="230" w:name="_Toc378327295"/>
      <w:bookmarkStart w:id="231" w:name="_Toc427933564"/>
      <w:r>
        <w:rPr>
          <w:rStyle w:val="CharSectno"/>
        </w:rPr>
        <w:t>54H</w:t>
      </w:r>
      <w:r>
        <w:t>.</w:t>
      </w:r>
      <w:r>
        <w:tab/>
        <w:t>Terms of paid employment of prisoner on an absence permit</w:t>
      </w:r>
      <w:bookmarkEnd w:id="230"/>
      <w:bookmarkEnd w:id="231"/>
    </w:p>
    <w:p>
      <w:pPr>
        <w:pStyle w:val="Subsection"/>
      </w:pPr>
      <w:r>
        <w:tab/>
      </w:r>
      <w:r>
        <w:tab/>
        <w:t xml:space="preserve">Where a prisoner is in paid employment while absent from prison on an absence permit, the terms and conditions, including the amount payable, in respect of the employment shall be — </w:t>
      </w:r>
    </w:p>
    <w:p>
      <w:pPr>
        <w:pStyle w:val="Indenta"/>
      </w:pPr>
      <w:r>
        <w:tab/>
        <w:t>(a)</w:t>
      </w:r>
      <w:r>
        <w:tab/>
        <w:t xml:space="preserve">the terms and conditions including the amount payable under any award or agreement in force under — </w:t>
      </w:r>
    </w:p>
    <w:p>
      <w:pPr>
        <w:pStyle w:val="Indenti"/>
      </w:pPr>
      <w:r>
        <w:tab/>
        <w:t>(i)</w:t>
      </w:r>
      <w:r>
        <w:tab/>
        <w:t xml:space="preserve">the </w:t>
      </w:r>
      <w:r>
        <w:rPr>
          <w:i/>
          <w:iCs/>
        </w:rPr>
        <w:t>Industrial Relations Act 1979</w:t>
      </w:r>
      <w:r>
        <w:t>; or</w:t>
      </w:r>
    </w:p>
    <w:p>
      <w:pPr>
        <w:pStyle w:val="Indenti"/>
      </w:pPr>
      <w:r>
        <w:tab/>
        <w:t>(ii)</w:t>
      </w:r>
      <w:r>
        <w:tab/>
        <w:t xml:space="preserve">the </w:t>
      </w:r>
      <w:r>
        <w:rPr>
          <w:i/>
          <w:iCs/>
        </w:rPr>
        <w:t>Industrial Relations Act 1988</w:t>
      </w:r>
      <w:r>
        <w:t xml:space="preserve"> of the Commonwealth,</w:t>
      </w:r>
    </w:p>
    <w:p>
      <w:pPr>
        <w:pStyle w:val="Indenta"/>
      </w:pPr>
      <w:r>
        <w:tab/>
      </w:r>
      <w:r>
        <w:tab/>
        <w:t>that applies to the employment; or</w:t>
      </w:r>
    </w:p>
    <w:p>
      <w:pPr>
        <w:pStyle w:val="Indenta"/>
      </w:pPr>
      <w:r>
        <w:tab/>
        <w:t>(b)</w:t>
      </w:r>
      <w:r>
        <w:tab/>
        <w:t>if there is no such award or agreement — such terms and conditions, including the amount payable, as are agreed upon by the employer and the chief executive officer.</w:t>
      </w:r>
    </w:p>
    <w:p>
      <w:pPr>
        <w:pStyle w:val="Footnotesection"/>
      </w:pPr>
      <w:r>
        <w:tab/>
        <w:t>[Regulation 54H inserted in Gazette 3 Apr 2007 p. 1499.]</w:t>
      </w:r>
    </w:p>
    <w:p>
      <w:pPr>
        <w:pStyle w:val="Heading5"/>
      </w:pPr>
      <w:bookmarkStart w:id="232" w:name="_Toc378327296"/>
      <w:bookmarkStart w:id="233" w:name="_Toc427933565"/>
      <w:r>
        <w:rPr>
          <w:rStyle w:val="CharSectno"/>
        </w:rPr>
        <w:t>54I</w:t>
      </w:r>
      <w:r>
        <w:t>.</w:t>
      </w:r>
      <w:r>
        <w:tab/>
        <w:t>Appointment of escorts and supervisors</w:t>
      </w:r>
      <w:bookmarkEnd w:id="232"/>
      <w:bookmarkEnd w:id="233"/>
    </w:p>
    <w:p>
      <w:pPr>
        <w:pStyle w:val="Subsection"/>
      </w:pPr>
      <w:r>
        <w:tab/>
      </w:r>
      <w:r>
        <w:tab/>
        <w:t>The chief executive officer may appoint as an escort or supervisor of a prisoner who is absent from prison on an absence permit —</w:t>
      </w:r>
    </w:p>
    <w:p>
      <w:pPr>
        <w:pStyle w:val="Indenta"/>
      </w:pPr>
      <w:r>
        <w:tab/>
        <w:t>(a)</w:t>
      </w:r>
      <w:r>
        <w:tab/>
        <w:t>a prison officer; or</w:t>
      </w:r>
    </w:p>
    <w:p>
      <w:pPr>
        <w:pStyle w:val="Indenta"/>
      </w:pPr>
      <w:r>
        <w:tab/>
        <w:t>(b)</w:t>
      </w:r>
      <w:r>
        <w:tab/>
        <w:t xml:space="preserve">a contract worker as defined in the </w:t>
      </w:r>
      <w:r>
        <w:rPr>
          <w:i/>
          <w:iCs/>
        </w:rPr>
        <w:t>Court Security and Custodial Services Act 1999</w:t>
      </w:r>
      <w:r>
        <w:t xml:space="preserve"> section 3; or</w:t>
      </w:r>
    </w:p>
    <w:p>
      <w:pPr>
        <w:pStyle w:val="Indenta"/>
      </w:pPr>
      <w:r>
        <w:tab/>
        <w:t>(c)</w:t>
      </w:r>
      <w:r>
        <w:tab/>
        <w:t>any other person who the chief executive officer thinks is fit to be appointed as an escort or supervisor.</w:t>
      </w:r>
    </w:p>
    <w:p>
      <w:pPr>
        <w:pStyle w:val="Footnotesection"/>
      </w:pPr>
      <w:r>
        <w:tab/>
        <w:t>[Regulation 54I inserted in Gazette 3 Apr 2007 p. 1499.]</w:t>
      </w:r>
    </w:p>
    <w:p>
      <w:pPr>
        <w:pStyle w:val="Heading5"/>
      </w:pPr>
      <w:bookmarkStart w:id="234" w:name="_Toc378327297"/>
      <w:bookmarkStart w:id="235" w:name="_Toc427933566"/>
      <w:r>
        <w:rPr>
          <w:rStyle w:val="CharSectno"/>
        </w:rPr>
        <w:t>54J</w:t>
      </w:r>
      <w:r>
        <w:t>.</w:t>
      </w:r>
      <w:r>
        <w:tab/>
        <w:t>Restrictions on giving absence permits</w:t>
      </w:r>
      <w:bookmarkEnd w:id="234"/>
      <w:bookmarkEnd w:id="235"/>
    </w:p>
    <w:p>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pPr>
        <w:pStyle w:val="Footnotesection"/>
      </w:pPr>
      <w:r>
        <w:tab/>
        <w:t>[Regulation 54J inserted in Gazette 3 Apr 2007 p. 1499.]</w:t>
      </w:r>
    </w:p>
    <w:p>
      <w:pPr>
        <w:pStyle w:val="Heading5"/>
      </w:pPr>
      <w:bookmarkStart w:id="236" w:name="_Toc378327298"/>
      <w:bookmarkStart w:id="237" w:name="_Toc427933567"/>
      <w:r>
        <w:rPr>
          <w:rStyle w:val="CharSectno"/>
        </w:rPr>
        <w:t>54K</w:t>
      </w:r>
      <w:r>
        <w:t>.</w:t>
      </w:r>
      <w:r>
        <w:tab/>
        <w:t>Standard conditions of absence permits</w:t>
      </w:r>
      <w:bookmarkEnd w:id="236"/>
      <w:bookmarkEnd w:id="237"/>
    </w:p>
    <w:p>
      <w:pPr>
        <w:pStyle w:val="Subsection"/>
      </w:pPr>
      <w:r>
        <w:tab/>
        <w:t>(1)</w:t>
      </w:r>
      <w:r>
        <w:tab/>
        <w:t xml:space="preserve">An absence permit is subject to the condition that the prisoner shall — </w:t>
      </w:r>
    </w:p>
    <w:p>
      <w:pPr>
        <w:pStyle w:val="Indenta"/>
      </w:pPr>
      <w:r>
        <w:tab/>
        <w:t>(a)</w:t>
      </w:r>
      <w:r>
        <w:tab/>
        <w:t>at all times that the prisoner is absent from prison under the permit, remain in the charge of an escort, or under the supervision of a supervisor, as specified in the permit; and</w:t>
      </w:r>
    </w:p>
    <w:p>
      <w:pPr>
        <w:pStyle w:val="Indenta"/>
      </w:pPr>
      <w:r>
        <w:tab/>
        <w:t>(b)</w:t>
      </w:r>
      <w:r>
        <w:tab/>
        <w:t>comply with every order or direction of that escort or supervisor.</w:t>
      </w:r>
    </w:p>
    <w:p>
      <w:pPr>
        <w:pStyle w:val="Subsection"/>
      </w:pPr>
      <w:r>
        <w:tab/>
        <w:t>(2)</w:t>
      </w:r>
      <w:r>
        <w:tab/>
        <w:t>An absence permit for a period requiring overnight accommodation is subject to the condition that the prisoner shall stay in approved accommodation and no other accommodation.</w:t>
      </w:r>
    </w:p>
    <w:p>
      <w:pPr>
        <w:pStyle w:val="Footnotesection"/>
      </w:pPr>
      <w:r>
        <w:tab/>
        <w:t>[Regulation 54K inserted in Gazette 3 Apr 2007 p. 1500.]</w:t>
      </w:r>
    </w:p>
    <w:p>
      <w:pPr>
        <w:pStyle w:val="Heading5"/>
      </w:pPr>
      <w:bookmarkStart w:id="238" w:name="_Toc378327299"/>
      <w:bookmarkStart w:id="239" w:name="_Toc427933568"/>
      <w:r>
        <w:rPr>
          <w:rStyle w:val="CharSectno"/>
        </w:rPr>
        <w:t>54L</w:t>
      </w:r>
      <w:r>
        <w:t>.</w:t>
      </w:r>
      <w:r>
        <w:tab/>
        <w:t>Amounts deducted from moneys paid to a prisoner on an absence permit</w:t>
      </w:r>
      <w:bookmarkEnd w:id="238"/>
      <w:bookmarkEnd w:id="239"/>
    </w:p>
    <w:p>
      <w:pPr>
        <w:pStyle w:val="Subsection"/>
      </w:pPr>
      <w:r>
        <w:tab/>
        <w:t>(1)</w:t>
      </w:r>
      <w:r>
        <w:tab/>
        <w:t>The chief executive officer may order a deduction from moneys paid to a prisoner employed while the prisoner is absent from prison on an absence permit —</w:t>
      </w:r>
    </w:p>
    <w:p>
      <w:pPr>
        <w:pStyle w:val="Indenta"/>
      </w:pPr>
      <w:r>
        <w:tab/>
        <w:t>(a)</w:t>
      </w:r>
      <w:r>
        <w:tab/>
        <w:t>to pay any outstanding fines, restitution or compensation payable by the prisoner under a conviction by a court or a determination under Part VII of the Act; or</w:t>
      </w:r>
    </w:p>
    <w:p>
      <w:pPr>
        <w:pStyle w:val="Indenta"/>
      </w:pPr>
      <w:r>
        <w:tab/>
        <w:t>(b)</w:t>
      </w:r>
      <w:r>
        <w:tab/>
        <w:t>for the prisoner’s savings or purchases; or</w:t>
      </w:r>
    </w:p>
    <w:p>
      <w:pPr>
        <w:pStyle w:val="Indenta"/>
      </w:pPr>
      <w:r>
        <w:tab/>
        <w:t>(c)</w:t>
      </w:r>
      <w:r>
        <w:tab/>
        <w:t>for the prisoner’s contributions to the upkeep of his or her family, or any other approved person; or</w:t>
      </w:r>
    </w:p>
    <w:p>
      <w:pPr>
        <w:pStyle w:val="Indenta"/>
      </w:pPr>
      <w:r>
        <w:tab/>
        <w:t>(d)</w:t>
      </w:r>
      <w:r>
        <w:tab/>
        <w:t>to defray any expenses relating to board or employment incurred while the prisoner was absent on the permit.</w:t>
      </w:r>
    </w:p>
    <w:p>
      <w:pPr>
        <w:pStyle w:val="Subsection"/>
      </w:pPr>
      <w:r>
        <w:tab/>
        <w:t>(2)</w:t>
      </w:r>
      <w:r>
        <w:tab/>
        <w:t>When money is deducted under subregulation (1), the balance remaining shall not be less than one week’s gratuities payable for work classified under regulation 44(1) as Level 1.</w:t>
      </w:r>
    </w:p>
    <w:p>
      <w:pPr>
        <w:pStyle w:val="Footnotesection"/>
      </w:pPr>
      <w:r>
        <w:tab/>
        <w:t>[Regulation 54L inserted in Gazette 3 Apr 2007 p. 1500.]</w:t>
      </w:r>
    </w:p>
    <w:p>
      <w:pPr>
        <w:pStyle w:val="Heading3"/>
      </w:pPr>
      <w:bookmarkStart w:id="240" w:name="_Toc378327300"/>
      <w:bookmarkStart w:id="241" w:name="_Toc424112515"/>
      <w:bookmarkStart w:id="242" w:name="_Toc427923041"/>
      <w:bookmarkStart w:id="243" w:name="_Toc427933569"/>
      <w:r>
        <w:rPr>
          <w:rStyle w:val="CharDivNo"/>
        </w:rPr>
        <w:t>Division 10</w:t>
      </w:r>
      <w:r>
        <w:t xml:space="preserve"> — </w:t>
      </w:r>
      <w:r>
        <w:rPr>
          <w:rStyle w:val="CharDivText"/>
        </w:rPr>
        <w:t>Interstate absence permits</w:t>
      </w:r>
      <w:bookmarkEnd w:id="240"/>
      <w:bookmarkEnd w:id="241"/>
      <w:bookmarkEnd w:id="242"/>
      <w:bookmarkEnd w:id="243"/>
    </w:p>
    <w:p>
      <w:pPr>
        <w:pStyle w:val="Footnoteheading"/>
      </w:pPr>
      <w:r>
        <w:tab/>
        <w:t>[Heading inserted in Gazette 3 Apr 2007 p. 1500.]</w:t>
      </w:r>
    </w:p>
    <w:p>
      <w:pPr>
        <w:pStyle w:val="Heading5"/>
      </w:pPr>
      <w:bookmarkStart w:id="244" w:name="_Toc378327301"/>
      <w:bookmarkStart w:id="245" w:name="_Toc427933570"/>
      <w:r>
        <w:rPr>
          <w:rStyle w:val="CharSectno"/>
        </w:rPr>
        <w:t>54M</w:t>
      </w:r>
      <w:r>
        <w:t>.</w:t>
      </w:r>
      <w:r>
        <w:tab/>
        <w:t>Terms used in this Division</w:t>
      </w:r>
      <w:bookmarkEnd w:id="244"/>
      <w:bookmarkEnd w:id="245"/>
    </w:p>
    <w:p>
      <w:pPr>
        <w:pStyle w:val="Subsection"/>
      </w:pPr>
      <w:r>
        <w:tab/>
      </w:r>
      <w:r>
        <w:tab/>
        <w:t xml:space="preserve">In this Division, unless the contrary intention appears — </w:t>
      </w:r>
    </w:p>
    <w:p>
      <w:pPr>
        <w:pStyle w:val="Defstart"/>
      </w:pPr>
      <w:r>
        <w:rPr>
          <w:b/>
        </w:rPr>
        <w:tab/>
      </w:r>
      <w:r>
        <w:rPr>
          <w:rStyle w:val="CharDefText"/>
        </w:rPr>
        <w:t>corresponding law</w:t>
      </w:r>
      <w:r>
        <w:t xml:space="preserve"> means a law that is declared to be a corresponding law in regulation 54N;</w:t>
      </w:r>
    </w:p>
    <w:p>
      <w:pPr>
        <w:pStyle w:val="Defstart"/>
      </w:pPr>
      <w:r>
        <w:rPr>
          <w:b/>
        </w:rPr>
        <w:tab/>
      </w:r>
      <w:r>
        <w:rPr>
          <w:rStyle w:val="CharDefText"/>
        </w:rPr>
        <w:t>external facility</w:t>
      </w:r>
      <w:r>
        <w:t xml:space="preserve"> has the meaning given to that term in section 23(1) of the Act;</w:t>
      </w:r>
    </w:p>
    <w:p>
      <w:pPr>
        <w:pStyle w:val="Defstart"/>
      </w:pPr>
      <w:r>
        <w:rPr>
          <w:b/>
        </w:rPr>
        <w:tab/>
      </w:r>
      <w:r>
        <w:rPr>
          <w:rStyle w:val="CharDefText"/>
        </w:rPr>
        <w:t>interstate absence permit</w:t>
      </w:r>
      <w:r>
        <w:rPr>
          <w:b/>
        </w:rPr>
        <w:t> </w:t>
      </w:r>
      <w:r>
        <w:t xml:space="preserve">— </w:t>
      </w:r>
    </w:p>
    <w:p>
      <w:pPr>
        <w:pStyle w:val="Defpara"/>
      </w:pPr>
      <w:r>
        <w:tab/>
        <w:t>(a)</w:t>
      </w:r>
      <w:r>
        <w:tab/>
        <w:t>in relation to a prisoner in this State, means an absence permit authorising the person to travel to or through a participating State or Territory; and</w:t>
      </w:r>
    </w:p>
    <w:p>
      <w:pPr>
        <w:pStyle w:val="Defpara"/>
      </w:pPr>
      <w:r>
        <w:tab/>
        <w:t>(b)</w:t>
      </w:r>
      <w:r>
        <w:tab/>
        <w:t>in relation to an interstate prisoner, means a permit given under a corresponding law authorising the prisoner to travel to or through this State;</w:t>
      </w:r>
    </w:p>
    <w:p>
      <w:pPr>
        <w:pStyle w:val="Defstart"/>
      </w:pPr>
      <w:r>
        <w:rPr>
          <w:b/>
        </w:rPr>
        <w:tab/>
      </w:r>
      <w:r>
        <w:rPr>
          <w:rStyle w:val="CharDefText"/>
        </w:rPr>
        <w:t>interstate escort</w:t>
      </w:r>
      <w:r>
        <w:t xml:space="preserve"> means a person who is authorised under an interstate absence permit to escort an interstate prisoner to or through this State;</w:t>
      </w:r>
    </w:p>
    <w:p>
      <w:pPr>
        <w:pStyle w:val="Defstart"/>
      </w:pPr>
      <w:r>
        <w:rPr>
          <w:b/>
        </w:rPr>
        <w:tab/>
      </w:r>
      <w:r>
        <w:rPr>
          <w:rStyle w:val="CharDefText"/>
        </w:rPr>
        <w:t>interstate prisoner</w:t>
      </w:r>
      <w:r>
        <w:t xml:space="preserve"> means a person imprisoned in a participating State or Territory;</w:t>
      </w:r>
    </w:p>
    <w:p>
      <w:pPr>
        <w:pStyle w:val="Defstart"/>
      </w:pPr>
      <w:r>
        <w:rPr>
          <w:b/>
        </w:rPr>
        <w:tab/>
      </w:r>
      <w:r>
        <w:rPr>
          <w:rStyle w:val="CharDefText"/>
        </w:rPr>
        <w:t>participating State or Territory</w:t>
      </w:r>
      <w:r>
        <w:t xml:space="preserve"> means any other State or a Territory in which a corresponding law is in force.</w:t>
      </w:r>
    </w:p>
    <w:p>
      <w:pPr>
        <w:pStyle w:val="Footnotesection"/>
      </w:pPr>
      <w:r>
        <w:tab/>
        <w:t>[Regulation 54M inserted in Gazette 3 Apr 2007 p. 1500</w:t>
      </w:r>
      <w:r>
        <w:noBreakHyphen/>
        <w:t>1.]</w:t>
      </w:r>
    </w:p>
    <w:p>
      <w:pPr>
        <w:pStyle w:val="Heading5"/>
      </w:pPr>
      <w:bookmarkStart w:id="246" w:name="_Toc378327302"/>
      <w:bookmarkStart w:id="247" w:name="_Toc427933571"/>
      <w:r>
        <w:rPr>
          <w:rStyle w:val="CharSectno"/>
        </w:rPr>
        <w:t>54N</w:t>
      </w:r>
      <w:r>
        <w:t>.</w:t>
      </w:r>
      <w:r>
        <w:tab/>
        <w:t>Corresponding laws</w:t>
      </w:r>
      <w:bookmarkEnd w:id="246"/>
      <w:bookmarkEnd w:id="247"/>
    </w:p>
    <w:p>
      <w:pPr>
        <w:pStyle w:val="Subsection"/>
      </w:pPr>
      <w:r>
        <w:tab/>
      </w:r>
      <w:r>
        <w:tab/>
        <w:t>A law of another State or a Territory specified in the Table to this regulation is declared to be a corresponding law for the purposes of this Division.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2835"/>
        <w:gridCol w:w="2835"/>
      </w:tblGrid>
      <w:tr>
        <w:trPr>
          <w:tblHeader/>
        </w:trPr>
        <w:tc>
          <w:tcPr>
            <w:tcW w:w="2835" w:type="dxa"/>
            <w:tcBorders>
              <w:top w:val="single" w:sz="4" w:space="0" w:color="auto"/>
              <w:bottom w:val="single" w:sz="4" w:space="0" w:color="auto"/>
            </w:tcBorders>
          </w:tcPr>
          <w:p>
            <w:pPr>
              <w:pStyle w:val="yTable"/>
              <w:jc w:val="center"/>
              <w:rPr>
                <w:b/>
              </w:rPr>
            </w:pPr>
            <w:r>
              <w:rPr>
                <w:b/>
              </w:rPr>
              <w:t>Law</w:t>
            </w:r>
          </w:p>
        </w:tc>
        <w:tc>
          <w:tcPr>
            <w:tcW w:w="2835" w:type="dxa"/>
            <w:tcBorders>
              <w:top w:val="single" w:sz="4" w:space="0" w:color="auto"/>
              <w:bottom w:val="single" w:sz="4" w:space="0" w:color="auto"/>
            </w:tcBorders>
          </w:tcPr>
          <w:p>
            <w:pPr>
              <w:pStyle w:val="yTable"/>
              <w:jc w:val="center"/>
              <w:rPr>
                <w:b/>
              </w:rPr>
            </w:pPr>
            <w:r>
              <w:rPr>
                <w:b/>
              </w:rPr>
              <w:t>State/Territory</w:t>
            </w:r>
          </w:p>
        </w:tc>
      </w:tr>
      <w:tr>
        <w:tc>
          <w:tcPr>
            <w:tcW w:w="2835" w:type="dxa"/>
          </w:tcPr>
          <w:p>
            <w:pPr>
              <w:pStyle w:val="yTable"/>
              <w:rPr>
                <w:i/>
                <w:iCs/>
              </w:rPr>
            </w:pPr>
            <w:r>
              <w:rPr>
                <w:i/>
                <w:iCs/>
              </w:rPr>
              <w:t>Prisoners’ Interstate Leave Act 1997</w:t>
            </w:r>
          </w:p>
        </w:tc>
        <w:tc>
          <w:tcPr>
            <w:tcW w:w="2835" w:type="dxa"/>
          </w:tcPr>
          <w:p>
            <w:pPr>
              <w:pStyle w:val="yTable"/>
            </w:pPr>
            <w:r>
              <w:t>Australian Capital Territory</w:t>
            </w:r>
          </w:p>
        </w:tc>
      </w:tr>
      <w:tr>
        <w:tc>
          <w:tcPr>
            <w:tcW w:w="2835" w:type="dxa"/>
          </w:tcPr>
          <w:p>
            <w:pPr>
              <w:pStyle w:val="yTable"/>
            </w:pPr>
            <w:r>
              <w:rPr>
                <w:i/>
                <w:iCs/>
              </w:rPr>
              <w:t>Crimes (Administration of Sentences) Act 1999</w:t>
            </w:r>
            <w:r>
              <w:t xml:space="preserve"> Part 2 Division 3 Subdivision 2</w:t>
            </w:r>
          </w:p>
        </w:tc>
        <w:tc>
          <w:tcPr>
            <w:tcW w:w="2835" w:type="dxa"/>
          </w:tcPr>
          <w:p>
            <w:pPr>
              <w:pStyle w:val="yTable"/>
            </w:pPr>
            <w:r>
              <w:t>New South Wales</w:t>
            </w:r>
          </w:p>
        </w:tc>
      </w:tr>
      <w:tr>
        <w:tc>
          <w:tcPr>
            <w:tcW w:w="2835" w:type="dxa"/>
          </w:tcPr>
          <w:p>
            <w:pPr>
              <w:pStyle w:val="yTable"/>
            </w:pPr>
            <w:r>
              <w:rPr>
                <w:i/>
                <w:iCs/>
              </w:rPr>
              <w:t>Prisons (Correctional Services) Act</w:t>
            </w:r>
            <w:r>
              <w:t xml:space="preserve"> Part XVII Division 2</w:t>
            </w:r>
          </w:p>
        </w:tc>
        <w:tc>
          <w:tcPr>
            <w:tcW w:w="2835" w:type="dxa"/>
          </w:tcPr>
          <w:p>
            <w:pPr>
              <w:pStyle w:val="yTable"/>
            </w:pPr>
            <w:r>
              <w:t>Northern Territory</w:t>
            </w:r>
          </w:p>
        </w:tc>
      </w:tr>
      <w:tr>
        <w:tc>
          <w:tcPr>
            <w:tcW w:w="2835" w:type="dxa"/>
          </w:tcPr>
          <w:p>
            <w:pPr>
              <w:pStyle w:val="yTable"/>
            </w:pPr>
            <w:r>
              <w:rPr>
                <w:i/>
                <w:iCs/>
              </w:rPr>
              <w:t>Corrective Services Act 2006</w:t>
            </w:r>
            <w:r>
              <w:t xml:space="preserve"> Chapter 2 Part 2 Division 9</w:t>
            </w:r>
          </w:p>
        </w:tc>
        <w:tc>
          <w:tcPr>
            <w:tcW w:w="2835" w:type="dxa"/>
          </w:tcPr>
          <w:p>
            <w:pPr>
              <w:pStyle w:val="yTable"/>
            </w:pPr>
            <w:r>
              <w:t>Queensland</w:t>
            </w:r>
          </w:p>
        </w:tc>
      </w:tr>
      <w:tr>
        <w:tc>
          <w:tcPr>
            <w:tcW w:w="2835" w:type="dxa"/>
          </w:tcPr>
          <w:p>
            <w:pPr>
              <w:pStyle w:val="yTable"/>
            </w:pPr>
            <w:r>
              <w:rPr>
                <w:i/>
                <w:iCs/>
              </w:rPr>
              <w:t>Correctional Services Act 1982</w:t>
            </w:r>
            <w:r>
              <w:t xml:space="preserve"> Part 4 Division 5</w:t>
            </w:r>
          </w:p>
        </w:tc>
        <w:tc>
          <w:tcPr>
            <w:tcW w:w="2835" w:type="dxa"/>
          </w:tcPr>
          <w:p>
            <w:pPr>
              <w:pStyle w:val="yTable"/>
            </w:pPr>
            <w:r>
              <w:t>South Australia</w:t>
            </w:r>
          </w:p>
        </w:tc>
      </w:tr>
      <w:tr>
        <w:tc>
          <w:tcPr>
            <w:tcW w:w="2835" w:type="dxa"/>
          </w:tcPr>
          <w:p>
            <w:pPr>
              <w:pStyle w:val="yTable"/>
            </w:pPr>
            <w:r>
              <w:rPr>
                <w:i/>
                <w:iCs/>
              </w:rPr>
              <w:t>Corrections Act 1997</w:t>
            </w:r>
            <w:r>
              <w:t xml:space="preserve"> Part 6</w:t>
            </w:r>
          </w:p>
        </w:tc>
        <w:tc>
          <w:tcPr>
            <w:tcW w:w="2835" w:type="dxa"/>
          </w:tcPr>
          <w:p>
            <w:pPr>
              <w:pStyle w:val="yTable"/>
            </w:pPr>
            <w:r>
              <w:t>Tasmania</w:t>
            </w:r>
          </w:p>
        </w:tc>
      </w:tr>
      <w:tr>
        <w:tc>
          <w:tcPr>
            <w:tcW w:w="2835" w:type="dxa"/>
            <w:tcBorders>
              <w:bottom w:val="single" w:sz="4" w:space="0" w:color="auto"/>
            </w:tcBorders>
          </w:tcPr>
          <w:p>
            <w:pPr>
              <w:pStyle w:val="yTable"/>
            </w:pPr>
            <w:r>
              <w:rPr>
                <w:i/>
                <w:iCs/>
              </w:rPr>
              <w:t>Corrections Act 1986</w:t>
            </w:r>
            <w:r>
              <w:t xml:space="preserve"> Part 8A</w:t>
            </w:r>
          </w:p>
        </w:tc>
        <w:tc>
          <w:tcPr>
            <w:tcW w:w="2835" w:type="dxa"/>
            <w:tcBorders>
              <w:bottom w:val="single" w:sz="4" w:space="0" w:color="auto"/>
            </w:tcBorders>
          </w:tcPr>
          <w:p>
            <w:pPr>
              <w:pStyle w:val="yTable"/>
            </w:pPr>
            <w:r>
              <w:t>Victoria</w:t>
            </w:r>
          </w:p>
        </w:tc>
      </w:tr>
    </w:tbl>
    <w:p>
      <w:pPr>
        <w:pStyle w:val="Footnotesection"/>
      </w:pPr>
      <w:r>
        <w:tab/>
        <w:t>[Regulation 54N inserted in Gazette 3 Apr 2007 p. 1501.]</w:t>
      </w:r>
    </w:p>
    <w:p>
      <w:pPr>
        <w:pStyle w:val="Heading5"/>
      </w:pPr>
      <w:bookmarkStart w:id="248" w:name="_Toc378327303"/>
      <w:bookmarkStart w:id="249" w:name="_Toc427933572"/>
      <w:r>
        <w:rPr>
          <w:rStyle w:val="CharSectno"/>
        </w:rPr>
        <w:t>54O</w:t>
      </w:r>
      <w:r>
        <w:t>.</w:t>
      </w:r>
      <w:r>
        <w:tab/>
        <w:t>Interstate absence permit</w:t>
      </w:r>
      <w:bookmarkEnd w:id="248"/>
      <w:bookmarkEnd w:id="249"/>
    </w:p>
    <w:p>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pPr>
        <w:pStyle w:val="Footnotesection"/>
      </w:pPr>
      <w:r>
        <w:tab/>
        <w:t>[Regulation 54O inserted in Gazette 3 Apr 2007 p. 1501.]</w:t>
      </w:r>
    </w:p>
    <w:p>
      <w:pPr>
        <w:pStyle w:val="Heading5"/>
      </w:pPr>
      <w:bookmarkStart w:id="250" w:name="_Toc378327304"/>
      <w:bookmarkStart w:id="251" w:name="_Toc427933573"/>
      <w:r>
        <w:rPr>
          <w:rStyle w:val="CharSectno"/>
        </w:rPr>
        <w:t>54P</w:t>
      </w:r>
      <w:r>
        <w:t>.</w:t>
      </w:r>
      <w:r>
        <w:tab/>
        <w:t>Notice to participating State or Territory</w:t>
      </w:r>
      <w:bookmarkEnd w:id="250"/>
      <w:bookmarkEnd w:id="251"/>
    </w:p>
    <w:p>
      <w:pPr>
        <w:pStyle w:val="Subsection"/>
      </w:pPr>
      <w:r>
        <w:tab/>
      </w:r>
      <w:r>
        <w:tab/>
        <w:t xml:space="preserve">On giving an interstate absence permit to a prisoner in this State, the chief executive officer shall give written notice of the fact that the permit has been given, and of the period of the permit — </w:t>
      </w:r>
    </w:p>
    <w:p>
      <w:pPr>
        <w:pStyle w:val="Indenta"/>
      </w:pPr>
      <w:r>
        <w:tab/>
        <w:t>(a)</w:t>
      </w:r>
      <w:r>
        <w:tab/>
        <w:t xml:space="preserve">in relation to the participating State or Territory to which the prisoner is travelling — </w:t>
      </w:r>
    </w:p>
    <w:p>
      <w:pPr>
        <w:pStyle w:val="Indenti"/>
      </w:pPr>
      <w:r>
        <w:tab/>
        <w:t>(i)</w:t>
      </w:r>
      <w:r>
        <w:tab/>
        <w:t xml:space="preserve">to the officer responsible for the administration of prisons (however described) in that State or Territory; and </w:t>
      </w:r>
    </w:p>
    <w:p>
      <w:pPr>
        <w:pStyle w:val="Indenti"/>
      </w:pPr>
      <w:r>
        <w:tab/>
        <w:t>(ii)</w:t>
      </w:r>
      <w:r>
        <w:tab/>
        <w:t>to the chief officer of police of that State or Territory;</w:t>
      </w:r>
    </w:p>
    <w:p>
      <w:pPr>
        <w:pStyle w:val="Indenta"/>
      </w:pPr>
      <w:r>
        <w:tab/>
      </w:r>
      <w:r>
        <w:tab/>
        <w:t>and</w:t>
      </w:r>
    </w:p>
    <w:p>
      <w:pPr>
        <w:pStyle w:val="Indenta"/>
      </w:pPr>
      <w:r>
        <w:tab/>
        <w:t>(b)</w:t>
      </w:r>
      <w:r>
        <w:tab/>
        <w:t>in relation to any other participating State or Territory through which the prisoner is travelling — to the chief officer of police of that State or Territory.</w:t>
      </w:r>
    </w:p>
    <w:p>
      <w:pPr>
        <w:pStyle w:val="Footnotesection"/>
      </w:pPr>
      <w:r>
        <w:tab/>
        <w:t>[Regulation 54P inserted in Gazette 3 Apr 2007 p. 1502.]</w:t>
      </w:r>
    </w:p>
    <w:p>
      <w:pPr>
        <w:pStyle w:val="Heading5"/>
      </w:pPr>
      <w:bookmarkStart w:id="252" w:name="_Toc378327305"/>
      <w:bookmarkStart w:id="253" w:name="_Toc427933574"/>
      <w:r>
        <w:rPr>
          <w:rStyle w:val="CharSectno"/>
        </w:rPr>
        <w:t>54Q</w:t>
      </w:r>
      <w:r>
        <w:t>.</w:t>
      </w:r>
      <w:r>
        <w:tab/>
        <w:t>WA escorts</w:t>
      </w:r>
      <w:bookmarkEnd w:id="252"/>
      <w:bookmarkEnd w:id="253"/>
    </w:p>
    <w:p>
      <w:pPr>
        <w:pStyle w:val="Subsection"/>
      </w:pPr>
      <w:r>
        <w:tab/>
      </w:r>
      <w:r>
        <w:tab/>
        <w:t xml:space="preserve">If it is a condition of an interstate absence permit given to a prisoner in this State that the prisoner shall be escorted to or through a participating State or Territory, the permit — </w:t>
      </w:r>
    </w:p>
    <w:p>
      <w:pPr>
        <w:pStyle w:val="Indenta"/>
      </w:pPr>
      <w:r>
        <w:tab/>
        <w:t>(a)</w:t>
      </w:r>
      <w:r>
        <w:tab/>
        <w:t>authorises the escort to be in charge of the prisoner for the purpose of escorting the prisoner to or through the participating State or Territory in accordance with the permit; and</w:t>
      </w:r>
    </w:p>
    <w:p>
      <w:pPr>
        <w:pStyle w:val="Indenta"/>
      </w:pPr>
      <w:r>
        <w:tab/>
        <w:t>(b)</w:t>
      </w:r>
      <w:r>
        <w:tab/>
        <w:t>authorises the escort to be in charge of the prisoner for the purpose of returning the prisoner to the prison or any external facility from which the prisoner is absent,</w:t>
      </w:r>
    </w:p>
    <w:p>
      <w:pPr>
        <w:pStyle w:val="Subsection"/>
      </w:pPr>
      <w:r>
        <w:tab/>
      </w:r>
      <w:r>
        <w:tab/>
        <w:t>except for any period during which the prisoner is in custody in a prison in a participating State or Territory under a provision of a corresponding law corresponding with regulation 54R(2) or 54T.</w:t>
      </w:r>
    </w:p>
    <w:p>
      <w:pPr>
        <w:pStyle w:val="Footnotesection"/>
      </w:pPr>
      <w:r>
        <w:tab/>
        <w:t>[Regulation 54Q inserted in Gazette 3 Apr 2007 p. 1502.]</w:t>
      </w:r>
    </w:p>
    <w:p>
      <w:pPr>
        <w:pStyle w:val="Heading5"/>
      </w:pPr>
      <w:bookmarkStart w:id="254" w:name="_Toc378327306"/>
      <w:bookmarkStart w:id="255" w:name="_Toc427933575"/>
      <w:r>
        <w:rPr>
          <w:rStyle w:val="CharSectno"/>
        </w:rPr>
        <w:t>54R</w:t>
      </w:r>
      <w:r>
        <w:t>.</w:t>
      </w:r>
      <w:r>
        <w:tab/>
        <w:t>Interstate escorts</w:t>
      </w:r>
      <w:bookmarkEnd w:id="254"/>
      <w:bookmarkEnd w:id="255"/>
    </w:p>
    <w:p>
      <w:pPr>
        <w:pStyle w:val="Subsection"/>
      </w:pPr>
      <w:r>
        <w:tab/>
        <w:t>(1)</w:t>
      </w:r>
      <w:r>
        <w:tab/>
        <w:t xml:space="preserve">An interstate escort is authorised, while in this State — </w:t>
      </w:r>
    </w:p>
    <w:p>
      <w:pPr>
        <w:pStyle w:val="Indenta"/>
      </w:pPr>
      <w:r>
        <w:tab/>
        <w:t>(a)</w:t>
      </w:r>
      <w:r>
        <w:tab/>
        <w:t>to be in charge of an interstate prisoner for the purposes and period set out in the relevant interstate absence permit; and</w:t>
      </w:r>
    </w:p>
    <w:p>
      <w:pPr>
        <w:pStyle w:val="Indenta"/>
      </w:pPr>
      <w:r>
        <w:tab/>
        <w:t>(b)</w:t>
      </w:r>
      <w:r>
        <w:tab/>
        <w:t>to be in charge of the interstate prisoner for the purpose of returning the prisoner to the participating State or Territory,</w:t>
      </w:r>
    </w:p>
    <w:p>
      <w:pPr>
        <w:pStyle w:val="Subsection"/>
      </w:pPr>
      <w:r>
        <w:tab/>
      </w:r>
      <w:r>
        <w:tab/>
        <w:t>except for any period during which the prisoner is in custody in a prison, external facility or police lock</w:t>
      </w:r>
      <w:r>
        <w:noBreakHyphen/>
        <w:t>up under subregulation (2) and regulation 54T.</w:t>
      </w:r>
    </w:p>
    <w:p>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pPr>
        <w:pStyle w:val="Footnotesection"/>
      </w:pPr>
      <w:r>
        <w:tab/>
        <w:t>[Regulation 54R inserted in Gazette 3 Apr 2007 p. 1502</w:t>
      </w:r>
      <w:r>
        <w:noBreakHyphen/>
        <w:t>3.]</w:t>
      </w:r>
    </w:p>
    <w:p>
      <w:pPr>
        <w:pStyle w:val="Heading5"/>
      </w:pPr>
      <w:bookmarkStart w:id="256" w:name="_Toc378327307"/>
      <w:bookmarkStart w:id="257" w:name="_Toc427933576"/>
      <w:r>
        <w:rPr>
          <w:rStyle w:val="CharSectno"/>
        </w:rPr>
        <w:t>54S</w:t>
      </w:r>
      <w:r>
        <w:t>.</w:t>
      </w:r>
      <w:r>
        <w:tab/>
        <w:t>Arrest of interstate prisoners</w:t>
      </w:r>
      <w:bookmarkEnd w:id="256"/>
      <w:bookmarkEnd w:id="257"/>
    </w:p>
    <w:p>
      <w:pPr>
        <w:pStyle w:val="Subsection"/>
      </w:pPr>
      <w:r>
        <w:tab/>
      </w:r>
      <w:r>
        <w:tab/>
        <w:t xml:space="preserve">If, while an interstate prisoner is in this State, the prisoner — </w:t>
      </w:r>
    </w:p>
    <w:p>
      <w:pPr>
        <w:pStyle w:val="Indenta"/>
      </w:pPr>
      <w:r>
        <w:tab/>
        <w:t>(a)</w:t>
      </w:r>
      <w:r>
        <w:tab/>
        <w:t>escapes or attempts to escape from the charge of an interstate escort or from the custody of a prison, external facility or police lock</w:t>
      </w:r>
      <w:r>
        <w:noBreakHyphen/>
        <w:t>up under regulation 54R(2); or</w:t>
      </w:r>
    </w:p>
    <w:p>
      <w:pPr>
        <w:pStyle w:val="Indenta"/>
      </w:pPr>
      <w:r>
        <w:tab/>
        <w:t>(b)</w:t>
      </w:r>
      <w:r>
        <w:tab/>
        <w:t xml:space="preserve">otherwise breaches a condition of the relevant interstate absence permit, </w:t>
      </w:r>
    </w:p>
    <w:p>
      <w:pPr>
        <w:pStyle w:val="Subsection"/>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pPr>
        <w:pStyle w:val="Footnotesection"/>
      </w:pPr>
      <w:r>
        <w:tab/>
        <w:t>[Regulation 54S inserted in Gazette 3 Apr 2007 p. 1503.]</w:t>
      </w:r>
    </w:p>
    <w:p>
      <w:pPr>
        <w:pStyle w:val="Heading5"/>
      </w:pPr>
      <w:bookmarkStart w:id="258" w:name="_Toc378327308"/>
      <w:bookmarkStart w:id="259" w:name="_Toc427933577"/>
      <w:r>
        <w:rPr>
          <w:rStyle w:val="CharSectno"/>
        </w:rPr>
        <w:t>54T</w:t>
      </w:r>
      <w:r>
        <w:t>.</w:t>
      </w:r>
      <w:r>
        <w:tab/>
        <w:t>Return of arrested interstate prisoners to State or Territory of origin</w:t>
      </w:r>
      <w:bookmarkEnd w:id="258"/>
      <w:bookmarkEnd w:id="259"/>
    </w:p>
    <w:p>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pPr>
        <w:pStyle w:val="Subsection"/>
      </w:pPr>
      <w:r>
        <w:tab/>
        <w:t>(2)</w:t>
      </w:r>
      <w:r>
        <w:tab/>
        <w:t xml:space="preserve">The court of summary jurisdiction may, if the court thinks appropriate, order that the prisoner — </w:t>
      </w:r>
    </w:p>
    <w:p>
      <w:pPr>
        <w:pStyle w:val="Indenta"/>
      </w:pPr>
      <w:r>
        <w:tab/>
        <w:t>(a)</w:t>
      </w:r>
      <w:r>
        <w:tab/>
        <w:t>be returned by the prisoner’s interstate escort to the State or Territory in which the relevant interstate absence permit was given; or</w:t>
      </w:r>
    </w:p>
    <w:p>
      <w:pPr>
        <w:pStyle w:val="Indenta"/>
      </w:pPr>
      <w:r>
        <w:tab/>
        <w:t>(b)</w:t>
      </w:r>
      <w:r>
        <w:tab/>
        <w:t>be delivered into the custody of another escort for the purposes of being returned to that State or Territory,</w:t>
      </w:r>
    </w:p>
    <w:p>
      <w:pPr>
        <w:pStyle w:val="Subsection"/>
      </w:pPr>
      <w:r>
        <w:tab/>
      </w:r>
      <w:r>
        <w:tab/>
        <w:t>as the case requires.</w:t>
      </w:r>
    </w:p>
    <w:p>
      <w:pPr>
        <w:pStyle w:val="Subsection"/>
      </w:pPr>
      <w:r>
        <w:tab/>
        <w:t>(3)</w:t>
      </w:r>
      <w:r>
        <w:tab/>
        <w:t xml:space="preserve">If an order is made under subregulation (2)(b) — </w:t>
      </w:r>
    </w:p>
    <w:p>
      <w:pPr>
        <w:pStyle w:val="Indenta"/>
      </w:pPr>
      <w:r>
        <w:tab/>
        <w:t>(a)</w:t>
      </w:r>
      <w:r>
        <w:tab/>
        <w:t>the prisoner may be detained in a prison, external facility or police lock</w:t>
      </w:r>
      <w:r>
        <w:noBreakHyphen/>
        <w:t xml:space="preserve">up until — </w:t>
      </w:r>
    </w:p>
    <w:p>
      <w:pPr>
        <w:pStyle w:val="Indenti"/>
      </w:pPr>
      <w:r>
        <w:tab/>
        <w:t>(i)</w:t>
      </w:r>
      <w:r>
        <w:tab/>
        <w:t>the order is executed; or</w:t>
      </w:r>
    </w:p>
    <w:p>
      <w:pPr>
        <w:pStyle w:val="Indenti"/>
      </w:pPr>
      <w:r>
        <w:tab/>
        <w:t>(ii)</w:t>
      </w:r>
      <w:r>
        <w:tab/>
        <w:t>the expiration of 7 days from the making of the order,</w:t>
      </w:r>
    </w:p>
    <w:p>
      <w:pPr>
        <w:pStyle w:val="Indenta"/>
      </w:pPr>
      <w:r>
        <w:tab/>
      </w:r>
      <w:r>
        <w:tab/>
        <w:t>whichever occurs first; and</w:t>
      </w:r>
    </w:p>
    <w:p>
      <w:pPr>
        <w:pStyle w:val="Indenta"/>
        <w:keepNext/>
        <w:keepLines/>
      </w:pPr>
      <w:r>
        <w:tab/>
        <w:t>(b)</w:t>
      </w:r>
      <w:r>
        <w:tab/>
        <w:t>the order, if not executed, expires at the end of that 7 day period.</w:t>
      </w:r>
    </w:p>
    <w:p>
      <w:pPr>
        <w:pStyle w:val="Footnotesection"/>
      </w:pPr>
      <w:r>
        <w:tab/>
        <w:t>[Regulation 54T inserted in Gazette 3 Apr 2007 p. 1503</w:t>
      </w:r>
      <w:r>
        <w:noBreakHyphen/>
        <w:t>4.]</w:t>
      </w:r>
    </w:p>
    <w:p>
      <w:pPr>
        <w:pStyle w:val="Heading5"/>
      </w:pPr>
      <w:bookmarkStart w:id="260" w:name="_Toc378327309"/>
      <w:bookmarkStart w:id="261" w:name="_Toc427933578"/>
      <w:r>
        <w:rPr>
          <w:rStyle w:val="CharSectno"/>
        </w:rPr>
        <w:t>54U</w:t>
      </w:r>
      <w:r>
        <w:t>.</w:t>
      </w:r>
      <w:r>
        <w:tab/>
        <w:t>Status of detained interstate prisoners</w:t>
      </w:r>
      <w:bookmarkEnd w:id="260"/>
      <w:bookmarkEnd w:id="261"/>
    </w:p>
    <w:p>
      <w:pPr>
        <w:pStyle w:val="Subsection"/>
      </w:pPr>
      <w:r>
        <w:tab/>
      </w:r>
      <w:r>
        <w:tab/>
        <w:t>An interstate prisoner shall, while detained in a prison, external facility or police lock</w:t>
      </w:r>
      <w:r>
        <w:noBreakHyphen/>
        <w:t xml:space="preserve">up under regulation 54R(2) or 54T, be taken to be a prisoner for the purposes of — </w:t>
      </w:r>
    </w:p>
    <w:p>
      <w:pPr>
        <w:pStyle w:val="Indenta"/>
      </w:pPr>
      <w:r>
        <w:tab/>
        <w:t>(a)</w:t>
      </w:r>
      <w:r>
        <w:tab/>
        <w:t>the Act; and</w:t>
      </w:r>
    </w:p>
    <w:p>
      <w:pPr>
        <w:pStyle w:val="Indenta"/>
      </w:pPr>
      <w:r>
        <w:tab/>
        <w:t>(b)</w:t>
      </w:r>
      <w:r>
        <w:tab/>
        <w:t>these regulations except paragraph (a) of the definition of “interstate absence permit” in regulation 54M.</w:t>
      </w:r>
    </w:p>
    <w:p>
      <w:pPr>
        <w:pStyle w:val="Footnotesection"/>
      </w:pPr>
      <w:r>
        <w:tab/>
        <w:t>[Regulation 54U inserted in Gazette 3 Apr 2007 p. 1504.]</w:t>
      </w:r>
    </w:p>
    <w:p>
      <w:pPr>
        <w:pStyle w:val="Heading3"/>
      </w:pPr>
      <w:bookmarkStart w:id="262" w:name="_Toc378327310"/>
      <w:bookmarkStart w:id="263" w:name="_Toc424112525"/>
      <w:bookmarkStart w:id="264" w:name="_Toc427923051"/>
      <w:bookmarkStart w:id="265" w:name="_Toc427933579"/>
      <w:r>
        <w:rPr>
          <w:rStyle w:val="CharDivNo"/>
        </w:rPr>
        <w:t>Division 11</w:t>
      </w:r>
      <w:r>
        <w:t> — </w:t>
      </w:r>
      <w:r>
        <w:rPr>
          <w:rStyle w:val="CharDivText"/>
        </w:rPr>
        <w:t>Bring up orders</w:t>
      </w:r>
      <w:bookmarkEnd w:id="262"/>
      <w:bookmarkEnd w:id="263"/>
      <w:bookmarkEnd w:id="264"/>
      <w:bookmarkEnd w:id="265"/>
    </w:p>
    <w:p>
      <w:pPr>
        <w:pStyle w:val="Footnoteheading"/>
      </w:pPr>
      <w:r>
        <w:tab/>
        <w:t>[Heading inserted in Gazette 3 Apr 2007 p. 1504.]</w:t>
      </w:r>
    </w:p>
    <w:p>
      <w:pPr>
        <w:pStyle w:val="Heading5"/>
      </w:pPr>
      <w:bookmarkStart w:id="266" w:name="_Toc378327311"/>
      <w:bookmarkStart w:id="267" w:name="_Toc427933580"/>
      <w:r>
        <w:rPr>
          <w:rStyle w:val="CharSectno"/>
        </w:rPr>
        <w:t>54V</w:t>
      </w:r>
      <w:r>
        <w:t>.</w:t>
      </w:r>
      <w:r>
        <w:tab/>
        <w:t>Superintendent authorised to issue bring up order</w:t>
      </w:r>
      <w:bookmarkEnd w:id="266"/>
      <w:bookmarkEnd w:id="267"/>
    </w:p>
    <w:p>
      <w:pPr>
        <w:pStyle w:val="Subsection"/>
      </w:pPr>
      <w:r>
        <w:tab/>
      </w:r>
      <w:r>
        <w:tab/>
        <w:t>A superintendent of a prison is authorised for the purposes of section 85(1)(c) of the Act.</w:t>
      </w:r>
    </w:p>
    <w:p>
      <w:pPr>
        <w:pStyle w:val="Footnotesection"/>
      </w:pPr>
      <w:r>
        <w:tab/>
        <w:t>[Regulation 54V inserted in Gazette 3 Apr 2007 p. 1504.]</w:t>
      </w:r>
    </w:p>
    <w:p>
      <w:pPr>
        <w:pStyle w:val="Heading5"/>
      </w:pPr>
      <w:bookmarkStart w:id="268" w:name="_Toc378327312"/>
      <w:bookmarkStart w:id="269" w:name="_Toc427933581"/>
      <w:r>
        <w:rPr>
          <w:rStyle w:val="CharSectno"/>
        </w:rPr>
        <w:t>54W</w:t>
      </w:r>
      <w:r>
        <w:t>.</w:t>
      </w:r>
      <w:r>
        <w:tab/>
        <w:t>Custody of prisoners on bring up orders</w:t>
      </w:r>
      <w:bookmarkEnd w:id="268"/>
      <w:bookmarkEnd w:id="269"/>
    </w:p>
    <w:p>
      <w:pPr>
        <w:pStyle w:val="Subsection"/>
      </w:pPr>
      <w:r>
        <w:tab/>
      </w:r>
      <w:r>
        <w:tab/>
        <w:t xml:space="preserve">Where an order under section 85 of the Act is made — </w:t>
      </w:r>
    </w:p>
    <w:p>
      <w:pPr>
        <w:pStyle w:val="Indenta"/>
      </w:pPr>
      <w:r>
        <w:tab/>
        <w:t>(a)</w:t>
      </w:r>
      <w:r>
        <w:tab/>
        <w:t>the superintendent of the prison in which the prisoner is confined may charge a prison officer or officer with the execution of the order; and</w:t>
      </w:r>
    </w:p>
    <w:p>
      <w:pPr>
        <w:pStyle w:val="Indenta"/>
      </w:pPr>
      <w:r>
        <w:tab/>
        <w:t>(b)</w:t>
      </w:r>
      <w:r>
        <w:tab/>
        <w:t xml:space="preserve">a prisoner who is brought up under the order shall — </w:t>
      </w:r>
    </w:p>
    <w:p>
      <w:pPr>
        <w:pStyle w:val="Indenti"/>
      </w:pPr>
      <w:r>
        <w:tab/>
        <w:t>(i)</w:t>
      </w:r>
      <w:r>
        <w:tab/>
        <w:t xml:space="preserve">while absent from a prison or other facility for the purpose specified in the order, be kept in the charge of a prison officer, officer or police officer; and </w:t>
      </w:r>
    </w:p>
    <w:p>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pPr>
        <w:pStyle w:val="Indenta"/>
      </w:pPr>
      <w:r>
        <w:tab/>
      </w:r>
      <w:r>
        <w:tab/>
        <w:t>and</w:t>
      </w:r>
    </w:p>
    <w:p>
      <w:pPr>
        <w:pStyle w:val="Indenta"/>
      </w:pPr>
      <w:r>
        <w:tab/>
        <w:t>(c)</w:t>
      </w:r>
      <w:r>
        <w:tab/>
        <w:t xml:space="preserve">if the proceeding that the prisoner is required to attend is adjourned, the prisoner may during the adjournment — </w:t>
      </w:r>
    </w:p>
    <w:p>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pPr>
        <w:pStyle w:val="Indenti"/>
      </w:pPr>
      <w:r>
        <w:tab/>
        <w:t>(ii)</w:t>
      </w:r>
      <w:r>
        <w:tab/>
        <w:t>be brought up from time to time and day</w:t>
      </w:r>
      <w:r>
        <w:noBreakHyphen/>
        <w:t>to</w:t>
      </w:r>
      <w:r>
        <w:noBreakHyphen/>
        <w:t>day to the court or place where his or her attendance is required.</w:t>
      </w:r>
    </w:p>
    <w:p>
      <w:pPr>
        <w:pStyle w:val="Footnotesection"/>
      </w:pPr>
      <w:r>
        <w:tab/>
        <w:t>[Regulation 54W inserted in Gazette 3 Apr 2007 p. 1504</w:t>
      </w:r>
      <w:r>
        <w:noBreakHyphen/>
        <w:t>5.]</w:t>
      </w:r>
    </w:p>
    <w:p>
      <w:pPr>
        <w:pStyle w:val="Footnotesection"/>
      </w:pPr>
      <w:r>
        <w:tab/>
        <w:t>[Section 54W. Modifications to be applied in order to give effect to Cross-border Justice Act 2008: section altered 1 Nov 2009. See endnote 1M.]</w:t>
      </w:r>
    </w:p>
    <w:p>
      <w:pPr>
        <w:pStyle w:val="Heading2"/>
      </w:pPr>
      <w:bookmarkStart w:id="270" w:name="_Toc378327313"/>
      <w:bookmarkStart w:id="271" w:name="_Toc424112528"/>
      <w:bookmarkStart w:id="272" w:name="_Toc427923054"/>
      <w:bookmarkStart w:id="273" w:name="_Toc427933582"/>
      <w:r>
        <w:rPr>
          <w:rStyle w:val="CharPartNo"/>
        </w:rPr>
        <w:t>Part VI</w:t>
      </w:r>
      <w:r>
        <w:rPr>
          <w:rStyle w:val="CharDivNo"/>
        </w:rPr>
        <w:t> </w:t>
      </w:r>
      <w:r>
        <w:t>—</w:t>
      </w:r>
      <w:r>
        <w:rPr>
          <w:rStyle w:val="CharDivText"/>
        </w:rPr>
        <w:t> </w:t>
      </w:r>
      <w:r>
        <w:rPr>
          <w:rStyle w:val="CharPartText"/>
        </w:rPr>
        <w:t>Remand prisoners</w:t>
      </w:r>
      <w:bookmarkEnd w:id="270"/>
      <w:bookmarkEnd w:id="271"/>
      <w:bookmarkEnd w:id="272"/>
      <w:bookmarkEnd w:id="273"/>
      <w:r>
        <w:rPr>
          <w:rStyle w:val="CharPartText"/>
        </w:rPr>
        <w:t xml:space="preserve"> </w:t>
      </w:r>
    </w:p>
    <w:p>
      <w:pPr>
        <w:pStyle w:val="Heading5"/>
        <w:rPr>
          <w:snapToGrid w:val="0"/>
        </w:rPr>
      </w:pPr>
      <w:bookmarkStart w:id="274" w:name="_Toc378327314"/>
      <w:bookmarkStart w:id="275" w:name="_Toc427933583"/>
      <w:r>
        <w:rPr>
          <w:rStyle w:val="CharSectno"/>
        </w:rPr>
        <w:t>55</w:t>
      </w:r>
      <w:r>
        <w:rPr>
          <w:snapToGrid w:val="0"/>
        </w:rPr>
        <w:t>.</w:t>
      </w:r>
      <w:r>
        <w:rPr>
          <w:snapToGrid w:val="0"/>
        </w:rPr>
        <w:tab/>
        <w:t>Remand prisoners</w:t>
      </w:r>
      <w:bookmarkEnd w:id="274"/>
      <w:bookmarkEnd w:id="275"/>
      <w:r>
        <w:rPr>
          <w:snapToGrid w:val="0"/>
        </w:rPr>
        <w:t xml:space="preserve"> </w:t>
      </w:r>
    </w:p>
    <w:p>
      <w:pPr>
        <w:pStyle w:val="Subsection"/>
        <w:rPr>
          <w:snapToGrid w:val="0"/>
        </w:rPr>
      </w:pPr>
      <w:r>
        <w:rPr>
          <w:snapToGrid w:val="0"/>
        </w:rPr>
        <w:tab/>
      </w:r>
      <w:r>
        <w:rPr>
          <w:snapToGrid w:val="0"/>
        </w:rPr>
        <w:tab/>
        <w:t>A person (not otherwise a prisoner) who is — </w:t>
      </w:r>
    </w:p>
    <w:p>
      <w:pPr>
        <w:pStyle w:val="Indenta"/>
        <w:rPr>
          <w:snapToGrid w:val="0"/>
        </w:rPr>
      </w:pPr>
      <w:r>
        <w:rPr>
          <w:snapToGrid w:val="0"/>
        </w:rPr>
        <w:tab/>
        <w:t>(a)</w:t>
      </w:r>
      <w:r>
        <w:rPr>
          <w:snapToGrid w:val="0"/>
        </w:rPr>
        <w:tab/>
        <w:t>on commitment for trial for an indictable offence and awaiting trial or during his trial or on remand;</w:t>
      </w:r>
    </w:p>
    <w:p>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pPr>
        <w:pStyle w:val="Indenta"/>
        <w:rPr>
          <w:snapToGrid w:val="0"/>
        </w:rPr>
      </w:pPr>
      <w:r>
        <w:rPr>
          <w:snapToGrid w:val="0"/>
        </w:rPr>
        <w:tab/>
        <w:t>(c)</w:t>
      </w:r>
      <w:r>
        <w:rPr>
          <w:snapToGrid w:val="0"/>
        </w:rPr>
        <w:tab/>
        <w:t>on commitment to await extradition or any other commitment,</w:t>
      </w:r>
    </w:p>
    <w:p>
      <w:pPr>
        <w:pStyle w:val="Subsection"/>
        <w:rPr>
          <w:snapToGrid w:val="0"/>
        </w:rPr>
      </w:pPr>
      <w:r>
        <w:rPr>
          <w:snapToGrid w:val="0"/>
        </w:rPr>
        <w:tab/>
      </w:r>
      <w:r>
        <w:rPr>
          <w:snapToGrid w:val="0"/>
        </w:rPr>
        <w:tab/>
        <w:t>is referred to in these regulations as a prisoner on remand and shall be treated accordingly.</w:t>
      </w:r>
    </w:p>
    <w:p>
      <w:pPr>
        <w:pStyle w:val="Footnotesection"/>
      </w:pPr>
      <w:r>
        <w:tab/>
        <w:t>[Regulation 55 amended in Gazette 9 May 2008 p. 1844</w:t>
      </w:r>
      <w:r>
        <w:noBreakHyphen/>
        <w:t>5.]</w:t>
      </w:r>
    </w:p>
    <w:p>
      <w:pPr>
        <w:pStyle w:val="Heading5"/>
        <w:rPr>
          <w:snapToGrid w:val="0"/>
        </w:rPr>
      </w:pPr>
      <w:bookmarkStart w:id="276" w:name="_Toc378327315"/>
      <w:bookmarkStart w:id="277" w:name="_Toc427933584"/>
      <w:r>
        <w:rPr>
          <w:rStyle w:val="CharSectno"/>
        </w:rPr>
        <w:t>56</w:t>
      </w:r>
      <w:r>
        <w:rPr>
          <w:snapToGrid w:val="0"/>
        </w:rPr>
        <w:t>.</w:t>
      </w:r>
      <w:r>
        <w:rPr>
          <w:snapToGrid w:val="0"/>
        </w:rPr>
        <w:tab/>
        <w:t>Visits to remand prisoners</w:t>
      </w:r>
      <w:bookmarkEnd w:id="276"/>
      <w:bookmarkEnd w:id="277"/>
      <w:r>
        <w:rPr>
          <w:snapToGrid w:val="0"/>
        </w:rPr>
        <w:t xml:space="preserve"> </w:t>
      </w:r>
    </w:p>
    <w:p>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pPr>
        <w:pStyle w:val="Indenta"/>
        <w:rPr>
          <w:snapToGrid w:val="0"/>
        </w:rPr>
      </w:pPr>
      <w:r>
        <w:rPr>
          <w:snapToGrid w:val="0"/>
        </w:rPr>
        <w:tab/>
        <w:t>(b)</w:t>
      </w:r>
      <w:r>
        <w:rPr>
          <w:snapToGrid w:val="0"/>
        </w:rPr>
        <w:tab/>
        <w:t>daily thereafter in accordance with the rules prescribed for that prison; and</w:t>
      </w:r>
    </w:p>
    <w:p>
      <w:pPr>
        <w:pStyle w:val="Indenta"/>
        <w:rPr>
          <w:snapToGrid w:val="0"/>
        </w:rPr>
      </w:pPr>
      <w:r>
        <w:rPr>
          <w:snapToGrid w:val="0"/>
        </w:rPr>
        <w:tab/>
        <w:t>(c)</w:t>
      </w:r>
      <w:r>
        <w:rPr>
          <w:snapToGrid w:val="0"/>
        </w:rPr>
        <w:tab/>
        <w:t>at such other times as may be authorised by the superintendent.</w:t>
      </w:r>
    </w:p>
    <w:p>
      <w:pPr>
        <w:pStyle w:val="Footnotesection"/>
      </w:pPr>
      <w:r>
        <w:tab/>
        <w:t>[Regulation 56 amended in Gazette 30 Jun 2003 p. 2625.]</w:t>
      </w:r>
    </w:p>
    <w:p>
      <w:pPr>
        <w:pStyle w:val="Heading5"/>
        <w:rPr>
          <w:snapToGrid w:val="0"/>
        </w:rPr>
      </w:pPr>
      <w:bookmarkStart w:id="278" w:name="_Toc378327316"/>
      <w:bookmarkStart w:id="279" w:name="_Toc427933585"/>
      <w:r>
        <w:rPr>
          <w:rStyle w:val="CharSectno"/>
        </w:rPr>
        <w:t>57</w:t>
      </w:r>
      <w:r>
        <w:rPr>
          <w:snapToGrid w:val="0"/>
        </w:rPr>
        <w:t>.</w:t>
      </w:r>
      <w:r>
        <w:rPr>
          <w:snapToGrid w:val="0"/>
        </w:rPr>
        <w:tab/>
        <w:t>Separation of remand prisoners</w:t>
      </w:r>
      <w:bookmarkEnd w:id="278"/>
      <w:bookmarkEnd w:id="279"/>
      <w:r>
        <w:rPr>
          <w:snapToGrid w:val="0"/>
        </w:rPr>
        <w:t xml:space="preserve"> </w:t>
      </w:r>
    </w:p>
    <w:p>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pPr>
        <w:pStyle w:val="Heading5"/>
        <w:rPr>
          <w:snapToGrid w:val="0"/>
        </w:rPr>
      </w:pPr>
      <w:bookmarkStart w:id="280" w:name="_Toc378327317"/>
      <w:bookmarkStart w:id="281" w:name="_Toc427933586"/>
      <w:r>
        <w:rPr>
          <w:rStyle w:val="CharSectno"/>
        </w:rPr>
        <w:t>58</w:t>
      </w:r>
      <w:r>
        <w:rPr>
          <w:snapToGrid w:val="0"/>
        </w:rPr>
        <w:t>.</w:t>
      </w:r>
      <w:r>
        <w:rPr>
          <w:snapToGrid w:val="0"/>
        </w:rPr>
        <w:tab/>
        <w:t>Request for reclassification by remand prisoners</w:t>
      </w:r>
      <w:bookmarkEnd w:id="280"/>
      <w:bookmarkEnd w:id="281"/>
      <w:r>
        <w:rPr>
          <w:snapToGrid w:val="0"/>
        </w:rPr>
        <w:t xml:space="preserve"> </w:t>
      </w:r>
    </w:p>
    <w:p>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pPr>
        <w:pStyle w:val="Footnotesection"/>
      </w:pPr>
      <w:r>
        <w:tab/>
        <w:t xml:space="preserve">[Regulation 58 amended in Gazette 11 Dec 1987 p. 4369; 2 Nov 1999 p. 5475.] </w:t>
      </w:r>
    </w:p>
    <w:p>
      <w:pPr>
        <w:pStyle w:val="Heading5"/>
        <w:rPr>
          <w:snapToGrid w:val="0"/>
        </w:rPr>
      </w:pPr>
      <w:bookmarkStart w:id="282" w:name="_Toc378327318"/>
      <w:bookmarkStart w:id="283" w:name="_Toc427933587"/>
      <w:r>
        <w:rPr>
          <w:rStyle w:val="CharSectno"/>
        </w:rPr>
        <w:t>59</w:t>
      </w:r>
      <w:r>
        <w:rPr>
          <w:snapToGrid w:val="0"/>
        </w:rPr>
        <w:t>.</w:t>
      </w:r>
      <w:r>
        <w:rPr>
          <w:snapToGrid w:val="0"/>
        </w:rPr>
        <w:tab/>
        <w:t>Exercise by remand prisoners</w:t>
      </w:r>
      <w:bookmarkEnd w:id="282"/>
      <w:bookmarkEnd w:id="283"/>
      <w:r>
        <w:rPr>
          <w:snapToGrid w:val="0"/>
        </w:rPr>
        <w:t xml:space="preserve"> </w:t>
      </w:r>
    </w:p>
    <w:p>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pPr>
        <w:pStyle w:val="Heading5"/>
        <w:rPr>
          <w:snapToGrid w:val="0"/>
        </w:rPr>
      </w:pPr>
      <w:bookmarkStart w:id="284" w:name="_Toc378327319"/>
      <w:bookmarkStart w:id="285" w:name="_Toc427933588"/>
      <w:r>
        <w:rPr>
          <w:rStyle w:val="CharSectno"/>
        </w:rPr>
        <w:t>60</w:t>
      </w:r>
      <w:r>
        <w:rPr>
          <w:snapToGrid w:val="0"/>
        </w:rPr>
        <w:t>.</w:t>
      </w:r>
      <w:r>
        <w:rPr>
          <w:snapToGrid w:val="0"/>
        </w:rPr>
        <w:tab/>
        <w:t>Clothing of remand prisoners</w:t>
      </w:r>
      <w:bookmarkEnd w:id="284"/>
      <w:bookmarkEnd w:id="285"/>
      <w:r>
        <w:rPr>
          <w:snapToGrid w:val="0"/>
        </w:rPr>
        <w:t xml:space="preserve"> </w:t>
      </w:r>
    </w:p>
    <w:p>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pPr>
        <w:pStyle w:val="Subsection"/>
        <w:rPr>
          <w:snapToGrid w:val="0"/>
        </w:rPr>
      </w:pPr>
      <w:r>
        <w:rPr>
          <w:snapToGrid w:val="0"/>
        </w:rPr>
        <w:tab/>
        <w:t>(2)</w:t>
      </w:r>
      <w:r>
        <w:rPr>
          <w:snapToGrid w:val="0"/>
        </w:rPr>
        <w:tab/>
        <w:t>A prisoner who wears his own clothing shall — </w:t>
      </w:r>
    </w:p>
    <w:p>
      <w:pPr>
        <w:pStyle w:val="Indenta"/>
        <w:rPr>
          <w:snapToGrid w:val="0"/>
        </w:rPr>
      </w:pPr>
      <w:r>
        <w:rPr>
          <w:snapToGrid w:val="0"/>
        </w:rPr>
        <w:tab/>
        <w:t>(a)</w:t>
      </w:r>
      <w:r>
        <w:rPr>
          <w:snapToGrid w:val="0"/>
        </w:rPr>
        <w:tab/>
        <w:t>clean and maintain that clothing himself;</w:t>
      </w:r>
    </w:p>
    <w:p>
      <w:pPr>
        <w:pStyle w:val="Indenta"/>
        <w:rPr>
          <w:snapToGrid w:val="0"/>
        </w:rPr>
      </w:pPr>
      <w:r>
        <w:rPr>
          <w:snapToGrid w:val="0"/>
        </w:rPr>
        <w:tab/>
        <w:t>(b)</w:t>
      </w:r>
      <w:r>
        <w:rPr>
          <w:snapToGrid w:val="0"/>
        </w:rPr>
        <w:tab/>
        <w:t>not part with the possession of or destroy any item of his clothing without the approval of the superintendent; and</w:t>
      </w:r>
    </w:p>
    <w:p>
      <w:pPr>
        <w:pStyle w:val="Indenta"/>
        <w:rPr>
          <w:snapToGrid w:val="0"/>
        </w:rPr>
      </w:pPr>
      <w:r>
        <w:rPr>
          <w:snapToGrid w:val="0"/>
        </w:rPr>
        <w:tab/>
        <w:t>(c)</w:t>
      </w:r>
      <w:r>
        <w:rPr>
          <w:snapToGrid w:val="0"/>
        </w:rPr>
        <w:tab/>
        <w:t>have his clothing in his possession entirely at his own risk.</w:t>
      </w:r>
    </w:p>
    <w:p>
      <w:pPr>
        <w:pStyle w:val="Heading5"/>
        <w:rPr>
          <w:snapToGrid w:val="0"/>
        </w:rPr>
      </w:pPr>
      <w:bookmarkStart w:id="286" w:name="_Toc378327320"/>
      <w:bookmarkStart w:id="287" w:name="_Toc427933589"/>
      <w:r>
        <w:rPr>
          <w:rStyle w:val="CharSectno"/>
        </w:rPr>
        <w:t>61</w:t>
      </w:r>
      <w:r>
        <w:rPr>
          <w:snapToGrid w:val="0"/>
        </w:rPr>
        <w:t>.</w:t>
      </w:r>
      <w:r>
        <w:rPr>
          <w:snapToGrid w:val="0"/>
        </w:rPr>
        <w:tab/>
        <w:t>Remand prisoner to clean cell</w:t>
      </w:r>
      <w:bookmarkEnd w:id="286"/>
      <w:bookmarkEnd w:id="287"/>
      <w:r>
        <w:rPr>
          <w:snapToGrid w:val="0"/>
        </w:rPr>
        <w:t xml:space="preserve"> </w:t>
      </w:r>
    </w:p>
    <w:p>
      <w:pPr>
        <w:pStyle w:val="Subsection"/>
        <w:rPr>
          <w:snapToGrid w:val="0"/>
        </w:rPr>
      </w:pPr>
      <w:r>
        <w:rPr>
          <w:snapToGrid w:val="0"/>
        </w:rPr>
        <w:tab/>
      </w:r>
      <w:r>
        <w:rPr>
          <w:snapToGrid w:val="0"/>
        </w:rPr>
        <w:tab/>
        <w:t>A prisoner on remand shall keep his cell and any other areas used by remand prisoners in a thorough state of cleanliness.</w:t>
      </w:r>
    </w:p>
    <w:p>
      <w:pPr>
        <w:pStyle w:val="Heading5"/>
        <w:rPr>
          <w:snapToGrid w:val="0"/>
        </w:rPr>
      </w:pPr>
      <w:bookmarkStart w:id="288" w:name="_Toc378327321"/>
      <w:bookmarkStart w:id="289" w:name="_Toc427933590"/>
      <w:r>
        <w:rPr>
          <w:rStyle w:val="CharSectno"/>
        </w:rPr>
        <w:t>62</w:t>
      </w:r>
      <w:r>
        <w:rPr>
          <w:snapToGrid w:val="0"/>
        </w:rPr>
        <w:t>.</w:t>
      </w:r>
      <w:r>
        <w:rPr>
          <w:snapToGrid w:val="0"/>
        </w:rPr>
        <w:tab/>
        <w:t>Haircuts etc. of remand prisoners</w:t>
      </w:r>
      <w:bookmarkEnd w:id="288"/>
      <w:bookmarkEnd w:id="289"/>
      <w:r>
        <w:rPr>
          <w:snapToGrid w:val="0"/>
        </w:rPr>
        <w:t xml:space="preserve"> </w:t>
      </w:r>
    </w:p>
    <w:p>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pPr>
        <w:pStyle w:val="Footnotesection"/>
      </w:pPr>
      <w:r>
        <w:tab/>
        <w:t>[Regulation 62 amended in Gazette 12 Apr 2001 p. 2100.]</w:t>
      </w:r>
    </w:p>
    <w:p>
      <w:pPr>
        <w:pStyle w:val="Ednotepart"/>
      </w:pPr>
      <w:r>
        <w:t>[Part VII deleted in Gazette 22 Apr 1983 p. 1250.]</w:t>
      </w:r>
    </w:p>
    <w:p>
      <w:pPr>
        <w:pStyle w:val="Heading2"/>
      </w:pPr>
      <w:bookmarkStart w:id="290" w:name="_Toc378327322"/>
      <w:bookmarkStart w:id="291" w:name="_Toc424112537"/>
      <w:bookmarkStart w:id="292" w:name="_Toc427923063"/>
      <w:bookmarkStart w:id="293" w:name="_Toc427933591"/>
      <w:r>
        <w:rPr>
          <w:rStyle w:val="CharPartNo"/>
        </w:rPr>
        <w:t>Part VIII</w:t>
      </w:r>
      <w:r>
        <w:rPr>
          <w:rStyle w:val="CharDivNo"/>
        </w:rPr>
        <w:t> </w:t>
      </w:r>
      <w:r>
        <w:t>—</w:t>
      </w:r>
      <w:r>
        <w:rPr>
          <w:rStyle w:val="CharDivText"/>
        </w:rPr>
        <w:t> </w:t>
      </w:r>
      <w:r>
        <w:rPr>
          <w:rStyle w:val="CharPartText"/>
        </w:rPr>
        <w:t>Prison offences</w:t>
      </w:r>
      <w:bookmarkEnd w:id="290"/>
      <w:bookmarkEnd w:id="291"/>
      <w:bookmarkEnd w:id="292"/>
      <w:bookmarkEnd w:id="293"/>
      <w:r>
        <w:rPr>
          <w:rStyle w:val="CharPartText"/>
        </w:rPr>
        <w:t xml:space="preserve"> </w:t>
      </w:r>
    </w:p>
    <w:p>
      <w:pPr>
        <w:pStyle w:val="Heading5"/>
        <w:rPr>
          <w:snapToGrid w:val="0"/>
        </w:rPr>
      </w:pPr>
      <w:bookmarkStart w:id="294" w:name="_Toc378327323"/>
      <w:bookmarkStart w:id="295" w:name="_Toc427933592"/>
      <w:r>
        <w:rPr>
          <w:rStyle w:val="CharSectno"/>
        </w:rPr>
        <w:t>66</w:t>
      </w:r>
      <w:r>
        <w:rPr>
          <w:snapToGrid w:val="0"/>
        </w:rPr>
        <w:t>.</w:t>
      </w:r>
      <w:r>
        <w:rPr>
          <w:snapToGrid w:val="0"/>
        </w:rPr>
        <w:tab/>
        <w:t>Determination of prison offences</w:t>
      </w:r>
      <w:bookmarkEnd w:id="294"/>
      <w:bookmarkEnd w:id="295"/>
      <w:r>
        <w:rPr>
          <w:snapToGrid w:val="0"/>
        </w:rPr>
        <w:t xml:space="preserve"> </w:t>
      </w:r>
    </w:p>
    <w:p>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pPr>
        <w:pStyle w:val="Indenta"/>
        <w:rPr>
          <w:snapToGrid w:val="0"/>
        </w:rPr>
      </w:pPr>
      <w:r>
        <w:rPr>
          <w:snapToGrid w:val="0"/>
        </w:rPr>
        <w:tab/>
        <w:t>(a)</w:t>
      </w:r>
      <w:r>
        <w:rPr>
          <w:snapToGrid w:val="0"/>
        </w:rPr>
        <w:tab/>
        <w:t>the prosecuting prison officer shall state the case against the prisoner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discretion;</w:t>
      </w:r>
    </w:p>
    <w:p>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prison officer shall then close his case; and</w:t>
      </w:r>
    </w:p>
    <w:p>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pPr>
        <w:pStyle w:val="Heading5"/>
        <w:rPr>
          <w:snapToGrid w:val="0"/>
        </w:rPr>
      </w:pPr>
      <w:bookmarkStart w:id="296" w:name="_Toc378327324"/>
      <w:bookmarkStart w:id="297" w:name="_Toc427933593"/>
      <w:r>
        <w:rPr>
          <w:rStyle w:val="CharSectno"/>
        </w:rPr>
        <w:t>67</w:t>
      </w:r>
      <w:r>
        <w:rPr>
          <w:snapToGrid w:val="0"/>
        </w:rPr>
        <w:t>.</w:t>
      </w:r>
      <w:r>
        <w:rPr>
          <w:snapToGrid w:val="0"/>
        </w:rPr>
        <w:tab/>
        <w:t>Conduct of proceedings</w:t>
      </w:r>
      <w:bookmarkEnd w:id="296"/>
      <w:bookmarkEnd w:id="297"/>
      <w:r>
        <w:rPr>
          <w:snapToGrid w:val="0"/>
        </w:rPr>
        <w:t xml:space="preserve"> </w:t>
      </w:r>
    </w:p>
    <w:p>
      <w:pPr>
        <w:pStyle w:val="Subsection"/>
        <w:rPr>
          <w:snapToGrid w:val="0"/>
        </w:rPr>
      </w:pPr>
      <w:r>
        <w:rPr>
          <w:snapToGrid w:val="0"/>
        </w:rPr>
        <w:tab/>
        <w:t>(1)</w:t>
      </w:r>
      <w:r>
        <w:rPr>
          <w:snapToGrid w:val="0"/>
        </w:rPr>
        <w:tab/>
        <w:t>The superintendent or the visiting justice — </w:t>
      </w:r>
    </w:p>
    <w:p>
      <w:pPr>
        <w:pStyle w:val="Indenta"/>
        <w:rPr>
          <w:snapToGrid w:val="0"/>
        </w:rPr>
      </w:pPr>
      <w:r>
        <w:rPr>
          <w:snapToGrid w:val="0"/>
        </w:rPr>
        <w:tab/>
        <w:t>(a)</w:t>
      </w:r>
      <w:r>
        <w:rPr>
          <w:snapToGrid w:val="0"/>
        </w:rPr>
        <w:tab/>
        <w:t>shall conduct proceedings expeditiously and without undue adjournment or delay;</w:t>
      </w:r>
    </w:p>
    <w:p>
      <w:pPr>
        <w:pStyle w:val="Indenta"/>
        <w:rPr>
          <w:snapToGrid w:val="0"/>
        </w:rPr>
      </w:pPr>
      <w:r>
        <w:rPr>
          <w:snapToGrid w:val="0"/>
        </w:rPr>
        <w:tab/>
        <w:t>(b)</w:t>
      </w:r>
      <w:r>
        <w:rPr>
          <w:snapToGrid w:val="0"/>
        </w:rPr>
        <w:tab/>
        <w:t>shall keep or cause to be kept an adequate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pPr>
        <w:pStyle w:val="Heading5"/>
        <w:spacing w:before="200"/>
        <w:rPr>
          <w:snapToGrid w:val="0"/>
        </w:rPr>
      </w:pPr>
      <w:bookmarkStart w:id="298" w:name="_Toc378327325"/>
      <w:bookmarkStart w:id="299" w:name="_Toc427933594"/>
      <w:r>
        <w:rPr>
          <w:rStyle w:val="CharSectno"/>
        </w:rPr>
        <w:t>68</w:t>
      </w:r>
      <w:r>
        <w:rPr>
          <w:snapToGrid w:val="0"/>
        </w:rPr>
        <w:t>.</w:t>
      </w:r>
      <w:r>
        <w:rPr>
          <w:snapToGrid w:val="0"/>
        </w:rPr>
        <w:tab/>
        <w:t>Separate confinement in punishment cell</w:t>
      </w:r>
      <w:bookmarkEnd w:id="298"/>
      <w:bookmarkEnd w:id="299"/>
      <w:r>
        <w:rPr>
          <w:snapToGrid w:val="0"/>
        </w:rPr>
        <w:t xml:space="preserve"> </w:t>
      </w:r>
    </w:p>
    <w:p>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pPr>
        <w:pStyle w:val="Footnotesection"/>
        <w:spacing w:before="100"/>
        <w:ind w:left="890" w:hanging="890"/>
      </w:pPr>
      <w:r>
        <w:tab/>
        <w:t xml:space="preserve">[Regulation 68 amended in Gazette 11 Dec 1987 p. 4369; 2 Nov 1999 p. 5475.] </w:t>
      </w:r>
    </w:p>
    <w:p>
      <w:pPr>
        <w:pStyle w:val="Heading5"/>
        <w:spacing w:before="200"/>
        <w:rPr>
          <w:snapToGrid w:val="0"/>
        </w:rPr>
      </w:pPr>
      <w:bookmarkStart w:id="300" w:name="_Toc378327326"/>
      <w:bookmarkStart w:id="301" w:name="_Toc427933595"/>
      <w:r>
        <w:rPr>
          <w:rStyle w:val="CharSectno"/>
        </w:rPr>
        <w:t>69</w:t>
      </w:r>
      <w:r>
        <w:rPr>
          <w:snapToGrid w:val="0"/>
        </w:rPr>
        <w:t>.</w:t>
      </w:r>
      <w:r>
        <w:rPr>
          <w:snapToGrid w:val="0"/>
        </w:rPr>
        <w:tab/>
        <w:t>Calculation of separate confinement in punishment cell</w:t>
      </w:r>
      <w:bookmarkEnd w:id="300"/>
      <w:bookmarkEnd w:id="301"/>
      <w:r>
        <w:rPr>
          <w:snapToGrid w:val="0"/>
        </w:rPr>
        <w:t xml:space="preserve"> </w:t>
      </w:r>
    </w:p>
    <w:p>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pPr>
        <w:pStyle w:val="Heading5"/>
        <w:spacing w:before="200"/>
        <w:rPr>
          <w:snapToGrid w:val="0"/>
        </w:rPr>
      </w:pPr>
      <w:bookmarkStart w:id="302" w:name="_Toc378327327"/>
      <w:bookmarkStart w:id="303" w:name="_Toc427933596"/>
      <w:r>
        <w:rPr>
          <w:rStyle w:val="CharSectno"/>
        </w:rPr>
        <w:t>70</w:t>
      </w:r>
      <w:r>
        <w:rPr>
          <w:snapToGrid w:val="0"/>
        </w:rPr>
        <w:t>.</w:t>
      </w:r>
      <w:r>
        <w:rPr>
          <w:snapToGrid w:val="0"/>
        </w:rPr>
        <w:tab/>
        <w:t>Confinement in sleeping quarters</w:t>
      </w:r>
      <w:bookmarkEnd w:id="302"/>
      <w:bookmarkEnd w:id="303"/>
      <w:r>
        <w:rPr>
          <w:snapToGrid w:val="0"/>
        </w:rPr>
        <w:t xml:space="preserve"> </w:t>
      </w:r>
    </w:p>
    <w:p>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pPr>
        <w:pStyle w:val="Heading5"/>
        <w:spacing w:before="200"/>
        <w:rPr>
          <w:snapToGrid w:val="0"/>
        </w:rPr>
      </w:pPr>
      <w:bookmarkStart w:id="304" w:name="_Toc378327328"/>
      <w:bookmarkStart w:id="305" w:name="_Toc427933597"/>
      <w:r>
        <w:rPr>
          <w:rStyle w:val="CharSectno"/>
        </w:rPr>
        <w:t>71</w:t>
      </w:r>
      <w:r>
        <w:rPr>
          <w:snapToGrid w:val="0"/>
        </w:rPr>
        <w:t>.</w:t>
      </w:r>
      <w:r>
        <w:rPr>
          <w:snapToGrid w:val="0"/>
        </w:rPr>
        <w:tab/>
        <w:t>Calculation of confinement in sleeping quarters</w:t>
      </w:r>
      <w:bookmarkEnd w:id="304"/>
      <w:bookmarkEnd w:id="305"/>
      <w:r>
        <w:rPr>
          <w:snapToGrid w:val="0"/>
        </w:rPr>
        <w:t xml:space="preserve"> </w:t>
      </w:r>
    </w:p>
    <w:p>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pPr>
        <w:pStyle w:val="Heading5"/>
        <w:keepLines w:val="0"/>
        <w:spacing w:before="200"/>
        <w:rPr>
          <w:snapToGrid w:val="0"/>
        </w:rPr>
      </w:pPr>
      <w:bookmarkStart w:id="306" w:name="_Toc378327329"/>
      <w:bookmarkStart w:id="307" w:name="_Toc427933598"/>
      <w:r>
        <w:rPr>
          <w:rStyle w:val="CharSectno"/>
        </w:rPr>
        <w:t>72</w:t>
      </w:r>
      <w:r>
        <w:rPr>
          <w:snapToGrid w:val="0"/>
        </w:rPr>
        <w:t>.</w:t>
      </w:r>
      <w:r>
        <w:rPr>
          <w:snapToGrid w:val="0"/>
        </w:rPr>
        <w:tab/>
        <w:t>Separate confinement under section 43</w:t>
      </w:r>
      <w:bookmarkEnd w:id="306"/>
      <w:bookmarkEnd w:id="307"/>
      <w:r>
        <w:rPr>
          <w:snapToGrid w:val="0"/>
        </w:rPr>
        <w:t xml:space="preserve"> </w:t>
      </w:r>
    </w:p>
    <w:p>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pPr>
        <w:pStyle w:val="Footnotesection"/>
      </w:pPr>
      <w:r>
        <w:tab/>
        <w:t xml:space="preserve">[Regulation 72 amended in Gazette 11 Dec 1987 p. 4369; 2 Nov 1999 p. 5475.] </w:t>
      </w:r>
    </w:p>
    <w:p>
      <w:pPr>
        <w:pStyle w:val="Heading5"/>
        <w:rPr>
          <w:snapToGrid w:val="0"/>
        </w:rPr>
      </w:pPr>
      <w:bookmarkStart w:id="308" w:name="_Toc378327330"/>
      <w:bookmarkStart w:id="309" w:name="_Toc427933599"/>
      <w:r>
        <w:rPr>
          <w:rStyle w:val="CharSectno"/>
        </w:rPr>
        <w:t>73</w:t>
      </w:r>
      <w:r>
        <w:rPr>
          <w:snapToGrid w:val="0"/>
        </w:rPr>
        <w:t>.</w:t>
      </w:r>
      <w:r>
        <w:rPr>
          <w:snapToGrid w:val="0"/>
        </w:rPr>
        <w:tab/>
        <w:t>Penalties of restitution and cancellation of gratuities</w:t>
      </w:r>
      <w:bookmarkEnd w:id="308"/>
      <w:bookmarkEnd w:id="309"/>
      <w:r>
        <w:rPr>
          <w:snapToGrid w:val="0"/>
        </w:rPr>
        <w:t xml:space="preserve"> </w:t>
      </w:r>
    </w:p>
    <w:p>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pPr>
        <w:pStyle w:val="Ednotesubsection"/>
      </w:pPr>
      <w:r>
        <w:tab/>
        <w:t>[(2)</w:t>
      </w:r>
      <w:r>
        <w:tab/>
        <w:t>deleted]</w:t>
      </w:r>
    </w:p>
    <w:p>
      <w:pPr>
        <w:pStyle w:val="Footnotesection"/>
      </w:pPr>
      <w:r>
        <w:tab/>
        <w:t xml:space="preserve">[Regulation 73 amended in Gazette 11 Dec 1987 p. 4369; 2 Nov 1999 p. 5475; 3 Apr 2007 p. 1505.] </w:t>
      </w:r>
    </w:p>
    <w:p>
      <w:pPr>
        <w:pStyle w:val="Heading2"/>
      </w:pPr>
      <w:bookmarkStart w:id="310" w:name="_Toc378327331"/>
      <w:bookmarkStart w:id="311" w:name="_Toc424112546"/>
      <w:bookmarkStart w:id="312" w:name="_Toc427923072"/>
      <w:bookmarkStart w:id="313" w:name="_Toc427933600"/>
      <w:r>
        <w:rPr>
          <w:rStyle w:val="CharPartNo"/>
        </w:rPr>
        <w:t>Part IX</w:t>
      </w:r>
      <w:r>
        <w:rPr>
          <w:rStyle w:val="CharDivNo"/>
        </w:rPr>
        <w:t> </w:t>
      </w:r>
      <w:r>
        <w:t>—</w:t>
      </w:r>
      <w:r>
        <w:rPr>
          <w:rStyle w:val="CharDivText"/>
        </w:rPr>
        <w:t> </w:t>
      </w:r>
      <w:r>
        <w:rPr>
          <w:rStyle w:val="CharPartText"/>
        </w:rPr>
        <w:t>Death of prisoner</w:t>
      </w:r>
      <w:bookmarkEnd w:id="310"/>
      <w:bookmarkEnd w:id="311"/>
      <w:bookmarkEnd w:id="312"/>
      <w:bookmarkEnd w:id="313"/>
      <w:r>
        <w:rPr>
          <w:rStyle w:val="CharPartText"/>
        </w:rPr>
        <w:t xml:space="preserve"> </w:t>
      </w:r>
    </w:p>
    <w:p>
      <w:pPr>
        <w:pStyle w:val="Heading5"/>
      </w:pPr>
      <w:bookmarkStart w:id="314" w:name="_Toc378327332"/>
      <w:bookmarkStart w:id="315" w:name="_Toc427933601"/>
      <w:r>
        <w:rPr>
          <w:rStyle w:val="CharSectno"/>
        </w:rPr>
        <w:t>74</w:t>
      </w:r>
      <w:r>
        <w:t>.</w:t>
      </w:r>
      <w:r>
        <w:tab/>
        <w:t>Procedure on death of prisoner</w:t>
      </w:r>
      <w:bookmarkEnd w:id="314"/>
      <w:bookmarkEnd w:id="315"/>
    </w:p>
    <w:p>
      <w:pPr>
        <w:pStyle w:val="Subsection"/>
      </w:pPr>
      <w:r>
        <w:tab/>
        <w:t>(1)</w:t>
      </w:r>
      <w:r>
        <w:tab/>
        <w:t xml:space="preserve">Upon the death of a prisoner, the superintendent shall ensure that a medical officer records — </w:t>
      </w:r>
    </w:p>
    <w:p>
      <w:pPr>
        <w:pStyle w:val="Indenta"/>
      </w:pPr>
      <w:r>
        <w:tab/>
        <w:t>(a)</w:t>
      </w:r>
      <w:r>
        <w:tab/>
        <w:t>the time of death and the time of certification of death;</w:t>
      </w:r>
    </w:p>
    <w:p>
      <w:pPr>
        <w:pStyle w:val="Indenta"/>
      </w:pPr>
      <w:r>
        <w:tab/>
        <w:t>(b)</w:t>
      </w:r>
      <w:r>
        <w:tab/>
        <w:t>the nature of illness or other apparent cause of death;</w:t>
      </w:r>
    </w:p>
    <w:p>
      <w:pPr>
        <w:pStyle w:val="Indenta"/>
      </w:pPr>
      <w:r>
        <w:tab/>
        <w:t>(c)</w:t>
      </w:r>
      <w:r>
        <w:tab/>
        <w:t xml:space="preserve">the progression of any illness suffered by the prisoner; and </w:t>
      </w:r>
    </w:p>
    <w:p>
      <w:pPr>
        <w:pStyle w:val="Indenta"/>
      </w:pPr>
      <w:r>
        <w:tab/>
        <w:t>(d)</w:t>
      </w:r>
      <w:r>
        <w:tab/>
        <w:t>any other remarks that the medical officer considers necessary.</w:t>
      </w:r>
    </w:p>
    <w:p>
      <w:pPr>
        <w:pStyle w:val="Subsection"/>
      </w:pPr>
      <w:r>
        <w:tab/>
        <w:t>(2)</w:t>
      </w:r>
      <w:r>
        <w:tab/>
        <w:t>The medical officer shall, as soon as practicable after recording the matters under subregulation (1), send a copy of the record to the chief executive officer.</w:t>
      </w:r>
    </w:p>
    <w:p>
      <w:pPr>
        <w:pStyle w:val="Footnotesection"/>
      </w:pPr>
      <w:r>
        <w:tab/>
        <w:t>[Regulation 74 inserted in Gazette 12 Apr 2001 p. 2101.]</w:t>
      </w:r>
    </w:p>
    <w:p>
      <w:pPr>
        <w:pStyle w:val="Heading5"/>
        <w:rPr>
          <w:snapToGrid w:val="0"/>
        </w:rPr>
      </w:pPr>
      <w:bookmarkStart w:id="316" w:name="_Toc378327333"/>
      <w:bookmarkStart w:id="317" w:name="_Toc427933602"/>
      <w:r>
        <w:rPr>
          <w:rStyle w:val="CharSectno"/>
        </w:rPr>
        <w:t>75</w:t>
      </w:r>
      <w:r>
        <w:rPr>
          <w:snapToGrid w:val="0"/>
        </w:rPr>
        <w:t>.</w:t>
      </w:r>
      <w:r>
        <w:rPr>
          <w:snapToGrid w:val="0"/>
        </w:rPr>
        <w:tab/>
        <w:t>Notice of death of prisoner</w:t>
      </w:r>
      <w:bookmarkEnd w:id="316"/>
      <w:bookmarkEnd w:id="317"/>
      <w:r>
        <w:rPr>
          <w:snapToGrid w:val="0"/>
        </w:rPr>
        <w:t xml:space="preserve"> </w:t>
      </w:r>
    </w:p>
    <w:p>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pPr>
        <w:pStyle w:val="Footnotesection"/>
      </w:pPr>
      <w:r>
        <w:tab/>
        <w:t xml:space="preserve">[Regulation 75 amended in Gazette 11 Dec 1987 p. 4369; 2 Nov 1999 p. 5475.] </w:t>
      </w:r>
    </w:p>
    <w:p>
      <w:pPr>
        <w:pStyle w:val="Heading2"/>
      </w:pPr>
      <w:bookmarkStart w:id="318" w:name="_Toc378327334"/>
      <w:bookmarkStart w:id="319" w:name="_Toc424112549"/>
      <w:bookmarkStart w:id="320" w:name="_Toc427923075"/>
      <w:bookmarkStart w:id="321" w:name="_Toc427933603"/>
      <w:r>
        <w:rPr>
          <w:rStyle w:val="CharPartNo"/>
        </w:rPr>
        <w:t>Part X</w:t>
      </w:r>
      <w:r>
        <w:rPr>
          <w:b w:val="0"/>
        </w:rPr>
        <w:t> </w:t>
      </w:r>
      <w:r>
        <w:t>—</w:t>
      </w:r>
      <w:r>
        <w:rPr>
          <w:b w:val="0"/>
        </w:rPr>
        <w:t> </w:t>
      </w:r>
      <w:r>
        <w:rPr>
          <w:rStyle w:val="CharPartText"/>
        </w:rPr>
        <w:t>Independent prison visitors</w:t>
      </w:r>
      <w:bookmarkEnd w:id="318"/>
      <w:bookmarkEnd w:id="319"/>
      <w:bookmarkEnd w:id="320"/>
      <w:bookmarkEnd w:id="321"/>
    </w:p>
    <w:p>
      <w:pPr>
        <w:pStyle w:val="Footnoteheading"/>
        <w:tabs>
          <w:tab w:val="clear" w:pos="879"/>
          <w:tab w:val="left" w:pos="890"/>
        </w:tabs>
      </w:pPr>
      <w:r>
        <w:tab/>
        <w:t>[Heading inserted by No. 75 of 2003 s. 56.]</w:t>
      </w:r>
    </w:p>
    <w:p>
      <w:pPr>
        <w:pStyle w:val="Heading5"/>
      </w:pPr>
      <w:bookmarkStart w:id="322" w:name="_Toc378327335"/>
      <w:bookmarkStart w:id="323" w:name="_Toc427933604"/>
      <w:r>
        <w:rPr>
          <w:rStyle w:val="CharSectno"/>
        </w:rPr>
        <w:t>76</w:t>
      </w:r>
      <w:r>
        <w:t>.</w:t>
      </w:r>
      <w:r>
        <w:tab/>
        <w:t>Visits by independent prison visitors</w:t>
      </w:r>
      <w:bookmarkEnd w:id="322"/>
      <w:bookmarkEnd w:id="323"/>
    </w:p>
    <w:p>
      <w:pPr>
        <w:pStyle w:val="Subsection"/>
      </w:pPr>
      <w:r>
        <w:tab/>
      </w:r>
      <w:r>
        <w:tab/>
        <w:t>Where an independent prison visitor has given notice of his or her intention to visit a prison the superintendent shall cause a notice of the intended visit to be published within the prison.</w:t>
      </w:r>
    </w:p>
    <w:p>
      <w:pPr>
        <w:pStyle w:val="Footnotesection"/>
      </w:pPr>
      <w:r>
        <w:tab/>
        <w:t>[Section 76 inserted by No. 75 of 2003 s. 56.]</w:t>
      </w:r>
    </w:p>
    <w:p>
      <w:pPr>
        <w:pStyle w:val="Heading5"/>
      </w:pPr>
      <w:bookmarkStart w:id="324" w:name="_Toc378327336"/>
      <w:bookmarkStart w:id="325" w:name="_Toc427933605"/>
      <w:r>
        <w:rPr>
          <w:rStyle w:val="CharSectno"/>
        </w:rPr>
        <w:t>77</w:t>
      </w:r>
      <w:r>
        <w:t>.</w:t>
      </w:r>
      <w:r>
        <w:tab/>
        <w:t>Interviews by independent prison visitors</w:t>
      </w:r>
      <w:bookmarkEnd w:id="324"/>
      <w:bookmarkEnd w:id="325"/>
    </w:p>
    <w:p>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pPr>
        <w:pStyle w:val="Subsection"/>
      </w:pPr>
      <w:r>
        <w:tab/>
        <w:t>(2)</w:t>
      </w:r>
      <w:r>
        <w:tab/>
        <w:t>The independent prison visitor may interview an officer in private.</w:t>
      </w:r>
    </w:p>
    <w:p>
      <w:pPr>
        <w:pStyle w:val="Subsection"/>
      </w:pPr>
      <w:r>
        <w:tab/>
        <w:t>(3)</w:t>
      </w:r>
      <w:r>
        <w:tab/>
        <w:t>Subject to any direction to the contrary made by the superintendent in the interests of security, the independent prison visitor may interview a prisoner within the view but not the hearing of an officer.</w:t>
      </w:r>
    </w:p>
    <w:p>
      <w:pPr>
        <w:pStyle w:val="Footnotesection"/>
      </w:pPr>
      <w:r>
        <w:tab/>
        <w:t>[Section 77 inserted by No. 75 of 2003 s. 56.]</w:t>
      </w:r>
    </w:p>
    <w:p>
      <w:pPr>
        <w:pStyle w:val="Heading2"/>
      </w:pPr>
      <w:bookmarkStart w:id="326" w:name="_Toc378327337"/>
      <w:bookmarkStart w:id="327" w:name="_Toc424112552"/>
      <w:bookmarkStart w:id="328" w:name="_Toc427923078"/>
      <w:bookmarkStart w:id="329" w:name="_Toc427933606"/>
      <w:r>
        <w:rPr>
          <w:rStyle w:val="CharPartNo"/>
        </w:rPr>
        <w:t>Part XI</w:t>
      </w:r>
      <w:r>
        <w:rPr>
          <w:rStyle w:val="CharDivNo"/>
        </w:rPr>
        <w:t> </w:t>
      </w:r>
      <w:r>
        <w:t>—</w:t>
      </w:r>
      <w:r>
        <w:rPr>
          <w:rStyle w:val="CharDivText"/>
        </w:rPr>
        <w:t> </w:t>
      </w:r>
      <w:r>
        <w:rPr>
          <w:rStyle w:val="CharPartText"/>
        </w:rPr>
        <w:t>Searches and examinations</w:t>
      </w:r>
      <w:bookmarkEnd w:id="326"/>
      <w:bookmarkEnd w:id="327"/>
      <w:bookmarkEnd w:id="328"/>
      <w:bookmarkEnd w:id="329"/>
      <w:r>
        <w:rPr>
          <w:rStyle w:val="CharPartText"/>
        </w:rPr>
        <w:t xml:space="preserve"> </w:t>
      </w:r>
    </w:p>
    <w:p>
      <w:pPr>
        <w:pStyle w:val="Heading5"/>
        <w:rPr>
          <w:snapToGrid w:val="0"/>
        </w:rPr>
      </w:pPr>
      <w:bookmarkStart w:id="330" w:name="_Toc378327338"/>
      <w:bookmarkStart w:id="331" w:name="_Toc427933607"/>
      <w:r>
        <w:rPr>
          <w:rStyle w:val="CharSectno"/>
        </w:rPr>
        <w:t>78</w:t>
      </w:r>
      <w:r>
        <w:rPr>
          <w:snapToGrid w:val="0"/>
        </w:rPr>
        <w:t>.</w:t>
      </w:r>
      <w:r>
        <w:rPr>
          <w:snapToGrid w:val="0"/>
        </w:rPr>
        <w:tab/>
        <w:t>Duties as to search of prisoners</w:t>
      </w:r>
      <w:bookmarkEnd w:id="330"/>
      <w:bookmarkEnd w:id="331"/>
      <w:r>
        <w:rPr>
          <w:snapToGrid w:val="0"/>
        </w:rPr>
        <w:t xml:space="preserve"> </w:t>
      </w:r>
    </w:p>
    <w:p>
      <w:pPr>
        <w:pStyle w:val="Subsection"/>
        <w:spacing w:before="120"/>
        <w:rPr>
          <w:snapToGrid w:val="0"/>
        </w:rPr>
      </w:pPr>
      <w:r>
        <w:rPr>
          <w:snapToGrid w:val="0"/>
        </w:rPr>
        <w:tab/>
        <w:t>(1)</w:t>
      </w:r>
      <w:r>
        <w:rPr>
          <w:snapToGrid w:val="0"/>
        </w:rPr>
        <w:tab/>
        <w:t>Each prisoner shall be searched on his admission to prison and immediately before his discharge from prison and may be searched on such other occasions and in such manner as may be considered necessary by the superintendent.</w:t>
      </w:r>
    </w:p>
    <w:p>
      <w:pPr>
        <w:pStyle w:val="Subsection"/>
        <w:spacing w:before="120"/>
        <w:rPr>
          <w:snapToGrid w:val="0"/>
        </w:rPr>
      </w:pPr>
      <w:r>
        <w:rPr>
          <w:snapToGrid w:val="0"/>
        </w:rPr>
        <w:tab/>
        <w:t>(2)</w:t>
      </w:r>
      <w:r>
        <w:rPr>
          <w:snapToGrid w:val="0"/>
        </w:rPr>
        <w:tab/>
        <w:t>A prison officer may search any prisoner in his charge or under his supervision and where prisoners have left or returned to a prison or have been transferred between prisons, a prison officer shall search each prisoner.</w:t>
      </w:r>
    </w:p>
    <w:p>
      <w:pPr>
        <w:pStyle w:val="Subsection"/>
        <w:spacing w:before="120"/>
        <w:rPr>
          <w:snapToGrid w:val="0"/>
        </w:rPr>
      </w:pPr>
      <w:r>
        <w:rPr>
          <w:snapToGrid w:val="0"/>
        </w:rPr>
        <w:tab/>
        <w:t>(3)</w:t>
      </w:r>
      <w:r>
        <w:rPr>
          <w:snapToGrid w:val="0"/>
        </w:rPr>
        <w:tab/>
        <w:t>A prisoner shall not be stripped of his clothing and searched unless the superintendent (or where the superintendent is unable to be contacted an officer of or above the rank of senior officer) has so ordered and any prison officer involved in such a search shall make a written report of the search and forward it to the superintendent.</w:t>
      </w:r>
    </w:p>
    <w:p>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respect and, subject to subregulation (5), the prisoner shall not be stripped of his clothing and searched in the sight or the presence of a person of the opposite sex and, where practicable, no prisoner shall be stripped in the presence of another prisoner.</w:t>
      </w:r>
    </w:p>
    <w:p>
      <w:pPr>
        <w:pStyle w:val="Subsection"/>
        <w:spacing w:before="120"/>
        <w:rPr>
          <w:snapToGrid w:val="0"/>
        </w:rPr>
      </w:pPr>
      <w:r>
        <w:rPr>
          <w:snapToGrid w:val="0"/>
        </w:rPr>
        <w:tab/>
        <w:t>(5)</w:t>
      </w:r>
      <w:r>
        <w:rPr>
          <w:snapToGrid w:val="0"/>
        </w:rPr>
        <w:tab/>
        <w:t>The superintendent may request the presence of a medical officer during the search of a prisoner.</w:t>
      </w:r>
    </w:p>
    <w:p>
      <w:pPr>
        <w:pStyle w:val="Footnotesection"/>
      </w:pPr>
      <w:r>
        <w:tab/>
        <w:t>[Regulation 78 amended in Gazette 12 Apr 2001 p. 2101.]</w:t>
      </w:r>
    </w:p>
    <w:p>
      <w:pPr>
        <w:pStyle w:val="Heading5"/>
        <w:rPr>
          <w:snapToGrid w:val="0"/>
        </w:rPr>
      </w:pPr>
      <w:bookmarkStart w:id="332" w:name="_Toc378327339"/>
      <w:bookmarkStart w:id="333" w:name="_Toc427933608"/>
      <w:r>
        <w:rPr>
          <w:rStyle w:val="CharSectno"/>
        </w:rPr>
        <w:t>79</w:t>
      </w:r>
      <w:r>
        <w:rPr>
          <w:snapToGrid w:val="0"/>
        </w:rPr>
        <w:t>.</w:t>
      </w:r>
      <w:r>
        <w:rPr>
          <w:snapToGrid w:val="0"/>
        </w:rPr>
        <w:tab/>
        <w:t>Examination of articles under section 49</w:t>
      </w:r>
      <w:bookmarkEnd w:id="332"/>
      <w:bookmarkEnd w:id="333"/>
      <w:r>
        <w:rPr>
          <w:snapToGrid w:val="0"/>
        </w:rPr>
        <w:t xml:space="preserve"> </w:t>
      </w:r>
    </w:p>
    <w:p>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pPr>
        <w:pStyle w:val="Indenta"/>
        <w:rPr>
          <w:snapToGrid w:val="0"/>
        </w:rPr>
      </w:pPr>
      <w:r>
        <w:rPr>
          <w:snapToGrid w:val="0"/>
        </w:rPr>
        <w:tab/>
        <w:t>(a)</w:t>
      </w:r>
      <w:r>
        <w:rPr>
          <w:snapToGrid w:val="0"/>
        </w:rPr>
        <w:tab/>
        <w:t>inform the person of his authority to require and direct an examination; and</w:t>
      </w:r>
    </w:p>
    <w:p>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pPr>
        <w:pStyle w:val="Footnotesection"/>
      </w:pPr>
      <w:r>
        <w:tab/>
        <w:t xml:space="preserve">[Regulation 79 amended in Gazette 11 Dec 1987 p. 4369; 2 Nov 1999 p. 5475.] </w:t>
      </w:r>
    </w:p>
    <w:p>
      <w:pPr>
        <w:pStyle w:val="Heading5"/>
        <w:rPr>
          <w:snapToGrid w:val="0"/>
        </w:rPr>
      </w:pPr>
      <w:bookmarkStart w:id="334" w:name="_Toc378327340"/>
      <w:bookmarkStart w:id="335" w:name="_Toc427933609"/>
      <w:r>
        <w:rPr>
          <w:rStyle w:val="CharSectno"/>
        </w:rPr>
        <w:t>80</w:t>
      </w:r>
      <w:r>
        <w:rPr>
          <w:snapToGrid w:val="0"/>
        </w:rPr>
        <w:t>.</w:t>
      </w:r>
      <w:r>
        <w:rPr>
          <w:snapToGrid w:val="0"/>
        </w:rPr>
        <w:tab/>
        <w:t>Searching persons under section 49</w:t>
      </w:r>
      <w:bookmarkEnd w:id="334"/>
      <w:bookmarkEnd w:id="335"/>
      <w:r>
        <w:rPr>
          <w:snapToGrid w:val="0"/>
        </w:rPr>
        <w:t xml:space="preserve"> </w:t>
      </w:r>
    </w:p>
    <w:p>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pPr>
        <w:pStyle w:val="Indenta"/>
        <w:rPr>
          <w:snapToGrid w:val="0"/>
        </w:rPr>
      </w:pPr>
      <w:r>
        <w:rPr>
          <w:snapToGrid w:val="0"/>
        </w:rPr>
        <w:tab/>
        <w:t>(a)</w:t>
      </w:r>
      <w:r>
        <w:rPr>
          <w:snapToGrid w:val="0"/>
        </w:rPr>
        <w:tab/>
        <w:t>inform the person of his authority to require and direct the search;</w:t>
      </w:r>
    </w:p>
    <w:p>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pPr>
        <w:pStyle w:val="Indenta"/>
        <w:rPr>
          <w:snapToGrid w:val="0"/>
        </w:rPr>
      </w:pPr>
      <w:r>
        <w:rPr>
          <w:snapToGrid w:val="0"/>
        </w:rPr>
        <w:tab/>
        <w:t>(b)</w:t>
      </w:r>
      <w:r>
        <w:rPr>
          <w:snapToGrid w:val="0"/>
        </w:rPr>
        <w:tab/>
        <w:t>inform the person of the requirement in the particular case and the reason therefor;</w:t>
      </w:r>
    </w:p>
    <w:p>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pPr>
        <w:pStyle w:val="Indenta"/>
        <w:rPr>
          <w:snapToGrid w:val="0"/>
        </w:rPr>
      </w:pPr>
      <w:r>
        <w:rPr>
          <w:snapToGrid w:val="0"/>
        </w:rPr>
        <w:tab/>
        <w:t>(d)</w:t>
      </w:r>
      <w:r>
        <w:rPr>
          <w:snapToGrid w:val="0"/>
        </w:rPr>
        <w:tab/>
        <w:t>provide the person with the opportunity to respond and record the response to the request.</w:t>
      </w:r>
    </w:p>
    <w:p>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pPr>
        <w:pStyle w:val="Subsection"/>
        <w:rPr>
          <w:snapToGrid w:val="0"/>
        </w:rPr>
      </w:pPr>
      <w:r>
        <w:rPr>
          <w:snapToGrid w:val="0"/>
        </w:rPr>
        <w:tab/>
        <w:t>(3)</w:t>
      </w:r>
      <w:r>
        <w:rPr>
          <w:snapToGrid w:val="0"/>
        </w:rPr>
        <w:tab/>
        <w:t>A person who is about to be searched — </w:t>
      </w:r>
    </w:p>
    <w:p>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pPr>
        <w:pStyle w:val="Indenta"/>
        <w:rPr>
          <w:snapToGrid w:val="0"/>
        </w:rPr>
      </w:pPr>
      <w:r>
        <w:rPr>
          <w:snapToGrid w:val="0"/>
        </w:rPr>
        <w:tab/>
        <w:t>(b)</w:t>
      </w:r>
      <w:r>
        <w:rPr>
          <w:snapToGrid w:val="0"/>
        </w:rPr>
        <w:tab/>
        <w:t>shall be informed of the provisions of paragraph (a).</w:t>
      </w:r>
    </w:p>
    <w:p>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pPr>
        <w:pStyle w:val="Footnotesection"/>
      </w:pPr>
      <w:r>
        <w:tab/>
        <w:t xml:space="preserve">[Regulation 80 amended in Gazette 11 Dec 1987 p. 4369; 2 Nov 1999 p. 5474 and 5475; 3 Apr 2007 p. 1505.] </w:t>
      </w:r>
    </w:p>
    <w:p>
      <w:pPr>
        <w:pStyle w:val="Heading5"/>
        <w:rPr>
          <w:snapToGrid w:val="0"/>
        </w:rPr>
      </w:pPr>
      <w:bookmarkStart w:id="336" w:name="_Toc378327341"/>
      <w:bookmarkStart w:id="337" w:name="_Toc427933610"/>
      <w:r>
        <w:rPr>
          <w:rStyle w:val="CharSectno"/>
        </w:rPr>
        <w:t>81</w:t>
      </w:r>
      <w:r>
        <w:rPr>
          <w:snapToGrid w:val="0"/>
        </w:rPr>
        <w:t>.</w:t>
      </w:r>
      <w:r>
        <w:rPr>
          <w:snapToGrid w:val="0"/>
        </w:rPr>
        <w:tab/>
        <w:t>Regulation of strip searches under section 49</w:t>
      </w:r>
      <w:bookmarkEnd w:id="336"/>
      <w:bookmarkEnd w:id="337"/>
      <w:r>
        <w:rPr>
          <w:snapToGrid w:val="0"/>
        </w:rPr>
        <w:t xml:space="preserve"> </w:t>
      </w:r>
    </w:p>
    <w:p>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pPr>
        <w:pStyle w:val="Indenta"/>
        <w:rPr>
          <w:snapToGrid w:val="0"/>
        </w:rPr>
      </w:pPr>
      <w:r>
        <w:rPr>
          <w:snapToGrid w:val="0"/>
        </w:rPr>
        <w:tab/>
        <w:t>(a)</w:t>
      </w:r>
      <w:r>
        <w:rPr>
          <w:snapToGrid w:val="0"/>
        </w:rPr>
        <w:tab/>
        <w:t>the superintendent may request the presence of a medical officer during the search;</w:t>
      </w:r>
    </w:p>
    <w:p>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pPr>
        <w:pStyle w:val="Indenta"/>
        <w:rPr>
          <w:snapToGrid w:val="0"/>
        </w:rPr>
      </w:pPr>
      <w:r>
        <w:rPr>
          <w:snapToGrid w:val="0"/>
        </w:rPr>
        <w:tab/>
        <w:t>(a)</w:t>
      </w:r>
      <w:r>
        <w:rPr>
          <w:snapToGrid w:val="0"/>
        </w:rPr>
        <w:tab/>
        <w:t>the name and address of the person;</w:t>
      </w:r>
    </w:p>
    <w:p>
      <w:pPr>
        <w:pStyle w:val="Indenta"/>
        <w:rPr>
          <w:snapToGrid w:val="0"/>
        </w:rPr>
      </w:pPr>
      <w:r>
        <w:rPr>
          <w:snapToGrid w:val="0"/>
        </w:rPr>
        <w:tab/>
        <w:t>(b)</w:t>
      </w:r>
      <w:r>
        <w:rPr>
          <w:snapToGrid w:val="0"/>
        </w:rPr>
        <w:tab/>
        <w:t>the identity of the prisoner that the person was visiting, or intended to visit;</w:t>
      </w:r>
    </w:p>
    <w:p>
      <w:pPr>
        <w:pStyle w:val="Indenta"/>
        <w:rPr>
          <w:snapToGrid w:val="0"/>
        </w:rPr>
      </w:pPr>
      <w:r>
        <w:rPr>
          <w:snapToGrid w:val="0"/>
        </w:rPr>
        <w:tab/>
        <w:t>(c)</w:t>
      </w:r>
      <w:r>
        <w:rPr>
          <w:snapToGrid w:val="0"/>
        </w:rPr>
        <w:tab/>
        <w:t>the nature of the search;</w:t>
      </w:r>
    </w:p>
    <w:p>
      <w:pPr>
        <w:pStyle w:val="Indenta"/>
        <w:rPr>
          <w:snapToGrid w:val="0"/>
        </w:rPr>
      </w:pPr>
      <w:r>
        <w:rPr>
          <w:snapToGrid w:val="0"/>
        </w:rPr>
        <w:tab/>
        <w:t>(d)</w:t>
      </w:r>
      <w:r>
        <w:rPr>
          <w:snapToGrid w:val="0"/>
        </w:rPr>
        <w:tab/>
        <w:t>a description of any article seized; and</w:t>
      </w:r>
    </w:p>
    <w:p>
      <w:pPr>
        <w:pStyle w:val="Indenta"/>
        <w:rPr>
          <w:snapToGrid w:val="0"/>
        </w:rPr>
      </w:pPr>
      <w:r>
        <w:rPr>
          <w:snapToGrid w:val="0"/>
        </w:rPr>
        <w:tab/>
        <w:t>(e)</w:t>
      </w:r>
      <w:r>
        <w:rPr>
          <w:snapToGrid w:val="0"/>
        </w:rPr>
        <w:tab/>
        <w:t>any other relevant details.</w:t>
      </w:r>
    </w:p>
    <w:p>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pPr>
        <w:pStyle w:val="Footnotesection"/>
      </w:pPr>
      <w:r>
        <w:tab/>
        <w:t xml:space="preserve">[Regulation 81 amended in Gazette 11 Dec 1987 p. 4369; 2 Nov 1999 p. 5474 and 5475; 12 Apr 2001 p. 2101.] </w:t>
      </w:r>
    </w:p>
    <w:p>
      <w:pPr>
        <w:pStyle w:val="Heading2"/>
      </w:pPr>
      <w:bookmarkStart w:id="338" w:name="_Toc378327342"/>
      <w:bookmarkStart w:id="339" w:name="_Toc424112557"/>
      <w:bookmarkStart w:id="340" w:name="_Toc427923083"/>
      <w:bookmarkStart w:id="341" w:name="_Toc427933611"/>
      <w:r>
        <w:rPr>
          <w:rStyle w:val="CharPartNo"/>
        </w:rPr>
        <w:t>Part XIA</w:t>
      </w:r>
      <w:r>
        <w:rPr>
          <w:rStyle w:val="CharDivNo"/>
        </w:rPr>
        <w:t> </w:t>
      </w:r>
      <w:r>
        <w:t>—</w:t>
      </w:r>
      <w:r>
        <w:rPr>
          <w:rStyle w:val="CharDivText"/>
        </w:rPr>
        <w:t> </w:t>
      </w:r>
      <w:r>
        <w:rPr>
          <w:rStyle w:val="CharPartText"/>
        </w:rPr>
        <w:t>Canine section</w:t>
      </w:r>
      <w:bookmarkEnd w:id="338"/>
      <w:bookmarkEnd w:id="339"/>
      <w:bookmarkEnd w:id="340"/>
      <w:bookmarkEnd w:id="341"/>
      <w:r>
        <w:rPr>
          <w:rStyle w:val="CharPartText"/>
        </w:rPr>
        <w:t xml:space="preserve"> </w:t>
      </w:r>
    </w:p>
    <w:p>
      <w:pPr>
        <w:pStyle w:val="Footnoteheading"/>
        <w:ind w:left="890"/>
        <w:rPr>
          <w:snapToGrid w:val="0"/>
        </w:rPr>
      </w:pPr>
      <w:r>
        <w:rPr>
          <w:snapToGrid w:val="0"/>
        </w:rPr>
        <w:tab/>
        <w:t>[Heading inserted in Gazette 7 Oct 1997 p. 5609.]</w:t>
      </w:r>
    </w:p>
    <w:p>
      <w:pPr>
        <w:pStyle w:val="Heading5"/>
        <w:rPr>
          <w:snapToGrid w:val="0"/>
        </w:rPr>
      </w:pPr>
      <w:bookmarkStart w:id="342" w:name="_Toc378327343"/>
      <w:bookmarkStart w:id="343" w:name="_Toc427933612"/>
      <w:r>
        <w:rPr>
          <w:rStyle w:val="CharSectno"/>
        </w:rPr>
        <w:t>81A</w:t>
      </w:r>
      <w:r>
        <w:rPr>
          <w:snapToGrid w:val="0"/>
        </w:rPr>
        <w:t>.</w:t>
      </w:r>
      <w:r>
        <w:rPr>
          <w:snapToGrid w:val="0"/>
        </w:rPr>
        <w:tab/>
        <w:t>Terms used in this Part</w:t>
      </w:r>
      <w:bookmarkEnd w:id="342"/>
      <w:bookmarkEnd w:id="343"/>
    </w:p>
    <w:p>
      <w:pPr>
        <w:pStyle w:val="Subsection"/>
        <w:rPr>
          <w:snapToGrid w:val="0"/>
        </w:rPr>
      </w:pPr>
      <w:r>
        <w:rPr>
          <w:snapToGrid w:val="0"/>
        </w:rPr>
        <w:tab/>
      </w:r>
      <w:r>
        <w:rPr>
          <w:snapToGrid w:val="0"/>
        </w:rPr>
        <w:tab/>
        <w:t>In this Part — </w:t>
      </w:r>
    </w:p>
    <w:p>
      <w:pPr>
        <w:pStyle w:val="Defstart"/>
      </w:pPr>
      <w:r>
        <w:rPr>
          <w:b/>
        </w:rPr>
        <w:tab/>
      </w:r>
      <w:r>
        <w:rPr>
          <w:rStyle w:val="CharDefText"/>
        </w:rPr>
        <w:t>allocated</w:t>
      </w:r>
      <w:r>
        <w:t xml:space="preserve"> means allocated in accordance with regulation 81B(2)(a);</w:t>
      </w:r>
    </w:p>
    <w:p>
      <w:pPr>
        <w:pStyle w:val="Defstart"/>
      </w:pPr>
      <w:r>
        <w:rPr>
          <w:b/>
        </w:rPr>
        <w:tab/>
      </w:r>
      <w:r>
        <w:rPr>
          <w:rStyle w:val="CharDefText"/>
        </w:rPr>
        <w:t>canine section</w:t>
      </w:r>
      <w:r>
        <w:t xml:space="preserve"> means the canine section referred to in regulation 81B;</w:t>
      </w:r>
    </w:p>
    <w:p>
      <w:pPr>
        <w:pStyle w:val="Defstart"/>
      </w:pPr>
      <w:r>
        <w:rPr>
          <w:b/>
        </w:rPr>
        <w:tab/>
      </w:r>
      <w:r>
        <w:rPr>
          <w:rStyle w:val="CharDefText"/>
        </w:rPr>
        <w:t>dog handler</w:t>
      </w:r>
      <w:r>
        <w:t xml:space="preserve"> means a prison officer who is a member of the canine section;</w:t>
      </w:r>
    </w:p>
    <w:p>
      <w:pPr>
        <w:pStyle w:val="Defstart"/>
      </w:pPr>
      <w:r>
        <w:rPr>
          <w:b/>
        </w:rPr>
        <w:tab/>
      </w:r>
      <w:r>
        <w:rPr>
          <w:rStyle w:val="CharDefText"/>
        </w:rPr>
        <w:t>prison dog</w:t>
      </w:r>
      <w:r>
        <w:t xml:space="preserve"> means a dog approved in accordance with regulation 81C.</w:t>
      </w:r>
    </w:p>
    <w:p>
      <w:pPr>
        <w:pStyle w:val="Footnotesection"/>
      </w:pPr>
      <w:r>
        <w:tab/>
        <w:t>[Regulation 81A inserted in Gazette 7 Oct 1997 p. 5609</w:t>
      </w:r>
      <w:r>
        <w:noBreakHyphen/>
        <w:t xml:space="preserve">10; amended in Gazette 3 Apr 2007 p. 1505.] </w:t>
      </w:r>
    </w:p>
    <w:p>
      <w:pPr>
        <w:pStyle w:val="Heading5"/>
        <w:rPr>
          <w:snapToGrid w:val="0"/>
        </w:rPr>
      </w:pPr>
      <w:bookmarkStart w:id="344" w:name="_Toc378327344"/>
      <w:bookmarkStart w:id="345" w:name="_Toc427933613"/>
      <w:r>
        <w:rPr>
          <w:rStyle w:val="CharSectno"/>
        </w:rPr>
        <w:t>81B</w:t>
      </w:r>
      <w:r>
        <w:rPr>
          <w:snapToGrid w:val="0"/>
        </w:rPr>
        <w:t>.</w:t>
      </w:r>
      <w:r>
        <w:rPr>
          <w:snapToGrid w:val="0"/>
        </w:rPr>
        <w:tab/>
        <w:t>The canine section</w:t>
      </w:r>
      <w:bookmarkEnd w:id="344"/>
      <w:bookmarkEnd w:id="345"/>
      <w:r>
        <w:rPr>
          <w:snapToGrid w:val="0"/>
        </w:rPr>
        <w:t xml:space="preserve"> </w:t>
      </w:r>
    </w:p>
    <w:p>
      <w:pPr>
        <w:pStyle w:val="Subsection"/>
        <w:spacing w:before="140"/>
        <w:rPr>
          <w:snapToGrid w:val="0"/>
        </w:rPr>
      </w:pPr>
      <w:r>
        <w:rPr>
          <w:snapToGrid w:val="0"/>
        </w:rPr>
        <w:tab/>
        <w:t>(1)</w:t>
      </w:r>
      <w:r>
        <w:rPr>
          <w:snapToGrid w:val="0"/>
        </w:rPr>
        <w:tab/>
        <w:t>There shall be a canine section which comprises — </w:t>
      </w:r>
    </w:p>
    <w:p>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pPr>
        <w:pStyle w:val="Indenta"/>
        <w:rPr>
          <w:snapToGrid w:val="0"/>
        </w:rPr>
      </w:pPr>
      <w:r>
        <w:rPr>
          <w:snapToGrid w:val="0"/>
        </w:rPr>
        <w:tab/>
        <w:t>(b)</w:t>
      </w:r>
      <w:r>
        <w:rPr>
          <w:snapToGrid w:val="0"/>
        </w:rPr>
        <w:tab/>
        <w:t>prison dogs.</w:t>
      </w:r>
    </w:p>
    <w:p>
      <w:pPr>
        <w:pStyle w:val="Subsection"/>
        <w:spacing w:before="140"/>
        <w:rPr>
          <w:snapToGrid w:val="0"/>
        </w:rPr>
      </w:pPr>
      <w:r>
        <w:rPr>
          <w:snapToGrid w:val="0"/>
        </w:rPr>
        <w:tab/>
        <w:t>(2)</w:t>
      </w:r>
      <w:r>
        <w:rPr>
          <w:snapToGrid w:val="0"/>
        </w:rPr>
        <w:tab/>
        <w:t>The officer in charge of the canine section shall be responsible for — </w:t>
      </w:r>
    </w:p>
    <w:p>
      <w:pPr>
        <w:pStyle w:val="Indenta"/>
        <w:rPr>
          <w:snapToGrid w:val="0"/>
        </w:rPr>
      </w:pPr>
      <w:r>
        <w:rPr>
          <w:snapToGrid w:val="0"/>
        </w:rPr>
        <w:tab/>
        <w:t>(a)</w:t>
      </w:r>
      <w:r>
        <w:rPr>
          <w:snapToGrid w:val="0"/>
        </w:rPr>
        <w:tab/>
        <w:t>the allocation of the responsibility for each prison dog to a particular dog handler; and</w:t>
      </w:r>
    </w:p>
    <w:p>
      <w:pPr>
        <w:pStyle w:val="Indenta"/>
        <w:rPr>
          <w:snapToGrid w:val="0"/>
        </w:rPr>
      </w:pPr>
      <w:r>
        <w:rPr>
          <w:snapToGrid w:val="0"/>
        </w:rPr>
        <w:tab/>
        <w:t>(b)</w:t>
      </w:r>
      <w:r>
        <w:rPr>
          <w:snapToGrid w:val="0"/>
        </w:rPr>
        <w:tab/>
        <w:t>the deployment of prison dogs and dog handlers.</w:t>
      </w:r>
    </w:p>
    <w:p>
      <w:pPr>
        <w:pStyle w:val="Footnotesection"/>
      </w:pPr>
      <w:r>
        <w:tab/>
        <w:t xml:space="preserve">[Regulation 81B inserted in Gazette 7 Oct 1997 p. 5610; amended in Gazette 3 Apr 2007 p. 1505.] </w:t>
      </w:r>
    </w:p>
    <w:p>
      <w:pPr>
        <w:pStyle w:val="Heading5"/>
        <w:rPr>
          <w:snapToGrid w:val="0"/>
        </w:rPr>
      </w:pPr>
      <w:bookmarkStart w:id="346" w:name="_Toc378327345"/>
      <w:bookmarkStart w:id="347" w:name="_Toc427933614"/>
      <w:r>
        <w:rPr>
          <w:rStyle w:val="CharSectno"/>
        </w:rPr>
        <w:t>81C</w:t>
      </w:r>
      <w:r>
        <w:rPr>
          <w:snapToGrid w:val="0"/>
        </w:rPr>
        <w:t>.</w:t>
      </w:r>
      <w:r>
        <w:rPr>
          <w:snapToGrid w:val="0"/>
        </w:rPr>
        <w:tab/>
        <w:t>Prison dogs</w:t>
      </w:r>
      <w:bookmarkEnd w:id="346"/>
      <w:bookmarkEnd w:id="347"/>
    </w:p>
    <w:p>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pPr>
        <w:pStyle w:val="Indenta"/>
        <w:rPr>
          <w:snapToGrid w:val="0"/>
        </w:rPr>
      </w:pPr>
      <w:r>
        <w:rPr>
          <w:snapToGrid w:val="0"/>
        </w:rPr>
        <w:tab/>
        <w:t>(a)</w:t>
      </w:r>
      <w:r>
        <w:rPr>
          <w:snapToGrid w:val="0"/>
        </w:rPr>
        <w:tab/>
        <w:t>has completed an approved training programme; and</w:t>
      </w:r>
    </w:p>
    <w:p>
      <w:pPr>
        <w:pStyle w:val="Indenta"/>
        <w:rPr>
          <w:snapToGrid w:val="0"/>
        </w:rPr>
      </w:pPr>
      <w:r>
        <w:rPr>
          <w:snapToGrid w:val="0"/>
        </w:rPr>
        <w:tab/>
        <w:t>(b)</w:t>
      </w:r>
      <w:r>
        <w:rPr>
          <w:snapToGrid w:val="0"/>
        </w:rPr>
        <w:tab/>
        <w:t>is approved for use as a prison dog, following completion of an approved assessment course.</w:t>
      </w:r>
    </w:p>
    <w:p>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pPr>
        <w:pStyle w:val="Footnotesection"/>
      </w:pPr>
      <w:r>
        <w:tab/>
        <w:t xml:space="preserve">[Regulation 81C inserted in Gazette 7 Oct 1997 p. 5610.] </w:t>
      </w:r>
    </w:p>
    <w:p>
      <w:pPr>
        <w:pStyle w:val="Heading5"/>
        <w:rPr>
          <w:snapToGrid w:val="0"/>
        </w:rPr>
      </w:pPr>
      <w:bookmarkStart w:id="348" w:name="_Toc378327346"/>
      <w:bookmarkStart w:id="349" w:name="_Toc427933615"/>
      <w:r>
        <w:rPr>
          <w:rStyle w:val="CharSectno"/>
        </w:rPr>
        <w:t>81D</w:t>
      </w:r>
      <w:r>
        <w:rPr>
          <w:snapToGrid w:val="0"/>
        </w:rPr>
        <w:t>.</w:t>
      </w:r>
      <w:r>
        <w:rPr>
          <w:snapToGrid w:val="0"/>
        </w:rPr>
        <w:tab/>
        <w:t>Authorised manner for prison officer to use prison dog</w:t>
      </w:r>
      <w:bookmarkEnd w:id="348"/>
      <w:bookmarkEnd w:id="349"/>
    </w:p>
    <w:p>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pPr>
        <w:pStyle w:val="Indenta"/>
        <w:rPr>
          <w:snapToGrid w:val="0"/>
        </w:rPr>
      </w:pPr>
      <w:r>
        <w:rPr>
          <w:snapToGrid w:val="0"/>
        </w:rPr>
        <w:tab/>
        <w:t>(a)</w:t>
      </w:r>
      <w:r>
        <w:rPr>
          <w:snapToGrid w:val="0"/>
        </w:rPr>
        <w:tab/>
        <w:t>the prison officer is the dog handler who has been allocated responsibility for the prison dog;</w:t>
      </w:r>
    </w:p>
    <w:p>
      <w:pPr>
        <w:pStyle w:val="Indenta"/>
        <w:rPr>
          <w:snapToGrid w:val="0"/>
        </w:rPr>
      </w:pPr>
      <w:r>
        <w:rPr>
          <w:snapToGrid w:val="0"/>
        </w:rPr>
        <w:tab/>
        <w:t>(b)</w:t>
      </w:r>
      <w:r>
        <w:rPr>
          <w:snapToGrid w:val="0"/>
        </w:rPr>
        <w:tab/>
        <w:t>the dog is under the control of the dog handler; and</w:t>
      </w:r>
    </w:p>
    <w:p>
      <w:pPr>
        <w:pStyle w:val="Indenta"/>
        <w:rPr>
          <w:snapToGrid w:val="0"/>
        </w:rPr>
      </w:pPr>
      <w:r>
        <w:rPr>
          <w:snapToGrid w:val="0"/>
        </w:rPr>
        <w:tab/>
        <w:t>(c)</w:t>
      </w:r>
      <w:r>
        <w:rPr>
          <w:snapToGrid w:val="0"/>
        </w:rPr>
        <w:tab/>
        <w:t>the use of the prison dog is in accordance with any relevant rules.</w:t>
      </w:r>
    </w:p>
    <w:p>
      <w:pPr>
        <w:pStyle w:val="Footnotesection"/>
      </w:pPr>
      <w:r>
        <w:tab/>
        <w:t xml:space="preserve">[Regulation 81D inserted in Gazette 7 Oct 1997 p. 5610.] </w:t>
      </w:r>
    </w:p>
    <w:p>
      <w:pPr>
        <w:pStyle w:val="Heading5"/>
        <w:rPr>
          <w:snapToGrid w:val="0"/>
        </w:rPr>
      </w:pPr>
      <w:bookmarkStart w:id="350" w:name="_Toc378327347"/>
      <w:bookmarkStart w:id="351" w:name="_Toc427933616"/>
      <w:r>
        <w:rPr>
          <w:rStyle w:val="CharSectno"/>
        </w:rPr>
        <w:t>81E</w:t>
      </w:r>
      <w:r>
        <w:rPr>
          <w:snapToGrid w:val="0"/>
        </w:rPr>
        <w:t>.</w:t>
      </w:r>
      <w:r>
        <w:rPr>
          <w:snapToGrid w:val="0"/>
        </w:rPr>
        <w:tab/>
        <w:t>Particular duties of dog handlers</w:t>
      </w:r>
      <w:bookmarkEnd w:id="350"/>
      <w:bookmarkEnd w:id="351"/>
      <w:r>
        <w:rPr>
          <w:snapToGrid w:val="0"/>
        </w:rPr>
        <w:t xml:space="preserve"> </w:t>
      </w:r>
    </w:p>
    <w:p>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pPr>
        <w:pStyle w:val="Subsection"/>
        <w:spacing w:before="140"/>
        <w:rPr>
          <w:snapToGrid w:val="0"/>
        </w:rPr>
      </w:pPr>
      <w:r>
        <w:rPr>
          <w:snapToGrid w:val="0"/>
        </w:rPr>
        <w:tab/>
        <w:t>(2)</w:t>
      </w:r>
      <w:r>
        <w:rPr>
          <w:snapToGrid w:val="0"/>
        </w:rPr>
        <w:tab/>
        <w:t>The dog handler who has been allocated responsibility for a particular prison dog shall — </w:t>
      </w:r>
    </w:p>
    <w:p>
      <w:pPr>
        <w:pStyle w:val="Indenta"/>
        <w:rPr>
          <w:snapToGrid w:val="0"/>
        </w:rPr>
      </w:pPr>
      <w:r>
        <w:rPr>
          <w:snapToGrid w:val="0"/>
        </w:rPr>
        <w:tab/>
        <w:t>(a)</w:t>
      </w:r>
      <w:r>
        <w:rPr>
          <w:snapToGrid w:val="0"/>
        </w:rPr>
        <w:tab/>
        <w:t xml:space="preserve">be responsible for the daily care, handling and training of that dog; </w:t>
      </w:r>
    </w:p>
    <w:p>
      <w:pPr>
        <w:pStyle w:val="Indenta"/>
        <w:rPr>
          <w:snapToGrid w:val="0"/>
        </w:rPr>
      </w:pPr>
      <w:r>
        <w:rPr>
          <w:snapToGrid w:val="0"/>
        </w:rPr>
        <w:tab/>
        <w:t>(b)</w:t>
      </w:r>
      <w:r>
        <w:rPr>
          <w:snapToGrid w:val="0"/>
        </w:rPr>
        <w:tab/>
        <w:t>so far as is practicable, ensure that the dog maintains a high level of obedience at all times; and</w:t>
      </w:r>
    </w:p>
    <w:p>
      <w:pPr>
        <w:pStyle w:val="Indenta"/>
        <w:rPr>
          <w:snapToGrid w:val="0"/>
        </w:rPr>
      </w:pPr>
      <w:r>
        <w:rPr>
          <w:snapToGrid w:val="0"/>
        </w:rPr>
        <w:tab/>
        <w:t>(c)</w:t>
      </w:r>
      <w:r>
        <w:rPr>
          <w:snapToGrid w:val="0"/>
        </w:rPr>
        <w:tab/>
        <w:t>report any problems with the dog to the officer in charge of the canine section.</w:t>
      </w:r>
    </w:p>
    <w:p>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pPr>
        <w:pStyle w:val="Indenta"/>
        <w:rPr>
          <w:snapToGrid w:val="0"/>
        </w:rPr>
      </w:pPr>
      <w:r>
        <w:rPr>
          <w:snapToGrid w:val="0"/>
        </w:rPr>
        <w:tab/>
        <w:t>(a)</w:t>
      </w:r>
      <w:r>
        <w:rPr>
          <w:snapToGrid w:val="0"/>
        </w:rPr>
        <w:tab/>
        <w:t>in emergency circumstances; or</w:t>
      </w:r>
    </w:p>
    <w:p>
      <w:pPr>
        <w:pStyle w:val="Indenta"/>
        <w:rPr>
          <w:snapToGrid w:val="0"/>
        </w:rPr>
      </w:pPr>
      <w:r>
        <w:rPr>
          <w:snapToGrid w:val="0"/>
        </w:rPr>
        <w:tab/>
        <w:t>(b)</w:t>
      </w:r>
      <w:r>
        <w:rPr>
          <w:snapToGrid w:val="0"/>
        </w:rPr>
        <w:tab/>
        <w:t>when, in the opinion of the handler, leaving the dog off a lead does not pose a risk of the dog attacking any person.</w:t>
      </w:r>
    </w:p>
    <w:p>
      <w:pPr>
        <w:pStyle w:val="Footnotesection"/>
      </w:pPr>
      <w:r>
        <w:tab/>
        <w:t>[Regulation 81E inserted in Gazette 7 Oct 1997 p. 5610</w:t>
      </w:r>
      <w:r>
        <w:noBreakHyphen/>
        <w:t xml:space="preserve">11.] </w:t>
      </w:r>
    </w:p>
    <w:p>
      <w:pPr>
        <w:pStyle w:val="Heading5"/>
        <w:rPr>
          <w:snapToGrid w:val="0"/>
        </w:rPr>
      </w:pPr>
      <w:bookmarkStart w:id="352" w:name="_Toc378327348"/>
      <w:bookmarkStart w:id="353" w:name="_Toc427933617"/>
      <w:r>
        <w:rPr>
          <w:rStyle w:val="CharSectno"/>
        </w:rPr>
        <w:t>81F</w:t>
      </w:r>
      <w:r>
        <w:rPr>
          <w:snapToGrid w:val="0"/>
        </w:rPr>
        <w:t>.</w:t>
      </w:r>
      <w:r>
        <w:rPr>
          <w:snapToGrid w:val="0"/>
        </w:rPr>
        <w:tab/>
        <w:t>Periodic inspections of operations of canine section</w:t>
      </w:r>
      <w:bookmarkEnd w:id="352"/>
      <w:bookmarkEnd w:id="353"/>
    </w:p>
    <w:p>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pPr>
        <w:pStyle w:val="Footnotesection"/>
      </w:pPr>
      <w:r>
        <w:tab/>
        <w:t xml:space="preserve">[Regulation 81F inserted in Gazette 7 Oct 1997 p. 5611.] </w:t>
      </w:r>
    </w:p>
    <w:p>
      <w:pPr>
        <w:pStyle w:val="Heading2"/>
      </w:pPr>
      <w:bookmarkStart w:id="354" w:name="_Toc378327349"/>
      <w:bookmarkStart w:id="355" w:name="_Toc424112564"/>
      <w:bookmarkStart w:id="356" w:name="_Toc427923090"/>
      <w:bookmarkStart w:id="357" w:name="_Toc427933618"/>
      <w:r>
        <w:rPr>
          <w:rStyle w:val="CharPartNo"/>
        </w:rPr>
        <w:t>Part XII</w:t>
      </w:r>
      <w:r>
        <w:rPr>
          <w:rStyle w:val="CharDivNo"/>
        </w:rPr>
        <w:t> </w:t>
      </w:r>
      <w:r>
        <w:t>—</w:t>
      </w:r>
      <w:r>
        <w:rPr>
          <w:rStyle w:val="CharDivText"/>
        </w:rPr>
        <w:t> </w:t>
      </w:r>
      <w:r>
        <w:rPr>
          <w:rStyle w:val="CharPartText"/>
        </w:rPr>
        <w:t>Inquiries under section 9 of Act</w:t>
      </w:r>
      <w:bookmarkEnd w:id="354"/>
      <w:bookmarkEnd w:id="355"/>
      <w:bookmarkEnd w:id="356"/>
      <w:bookmarkEnd w:id="357"/>
      <w:r>
        <w:rPr>
          <w:rStyle w:val="CharPartText"/>
        </w:rPr>
        <w:t xml:space="preserve"> </w:t>
      </w:r>
    </w:p>
    <w:p>
      <w:pPr>
        <w:pStyle w:val="Heading5"/>
        <w:rPr>
          <w:snapToGrid w:val="0"/>
        </w:rPr>
      </w:pPr>
      <w:bookmarkStart w:id="358" w:name="_Toc378327350"/>
      <w:bookmarkStart w:id="359" w:name="_Toc427933619"/>
      <w:r>
        <w:rPr>
          <w:rStyle w:val="CharSectno"/>
        </w:rPr>
        <w:t>82</w:t>
      </w:r>
      <w:r>
        <w:rPr>
          <w:snapToGrid w:val="0"/>
        </w:rPr>
        <w:t>.</w:t>
      </w:r>
      <w:r>
        <w:rPr>
          <w:snapToGrid w:val="0"/>
        </w:rPr>
        <w:tab/>
        <w:t>Appearance before section 9 inquiry</w:t>
      </w:r>
      <w:bookmarkEnd w:id="358"/>
      <w:bookmarkEnd w:id="359"/>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may — </w:t>
      </w:r>
    </w:p>
    <w:p>
      <w:pPr>
        <w:pStyle w:val="Indenta"/>
        <w:rPr>
          <w:snapToGrid w:val="0"/>
        </w:rPr>
      </w:pPr>
      <w:r>
        <w:rPr>
          <w:snapToGrid w:val="0"/>
        </w:rPr>
        <w:tab/>
        <w:t>(a)</w:t>
      </w:r>
      <w:r>
        <w:rPr>
          <w:snapToGrid w:val="0"/>
        </w:rPr>
        <w:tab/>
        <w:t>issue a notice in Form 3 of the Schedule, requiring the appearance of any officer or prisoner before the inquiry;</w:t>
      </w:r>
    </w:p>
    <w:p>
      <w:pPr>
        <w:pStyle w:val="Indenta"/>
        <w:rPr>
          <w:snapToGrid w:val="0"/>
        </w:rPr>
      </w:pPr>
      <w:r>
        <w:rPr>
          <w:snapToGrid w:val="0"/>
        </w:rPr>
        <w:tab/>
        <w:t>(b)</w:t>
      </w:r>
      <w:r>
        <w:rPr>
          <w:snapToGrid w:val="0"/>
        </w:rPr>
        <w:tab/>
        <w:t>charge any officer with the execution of the service of that notice upon the officer or prisoner to whom it is addressed; and</w:t>
      </w:r>
    </w:p>
    <w:p>
      <w:pPr>
        <w:pStyle w:val="Indenta"/>
        <w:rPr>
          <w:snapToGrid w:val="0"/>
        </w:rPr>
      </w:pPr>
      <w:r>
        <w:rPr>
          <w:snapToGrid w:val="0"/>
        </w:rPr>
        <w:tab/>
        <w:t>(c)</w:t>
      </w:r>
      <w:r>
        <w:rPr>
          <w:snapToGrid w:val="0"/>
        </w:rPr>
        <w:tab/>
        <w:t>appoint an officer to assist the inquiry.</w:t>
      </w:r>
    </w:p>
    <w:p>
      <w:pPr>
        <w:pStyle w:val="Footnotesection"/>
      </w:pPr>
      <w:r>
        <w:tab/>
        <w:t xml:space="preserve">[Regulation 82 amended in Gazette 11 Dec 1987 p. 4369; 2 Nov 1999 p. 5475.] </w:t>
      </w:r>
    </w:p>
    <w:p>
      <w:pPr>
        <w:pStyle w:val="Heading5"/>
        <w:rPr>
          <w:snapToGrid w:val="0"/>
        </w:rPr>
      </w:pPr>
      <w:bookmarkStart w:id="360" w:name="_Toc378327351"/>
      <w:bookmarkStart w:id="361" w:name="_Toc427933620"/>
      <w:r>
        <w:rPr>
          <w:rStyle w:val="CharSectno"/>
        </w:rPr>
        <w:t>83</w:t>
      </w:r>
      <w:r>
        <w:rPr>
          <w:snapToGrid w:val="0"/>
        </w:rPr>
        <w:t>.</w:t>
      </w:r>
      <w:r>
        <w:rPr>
          <w:snapToGrid w:val="0"/>
        </w:rPr>
        <w:tab/>
        <w:t>Conduct of section 9 inquiry</w:t>
      </w:r>
      <w:bookmarkEnd w:id="360"/>
      <w:bookmarkEnd w:id="361"/>
      <w:r>
        <w:rPr>
          <w:snapToGrid w:val="0"/>
        </w:rPr>
        <w:t xml:space="preserve"> </w:t>
      </w:r>
    </w:p>
    <w:p>
      <w:pPr>
        <w:pStyle w:val="Subsection"/>
        <w:rPr>
          <w:snapToGrid w:val="0"/>
        </w:rPr>
      </w:pPr>
      <w:r>
        <w:rPr>
          <w:snapToGrid w:val="0"/>
        </w:rPr>
        <w:tab/>
      </w:r>
      <w:r>
        <w:rPr>
          <w:snapToGrid w:val="0"/>
        </w:rPr>
        <w:tab/>
        <w:t>A person appointed by the chief executive officer to conduct an inquiry under section 9 of the Act shall — </w:t>
      </w:r>
    </w:p>
    <w:p>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pPr>
        <w:pStyle w:val="Indenta"/>
        <w:rPr>
          <w:snapToGrid w:val="0"/>
        </w:rPr>
      </w:pPr>
      <w:r>
        <w:rPr>
          <w:snapToGrid w:val="0"/>
        </w:rPr>
        <w:tab/>
        <w:t>(b)</w:t>
      </w:r>
      <w:r>
        <w:rPr>
          <w:snapToGrid w:val="0"/>
        </w:rPr>
        <w:tab/>
        <w:t>conduct the inquiry in a full and objective manner and without undue adjournment or delay;</w:t>
      </w:r>
    </w:p>
    <w:p>
      <w:pPr>
        <w:pStyle w:val="Indenta"/>
        <w:rPr>
          <w:snapToGrid w:val="0"/>
        </w:rPr>
      </w:pPr>
      <w:r>
        <w:rPr>
          <w:snapToGrid w:val="0"/>
        </w:rPr>
        <w:tab/>
        <w:t>(c)</w:t>
      </w:r>
      <w:r>
        <w:rPr>
          <w:snapToGrid w:val="0"/>
        </w:rPr>
        <w:tab/>
        <w:t>keep or cause to be kept an adequate record of proceedings;</w:t>
      </w:r>
    </w:p>
    <w:p>
      <w:pPr>
        <w:pStyle w:val="Indenta"/>
        <w:rPr>
          <w:snapToGrid w:val="0"/>
        </w:rPr>
      </w:pPr>
      <w:r>
        <w:rPr>
          <w:snapToGrid w:val="0"/>
        </w:rPr>
        <w:tab/>
        <w:t>(d)</w:t>
      </w:r>
      <w:r>
        <w:rPr>
          <w:snapToGrid w:val="0"/>
        </w:rPr>
        <w:tab/>
        <w:t>provide the opportunity for persons other than those whose appearance has been required to attend before the inquiry; and</w:t>
      </w:r>
    </w:p>
    <w:p>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pPr>
        <w:pStyle w:val="Footnotesection"/>
      </w:pPr>
      <w:r>
        <w:tab/>
        <w:t xml:space="preserve">[Regulation 83 amended in Gazette 11 Dec 1987 p. 4369; 2 Nov 1999 p. 5475.] </w:t>
      </w:r>
    </w:p>
    <w:p>
      <w:pPr>
        <w:pStyle w:val="Heading5"/>
        <w:rPr>
          <w:snapToGrid w:val="0"/>
        </w:rPr>
      </w:pPr>
      <w:bookmarkStart w:id="362" w:name="_Toc378327352"/>
      <w:bookmarkStart w:id="363" w:name="_Toc427933621"/>
      <w:r>
        <w:rPr>
          <w:rStyle w:val="CharSectno"/>
        </w:rPr>
        <w:t>84</w:t>
      </w:r>
      <w:r>
        <w:rPr>
          <w:snapToGrid w:val="0"/>
        </w:rPr>
        <w:t>.</w:t>
      </w:r>
      <w:r>
        <w:rPr>
          <w:snapToGrid w:val="0"/>
        </w:rPr>
        <w:tab/>
        <w:t>Duty of reporting officer</w:t>
      </w:r>
      <w:bookmarkEnd w:id="362"/>
      <w:bookmarkEnd w:id="363"/>
      <w:r>
        <w:rPr>
          <w:snapToGrid w:val="0"/>
        </w:rPr>
        <w:t xml:space="preserve"> </w:t>
      </w:r>
    </w:p>
    <w:p>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pPr>
        <w:pStyle w:val="Footnotesection"/>
      </w:pPr>
      <w:r>
        <w:tab/>
        <w:t xml:space="preserve">[Regulation 84 amended in Gazette 11 Dec 1987 p. 4369; 2 Nov 1999 p. 5475.] </w:t>
      </w:r>
    </w:p>
    <w:p>
      <w:pPr>
        <w:pStyle w:val="Heading2"/>
      </w:pPr>
      <w:bookmarkStart w:id="364" w:name="_Toc378327353"/>
      <w:bookmarkStart w:id="365" w:name="_Toc424112568"/>
      <w:bookmarkStart w:id="366" w:name="_Toc427923094"/>
      <w:bookmarkStart w:id="367" w:name="_Toc427933622"/>
      <w:r>
        <w:rPr>
          <w:rStyle w:val="CharPartNo"/>
        </w:rPr>
        <w:t>Part XIII</w:t>
      </w:r>
      <w:r>
        <w:rPr>
          <w:rStyle w:val="CharDivNo"/>
        </w:rPr>
        <w:t> </w:t>
      </w:r>
      <w:r>
        <w:t>—</w:t>
      </w:r>
      <w:r>
        <w:rPr>
          <w:rStyle w:val="CharDivText"/>
        </w:rPr>
        <w:t> </w:t>
      </w:r>
      <w:r>
        <w:rPr>
          <w:rStyle w:val="CharPartText"/>
        </w:rPr>
        <w:t>Miscellaneous</w:t>
      </w:r>
      <w:bookmarkEnd w:id="364"/>
      <w:bookmarkEnd w:id="365"/>
      <w:bookmarkEnd w:id="366"/>
      <w:bookmarkEnd w:id="367"/>
      <w:r>
        <w:rPr>
          <w:rStyle w:val="CharPartText"/>
        </w:rPr>
        <w:t xml:space="preserve"> </w:t>
      </w:r>
    </w:p>
    <w:p>
      <w:pPr>
        <w:pStyle w:val="Heading5"/>
      </w:pPr>
      <w:bookmarkStart w:id="368" w:name="_Toc378327354"/>
      <w:bookmarkStart w:id="369" w:name="_Toc427933623"/>
      <w:r>
        <w:rPr>
          <w:rStyle w:val="CharSectno"/>
        </w:rPr>
        <w:t>85</w:t>
      </w:r>
      <w:r>
        <w:t>.</w:t>
      </w:r>
      <w:r>
        <w:tab/>
        <w:t>Responsibility for prisoners in lock</w:t>
      </w:r>
      <w:r>
        <w:noBreakHyphen/>
        <w:t>ups</w:t>
      </w:r>
      <w:bookmarkEnd w:id="368"/>
      <w:bookmarkEnd w:id="369"/>
    </w:p>
    <w:p>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pPr>
        <w:pStyle w:val="Footnotesection"/>
      </w:pPr>
      <w:r>
        <w:tab/>
        <w:t>[Regulation 85 inserted in Gazette 12 Apr 2001 p. 2101.]</w:t>
      </w:r>
    </w:p>
    <w:p>
      <w:pPr>
        <w:pStyle w:val="Heading5"/>
        <w:rPr>
          <w:snapToGrid w:val="0"/>
        </w:rPr>
      </w:pPr>
      <w:bookmarkStart w:id="370" w:name="_Toc378327355"/>
      <w:bookmarkStart w:id="371" w:name="_Toc427933624"/>
      <w:r>
        <w:rPr>
          <w:rStyle w:val="CharSectno"/>
        </w:rPr>
        <w:t>85A</w:t>
      </w:r>
      <w:r>
        <w:rPr>
          <w:snapToGrid w:val="0"/>
        </w:rPr>
        <w:t>.</w:t>
      </w:r>
      <w:r>
        <w:rPr>
          <w:snapToGrid w:val="0"/>
        </w:rPr>
        <w:tab/>
        <w:t>Identification system for persons entering specified prisons</w:t>
      </w:r>
      <w:bookmarkEnd w:id="370"/>
      <w:bookmarkEnd w:id="371"/>
      <w:r>
        <w:rPr>
          <w:snapToGrid w:val="0"/>
        </w:rPr>
        <w:t xml:space="preserve"> </w:t>
      </w:r>
    </w:p>
    <w:p>
      <w:pPr>
        <w:pStyle w:val="Subsection"/>
      </w:pPr>
      <w:r>
        <w:tab/>
        <w:t>(1)</w:t>
      </w:r>
      <w:r>
        <w:tab/>
        <w:t xml:space="preserve">A person shall not be permitted to enter a prison specified in the Table to this regulation unless — </w:t>
      </w:r>
    </w:p>
    <w:p>
      <w:pPr>
        <w:pStyle w:val="Indenta"/>
      </w:pPr>
      <w:r>
        <w:tab/>
        <w:t>(a)</w:t>
      </w:r>
      <w:r>
        <w:tab/>
        <w:t>an officer has stamped a visible part of the person’s skin with an identification mark that is visible under ultraviolet light; or</w:t>
      </w:r>
    </w:p>
    <w:p>
      <w:pPr>
        <w:pStyle w:val="Indenta"/>
      </w:pPr>
      <w:r>
        <w:tab/>
        <w:t>(b)</w:t>
      </w:r>
      <w:r>
        <w:tab/>
        <w:t>an officer has applied an identification band to the person’s wrist.</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 who is in possession of a current identification card issued by the Department to that person; or</w:t>
      </w:r>
    </w:p>
    <w:p>
      <w:pPr>
        <w:pStyle w:val="Indenta"/>
        <w:rPr>
          <w:snapToGrid w:val="0"/>
        </w:rPr>
      </w:pPr>
      <w:r>
        <w:rPr>
          <w:snapToGrid w:val="0"/>
        </w:rPr>
        <w:tab/>
        <w:t>(b)</w:t>
      </w:r>
      <w:r>
        <w:rPr>
          <w:snapToGrid w:val="0"/>
        </w:rPr>
        <w:tab/>
        <w:t>a child under 12 years of age.</w:t>
      </w:r>
    </w:p>
    <w:p>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pPr>
        <w:pStyle w:val="MiscellaneousHeading"/>
        <w:rPr>
          <w:b/>
          <w:bCs/>
          <w:snapToGrid w:val="0"/>
        </w:rPr>
      </w:pPr>
      <w:r>
        <w:rPr>
          <w:b/>
          <w:bCs/>
          <w:snapToGrid w:val="0"/>
        </w:rPr>
        <w:t>Table</w:t>
      </w:r>
    </w:p>
    <w:tbl>
      <w:tblPr>
        <w:tblW w:w="0" w:type="auto"/>
        <w:jc w:val="center"/>
        <w:tblInd w:w="2148" w:type="dxa"/>
        <w:tblLook w:val="0000" w:firstRow="0" w:lastRow="0" w:firstColumn="0" w:lastColumn="0" w:noHBand="0" w:noVBand="0"/>
      </w:tblPr>
      <w:tblGrid>
        <w:gridCol w:w="3360"/>
      </w:tblGrid>
      <w:tr>
        <w:trPr>
          <w:jc w:val="center"/>
        </w:trPr>
        <w:tc>
          <w:tcPr>
            <w:tcW w:w="3360" w:type="dxa"/>
          </w:tcPr>
          <w:p>
            <w:pPr>
              <w:pStyle w:val="Table"/>
              <w:jc w:val="center"/>
              <w:rPr>
                <w:snapToGrid w:val="0"/>
              </w:rPr>
            </w:pPr>
            <w:r>
              <w:rPr>
                <w:snapToGrid w:val="0"/>
              </w:rPr>
              <w:t>Acacia Prison</w:t>
            </w:r>
          </w:p>
        </w:tc>
      </w:tr>
      <w:tr>
        <w:trPr>
          <w:jc w:val="center"/>
        </w:trPr>
        <w:tc>
          <w:tcPr>
            <w:tcW w:w="3360" w:type="dxa"/>
          </w:tcPr>
          <w:p>
            <w:pPr>
              <w:pStyle w:val="Table"/>
              <w:jc w:val="center"/>
              <w:rPr>
                <w:snapToGrid w:val="0"/>
              </w:rPr>
            </w:pPr>
            <w:r>
              <w:rPr>
                <w:snapToGrid w:val="0"/>
              </w:rPr>
              <w:t>Casuarina Prison</w:t>
            </w:r>
          </w:p>
        </w:tc>
      </w:tr>
    </w:tbl>
    <w:p>
      <w:pPr>
        <w:pStyle w:val="Footnotesection"/>
      </w:pPr>
      <w:r>
        <w:tab/>
        <w:t xml:space="preserve">[Regulation 85A inserted in Gazette 27 Mar 1992 p. 1343; amended in Gazette 12 Apr 2001 p. 2102.] </w:t>
      </w:r>
    </w:p>
    <w:p>
      <w:pPr>
        <w:pStyle w:val="Heading5"/>
      </w:pPr>
      <w:bookmarkStart w:id="372" w:name="_Toc378327356"/>
      <w:bookmarkStart w:id="373" w:name="_Toc427933625"/>
      <w:r>
        <w:rPr>
          <w:rStyle w:val="CharSectno"/>
        </w:rPr>
        <w:t>86</w:t>
      </w:r>
      <w:r>
        <w:t>.</w:t>
      </w:r>
      <w:r>
        <w:tab/>
        <w:t>Publication of contracts: s. 15G(5)(b)</w:t>
      </w:r>
      <w:bookmarkEnd w:id="372"/>
      <w:bookmarkEnd w:id="373"/>
    </w:p>
    <w:p>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pPr>
        <w:pStyle w:val="Subsection"/>
      </w:pPr>
      <w:r>
        <w:tab/>
        <w:t>(2)</w:t>
      </w:r>
      <w:r>
        <w:tab/>
        <w:t xml:space="preserve">The Clerk is to cause to be published in the </w:t>
      </w:r>
      <w:r>
        <w:rPr>
          <w:i/>
        </w:rPr>
        <w:t>Gazette</w:t>
      </w:r>
      <w:r>
        <w:t xml:space="preserve"> within 14 days of receiving the contract a notice setting out — </w:t>
      </w:r>
    </w:p>
    <w:p>
      <w:pPr>
        <w:pStyle w:val="Indenta"/>
        <w:spacing w:before="60"/>
      </w:pPr>
      <w:r>
        <w:tab/>
        <w:t>(a)</w:t>
      </w:r>
      <w:r>
        <w:tab/>
        <w:t xml:space="preserve">the date on which the contract was received by the Clerk; </w:t>
      </w:r>
    </w:p>
    <w:p>
      <w:pPr>
        <w:pStyle w:val="Indenta"/>
        <w:spacing w:before="60"/>
      </w:pPr>
      <w:r>
        <w:tab/>
        <w:t>(b)</w:t>
      </w:r>
      <w:r>
        <w:tab/>
        <w:t>the contract’s name or a brief description of the contract’s contents;</w:t>
      </w:r>
    </w:p>
    <w:p>
      <w:pPr>
        <w:pStyle w:val="Indenta"/>
        <w:spacing w:before="60"/>
      </w:pPr>
      <w:r>
        <w:tab/>
        <w:t>(c)</w:t>
      </w:r>
      <w:r>
        <w:tab/>
        <w:t xml:space="preserve">the date of the contract or the date on which the contract was amended, as is relevant to the case; </w:t>
      </w:r>
    </w:p>
    <w:p>
      <w:pPr>
        <w:pStyle w:val="Indenta"/>
        <w:spacing w:before="60"/>
      </w:pPr>
      <w:r>
        <w:tab/>
        <w:t>(d)</w:t>
      </w:r>
      <w:r>
        <w:tab/>
        <w:t xml:space="preserve">the parties to the contract; and </w:t>
      </w:r>
    </w:p>
    <w:p>
      <w:pPr>
        <w:pStyle w:val="Indenta"/>
        <w:spacing w:before="60"/>
      </w:pPr>
      <w:r>
        <w:tab/>
        <w:t>(e)</w:t>
      </w:r>
      <w:r>
        <w:tab/>
        <w:t>details as to where and when the contract can be inspected by members of the public.</w:t>
      </w:r>
    </w:p>
    <w:p>
      <w:pPr>
        <w:pStyle w:val="Subsection"/>
        <w:spacing w:before="110"/>
      </w:pPr>
      <w:r>
        <w:tab/>
        <w:t>(3)</w:t>
      </w:r>
      <w:r>
        <w:tab/>
        <w:t>The Clerk is to ensure that the contract can be inspected by any person during office hours.</w:t>
      </w:r>
    </w:p>
    <w:p>
      <w:pPr>
        <w:pStyle w:val="Subsection"/>
        <w:spacing w:before="110"/>
      </w:pPr>
      <w:r>
        <w:tab/>
        <w:t>(4)</w:t>
      </w:r>
      <w:r>
        <w:tab/>
        <w:t>Copies or extracts may be taken from the contract.</w:t>
      </w:r>
    </w:p>
    <w:p>
      <w:pPr>
        <w:pStyle w:val="Footnotesection"/>
        <w:spacing w:before="80"/>
        <w:ind w:left="890" w:hanging="890"/>
      </w:pPr>
      <w:r>
        <w:tab/>
        <w:t xml:space="preserve">[Regulation 86 inserted in Gazette 17 Dec 1999 p. 6226.] </w:t>
      </w:r>
    </w:p>
    <w:p>
      <w:pPr>
        <w:pStyle w:val="Heading5"/>
      </w:pPr>
      <w:bookmarkStart w:id="374" w:name="_Toc378327357"/>
      <w:bookmarkStart w:id="375" w:name="_Toc427933626"/>
      <w:r>
        <w:rPr>
          <w:rStyle w:val="CharSectno"/>
        </w:rPr>
        <w:t>87</w:t>
      </w:r>
      <w:r>
        <w:t>.</w:t>
      </w:r>
      <w:r>
        <w:tab/>
        <w:t>Restriction of access to exchange information: s. 113(9)(b)</w:t>
      </w:r>
      <w:bookmarkEnd w:id="374"/>
      <w:bookmarkEnd w:id="375"/>
    </w:p>
    <w:p>
      <w:pPr>
        <w:pStyle w:val="Subsection"/>
      </w:pPr>
      <w:r>
        <w:tab/>
        <w:t>(1)</w:t>
      </w:r>
      <w:r>
        <w:tab/>
        <w:t>A person shall not publish information disclosed under section 113(6) of the Act without the written approval of the chief executive officer.</w:t>
      </w:r>
    </w:p>
    <w:p>
      <w:pPr>
        <w:pStyle w:val="Penstart"/>
      </w:pPr>
      <w:r>
        <w:tab/>
        <w:t>Penalty: a fine of $1 000.</w:t>
      </w:r>
    </w:p>
    <w:p>
      <w:pPr>
        <w:pStyle w:val="Subsection"/>
      </w:pPr>
      <w:r>
        <w:tab/>
        <w:t>(2)</w:t>
      </w:r>
      <w:r>
        <w:tab/>
        <w:t xml:space="preserve">The chief executive officer shall not give approval under subregulation (1) unless the chief executive officer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87 inserted in Gazette 3 Apr 2007 p. 1505.]</w:t>
      </w:r>
    </w:p>
    <w:p>
      <w:pPr>
        <w:pStyle w:val="Heading5"/>
      </w:pPr>
      <w:bookmarkStart w:id="376" w:name="_Toc378327358"/>
      <w:bookmarkStart w:id="377" w:name="_Toc427933627"/>
      <w:r>
        <w:rPr>
          <w:rStyle w:val="CharSectno"/>
        </w:rPr>
        <w:t>88</w:t>
      </w:r>
      <w:r>
        <w:t>.</w:t>
      </w:r>
      <w:r>
        <w:tab/>
        <w:t>Prescribed kinds of information disclosed to victims</w:t>
      </w:r>
      <w:bookmarkEnd w:id="376"/>
      <w:bookmarkEnd w:id="377"/>
    </w:p>
    <w:p>
      <w:pPr>
        <w:pStyle w:val="Subsection"/>
      </w:pPr>
      <w:r>
        <w:tab/>
      </w:r>
      <w:r>
        <w:tab/>
        <w:t>For the purposes of section 113B(2) of the Act, prescribed kinds of information are —</w:t>
      </w:r>
    </w:p>
    <w:p>
      <w:pPr>
        <w:pStyle w:val="Indenta"/>
      </w:pPr>
      <w:r>
        <w:tab/>
        <w:t>(a)</w:t>
      </w:r>
      <w:r>
        <w:tab/>
        <w:t>details of where the prisoner is being detained or is otherwise located while serving a sentence and notification and details of any proposed transfer;</w:t>
      </w:r>
    </w:p>
    <w:p>
      <w:pPr>
        <w:pStyle w:val="Indenta"/>
      </w:pPr>
      <w:r>
        <w:tab/>
        <w:t>(b)</w:t>
      </w:r>
      <w:r>
        <w:tab/>
        <w:t>any security rating assigned to the prisoner by the chief executive officer and notification and details of any proposed change in that security rating;</w:t>
      </w:r>
    </w:p>
    <w:p>
      <w:pPr>
        <w:pStyle w:val="Indenta"/>
      </w:pPr>
      <w:r>
        <w:tab/>
        <w:t>(c)</w:t>
      </w:r>
      <w:r>
        <w:tab/>
        <w:t>details of each sentence the prisoner is serving and notification and details of any changes resulting from any appeal;</w:t>
      </w:r>
    </w:p>
    <w:p>
      <w:pPr>
        <w:pStyle w:val="Indenta"/>
      </w:pPr>
      <w:r>
        <w:tab/>
        <w:t>(d)</w:t>
      </w:r>
      <w:r>
        <w:tab/>
        <w:t>the date, time and circumstances of any escape from custody by the prisoner and notification of the subsequent recapture of the prisoner;</w:t>
      </w:r>
    </w:p>
    <w:p>
      <w:pPr>
        <w:pStyle w:val="Indenta"/>
      </w:pPr>
      <w:r>
        <w:tab/>
        <w:t>(e)</w:t>
      </w:r>
      <w:r>
        <w:tab/>
        <w:t>notification of the death, or entry into hospice care, of the prisoner;</w:t>
      </w:r>
    </w:p>
    <w:p>
      <w:pPr>
        <w:pStyle w:val="Indenta"/>
      </w:pPr>
      <w:r>
        <w:tab/>
        <w:t>(f)</w:t>
      </w:r>
      <w:r>
        <w:tab/>
        <w:t>a description of any programme in which the prisoner has participated or is participating while in prison;</w:t>
      </w:r>
    </w:p>
    <w:p>
      <w:pPr>
        <w:pStyle w:val="Indenta"/>
      </w:pPr>
      <w:r>
        <w:tab/>
        <w:t>(g)</w:t>
      </w:r>
      <w:r>
        <w:tab/>
        <w:t>notification and details of any release or absence from custody of the prisoner;</w:t>
      </w:r>
    </w:p>
    <w:p>
      <w:pPr>
        <w:pStyle w:val="Indenta"/>
      </w:pPr>
      <w:r>
        <w:tab/>
        <w:t>(h)</w:t>
      </w:r>
      <w:r>
        <w:tab/>
        <w:t>details of any conditions attached to the release or absence from custody of the prisoner impacting on the victim and notification when any of those conditions cease to have effect;</w:t>
      </w:r>
    </w:p>
    <w:p>
      <w:pPr>
        <w:pStyle w:val="Indenta"/>
      </w:pPr>
      <w:r>
        <w:tab/>
        <w:t>(i)</w:t>
      </w:r>
      <w:r>
        <w:tab/>
        <w:t>the region, city, town or suburb in which the prisoner will reside upon release;</w:t>
      </w:r>
    </w:p>
    <w:p>
      <w:pPr>
        <w:pStyle w:val="Indenta"/>
      </w:pPr>
      <w:r>
        <w:tab/>
        <w:t>(j)</w:t>
      </w:r>
      <w:r>
        <w:tab/>
        <w:t>a photograph of the prisoner.</w:t>
      </w:r>
    </w:p>
    <w:p>
      <w:pPr>
        <w:pStyle w:val="Footnotesection"/>
      </w:pPr>
      <w:r>
        <w:tab/>
        <w:t>[Regulation 88 inserted in Gazette 3 Apr 2007 p. 1506.]</w:t>
      </w:r>
    </w:p>
    <w:p>
      <w:p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378" w:name="_Toc378327359"/>
      <w:bookmarkStart w:id="379" w:name="_Toc424112574"/>
      <w:bookmarkStart w:id="380" w:name="_Toc427923100"/>
      <w:bookmarkStart w:id="381" w:name="_Toc427933628"/>
      <w:r>
        <w:rPr>
          <w:rStyle w:val="CharSchNo"/>
        </w:rPr>
        <w:t>Schedule</w:t>
      </w:r>
      <w:bookmarkEnd w:id="378"/>
      <w:bookmarkEnd w:id="379"/>
      <w:bookmarkEnd w:id="380"/>
      <w:bookmarkEnd w:id="381"/>
      <w:r>
        <w:rPr>
          <w:rStyle w:val="CharSchNo"/>
        </w:rPr>
        <w:t xml:space="preserve"> </w:t>
      </w:r>
    </w:p>
    <w:p>
      <w:pPr>
        <w:pStyle w:val="MiscellaneousHeading"/>
        <w:rPr>
          <w:b/>
          <w:snapToGrid w:val="0"/>
        </w:rPr>
      </w:pPr>
      <w:r>
        <w:rPr>
          <w:b/>
          <w:snapToGrid w:val="0"/>
        </w:rPr>
        <w:t>Form 1</w:t>
      </w:r>
    </w:p>
    <w:p>
      <w:pPr>
        <w:pStyle w:val="yShoulderClause"/>
        <w:rPr>
          <w:snapToGrid w:val="0"/>
        </w:rPr>
      </w:pPr>
      <w:r>
        <w:rPr>
          <w:snapToGrid w:val="0"/>
        </w:rPr>
        <w:t>[Regs. 27, 28]</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yTable"/>
        <w:rPr>
          <w:snapToGrid w:val="0"/>
        </w:rPr>
      </w:pPr>
      <w:r>
        <w:rPr>
          <w:snapToGrid w:val="0"/>
        </w:rPr>
        <w:t>Superintendent,</w:t>
      </w:r>
    </w:p>
    <w:p>
      <w:pPr>
        <w:pStyle w:val="yTable"/>
        <w:spacing w:before="0"/>
        <w:rPr>
          <w:snapToGrid w:val="0"/>
        </w:rPr>
      </w:pPr>
      <w:r>
        <w:rPr>
          <w:snapToGrid w:val="0"/>
        </w:rPr>
        <w:t>....................................................................... Prison.</w:t>
      </w:r>
    </w:p>
    <w:p>
      <w:pPr>
        <w:pStyle w:val="yTable"/>
        <w:rPr>
          <w:snapToGrid w:val="0"/>
        </w:rPr>
      </w:pPr>
      <w:r>
        <w:rPr>
          <w:snapToGrid w:val="0"/>
        </w:rPr>
        <w:t>I, .......................................................................................................... (full name)</w:t>
      </w:r>
    </w:p>
    <w:p>
      <w:pPr>
        <w:pStyle w:val="yTable"/>
        <w:spacing w:before="0"/>
        <w:rPr>
          <w:snapToGrid w:val="0"/>
        </w:rPr>
      </w:pPr>
      <w:r>
        <w:rPr>
          <w:snapToGrid w:val="0"/>
        </w:rPr>
        <w:t xml:space="preserve">being a person appointed as an analyst under the </w:t>
      </w:r>
      <w:r>
        <w:rPr>
          <w:i/>
          <w:snapToGrid w:val="0"/>
        </w:rPr>
        <w:t>Health Act 1911</w:t>
      </w:r>
      <w:r>
        <w:rPr>
          <w:snapToGrid w:val="0"/>
        </w:rPr>
        <w:t xml:space="preserve"> and employed at the ................................................... (Name of approved analysis agent)</w:t>
      </w:r>
    </w:p>
    <w:p>
      <w:pPr>
        <w:pStyle w:val="yTable"/>
        <w:rPr>
          <w:snapToGrid w:val="0"/>
        </w:rPr>
      </w:pPr>
      <w:r>
        <w:rPr>
          <w:snapToGrid w:val="0"/>
        </w:rPr>
        <w:t>CERTIFY THAT:</w:t>
      </w:r>
    </w:p>
    <w:p>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pPr>
        <w:pStyle w:val="yTable"/>
        <w:tabs>
          <w:tab w:val="left" w:pos="567"/>
          <w:tab w:val="left" w:pos="1134"/>
        </w:tabs>
        <w:spacing w:before="0"/>
        <w:ind w:left="1134" w:hanging="1134"/>
        <w:rPr>
          <w:snapToGrid w:val="0"/>
        </w:rPr>
      </w:pPr>
      <w:r>
        <w:rPr>
          <w:snapToGrid w:val="0"/>
        </w:rPr>
        <w:tab/>
      </w:r>
      <w:r>
        <w:rPr>
          <w:snapToGrid w:val="0"/>
        </w:rPr>
        <w:tab/>
        <w:t>................................................................................. Prisoner’s name</w:t>
      </w:r>
    </w:p>
    <w:p>
      <w:pPr>
        <w:pStyle w:val="yTable"/>
        <w:tabs>
          <w:tab w:val="left" w:pos="567"/>
          <w:tab w:val="left" w:pos="1134"/>
        </w:tabs>
        <w:spacing w:before="0"/>
        <w:ind w:left="1134" w:hanging="1134"/>
        <w:rPr>
          <w:snapToGrid w:val="0"/>
        </w:rPr>
      </w:pPr>
      <w:r>
        <w:rPr>
          <w:snapToGrid w:val="0"/>
        </w:rPr>
        <w:tab/>
      </w:r>
      <w:r>
        <w:rPr>
          <w:snapToGrid w:val="0"/>
        </w:rPr>
        <w:tab/>
        <w:t>................................................................... Officer who took sample</w:t>
      </w:r>
    </w:p>
    <w:p>
      <w:pPr>
        <w:pStyle w:val="yTable"/>
        <w:tabs>
          <w:tab w:val="left" w:pos="567"/>
          <w:tab w:val="left" w:pos="1134"/>
        </w:tabs>
        <w:spacing w:before="0"/>
        <w:ind w:left="1134" w:hanging="1134"/>
        <w:rPr>
          <w:snapToGrid w:val="0"/>
        </w:rPr>
      </w:pPr>
      <w:r>
        <w:rPr>
          <w:snapToGrid w:val="0"/>
        </w:rPr>
        <w:tab/>
      </w:r>
      <w:r>
        <w:rPr>
          <w:snapToGrid w:val="0"/>
        </w:rPr>
        <w:tab/>
        <w:t>.............................................................. Time and date sample taken</w:t>
      </w:r>
    </w:p>
    <w:p>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pPr>
        <w:pStyle w:val="yTable"/>
        <w:tabs>
          <w:tab w:val="left" w:pos="567"/>
          <w:tab w:val="left" w:pos="1134"/>
        </w:tabs>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t>............................................................................................................</w:t>
      </w:r>
    </w:p>
    <w:p>
      <w:pPr>
        <w:pStyle w:val="yTable"/>
        <w:rPr>
          <w:snapToGrid w:val="0"/>
        </w:rPr>
      </w:pPr>
      <w:r>
        <w:rPr>
          <w:snapToGrid w:val="0"/>
        </w:rPr>
        <w:t>DATED this ..................................... day of ......................................... 20 ...........</w:t>
      </w:r>
    </w:p>
    <w:p>
      <w:pPr>
        <w:pStyle w:val="yTable"/>
        <w:tabs>
          <w:tab w:val="left" w:pos="3969"/>
        </w:tabs>
        <w:rPr>
          <w:snapToGrid w:val="0"/>
        </w:rPr>
      </w:pPr>
      <w:r>
        <w:rPr>
          <w:snapToGrid w:val="0"/>
        </w:rPr>
        <w:t>...........................................................</w:t>
      </w:r>
      <w:r>
        <w:rPr>
          <w:snapToGrid w:val="0"/>
        </w:rPr>
        <w:tab/>
        <w:t>........................................................</w:t>
      </w:r>
    </w:p>
    <w:p>
      <w:pPr>
        <w:pStyle w:val="yTable"/>
        <w:tabs>
          <w:tab w:val="right" w:pos="7088"/>
        </w:tabs>
        <w:spacing w:before="0"/>
        <w:rPr>
          <w:snapToGrid w:val="0"/>
        </w:rPr>
      </w:pPr>
      <w:r>
        <w:rPr>
          <w:snapToGrid w:val="0"/>
        </w:rPr>
        <w:t>Analyst</w:t>
      </w:r>
      <w:r>
        <w:rPr>
          <w:snapToGrid w:val="0"/>
        </w:rPr>
        <w:tab/>
        <w:t xml:space="preserve">Laboratory Number </w:t>
      </w:r>
    </w:p>
    <w:p>
      <w:pPr>
        <w:pStyle w:val="yFootnotesection"/>
      </w:pPr>
      <w:r>
        <w:tab/>
        <w:t>[Form 1 inserted in Gazette 17 Aug 1984 p. 2450; amended in Gazette 9 Aug 1991 p. 4113; 8 Nov 1991 p. 5721; 13 Sep 1996 p. 4570.]</w:t>
      </w:r>
    </w:p>
    <w:p>
      <w:pPr>
        <w:pStyle w:val="MiscellaneousHeading"/>
        <w:pageBreakBefore/>
        <w:rPr>
          <w:b/>
          <w:bCs/>
          <w:snapToGrid w:val="0"/>
        </w:rPr>
      </w:pPr>
      <w:r>
        <w:rPr>
          <w:b/>
          <w:bCs/>
          <w:snapToGrid w:val="0"/>
        </w:rPr>
        <w:t>Form 2</w:t>
      </w:r>
    </w:p>
    <w:p>
      <w:pPr>
        <w:pStyle w:val="yShoulderClause"/>
        <w:rPr>
          <w:snapToGrid w:val="0"/>
        </w:rPr>
      </w:pPr>
      <w:r>
        <w:rPr>
          <w:snapToGrid w:val="0"/>
        </w:rPr>
        <w:t>[Regulation 54]</w:t>
      </w:r>
    </w:p>
    <w:p>
      <w:pPr>
        <w:pStyle w:val="MiscellaneousHeading"/>
        <w:rPr>
          <w:i/>
          <w:snapToGrid w:val="0"/>
        </w:rPr>
      </w:pPr>
      <w:r>
        <w:rPr>
          <w:i/>
          <w:snapToGrid w:val="0"/>
        </w:rPr>
        <w:t>Prisons Act 1981</w:t>
      </w:r>
    </w:p>
    <w:p>
      <w:pPr>
        <w:pStyle w:val="MiscellaneousHeading"/>
        <w:spacing w:before="0"/>
        <w:rPr>
          <w:i/>
          <w:snapToGrid w:val="0"/>
        </w:rPr>
      </w:pPr>
      <w:r>
        <w:rPr>
          <w:i/>
          <w:snapToGrid w:val="0"/>
        </w:rPr>
        <w:t>Prisons Regulations 1982</w:t>
      </w:r>
    </w:p>
    <w:p>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jc w:val="center"/>
              <w:rPr>
                <w:b/>
              </w:rPr>
            </w:pPr>
            <w:r>
              <w:rPr>
                <w:b/>
              </w:rPr>
              <w:t>IMPORTANT INFORMATION</w:t>
            </w:r>
          </w:p>
          <w:p>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pPr>
        <w:pStyle w:val="yTable"/>
        <w:tabs>
          <w:tab w:val="left" w:pos="567"/>
        </w:tabs>
        <w:spacing w:before="40"/>
        <w:ind w:left="567" w:hanging="567"/>
        <w:rPr>
          <w:snapToGrid w:val="0"/>
        </w:rPr>
      </w:pPr>
      <w:r>
        <w:rPr>
          <w:snapToGrid w:val="0"/>
        </w:rPr>
        <w:tab/>
        <w:t>......................................................................................................................</w:t>
      </w:r>
    </w:p>
    <w:p>
      <w:pPr>
        <w:pStyle w:val="yTable"/>
        <w:tabs>
          <w:tab w:val="left" w:pos="567"/>
        </w:tabs>
        <w:spacing w:before="40"/>
        <w:ind w:left="567" w:hanging="567"/>
        <w:rPr>
          <w:snapToGrid w:val="0"/>
        </w:rPr>
      </w:pPr>
      <w:r>
        <w:rPr>
          <w:snapToGrid w:val="0"/>
        </w:rPr>
        <w:tab/>
        <w:t>......................................................................................................................</w:t>
      </w:r>
    </w:p>
    <w:p>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pPr>
        <w:pStyle w:val="yTable"/>
        <w:tabs>
          <w:tab w:val="left" w:pos="567"/>
        </w:tabs>
        <w:ind w:left="567" w:hanging="567"/>
        <w:rPr>
          <w:snapToGrid w:val="0"/>
        </w:rPr>
      </w:pPr>
      <w:r>
        <w:rPr>
          <w:snapToGrid w:val="0"/>
        </w:rPr>
        <w:t>2.</w:t>
      </w:r>
      <w:r>
        <w:rPr>
          <w:snapToGrid w:val="0"/>
        </w:rPr>
        <w:tab/>
        <w:t>I wish to visit prisoner .................................................................................</w:t>
      </w:r>
    </w:p>
    <w:p>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pPr>
        <w:pStyle w:val="yTable"/>
        <w:tabs>
          <w:tab w:val="left" w:pos="720"/>
          <w:tab w:val="left" w:pos="1080"/>
        </w:tabs>
        <w:rPr>
          <w:snapToGrid w:val="0"/>
        </w:rPr>
      </w:pPr>
      <w:r>
        <w:rPr>
          <w:snapToGrid w:val="0"/>
        </w:rPr>
        <w:tab/>
        <w:t>(a)</w:t>
      </w:r>
      <w:r>
        <w:rPr>
          <w:snapToGrid w:val="0"/>
        </w:rPr>
        <w:tab/>
        <w:t>I am the prisoner’s spouse or de facto partner</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(b)</w:t>
      </w:r>
      <w:r>
        <w:rPr>
          <w:snapToGrid w:val="0"/>
        </w:rPr>
        <w:tab/>
        <w:t>I am a relation of the prisoner as I am the prisoner’s</w:t>
      </w:r>
    </w:p>
    <w:p>
      <w:pPr>
        <w:pStyle w:val="yTable"/>
        <w:tabs>
          <w:tab w:val="left" w:pos="709"/>
          <w:tab w:val="left" w:pos="1134"/>
        </w:tabs>
        <w:spacing w:before="40"/>
        <w:ind w:left="1134" w:hanging="1134"/>
        <w:rPr>
          <w:snapToGrid w:val="0"/>
        </w:rPr>
      </w:pPr>
      <w:r>
        <w:rPr>
          <w:snapToGrid w:val="0"/>
        </w:rPr>
        <w:tab/>
      </w:r>
      <w:r>
        <w:rPr>
          <w:snapToGrid w:val="0"/>
        </w:rPr>
        <w:tab/>
        <w:t>..............................................................................</w:t>
      </w:r>
    </w:p>
    <w:p>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pPr>
        <w:pStyle w:val="yTable"/>
        <w:jc w:val="center"/>
        <w:rPr>
          <w:snapToGrid w:val="0"/>
        </w:rPr>
      </w:pPr>
      <w:r>
        <w:rPr>
          <w:snapToGrid w:val="0"/>
        </w:rPr>
        <w:t>OR</w:t>
      </w:r>
    </w:p>
    <w:p>
      <w:pPr>
        <w:pStyle w:val="yTable"/>
        <w:tabs>
          <w:tab w:val="left" w:pos="720"/>
          <w:tab w:val="left" w:pos="1080"/>
        </w:tabs>
        <w:rPr>
          <w:snapToGrid w:val="0"/>
        </w:rPr>
      </w:pPr>
      <w:r>
        <w:rPr>
          <w:snapToGrid w:val="0"/>
        </w:rPr>
        <w:tab/>
        <w:t>(c)</w:t>
      </w:r>
      <w:r>
        <w:rPr>
          <w:snapToGrid w:val="0"/>
        </w:rPr>
        <w:tab/>
        <w:t>I am a friend of the prisoner and I have known the prisoner for</w:t>
      </w:r>
    </w:p>
    <w:p>
      <w:pPr>
        <w:pStyle w:val="yTable"/>
        <w:tabs>
          <w:tab w:val="left" w:pos="709"/>
          <w:tab w:val="left" w:pos="1134"/>
        </w:tabs>
        <w:spacing w:before="40"/>
        <w:ind w:left="1134" w:hanging="1134"/>
      </w:pPr>
      <w:r>
        <w:rPr>
          <w:snapToGrid w:val="0"/>
        </w:rPr>
        <w:tab/>
      </w:r>
      <w:r>
        <w:rPr>
          <w:snapToGrid w:val="0"/>
        </w:rPr>
        <w:tab/>
        <w:t>...........</w:t>
      </w:r>
      <w:r>
        <w:t>.....................................................................</w:t>
      </w:r>
    </w:p>
    <w:p>
      <w:pPr>
        <w:pStyle w:val="yTable"/>
        <w:tabs>
          <w:tab w:val="left" w:pos="709"/>
          <w:tab w:val="left" w:pos="1134"/>
        </w:tabs>
        <w:spacing w:before="0"/>
        <w:ind w:left="1134"/>
      </w:pPr>
      <w:r>
        <w:t>(</w:t>
      </w:r>
      <w:r>
        <w:rPr>
          <w:i/>
        </w:rPr>
        <w:t>State the number of years or months that you have known the prisoner</w:t>
      </w:r>
      <w:r>
        <w:t>)</w:t>
      </w:r>
    </w:p>
    <w:p>
      <w:pPr>
        <w:pStyle w:val="yTable"/>
        <w:keepNext/>
        <w:tabs>
          <w:tab w:val="left" w:pos="567"/>
        </w:tabs>
        <w:ind w:left="567" w:hanging="567"/>
      </w:pPr>
      <w:r>
        <w:t>4.</w:t>
      </w:r>
      <w:r>
        <w:tab/>
        <w:t>The purpose of my visit to the prisoner is ...................................................</w:t>
      </w:r>
    </w:p>
    <w:p>
      <w:pPr>
        <w:pStyle w:val="yTable"/>
        <w:tabs>
          <w:tab w:val="left" w:pos="567"/>
        </w:tabs>
        <w:ind w:left="567" w:hanging="567"/>
        <w:rPr>
          <w:snapToGrid w:val="0"/>
        </w:rPr>
      </w:pPr>
      <w:r>
        <w:rPr>
          <w:snapToGrid w:val="0"/>
        </w:rPr>
        <w:tab/>
        <w:t>......................................................................................................................</w:t>
      </w:r>
    </w:p>
    <w:p>
      <w:pPr>
        <w:pStyle w:val="yTable"/>
        <w:tabs>
          <w:tab w:val="left" w:pos="567"/>
        </w:tabs>
        <w:spacing w:before="0"/>
        <w:ind w:left="567" w:hanging="567"/>
        <w:rPr>
          <w:i/>
        </w:rPr>
      </w:pPr>
      <w:r>
        <w:tab/>
      </w:r>
      <w:r>
        <w:rPr>
          <w:i/>
        </w:rPr>
        <w:t>(State the purpose of your visit to the prisoner)</w:t>
      </w:r>
    </w:p>
    <w:p>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pPr>
        <w:pStyle w:val="yTable"/>
        <w:tabs>
          <w:tab w:val="left" w:pos="567"/>
        </w:tabs>
        <w:ind w:left="567" w:hanging="567"/>
        <w:rPr>
          <w:snapToGrid w:val="0"/>
        </w:rPr>
      </w:pPr>
      <w:r>
        <w:rPr>
          <w:snapToGrid w:val="0"/>
        </w:rPr>
        <w:tab/>
        <w:t>......................................................................................................................</w:t>
      </w:r>
    </w:p>
    <w:p>
      <w:pPr>
        <w:pStyle w:val="yTable"/>
        <w:tabs>
          <w:tab w:val="left" w:pos="567"/>
        </w:tabs>
        <w:spacing w:before="0"/>
        <w:rPr>
          <w:i/>
        </w:rPr>
      </w:pPr>
      <w:r>
        <w:tab/>
      </w:r>
      <w:r>
        <w:rPr>
          <w:i/>
        </w:rPr>
        <w:t>(Signature of person making this declaration)</w:t>
      </w:r>
    </w:p>
    <w:p>
      <w:pPr>
        <w:pStyle w:val="yTable"/>
        <w:tabs>
          <w:tab w:val="left" w:pos="567"/>
        </w:tabs>
        <w:rPr>
          <w:snapToGrid w:val="0"/>
        </w:rPr>
      </w:pPr>
      <w:r>
        <w:rPr>
          <w:snapToGrid w:val="0"/>
        </w:rPr>
        <w:tab/>
        <w:t>Made the ...................................... day of .................................... 20 ..........</w:t>
      </w:r>
    </w:p>
    <w:p>
      <w:pPr>
        <w:pStyle w:val="yTable"/>
        <w:tabs>
          <w:tab w:val="left" w:pos="567"/>
        </w:tabs>
        <w:ind w:left="567" w:hanging="567"/>
        <w:rPr>
          <w:snapToGrid w:val="0"/>
        </w:rPr>
      </w:pPr>
      <w:r>
        <w:tab/>
        <w:t xml:space="preserve">In the presence of </w:t>
      </w:r>
      <w:r>
        <w:rPr>
          <w:snapToGrid w:val="0"/>
        </w:rPr>
        <w:t>.........................................................................................</w:t>
      </w:r>
    </w:p>
    <w:p>
      <w:pPr>
        <w:pStyle w:val="yTable"/>
        <w:tabs>
          <w:tab w:val="left" w:pos="567"/>
        </w:tabs>
        <w:spacing w:before="0"/>
        <w:rPr>
          <w:i/>
        </w:rPr>
      </w:pPr>
      <w:r>
        <w:tab/>
      </w:r>
      <w:r>
        <w:rPr>
          <w:i/>
        </w:rPr>
        <w:t>(Print name of witness)</w:t>
      </w:r>
    </w:p>
    <w:p>
      <w:pPr>
        <w:pStyle w:val="yTable"/>
        <w:tabs>
          <w:tab w:val="left" w:pos="567"/>
        </w:tabs>
        <w:ind w:left="567" w:hanging="567"/>
        <w:rPr>
          <w:snapToGrid w:val="0"/>
        </w:rPr>
      </w:pPr>
      <w:r>
        <w:rPr>
          <w:snapToGrid w:val="0"/>
        </w:rPr>
        <w:tab/>
        <w:t>......................................................................................................................</w:t>
      </w:r>
    </w:p>
    <w:p>
      <w:pPr>
        <w:pStyle w:val="yTable"/>
        <w:tabs>
          <w:tab w:val="left" w:pos="567"/>
        </w:tabs>
        <w:spacing w:before="0" w:after="60"/>
        <w:rPr>
          <w:i/>
        </w:rPr>
      </w:pPr>
      <w:r>
        <w:tab/>
      </w:r>
      <w:r>
        <w:rPr>
          <w:i/>
        </w:rPr>
        <w:t>(Signature of witness)</w:t>
      </w:r>
    </w:p>
    <w:p>
      <w:pPr>
        <w:pStyle w:val="yFootnotesection"/>
      </w:pPr>
      <w:r>
        <w:tab/>
        <w:t>[Form 2 inserted in Gazette 19 Mar 1996 p. 1241</w:t>
      </w:r>
      <w:r>
        <w:noBreakHyphen/>
        <w:t>2; amended in Gazette 30 Jun 2003 p. 2625</w:t>
      </w:r>
      <w:r>
        <w:noBreakHyphen/>
        <w:t>6; 11 Jun 2004 p. 2002.]</w:t>
      </w:r>
    </w:p>
    <w:p>
      <w:pPr>
        <w:pStyle w:val="MiscellaneousHeading"/>
        <w:pageBreakBefore/>
        <w:rPr>
          <w:b/>
          <w:bCs/>
        </w:rPr>
      </w:pPr>
      <w:r>
        <w:rPr>
          <w:b/>
          <w:bCs/>
        </w:rPr>
        <w:t xml:space="preserve">Form 3 </w:t>
      </w:r>
    </w:p>
    <w:p>
      <w:pPr>
        <w:pStyle w:val="yShoulderClause"/>
        <w:spacing w:before="0"/>
      </w:pPr>
      <w:r>
        <w:t>[Reg. 82]</w:t>
      </w:r>
    </w:p>
    <w:p>
      <w:pPr>
        <w:pStyle w:val="MiscellaneousHeading"/>
        <w:spacing w:before="0"/>
        <w:rPr>
          <w:i/>
        </w:rPr>
      </w:pPr>
      <w:r>
        <w:rPr>
          <w:i/>
        </w:rPr>
        <w:t>Prisons Act 1981</w:t>
      </w:r>
    </w:p>
    <w:p>
      <w:pPr>
        <w:pStyle w:val="MiscellaneousHeading"/>
        <w:spacing w:before="0"/>
        <w:rPr>
          <w:i/>
        </w:rPr>
      </w:pPr>
      <w:r>
        <w:rPr>
          <w:i/>
        </w:rPr>
        <w:t>Prisons Regulations 1982</w:t>
      </w:r>
    </w:p>
    <w:p>
      <w:pPr>
        <w:pStyle w:val="MiscellaneousHeading"/>
        <w:rPr>
          <w:b/>
        </w:rPr>
      </w:pPr>
      <w:r>
        <w:rPr>
          <w:b/>
        </w:rPr>
        <w:t>INQUIRY BY REPORTING OFFICER</w:t>
      </w:r>
    </w:p>
    <w:p>
      <w:pPr>
        <w:pStyle w:val="yTable"/>
      </w:pPr>
      <w:r>
        <w:t>To: ..........................................................................................................................</w:t>
      </w:r>
    </w:p>
    <w:p>
      <w:pPr>
        <w:pStyle w:val="yTable"/>
        <w:spacing w:before="0"/>
        <w:jc w:val="center"/>
      </w:pPr>
      <w:r>
        <w:t>(person required to attend inquiry)</w:t>
      </w:r>
    </w:p>
    <w:p>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pPr>
        <w:pStyle w:val="yTable"/>
      </w:pPr>
      <w:r>
        <w:rPr>
          <w:snapToGrid w:val="0"/>
        </w:rPr>
        <w:t>................................................................................................................................</w:t>
      </w:r>
    </w:p>
    <w:p>
      <w:pPr>
        <w:pStyle w:val="yTable"/>
        <w:spacing w:before="0"/>
      </w:pPr>
      <w:r>
        <w:rPr>
          <w:snapToGrid w:val="0"/>
        </w:rPr>
        <w:t>................................................................................................................................</w:t>
      </w:r>
    </w:p>
    <w:p>
      <w:pPr>
        <w:pStyle w:val="yTable"/>
        <w:spacing w:before="0"/>
      </w:pPr>
      <w:r>
        <w:rPr>
          <w:snapToGrid w:val="0"/>
        </w:rPr>
        <w:t>................................................................................................................................</w:t>
      </w:r>
    </w:p>
    <w:p>
      <w:pPr>
        <w:pStyle w:val="yTable"/>
        <w:spacing w:before="0"/>
      </w:pPr>
      <w:r>
        <w:t>(here state concisely the matter, incident or occurrence concerning the security or good order of the prison or concerning the prisoner or prisoners).</w:t>
      </w:r>
    </w:p>
    <w:p>
      <w:pPr>
        <w:pStyle w:val="yTable"/>
      </w:pPr>
      <w:r>
        <w:t xml:space="preserve">AND TO REPORT upon the subject of this inquiry to the </w:t>
      </w:r>
      <w:r>
        <w:rPr>
          <w:snapToGrid w:val="0"/>
        </w:rPr>
        <w:t>chief executive officer</w:t>
      </w:r>
      <w:r>
        <w:t>.</w:t>
      </w:r>
    </w:p>
    <w:p>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pPr>
        <w:pStyle w:val="yTable"/>
      </w:pPr>
      <w:r>
        <w:t>A prisoner who commits that offence is guilty of an aggravated prison offence and liable to be punished accordingly.</w:t>
      </w:r>
    </w:p>
    <w:p>
      <w:pPr>
        <w:pStyle w:val="yTable"/>
      </w:pPr>
      <w:r>
        <w:t>GIVEN under my hand this ........................ day of .................................. 20 .......</w:t>
      </w:r>
    </w:p>
    <w:p>
      <w:pPr>
        <w:pStyle w:val="yTable"/>
      </w:pPr>
      <w:r>
        <w:t>............................................................. (A.B.                            ).</w:t>
      </w:r>
    </w:p>
    <w:p>
      <w:pPr>
        <w:pStyle w:val="yFootnotesection"/>
      </w:pPr>
      <w:r>
        <w:tab/>
        <w:t xml:space="preserve">[Form 3 amended in Gazette 11 Dec 1987 p. 4369; 2 Nov 1999 p. 5475.]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83" w:name="_Toc378327360"/>
      <w:bookmarkStart w:id="384" w:name="_Toc424112575"/>
      <w:bookmarkStart w:id="385" w:name="_Toc427923101"/>
      <w:bookmarkStart w:id="386" w:name="_Toc427933629"/>
      <w:r>
        <w:t>Notes</w:t>
      </w:r>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Regulations 1982</w:t>
      </w:r>
      <w:r>
        <w:rPr>
          <w:snapToGrid w:val="0"/>
        </w:rPr>
        <w:t xml:space="preserve"> 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387" w:name="_Toc378327361"/>
      <w:bookmarkStart w:id="388" w:name="_Toc427933630"/>
      <w:r>
        <w:rPr>
          <w:snapToGrid w:val="0"/>
        </w:rPr>
        <w:t>Compilation table</w:t>
      </w:r>
      <w:bookmarkEnd w:id="387"/>
      <w:bookmarkEnd w:id="38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Prisons Regulations 1982</w:t>
            </w:r>
          </w:p>
        </w:tc>
        <w:tc>
          <w:tcPr>
            <w:tcW w:w="1276" w:type="dxa"/>
          </w:tcPr>
          <w:p>
            <w:pPr>
              <w:pStyle w:val="nTable"/>
              <w:spacing w:after="40"/>
            </w:pPr>
            <w:r>
              <w:t>23 Jul 1982 p. 2905</w:t>
            </w:r>
            <w:r>
              <w:noBreakHyphen/>
              <w:t>29</w:t>
            </w:r>
          </w:p>
        </w:tc>
        <w:tc>
          <w:tcPr>
            <w:tcW w:w="2693" w:type="dxa"/>
          </w:tcPr>
          <w:p>
            <w:pPr>
              <w:pStyle w:val="nTable"/>
              <w:spacing w:after="40"/>
            </w:pPr>
            <w:r>
              <w:t xml:space="preserve">1 Aug 1982 (see r. 1 and </w:t>
            </w:r>
            <w:r>
              <w:rPr>
                <w:i/>
              </w:rPr>
              <w:t>Gazette</w:t>
            </w:r>
            <w:r>
              <w:t xml:space="preserve"> 23 Jul 1982 p. 2841)</w:t>
            </w:r>
          </w:p>
        </w:tc>
      </w:tr>
      <w:tr>
        <w:trPr>
          <w:cantSplit/>
        </w:trPr>
        <w:tc>
          <w:tcPr>
            <w:tcW w:w="3118" w:type="dxa"/>
          </w:tcPr>
          <w:p>
            <w:pPr>
              <w:pStyle w:val="nTable"/>
              <w:spacing w:after="40"/>
              <w:ind w:right="113"/>
              <w:rPr>
                <w:i/>
              </w:rPr>
            </w:pPr>
            <w:r>
              <w:rPr>
                <w:i/>
              </w:rPr>
              <w:t>Prisons Amendment Regulations 1982</w:t>
            </w:r>
          </w:p>
        </w:tc>
        <w:tc>
          <w:tcPr>
            <w:tcW w:w="1276" w:type="dxa"/>
          </w:tcPr>
          <w:p>
            <w:pPr>
              <w:pStyle w:val="nTable"/>
              <w:spacing w:after="40"/>
            </w:pPr>
            <w:r>
              <w:t>24 Dec 1982</w:t>
            </w:r>
            <w:r>
              <w:br/>
              <w:t>p. 4906</w:t>
            </w:r>
            <w:r>
              <w:noBreakHyphen/>
              <w:t>7</w:t>
            </w:r>
          </w:p>
        </w:tc>
        <w:tc>
          <w:tcPr>
            <w:tcW w:w="2693" w:type="dxa"/>
          </w:tcPr>
          <w:p>
            <w:pPr>
              <w:pStyle w:val="nTable"/>
              <w:spacing w:after="40"/>
            </w:pPr>
            <w:r>
              <w:t>24 Dec 1982 (see r. 3)</w:t>
            </w:r>
          </w:p>
        </w:tc>
      </w:tr>
      <w:tr>
        <w:trPr>
          <w:cantSplit/>
        </w:trPr>
        <w:tc>
          <w:tcPr>
            <w:tcW w:w="3118" w:type="dxa"/>
          </w:tcPr>
          <w:p>
            <w:pPr>
              <w:pStyle w:val="nTable"/>
              <w:spacing w:after="40"/>
              <w:ind w:right="113"/>
              <w:rPr>
                <w:i/>
              </w:rPr>
            </w:pPr>
            <w:r>
              <w:rPr>
                <w:i/>
              </w:rPr>
              <w:t>Prisons Amendment Regulations 1983</w:t>
            </w:r>
          </w:p>
        </w:tc>
        <w:tc>
          <w:tcPr>
            <w:tcW w:w="1276" w:type="dxa"/>
          </w:tcPr>
          <w:p>
            <w:pPr>
              <w:pStyle w:val="nTable"/>
              <w:spacing w:after="40"/>
            </w:pPr>
            <w:r>
              <w:t>22 Apr 1983</w:t>
            </w:r>
            <w:r>
              <w:br/>
              <w:t>p. 1250</w:t>
            </w:r>
          </w:p>
        </w:tc>
        <w:tc>
          <w:tcPr>
            <w:tcW w:w="2693" w:type="dxa"/>
          </w:tcPr>
          <w:p>
            <w:pPr>
              <w:pStyle w:val="nTable"/>
              <w:spacing w:after="40"/>
            </w:pPr>
            <w:r>
              <w:t>22 Apr 1983</w:t>
            </w:r>
          </w:p>
        </w:tc>
      </w:tr>
      <w:tr>
        <w:trPr>
          <w:cantSplit/>
        </w:trPr>
        <w:tc>
          <w:tcPr>
            <w:tcW w:w="3118" w:type="dxa"/>
          </w:tcPr>
          <w:p>
            <w:pPr>
              <w:pStyle w:val="nTable"/>
              <w:spacing w:after="40"/>
              <w:ind w:right="113"/>
              <w:rPr>
                <w:i/>
              </w:rPr>
            </w:pPr>
            <w:r>
              <w:rPr>
                <w:i/>
              </w:rPr>
              <w:t>Prisons Amendment Regulations 1984</w:t>
            </w:r>
          </w:p>
        </w:tc>
        <w:tc>
          <w:tcPr>
            <w:tcW w:w="1276" w:type="dxa"/>
          </w:tcPr>
          <w:p>
            <w:pPr>
              <w:pStyle w:val="nTable"/>
              <w:spacing w:after="40"/>
            </w:pPr>
            <w:r>
              <w:t>17 Aug 1984</w:t>
            </w:r>
            <w:r>
              <w:br/>
              <w:t>p. 2449</w:t>
            </w:r>
            <w:r>
              <w:noBreakHyphen/>
              <w:t>50</w:t>
            </w:r>
          </w:p>
        </w:tc>
        <w:tc>
          <w:tcPr>
            <w:tcW w:w="2693" w:type="dxa"/>
          </w:tcPr>
          <w:p>
            <w:pPr>
              <w:pStyle w:val="nTable"/>
              <w:spacing w:after="40"/>
            </w:pPr>
            <w:r>
              <w:t>17 Aug 1984</w:t>
            </w:r>
          </w:p>
        </w:tc>
      </w:tr>
      <w:tr>
        <w:trPr>
          <w:cantSplit/>
        </w:trPr>
        <w:tc>
          <w:tcPr>
            <w:tcW w:w="3118" w:type="dxa"/>
          </w:tcPr>
          <w:p>
            <w:pPr>
              <w:pStyle w:val="nTable"/>
              <w:spacing w:after="40"/>
              <w:ind w:right="113"/>
              <w:rPr>
                <w:i/>
              </w:rPr>
            </w:pPr>
            <w:r>
              <w:rPr>
                <w:i/>
              </w:rPr>
              <w:t>Prisons Amendment Regulations 1985</w:t>
            </w:r>
          </w:p>
        </w:tc>
        <w:tc>
          <w:tcPr>
            <w:tcW w:w="1276" w:type="dxa"/>
          </w:tcPr>
          <w:p>
            <w:pPr>
              <w:pStyle w:val="nTable"/>
              <w:spacing w:after="40"/>
            </w:pPr>
            <w:r>
              <w:t>12 Apr 1985</w:t>
            </w:r>
            <w:r>
              <w:br/>
              <w:t>p. 1283</w:t>
            </w:r>
          </w:p>
        </w:tc>
        <w:tc>
          <w:tcPr>
            <w:tcW w:w="2693" w:type="dxa"/>
          </w:tcPr>
          <w:p>
            <w:pPr>
              <w:pStyle w:val="nTable"/>
              <w:spacing w:after="40"/>
            </w:pPr>
            <w:r>
              <w:t>12 Apr 1985</w:t>
            </w:r>
          </w:p>
        </w:tc>
      </w:tr>
      <w:tr>
        <w:trPr>
          <w:cantSplit/>
        </w:trPr>
        <w:tc>
          <w:tcPr>
            <w:tcW w:w="7087" w:type="dxa"/>
            <w:gridSpan w:val="3"/>
          </w:tcPr>
          <w:p>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trPr>
          <w:cantSplit/>
        </w:trPr>
        <w:tc>
          <w:tcPr>
            <w:tcW w:w="3118" w:type="dxa"/>
          </w:tcPr>
          <w:p>
            <w:pPr>
              <w:pStyle w:val="nTable"/>
              <w:spacing w:after="40"/>
              <w:ind w:right="113"/>
            </w:pPr>
            <w:r>
              <w:rPr>
                <w:i/>
              </w:rPr>
              <w:t>Prisons Amendment Regulations 1987</w:t>
            </w:r>
          </w:p>
        </w:tc>
        <w:tc>
          <w:tcPr>
            <w:tcW w:w="1276" w:type="dxa"/>
          </w:tcPr>
          <w:p>
            <w:pPr>
              <w:pStyle w:val="nTable"/>
              <w:spacing w:after="40"/>
            </w:pPr>
            <w:r>
              <w:t>11 Dec 1987 p. 4368</w:t>
            </w:r>
            <w:r>
              <w:noBreakHyphen/>
              <w:t>9</w:t>
            </w:r>
          </w:p>
        </w:tc>
        <w:tc>
          <w:tcPr>
            <w:tcW w:w="2693" w:type="dxa"/>
          </w:tcPr>
          <w:p>
            <w:pPr>
              <w:pStyle w:val="nTable"/>
              <w:spacing w:after="40"/>
            </w:pPr>
            <w:r>
              <w:t xml:space="preserve">11 Dec 1987 (see r. 2 and </w:t>
            </w:r>
            <w:r>
              <w:rPr>
                <w:i/>
                <w:iCs/>
              </w:rPr>
              <w:t>Gazette</w:t>
            </w:r>
            <w:r>
              <w:t xml:space="preserve"> 11 Dec 1987 p. 4363)</w:t>
            </w:r>
          </w:p>
        </w:tc>
      </w:tr>
      <w:tr>
        <w:trPr>
          <w:cantSplit/>
        </w:trPr>
        <w:tc>
          <w:tcPr>
            <w:tcW w:w="3118" w:type="dxa"/>
          </w:tcPr>
          <w:p>
            <w:pPr>
              <w:pStyle w:val="nTable"/>
              <w:spacing w:after="40"/>
              <w:ind w:right="113"/>
            </w:pPr>
            <w:r>
              <w:rPr>
                <w:i/>
              </w:rPr>
              <w:t>Prisons Amendment Regulations 1988</w:t>
            </w:r>
          </w:p>
        </w:tc>
        <w:tc>
          <w:tcPr>
            <w:tcW w:w="1276" w:type="dxa"/>
          </w:tcPr>
          <w:p>
            <w:pPr>
              <w:pStyle w:val="nTable"/>
              <w:spacing w:after="40"/>
            </w:pPr>
            <w:r>
              <w:t>26 Feb 1988 p. 604</w:t>
            </w:r>
          </w:p>
        </w:tc>
        <w:tc>
          <w:tcPr>
            <w:tcW w:w="2693" w:type="dxa"/>
          </w:tcPr>
          <w:p>
            <w:pPr>
              <w:pStyle w:val="nTable"/>
              <w:spacing w:after="40"/>
            </w:pPr>
            <w:r>
              <w:t>26 Feb 1988</w:t>
            </w:r>
          </w:p>
        </w:tc>
      </w:tr>
      <w:tr>
        <w:trPr>
          <w:cantSplit/>
        </w:trPr>
        <w:tc>
          <w:tcPr>
            <w:tcW w:w="3118" w:type="dxa"/>
          </w:tcPr>
          <w:p>
            <w:pPr>
              <w:pStyle w:val="nTable"/>
              <w:spacing w:after="40"/>
              <w:ind w:right="113"/>
            </w:pPr>
            <w:r>
              <w:rPr>
                <w:i/>
              </w:rPr>
              <w:t>Prisons Amendment Regulations (No. 2) 1988</w:t>
            </w:r>
          </w:p>
        </w:tc>
        <w:tc>
          <w:tcPr>
            <w:tcW w:w="1276" w:type="dxa"/>
          </w:tcPr>
          <w:p>
            <w:pPr>
              <w:pStyle w:val="nTable"/>
              <w:spacing w:after="40"/>
            </w:pPr>
            <w:r>
              <w:t>25 Mar 1988 p. 898</w:t>
            </w:r>
          </w:p>
        </w:tc>
        <w:tc>
          <w:tcPr>
            <w:tcW w:w="2693" w:type="dxa"/>
          </w:tcPr>
          <w:p>
            <w:pPr>
              <w:pStyle w:val="nTable"/>
              <w:spacing w:after="40"/>
            </w:pPr>
            <w:r>
              <w:t>25 Mar 1988</w:t>
            </w:r>
          </w:p>
        </w:tc>
      </w:tr>
      <w:tr>
        <w:trPr>
          <w:cantSplit/>
        </w:trPr>
        <w:tc>
          <w:tcPr>
            <w:tcW w:w="3118" w:type="dxa"/>
          </w:tcPr>
          <w:p>
            <w:pPr>
              <w:pStyle w:val="nTable"/>
              <w:spacing w:after="40"/>
              <w:ind w:right="113"/>
            </w:pPr>
            <w:r>
              <w:rPr>
                <w:i/>
              </w:rPr>
              <w:t>Prisons Amendment Regulations (No. 3) 1988</w:t>
            </w:r>
          </w:p>
        </w:tc>
        <w:tc>
          <w:tcPr>
            <w:tcW w:w="1276" w:type="dxa"/>
          </w:tcPr>
          <w:p>
            <w:pPr>
              <w:pStyle w:val="nTable"/>
              <w:spacing w:after="40"/>
            </w:pPr>
            <w:r>
              <w:t>20 May 1988 p. 1668</w:t>
            </w:r>
          </w:p>
        </w:tc>
        <w:tc>
          <w:tcPr>
            <w:tcW w:w="2693" w:type="dxa"/>
          </w:tcPr>
          <w:p>
            <w:pPr>
              <w:pStyle w:val="nTable"/>
              <w:spacing w:after="40"/>
            </w:pPr>
            <w:r>
              <w:t>20 May 1988</w:t>
            </w:r>
          </w:p>
        </w:tc>
      </w:tr>
      <w:tr>
        <w:trPr>
          <w:cantSplit/>
        </w:trPr>
        <w:tc>
          <w:tcPr>
            <w:tcW w:w="3118" w:type="dxa"/>
          </w:tcPr>
          <w:p>
            <w:pPr>
              <w:pStyle w:val="nTable"/>
              <w:spacing w:after="40"/>
              <w:ind w:right="113"/>
            </w:pPr>
            <w:r>
              <w:rPr>
                <w:i/>
              </w:rPr>
              <w:t>Prisons Amendment Regulations (No. 4) 1988</w:t>
            </w:r>
          </w:p>
        </w:tc>
        <w:tc>
          <w:tcPr>
            <w:tcW w:w="1276" w:type="dxa"/>
          </w:tcPr>
          <w:p>
            <w:pPr>
              <w:pStyle w:val="nTable"/>
              <w:spacing w:after="40"/>
            </w:pPr>
            <w:r>
              <w:t>12 Aug 1988 p. 2699</w:t>
            </w:r>
          </w:p>
        </w:tc>
        <w:tc>
          <w:tcPr>
            <w:tcW w:w="2693" w:type="dxa"/>
          </w:tcPr>
          <w:p>
            <w:pPr>
              <w:pStyle w:val="nTable"/>
              <w:spacing w:after="40"/>
            </w:pPr>
            <w:r>
              <w:t>12 Aug 1988</w:t>
            </w:r>
          </w:p>
        </w:tc>
      </w:tr>
      <w:tr>
        <w:trPr>
          <w:cantSplit/>
        </w:trPr>
        <w:tc>
          <w:tcPr>
            <w:tcW w:w="3118" w:type="dxa"/>
          </w:tcPr>
          <w:p>
            <w:pPr>
              <w:pStyle w:val="nTable"/>
              <w:spacing w:after="40"/>
              <w:ind w:right="113"/>
            </w:pPr>
            <w:r>
              <w:rPr>
                <w:i/>
              </w:rPr>
              <w:t>Prisons Amendment Regulations 1990</w:t>
            </w:r>
          </w:p>
        </w:tc>
        <w:tc>
          <w:tcPr>
            <w:tcW w:w="1276" w:type="dxa"/>
          </w:tcPr>
          <w:p>
            <w:pPr>
              <w:pStyle w:val="nTable"/>
              <w:spacing w:after="40"/>
            </w:pPr>
            <w:r>
              <w:t>11 May 1990 p. 2266</w:t>
            </w:r>
            <w:r>
              <w:noBreakHyphen/>
              <w:t>7</w:t>
            </w:r>
          </w:p>
        </w:tc>
        <w:tc>
          <w:tcPr>
            <w:tcW w:w="2693" w:type="dxa"/>
          </w:tcPr>
          <w:p>
            <w:pPr>
              <w:pStyle w:val="nTable"/>
              <w:spacing w:after="40"/>
            </w:pPr>
            <w:r>
              <w:t>18 May 1990 (see r. 2)</w:t>
            </w:r>
          </w:p>
        </w:tc>
      </w:tr>
      <w:tr>
        <w:trPr>
          <w:cantSplit/>
        </w:trPr>
        <w:tc>
          <w:tcPr>
            <w:tcW w:w="3118" w:type="dxa"/>
          </w:tcPr>
          <w:p>
            <w:pPr>
              <w:pStyle w:val="nTable"/>
              <w:spacing w:after="40"/>
              <w:ind w:right="113"/>
            </w:pPr>
            <w:r>
              <w:rPr>
                <w:i/>
              </w:rPr>
              <w:t>Prisons Amendment Regulations 1991</w:t>
            </w:r>
          </w:p>
        </w:tc>
        <w:tc>
          <w:tcPr>
            <w:tcW w:w="1276" w:type="dxa"/>
          </w:tcPr>
          <w:p>
            <w:pPr>
              <w:pStyle w:val="nTable"/>
              <w:spacing w:after="40"/>
            </w:pPr>
            <w:r>
              <w:t>9 Aug 1991 p. 4113</w:t>
            </w:r>
          </w:p>
        </w:tc>
        <w:tc>
          <w:tcPr>
            <w:tcW w:w="2693" w:type="dxa"/>
          </w:tcPr>
          <w:p>
            <w:pPr>
              <w:pStyle w:val="nTable"/>
              <w:spacing w:after="40"/>
            </w:pPr>
            <w:r>
              <w:t xml:space="preserve">9 Aug 1991 (see r. 2 and </w:t>
            </w:r>
            <w:r>
              <w:rPr>
                <w:i/>
                <w:iCs/>
              </w:rPr>
              <w:t>Gazette</w:t>
            </w:r>
            <w:r>
              <w:t xml:space="preserve"> 9 Aug 1991 p. 4101)</w:t>
            </w:r>
          </w:p>
        </w:tc>
      </w:tr>
      <w:tr>
        <w:trPr>
          <w:cantSplit/>
        </w:trPr>
        <w:tc>
          <w:tcPr>
            <w:tcW w:w="3118" w:type="dxa"/>
          </w:tcPr>
          <w:p>
            <w:pPr>
              <w:pStyle w:val="nTable"/>
              <w:spacing w:after="40"/>
              <w:ind w:right="113"/>
            </w:pPr>
            <w:r>
              <w:rPr>
                <w:i/>
              </w:rPr>
              <w:t>Prisons Amendment Regulations (No. 2) 1991</w:t>
            </w:r>
          </w:p>
        </w:tc>
        <w:tc>
          <w:tcPr>
            <w:tcW w:w="1276" w:type="dxa"/>
          </w:tcPr>
          <w:p>
            <w:pPr>
              <w:pStyle w:val="nTable"/>
              <w:spacing w:after="40"/>
            </w:pPr>
            <w:r>
              <w:t>8 Nov 1991 p. 5721</w:t>
            </w:r>
          </w:p>
        </w:tc>
        <w:tc>
          <w:tcPr>
            <w:tcW w:w="2693" w:type="dxa"/>
          </w:tcPr>
          <w:p>
            <w:pPr>
              <w:pStyle w:val="nTable"/>
              <w:spacing w:after="40"/>
            </w:pPr>
            <w:r>
              <w:t>8 Nov 1991</w:t>
            </w:r>
          </w:p>
        </w:tc>
      </w:tr>
      <w:tr>
        <w:trPr>
          <w:cantSplit/>
        </w:trPr>
        <w:tc>
          <w:tcPr>
            <w:tcW w:w="3118" w:type="dxa"/>
          </w:tcPr>
          <w:p>
            <w:pPr>
              <w:pStyle w:val="nTable"/>
              <w:spacing w:after="40"/>
              <w:ind w:right="113"/>
            </w:pPr>
            <w:r>
              <w:rPr>
                <w:i/>
              </w:rPr>
              <w:t>Prisons Amendment Regulations 1992</w:t>
            </w:r>
          </w:p>
        </w:tc>
        <w:tc>
          <w:tcPr>
            <w:tcW w:w="1276" w:type="dxa"/>
          </w:tcPr>
          <w:p>
            <w:pPr>
              <w:pStyle w:val="nTable"/>
              <w:spacing w:after="40"/>
            </w:pPr>
            <w:r>
              <w:t>27 Mar 1992 p. 1341</w:t>
            </w:r>
            <w:r>
              <w:noBreakHyphen/>
              <w:t>3</w:t>
            </w:r>
          </w:p>
        </w:tc>
        <w:tc>
          <w:tcPr>
            <w:tcW w:w="2693" w:type="dxa"/>
          </w:tcPr>
          <w:p>
            <w:pPr>
              <w:pStyle w:val="nTable"/>
              <w:spacing w:after="40"/>
            </w:pPr>
            <w:r>
              <w:t xml:space="preserve">1 Apr 1992 (see r. 2 and </w:t>
            </w:r>
            <w:r>
              <w:rPr>
                <w:i/>
              </w:rPr>
              <w:t>Gazette</w:t>
            </w:r>
            <w:r>
              <w:t xml:space="preserve"> 27 Mar 1992 p. 1341)</w:t>
            </w:r>
          </w:p>
        </w:tc>
      </w:tr>
      <w:tr>
        <w:trPr>
          <w:cantSplit/>
        </w:trPr>
        <w:tc>
          <w:tcPr>
            <w:tcW w:w="3118" w:type="dxa"/>
          </w:tcPr>
          <w:p>
            <w:pPr>
              <w:pStyle w:val="nTable"/>
              <w:spacing w:after="40"/>
              <w:ind w:right="113"/>
            </w:pPr>
            <w:r>
              <w:rPr>
                <w:i/>
              </w:rPr>
              <w:t>Prisons Amendment Regulations 1994</w:t>
            </w:r>
          </w:p>
        </w:tc>
        <w:tc>
          <w:tcPr>
            <w:tcW w:w="1276" w:type="dxa"/>
          </w:tcPr>
          <w:p>
            <w:pPr>
              <w:pStyle w:val="nTable"/>
              <w:spacing w:after="40"/>
            </w:pPr>
            <w:r>
              <w:t>28 Jun 1994 p. 3021</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Prisons Amendment Regulations 1996</w:t>
            </w:r>
          </w:p>
        </w:tc>
        <w:tc>
          <w:tcPr>
            <w:tcW w:w="1276" w:type="dxa"/>
          </w:tcPr>
          <w:p>
            <w:pPr>
              <w:pStyle w:val="nTable"/>
              <w:spacing w:after="40"/>
            </w:pPr>
            <w:r>
              <w:t>19 Mar 1996 p. 1240</w:t>
            </w:r>
            <w:r>
              <w:noBreakHyphen/>
              <w:t>2</w:t>
            </w:r>
          </w:p>
        </w:tc>
        <w:tc>
          <w:tcPr>
            <w:tcW w:w="2693" w:type="dxa"/>
          </w:tcPr>
          <w:p>
            <w:pPr>
              <w:pStyle w:val="nTable"/>
              <w:spacing w:after="40"/>
            </w:pPr>
            <w:r>
              <w:t>19 Mar 1996</w:t>
            </w:r>
          </w:p>
        </w:tc>
      </w:tr>
      <w:tr>
        <w:trPr>
          <w:cantSplit/>
        </w:trPr>
        <w:tc>
          <w:tcPr>
            <w:tcW w:w="3118" w:type="dxa"/>
          </w:tcPr>
          <w:p>
            <w:pPr>
              <w:pStyle w:val="nTable"/>
              <w:spacing w:after="40"/>
              <w:ind w:right="113"/>
            </w:pPr>
            <w:r>
              <w:rPr>
                <w:i/>
              </w:rPr>
              <w:t>Prisons Amendment Regulations (No. 2) 1996</w:t>
            </w:r>
          </w:p>
        </w:tc>
        <w:tc>
          <w:tcPr>
            <w:tcW w:w="1276" w:type="dxa"/>
          </w:tcPr>
          <w:p>
            <w:pPr>
              <w:pStyle w:val="nTable"/>
              <w:spacing w:after="40"/>
            </w:pPr>
            <w:r>
              <w:t>13 Sep 1996 p. 4569</w:t>
            </w:r>
            <w:r>
              <w:noBreakHyphen/>
              <w:t>70</w:t>
            </w:r>
          </w:p>
        </w:tc>
        <w:tc>
          <w:tcPr>
            <w:tcW w:w="2693" w:type="dxa"/>
          </w:tcPr>
          <w:p>
            <w:pPr>
              <w:pStyle w:val="nTable"/>
              <w:spacing w:after="40"/>
            </w:pPr>
            <w:r>
              <w:t>13 Sep 1996</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trPr>
          <w:cantSplit/>
        </w:trPr>
        <w:tc>
          <w:tcPr>
            <w:tcW w:w="3118" w:type="dxa"/>
          </w:tcPr>
          <w:p>
            <w:pPr>
              <w:pStyle w:val="nTable"/>
              <w:keepNext/>
              <w:keepLines/>
              <w:spacing w:after="40"/>
              <w:ind w:right="113"/>
              <w:rPr>
                <w:iCs/>
                <w:vertAlign w:val="superscript"/>
              </w:rPr>
            </w:pPr>
            <w:r>
              <w:rPr>
                <w:i/>
              </w:rPr>
              <w:t>Prisons Amendment Regulations 1997</w:t>
            </w:r>
          </w:p>
        </w:tc>
        <w:tc>
          <w:tcPr>
            <w:tcW w:w="1276" w:type="dxa"/>
          </w:tcPr>
          <w:p>
            <w:pPr>
              <w:pStyle w:val="nTable"/>
              <w:keepNext/>
              <w:keepLines/>
              <w:spacing w:after="40"/>
            </w:pPr>
            <w:r>
              <w:t>7 Oct 1997 p. 5609</w:t>
            </w:r>
            <w:r>
              <w:noBreakHyphen/>
              <w:t>11</w:t>
            </w:r>
          </w:p>
        </w:tc>
        <w:tc>
          <w:tcPr>
            <w:tcW w:w="2693" w:type="dxa"/>
          </w:tcPr>
          <w:p>
            <w:pPr>
              <w:pStyle w:val="nTable"/>
              <w:keepNext/>
              <w:keepLines/>
              <w:spacing w:after="40"/>
            </w:pPr>
            <w:r>
              <w:t xml:space="preserve">8 Oct 1997 (see r. 2 and </w:t>
            </w:r>
            <w:r>
              <w:rPr>
                <w:i/>
              </w:rPr>
              <w:t>Gazette</w:t>
            </w:r>
            <w:r>
              <w:t xml:space="preserve"> 7 Oct 1997 p. 5607)</w:t>
            </w:r>
          </w:p>
        </w:tc>
      </w:tr>
      <w:tr>
        <w:trPr>
          <w:cantSplit/>
        </w:trPr>
        <w:tc>
          <w:tcPr>
            <w:tcW w:w="3118" w:type="dxa"/>
          </w:tcPr>
          <w:p>
            <w:pPr>
              <w:pStyle w:val="nTable"/>
              <w:keepNext/>
              <w:keepLines/>
              <w:spacing w:after="40"/>
              <w:ind w:right="113"/>
            </w:pPr>
            <w:r>
              <w:rPr>
                <w:i/>
              </w:rPr>
              <w:t>Prisons Amendment Regulations 1999</w:t>
            </w:r>
            <w:r>
              <w:rPr>
                <w:iCs/>
              </w:rPr>
              <w:t> </w:t>
            </w:r>
            <w:r>
              <w:rPr>
                <w:iCs/>
                <w:vertAlign w:val="superscript"/>
              </w:rPr>
              <w:t>3</w:t>
            </w:r>
          </w:p>
        </w:tc>
        <w:tc>
          <w:tcPr>
            <w:tcW w:w="1276" w:type="dxa"/>
          </w:tcPr>
          <w:p>
            <w:pPr>
              <w:pStyle w:val="nTable"/>
              <w:keepNext/>
              <w:keepLines/>
              <w:spacing w:after="40"/>
            </w:pPr>
            <w:r>
              <w:t>2 Nov 1999 p. 5472</w:t>
            </w:r>
            <w:r>
              <w:noBreakHyphen/>
              <w:t>5</w:t>
            </w:r>
          </w:p>
        </w:tc>
        <w:tc>
          <w:tcPr>
            <w:tcW w:w="2693" w:type="dxa"/>
          </w:tcPr>
          <w:p>
            <w:pPr>
              <w:pStyle w:val="nTable"/>
              <w:keepNext/>
              <w:keepLines/>
              <w:spacing w:after="40"/>
            </w:pPr>
            <w:r>
              <w:t>2 Nov 1999</w:t>
            </w:r>
          </w:p>
        </w:tc>
      </w:tr>
      <w:tr>
        <w:trPr>
          <w:cantSplit/>
        </w:trPr>
        <w:tc>
          <w:tcPr>
            <w:tcW w:w="3118" w:type="dxa"/>
          </w:tcPr>
          <w:p>
            <w:pPr>
              <w:pStyle w:val="nTable"/>
              <w:keepNext/>
              <w:keepLines/>
              <w:spacing w:after="40"/>
              <w:ind w:right="113"/>
              <w:rPr>
                <w:i/>
              </w:rPr>
            </w:pPr>
            <w:r>
              <w:rPr>
                <w:i/>
              </w:rPr>
              <w:t>Prisons Amendment Regulations (No. 3) 1999</w:t>
            </w:r>
          </w:p>
        </w:tc>
        <w:tc>
          <w:tcPr>
            <w:tcW w:w="1276" w:type="dxa"/>
          </w:tcPr>
          <w:p>
            <w:pPr>
              <w:pStyle w:val="nTable"/>
              <w:keepNext/>
              <w:keepLines/>
              <w:spacing w:after="40"/>
            </w:pPr>
            <w:r>
              <w:t>17 Dec 1999 p. 6225</w:t>
            </w:r>
            <w:r>
              <w:noBreakHyphen/>
              <w:t>6</w:t>
            </w:r>
          </w:p>
        </w:tc>
        <w:tc>
          <w:tcPr>
            <w:tcW w:w="2693" w:type="dxa"/>
          </w:tcPr>
          <w:p>
            <w:pPr>
              <w:pStyle w:val="nTable"/>
              <w:keepNext/>
              <w:keepLines/>
              <w:spacing w:after="40"/>
            </w:pPr>
            <w:r>
              <w:t>18 Dec 1999 (see r. 2 and </w:t>
            </w:r>
            <w:r>
              <w:rPr>
                <w:i/>
              </w:rPr>
              <w:t>Gazette</w:t>
            </w:r>
            <w:r>
              <w:t xml:space="preserve"> 17 Dec 1999 p. 6175)</w:t>
            </w:r>
          </w:p>
        </w:tc>
      </w:tr>
      <w:tr>
        <w:trPr>
          <w:cantSplit/>
        </w:trPr>
        <w:tc>
          <w:tcPr>
            <w:tcW w:w="3118" w:type="dxa"/>
          </w:tcPr>
          <w:p>
            <w:pPr>
              <w:pStyle w:val="nTable"/>
              <w:keepNext/>
              <w:keepLines/>
              <w:spacing w:after="40"/>
              <w:ind w:right="113"/>
              <w:rPr>
                <w:i/>
              </w:rPr>
            </w:pPr>
            <w:r>
              <w:rPr>
                <w:i/>
              </w:rPr>
              <w:t>Prisons Amendment Regulations (No. 2) 1999</w:t>
            </w:r>
          </w:p>
        </w:tc>
        <w:tc>
          <w:tcPr>
            <w:tcW w:w="1276" w:type="dxa"/>
          </w:tcPr>
          <w:p>
            <w:pPr>
              <w:pStyle w:val="nTable"/>
              <w:keepNext/>
              <w:keepLines/>
              <w:spacing w:after="40"/>
            </w:pPr>
            <w:r>
              <w:t>7 Apr 2000</w:t>
            </w:r>
            <w:r>
              <w:br/>
              <w:t>p. 1819</w:t>
            </w:r>
            <w:r>
              <w:noBreakHyphen/>
              <w:t>23</w:t>
            </w:r>
          </w:p>
        </w:tc>
        <w:tc>
          <w:tcPr>
            <w:tcW w:w="2693" w:type="dxa"/>
          </w:tcPr>
          <w:p>
            <w:pPr>
              <w:pStyle w:val="nTable"/>
              <w:keepNext/>
              <w:keepLines/>
              <w:spacing w:after="40"/>
            </w:pPr>
            <w:r>
              <w:t xml:space="preserve">7 Apr 2000 </w:t>
            </w:r>
          </w:p>
        </w:tc>
      </w:tr>
      <w:tr>
        <w:trPr>
          <w:cantSplit/>
        </w:trPr>
        <w:tc>
          <w:tcPr>
            <w:tcW w:w="3118" w:type="dxa"/>
          </w:tcPr>
          <w:p>
            <w:pPr>
              <w:pStyle w:val="nTable"/>
              <w:keepNext/>
              <w:keepLines/>
              <w:spacing w:after="40"/>
              <w:ind w:right="113"/>
              <w:rPr>
                <w:i/>
              </w:rPr>
            </w:pPr>
            <w:r>
              <w:rPr>
                <w:i/>
              </w:rPr>
              <w:t>Prisons Amendment Regulations 2000</w:t>
            </w:r>
          </w:p>
        </w:tc>
        <w:tc>
          <w:tcPr>
            <w:tcW w:w="1276" w:type="dxa"/>
          </w:tcPr>
          <w:p>
            <w:pPr>
              <w:pStyle w:val="nTable"/>
              <w:keepNext/>
              <w:keepLines/>
              <w:spacing w:after="40"/>
            </w:pPr>
            <w:r>
              <w:t>7 Jul 2000</w:t>
            </w:r>
            <w:r>
              <w:br/>
              <w:t>p. 3684</w:t>
            </w:r>
            <w:r>
              <w:noBreakHyphen/>
              <w:t>5</w:t>
            </w:r>
          </w:p>
        </w:tc>
        <w:tc>
          <w:tcPr>
            <w:tcW w:w="2693" w:type="dxa"/>
          </w:tcPr>
          <w:p>
            <w:pPr>
              <w:pStyle w:val="nTable"/>
              <w:keepNext/>
              <w:keepLines/>
              <w:spacing w:after="40"/>
            </w:pPr>
            <w:r>
              <w:t>7 Jul 2000 (see r. 2)</w:t>
            </w:r>
          </w:p>
        </w:tc>
      </w:tr>
      <w:tr>
        <w:trPr>
          <w:cantSplit/>
        </w:trPr>
        <w:tc>
          <w:tcPr>
            <w:tcW w:w="7087" w:type="dxa"/>
            <w:gridSpan w:val="3"/>
          </w:tcPr>
          <w:p>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trPr>
          <w:cantSplit/>
        </w:trPr>
        <w:tc>
          <w:tcPr>
            <w:tcW w:w="3118" w:type="dxa"/>
          </w:tcPr>
          <w:p>
            <w:pPr>
              <w:pStyle w:val="nTable"/>
              <w:keepNext/>
              <w:keepLines/>
              <w:spacing w:after="40"/>
              <w:ind w:right="113"/>
              <w:rPr>
                <w:i/>
              </w:rPr>
            </w:pPr>
            <w:r>
              <w:rPr>
                <w:i/>
              </w:rPr>
              <w:t>Prisons Amendment Regulations (No. 2) 2001</w:t>
            </w:r>
          </w:p>
        </w:tc>
        <w:tc>
          <w:tcPr>
            <w:tcW w:w="1276" w:type="dxa"/>
          </w:tcPr>
          <w:p>
            <w:pPr>
              <w:pStyle w:val="nTable"/>
              <w:keepNext/>
              <w:keepLines/>
              <w:spacing w:after="40"/>
            </w:pPr>
            <w:r>
              <w:t>12 Apr 2001 p. 2098</w:t>
            </w:r>
            <w:r>
              <w:noBreakHyphen/>
              <w:t>102</w:t>
            </w:r>
          </w:p>
        </w:tc>
        <w:tc>
          <w:tcPr>
            <w:tcW w:w="2693" w:type="dxa"/>
          </w:tcPr>
          <w:p>
            <w:pPr>
              <w:pStyle w:val="nTable"/>
              <w:keepNext/>
              <w:keepLines/>
              <w:spacing w:after="40"/>
            </w:pPr>
            <w:r>
              <w:t>12 Apr 2001</w:t>
            </w:r>
          </w:p>
        </w:tc>
      </w:tr>
      <w:tr>
        <w:trPr>
          <w:cantSplit/>
        </w:trPr>
        <w:tc>
          <w:tcPr>
            <w:tcW w:w="3118" w:type="dxa"/>
          </w:tcPr>
          <w:p>
            <w:pPr>
              <w:pStyle w:val="nTable"/>
              <w:keepNext/>
              <w:keepLines/>
              <w:spacing w:after="40"/>
              <w:ind w:right="113"/>
              <w:rPr>
                <w:i/>
              </w:rPr>
            </w:pPr>
            <w:r>
              <w:rPr>
                <w:i/>
              </w:rPr>
              <w:t>Prisons Amendment Regulations 2001</w:t>
            </w:r>
          </w:p>
        </w:tc>
        <w:tc>
          <w:tcPr>
            <w:tcW w:w="1276" w:type="dxa"/>
          </w:tcPr>
          <w:p>
            <w:pPr>
              <w:pStyle w:val="nTable"/>
              <w:keepNext/>
              <w:keepLines/>
              <w:spacing w:after="40"/>
            </w:pPr>
            <w:r>
              <w:t>18 May 2001  p. 2403</w:t>
            </w:r>
          </w:p>
        </w:tc>
        <w:tc>
          <w:tcPr>
            <w:tcW w:w="2693" w:type="dxa"/>
          </w:tcPr>
          <w:p>
            <w:pPr>
              <w:pStyle w:val="nTable"/>
              <w:keepNext/>
              <w:keepLines/>
              <w:spacing w:after="40"/>
            </w:pPr>
            <w:r>
              <w:t>18 May 2001</w:t>
            </w:r>
          </w:p>
        </w:tc>
      </w:tr>
      <w:tr>
        <w:trPr>
          <w:cantSplit/>
        </w:trPr>
        <w:tc>
          <w:tcPr>
            <w:tcW w:w="3118" w:type="dxa"/>
          </w:tcPr>
          <w:p>
            <w:pPr>
              <w:pStyle w:val="nTable"/>
              <w:keepNext/>
              <w:keepLines/>
              <w:spacing w:after="40"/>
              <w:ind w:right="113"/>
              <w:rPr>
                <w:i/>
              </w:rPr>
            </w:pPr>
            <w:r>
              <w:rPr>
                <w:i/>
              </w:rPr>
              <w:t>Prisons Amendment Regulations 2002</w:t>
            </w:r>
          </w:p>
        </w:tc>
        <w:tc>
          <w:tcPr>
            <w:tcW w:w="1276" w:type="dxa"/>
          </w:tcPr>
          <w:p>
            <w:pPr>
              <w:pStyle w:val="nTable"/>
              <w:keepNext/>
              <w:keepLines/>
              <w:spacing w:after="40"/>
            </w:pPr>
            <w:r>
              <w:t>11 Feb 2003 p. 413</w:t>
            </w:r>
            <w:r>
              <w:noBreakHyphen/>
              <w:t>16</w:t>
            </w:r>
          </w:p>
        </w:tc>
        <w:tc>
          <w:tcPr>
            <w:tcW w:w="2693" w:type="dxa"/>
          </w:tcPr>
          <w:p>
            <w:pPr>
              <w:pStyle w:val="nTable"/>
              <w:keepNext/>
              <w:keepLines/>
              <w:spacing w:after="40"/>
            </w:pPr>
            <w:r>
              <w:t>11 Feb 2003</w:t>
            </w:r>
          </w:p>
        </w:tc>
      </w:tr>
      <w:tr>
        <w:trPr>
          <w:cantSplit/>
        </w:trPr>
        <w:tc>
          <w:tcPr>
            <w:tcW w:w="3118" w:type="dxa"/>
          </w:tcPr>
          <w:p>
            <w:pPr>
              <w:pStyle w:val="nTable"/>
              <w:spacing w:after="40"/>
              <w:ind w:right="113"/>
              <w:rPr>
                <w:i/>
              </w:rPr>
            </w:pPr>
            <w:r>
              <w:rPr>
                <w:i/>
              </w:rPr>
              <w:t>Equality of Status Subsidiary Legislation Amendment Regulations 2003</w:t>
            </w:r>
            <w:r>
              <w:t xml:space="preserve"> Pt. 32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4394" w:type="dxa"/>
            <w:gridSpan w:val="2"/>
          </w:tcPr>
          <w:p>
            <w:pPr>
              <w:pStyle w:val="nTable"/>
              <w:spacing w:after="40"/>
            </w:pPr>
            <w:r>
              <w:rPr>
                <w:i/>
              </w:rPr>
              <w:t>Inspector of Custodial Services Act 2003</w:t>
            </w:r>
            <w:r>
              <w:t xml:space="preserve"> s. 56</w:t>
            </w:r>
            <w:r>
              <w:br/>
              <w:t>assented to 15 Dec 2003 </w:t>
            </w:r>
            <w:r>
              <w:rPr>
                <w:vertAlign w:val="superscript"/>
              </w:rPr>
              <w:t>4</w:t>
            </w:r>
          </w:p>
        </w:tc>
        <w:tc>
          <w:tcPr>
            <w:tcW w:w="2693" w:type="dxa"/>
          </w:tcPr>
          <w:p>
            <w:pPr>
              <w:pStyle w:val="nTable"/>
              <w:spacing w:after="40"/>
            </w:pPr>
            <w:r>
              <w:t>15 Dec 2003 (see s. 2)</w:t>
            </w:r>
          </w:p>
        </w:tc>
      </w:tr>
      <w:tr>
        <w:trPr>
          <w:cantSplit/>
        </w:trPr>
        <w:tc>
          <w:tcPr>
            <w:tcW w:w="3118" w:type="dxa"/>
          </w:tcPr>
          <w:p>
            <w:pPr>
              <w:pStyle w:val="nTable"/>
              <w:spacing w:after="40"/>
              <w:ind w:right="113"/>
              <w:rPr>
                <w:i/>
              </w:rPr>
            </w:pPr>
            <w:r>
              <w:rPr>
                <w:i/>
              </w:rPr>
              <w:t>Prisons Amendment Regulations 2003</w:t>
            </w:r>
          </w:p>
        </w:tc>
        <w:tc>
          <w:tcPr>
            <w:tcW w:w="1276" w:type="dxa"/>
          </w:tcPr>
          <w:p>
            <w:pPr>
              <w:pStyle w:val="nTable"/>
              <w:spacing w:after="40"/>
              <w:ind w:right="113"/>
            </w:pPr>
            <w:r>
              <w:t>11 Jun 2004 p. 1999</w:t>
            </w:r>
            <w:r>
              <w:noBreakHyphen/>
              <w:t>2002</w:t>
            </w:r>
          </w:p>
        </w:tc>
        <w:tc>
          <w:tcPr>
            <w:tcW w:w="2693" w:type="dxa"/>
          </w:tcPr>
          <w:p>
            <w:pPr>
              <w:pStyle w:val="nTable"/>
              <w:spacing w:after="40"/>
            </w:pPr>
            <w:r>
              <w:t xml:space="preserve">12 Jun 2004 (see r. 2 and </w:t>
            </w:r>
            <w:r>
              <w:rPr>
                <w:i/>
              </w:rPr>
              <w:t>Gazette</w:t>
            </w:r>
            <w:r>
              <w:t xml:space="preserve"> 11 Jun 2004 p. 1999)</w:t>
            </w:r>
          </w:p>
        </w:tc>
      </w:tr>
      <w:tr>
        <w:trPr>
          <w:cantSplit/>
        </w:trPr>
        <w:tc>
          <w:tcPr>
            <w:tcW w:w="3118" w:type="dxa"/>
          </w:tcPr>
          <w:p>
            <w:pPr>
              <w:pStyle w:val="nTable"/>
              <w:spacing w:after="40"/>
              <w:ind w:right="113"/>
              <w:rPr>
                <w:i/>
              </w:rPr>
            </w:pPr>
            <w:r>
              <w:rPr>
                <w:i/>
              </w:rPr>
              <w:t>Prisons Amendment Regulations 2004</w:t>
            </w:r>
          </w:p>
        </w:tc>
        <w:tc>
          <w:tcPr>
            <w:tcW w:w="1276" w:type="dxa"/>
          </w:tcPr>
          <w:p>
            <w:pPr>
              <w:pStyle w:val="nTable"/>
              <w:spacing w:after="40"/>
              <w:ind w:right="113"/>
            </w:pPr>
            <w:r>
              <w:t>14 Sep 2004 p. 4057</w:t>
            </w:r>
          </w:p>
        </w:tc>
        <w:tc>
          <w:tcPr>
            <w:tcW w:w="2693" w:type="dxa"/>
          </w:tcPr>
          <w:p>
            <w:pPr>
              <w:pStyle w:val="nTable"/>
              <w:spacing w:after="40"/>
            </w:pPr>
            <w:r>
              <w:t>14 Sep 2004</w:t>
            </w:r>
          </w:p>
        </w:tc>
      </w:tr>
      <w:tr>
        <w:trPr>
          <w:cantSplit/>
        </w:trPr>
        <w:tc>
          <w:tcPr>
            <w:tcW w:w="7087" w:type="dxa"/>
            <w:gridSpan w:val="3"/>
          </w:tcPr>
          <w:p>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trPr>
          <w:cantSplit/>
        </w:trPr>
        <w:tc>
          <w:tcPr>
            <w:tcW w:w="3118" w:type="dxa"/>
          </w:tcPr>
          <w:p>
            <w:pPr>
              <w:pStyle w:val="nTable"/>
              <w:spacing w:after="40"/>
              <w:ind w:right="113"/>
              <w:rPr>
                <w:i/>
              </w:rPr>
            </w:pPr>
            <w:r>
              <w:rPr>
                <w:i/>
              </w:rPr>
              <w:t>Prisons Amendment Regulations 2007</w:t>
            </w:r>
          </w:p>
        </w:tc>
        <w:tc>
          <w:tcPr>
            <w:tcW w:w="1276" w:type="dxa"/>
          </w:tcPr>
          <w:p>
            <w:pPr>
              <w:pStyle w:val="nTable"/>
              <w:spacing w:after="40"/>
              <w:ind w:right="113"/>
            </w:pPr>
            <w:r>
              <w:t>3 Apr 2007 p. 1493</w:t>
            </w:r>
            <w:r>
              <w:noBreakHyphen/>
              <w:t>506</w:t>
            </w:r>
          </w:p>
        </w:tc>
        <w:tc>
          <w:tcPr>
            <w:tcW w:w="2693" w:type="dxa"/>
          </w:tcPr>
          <w:p>
            <w:pPr>
              <w:pStyle w:val="nTable"/>
              <w:spacing w:after="40"/>
              <w:rPr>
                <w:i/>
                <w:iCs/>
              </w:rPr>
            </w:pPr>
            <w:r>
              <w:t xml:space="preserve">4 Apr 2007 (see r. 2 and </w:t>
            </w:r>
            <w:r>
              <w:rPr>
                <w:i/>
                <w:iCs/>
              </w:rPr>
              <w:t>Gazette</w:t>
            </w:r>
            <w:r>
              <w:t xml:space="preserve"> 3 Apr 2007 p. 1491)</w:t>
            </w:r>
          </w:p>
        </w:tc>
      </w:tr>
      <w:tr>
        <w:trPr>
          <w:cantSplit/>
        </w:trPr>
        <w:tc>
          <w:tcPr>
            <w:tcW w:w="3118" w:type="dxa"/>
          </w:tcPr>
          <w:p>
            <w:pPr>
              <w:pStyle w:val="nTable"/>
              <w:spacing w:after="40"/>
              <w:ind w:right="113"/>
              <w:rPr>
                <w:i/>
              </w:rPr>
            </w:pPr>
            <w:r>
              <w:rPr>
                <w:i/>
              </w:rPr>
              <w:t>Prisons Amendment Regulations 2008</w:t>
            </w:r>
          </w:p>
        </w:tc>
        <w:tc>
          <w:tcPr>
            <w:tcW w:w="1276" w:type="dxa"/>
          </w:tcPr>
          <w:p>
            <w:pPr>
              <w:pStyle w:val="nTable"/>
              <w:spacing w:after="40"/>
              <w:ind w:right="113"/>
            </w:pPr>
            <w:r>
              <w:t>28 Mar 2008 p. 907</w:t>
            </w:r>
            <w:r>
              <w:noBreakHyphen/>
              <w:t>8</w:t>
            </w:r>
          </w:p>
        </w:tc>
        <w:tc>
          <w:tcPr>
            <w:tcW w:w="2693" w:type="dxa"/>
          </w:tcPr>
          <w:p>
            <w:pPr>
              <w:pStyle w:val="nTable"/>
              <w:spacing w:after="40"/>
            </w:pPr>
            <w:r>
              <w:t>r. 1 and 2: 28 Mar 2008 (see r. 2(a));</w:t>
            </w:r>
            <w:r>
              <w:br/>
              <w:t>Regulations other than r. 1 and 2: 29 Mar 2008 (see r. 2(b))</w:t>
            </w:r>
          </w:p>
        </w:tc>
      </w:tr>
      <w:tr>
        <w:trPr>
          <w:cantSplit/>
        </w:trPr>
        <w:tc>
          <w:tcPr>
            <w:tcW w:w="3118" w:type="dxa"/>
          </w:tcPr>
          <w:p>
            <w:pPr>
              <w:pStyle w:val="nTable"/>
              <w:spacing w:after="40"/>
              <w:ind w:right="113"/>
              <w:rPr>
                <w:i/>
              </w:rPr>
            </w:pPr>
            <w:r>
              <w:rPr>
                <w:i/>
              </w:rPr>
              <w:t>Prisons Amendment Regulations (No. 2) 2008</w:t>
            </w:r>
          </w:p>
        </w:tc>
        <w:tc>
          <w:tcPr>
            <w:tcW w:w="1276" w:type="dxa"/>
          </w:tcPr>
          <w:p>
            <w:pPr>
              <w:pStyle w:val="nTable"/>
              <w:spacing w:after="40"/>
              <w:ind w:right="113"/>
            </w:pPr>
            <w:r>
              <w:t>9 May 2008 p. 1844</w:t>
            </w:r>
            <w:r>
              <w:noBreakHyphen/>
              <w:t>5</w:t>
            </w:r>
          </w:p>
        </w:tc>
        <w:tc>
          <w:tcPr>
            <w:tcW w:w="2693" w:type="dxa"/>
          </w:tcPr>
          <w:p>
            <w:pPr>
              <w:pStyle w:val="nTable"/>
              <w:spacing w:after="40"/>
            </w:pPr>
            <w:r>
              <w:t>r. 1 and 2: 9 May 2008 (see r. 2(a));</w:t>
            </w:r>
            <w:r>
              <w:br/>
              <w:t>Regulations other than r. 1 and 2: 10 May 2008 (see r. 2(b))</w:t>
            </w:r>
          </w:p>
        </w:tc>
      </w:tr>
      <w:tr>
        <w:trPr>
          <w:cantSplit/>
        </w:trPr>
        <w:tc>
          <w:tcPr>
            <w:tcW w:w="7087" w:type="dxa"/>
            <w:gridSpan w:val="3"/>
          </w:tcPr>
          <w:p>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trPr>
          <w:cantSplit/>
        </w:trPr>
        <w:tc>
          <w:tcPr>
            <w:tcW w:w="3118" w:type="dxa"/>
          </w:tcPr>
          <w:p>
            <w:pPr>
              <w:pStyle w:val="nTable"/>
              <w:spacing w:after="40"/>
              <w:ind w:right="113"/>
              <w:rPr>
                <w:i/>
              </w:rPr>
            </w:pPr>
            <w:r>
              <w:rPr>
                <w:i/>
              </w:rPr>
              <w:t>Prisons Amendment Regulations (No. 3) 2008</w:t>
            </w:r>
          </w:p>
        </w:tc>
        <w:tc>
          <w:tcPr>
            <w:tcW w:w="1276" w:type="dxa"/>
          </w:tcPr>
          <w:p>
            <w:pPr>
              <w:pStyle w:val="nTable"/>
              <w:spacing w:after="40"/>
              <w:ind w:right="113"/>
            </w:pPr>
            <w:r>
              <w:t>28 Nov 2008 p. 5029-30</w:t>
            </w:r>
          </w:p>
        </w:tc>
        <w:tc>
          <w:tcPr>
            <w:tcW w:w="2693" w:type="dxa"/>
          </w:tcPr>
          <w:p>
            <w:pPr>
              <w:pStyle w:val="nTable"/>
              <w:spacing w:after="40"/>
            </w:pPr>
            <w:r>
              <w:t>r. 1 and 2: 28 Nov 2008 (see r. 2(a));</w:t>
            </w:r>
            <w:r>
              <w:br/>
              <w:t>Regulations other than r. 1 and 2: 29 Nov 2008 (see r. 2(b))</w:t>
            </w:r>
          </w:p>
        </w:tc>
      </w:tr>
      <w:tr>
        <w:trPr>
          <w:cantSplit/>
        </w:trPr>
        <w:tc>
          <w:tcPr>
            <w:tcW w:w="3118" w:type="dxa"/>
            <w:tcBorders>
              <w:bottom w:val="single" w:sz="4" w:space="0" w:color="auto"/>
            </w:tcBorders>
          </w:tcPr>
          <w:p>
            <w:pPr>
              <w:pStyle w:val="nTable"/>
              <w:spacing w:after="40"/>
              <w:ind w:right="113"/>
              <w:rPr>
                <w:i/>
              </w:rPr>
            </w:pPr>
            <w:r>
              <w:rPr>
                <w:i/>
              </w:rPr>
              <w:t>Prisons Amendment Regulations 2015</w:t>
            </w:r>
          </w:p>
        </w:tc>
        <w:tc>
          <w:tcPr>
            <w:tcW w:w="1276" w:type="dxa"/>
            <w:tcBorders>
              <w:bottom w:val="single" w:sz="4" w:space="0" w:color="auto"/>
            </w:tcBorders>
          </w:tcPr>
          <w:p>
            <w:pPr>
              <w:pStyle w:val="nTable"/>
              <w:spacing w:after="40"/>
              <w:ind w:right="113"/>
            </w:pPr>
            <w:r>
              <w:t>21 Aug 2015 p. 3317</w:t>
            </w:r>
            <w:r>
              <w:noBreakHyphen/>
              <w:t>24</w:t>
            </w:r>
          </w:p>
        </w:tc>
        <w:tc>
          <w:tcPr>
            <w:tcW w:w="2693" w:type="dxa"/>
            <w:tcBorders>
              <w:bottom w:val="single" w:sz="4" w:space="0" w:color="auto"/>
            </w:tcBorders>
          </w:tcPr>
          <w:p>
            <w:pPr>
              <w:pStyle w:val="nTable"/>
              <w:spacing w:after="40"/>
            </w:pPr>
            <w:r>
              <w:t>r. 1 and 2: 21 Aug 2015 (see r. 2(a));</w:t>
            </w:r>
            <w:r>
              <w:br/>
              <w:t xml:space="preserve">Regulations other than r. 1 and 2: 24 Aug 2015 (see r. 2(b) and </w:t>
            </w:r>
            <w:r>
              <w:rPr>
                <w:i/>
              </w:rPr>
              <w:t>Gazette</w:t>
            </w:r>
            <w:r>
              <w:t xml:space="preserve"> 21 Aug 2015 p. 3310)</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keepNext/>
      </w:pPr>
      <w:r>
        <w:rPr>
          <w:vertAlign w:val="superscript"/>
        </w:rPr>
        <w:t>3</w:t>
      </w:r>
      <w:r>
        <w:rPr>
          <w:vertAlign w:val="superscript"/>
        </w:rPr>
        <w:tab/>
      </w:r>
      <w:r>
        <w:t xml:space="preserve">Regulation 5 disallowed on 15 Dec 1999 (see </w:t>
      </w:r>
      <w:r>
        <w:rPr>
          <w:i/>
          <w:iCs/>
        </w:rPr>
        <w:t>Gazette</w:t>
      </w:r>
      <w:r>
        <w:t xml:space="preserve"> 21 Dec 1999 p. 6417).</w:t>
      </w:r>
    </w:p>
    <w:p>
      <w:pPr>
        <w:pStyle w:val="nSubsection"/>
        <w:keepNext/>
      </w:pPr>
      <w:r>
        <w:rPr>
          <w:vertAlign w:val="superscript"/>
        </w:rPr>
        <w:t>4</w:t>
      </w:r>
      <w:r>
        <w:tab/>
        <w:t>The </w:t>
      </w:r>
      <w:r>
        <w:rPr>
          <w:i/>
        </w:rPr>
        <w:t>Inspector of Custodial Services Act 2003</w:t>
      </w:r>
      <w:r>
        <w:t xml:space="preserve"> s. 56(2) reads as follows:</w:t>
      </w:r>
    </w:p>
    <w:p>
      <w:pPr>
        <w:pStyle w:val="MiscOpen"/>
      </w:pPr>
      <w:r>
        <w:t>“</w:t>
      </w:r>
    </w:p>
    <w:p>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pPr>
        <w:pStyle w:val="MiscClose"/>
      </w:pPr>
      <w:r>
        <w: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390" w:name="_Toc427933631"/>
      <w:r>
        <w:rPr>
          <w:sz w:val="28"/>
        </w:rPr>
        <w:t>Defined terms</w:t>
      </w:r>
      <w:bookmarkEnd w:id="3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alcohol offence</w:t>
      </w:r>
      <w:r>
        <w:tab/>
        <w:t>26</w:t>
      </w:r>
    </w:p>
    <w:p>
      <w:pPr>
        <w:pStyle w:val="DefinedTerms"/>
      </w:pPr>
      <w:r>
        <w:t>aggravated drug offence</w:t>
      </w:r>
      <w:r>
        <w:tab/>
        <w:t>26</w:t>
      </w:r>
    </w:p>
    <w:p>
      <w:pPr>
        <w:pStyle w:val="DefinedTerms"/>
      </w:pPr>
      <w:r>
        <w:t>allocated</w:t>
      </w:r>
      <w:r>
        <w:tab/>
        <w:t>81A</w:t>
      </w:r>
    </w:p>
    <w:p>
      <w:pPr>
        <w:pStyle w:val="DefinedTerms"/>
      </w:pPr>
      <w:r>
        <w:t>approved</w:t>
      </w:r>
      <w:r>
        <w:tab/>
        <w:t>2(1)</w:t>
      </w:r>
    </w:p>
    <w:p>
      <w:pPr>
        <w:pStyle w:val="DefinedTerms"/>
      </w:pPr>
      <w:r>
        <w:t>approved analysis agent</w:t>
      </w:r>
      <w:r>
        <w:tab/>
        <w:t>2(1)</w:t>
      </w:r>
    </w:p>
    <w:p>
      <w:pPr>
        <w:pStyle w:val="DefinedTerms"/>
      </w:pPr>
      <w:r>
        <w:t>canine section</w:t>
      </w:r>
      <w:r>
        <w:tab/>
        <w:t>81A</w:t>
      </w:r>
    </w:p>
    <w:p>
      <w:pPr>
        <w:pStyle w:val="DefinedTerms"/>
      </w:pPr>
      <w:r>
        <w:t>contact visit</w:t>
      </w:r>
      <w:r>
        <w:tab/>
        <w:t>2(1)</w:t>
      </w:r>
    </w:p>
    <w:p>
      <w:pPr>
        <w:pStyle w:val="DefinedTerms"/>
      </w:pPr>
      <w:r>
        <w:t>contract</w:t>
      </w:r>
      <w:r>
        <w:tab/>
        <w:t>86(1)</w:t>
      </w:r>
    </w:p>
    <w:p>
      <w:pPr>
        <w:pStyle w:val="DefinedTerms"/>
      </w:pPr>
      <w:r>
        <w:t>contract worker</w:t>
      </w:r>
      <w:r>
        <w:tab/>
        <w:t>2(1)</w:t>
      </w:r>
    </w:p>
    <w:p>
      <w:pPr>
        <w:pStyle w:val="DefinedTerms"/>
      </w:pPr>
      <w:r>
        <w:t>corresponding law</w:t>
      </w:r>
      <w:r>
        <w:tab/>
        <w:t>54M</w:t>
      </w:r>
    </w:p>
    <w:p>
      <w:pPr>
        <w:pStyle w:val="DefinedTerms"/>
      </w:pPr>
      <w:r>
        <w:t>dog handler</w:t>
      </w:r>
      <w:r>
        <w:tab/>
        <w:t>81A</w:t>
      </w:r>
    </w:p>
    <w:p>
      <w:pPr>
        <w:pStyle w:val="DefinedTerms"/>
      </w:pPr>
      <w:r>
        <w:t>external facility</w:t>
      </w:r>
      <w:r>
        <w:tab/>
        <w:t>54M</w:t>
      </w:r>
    </w:p>
    <w:p>
      <w:pPr>
        <w:pStyle w:val="DefinedTerms"/>
      </w:pPr>
      <w:r>
        <w:t>inspection list</w:t>
      </w:r>
      <w:r>
        <w:tab/>
        <w:t>30</w:t>
      </w:r>
    </w:p>
    <w:p>
      <w:pPr>
        <w:pStyle w:val="DefinedTerms"/>
      </w:pPr>
      <w:r>
        <w:t>interstate absence permit</w:t>
      </w:r>
      <w:r>
        <w:tab/>
        <w:t>54M</w:t>
      </w:r>
    </w:p>
    <w:p>
      <w:pPr>
        <w:pStyle w:val="DefinedTerms"/>
      </w:pPr>
      <w:r>
        <w:t>interstate escort</w:t>
      </w:r>
      <w:r>
        <w:tab/>
        <w:t>54M</w:t>
      </w:r>
    </w:p>
    <w:p>
      <w:pPr>
        <w:pStyle w:val="DefinedTerms"/>
      </w:pPr>
      <w:r>
        <w:t>interstate prisoner</w:t>
      </w:r>
      <w:r>
        <w:tab/>
        <w:t>54M</w:t>
      </w:r>
    </w:p>
    <w:p>
      <w:pPr>
        <w:pStyle w:val="DefinedTerms"/>
      </w:pPr>
      <w:r>
        <w:t>non</w:t>
      </w:r>
      <w:r>
        <w:noBreakHyphen/>
        <w:t>contact visit</w:t>
      </w:r>
      <w:r>
        <w:tab/>
        <w:t>2(1)</w:t>
      </w:r>
    </w:p>
    <w:p>
      <w:pPr>
        <w:pStyle w:val="DefinedTerms"/>
      </w:pPr>
      <w:r>
        <w:t>notice</w:t>
      </w:r>
      <w:r>
        <w:tab/>
        <w:t>30</w:t>
      </w:r>
    </w:p>
    <w:p>
      <w:pPr>
        <w:pStyle w:val="DefinedTerms"/>
      </w:pPr>
      <w:r>
        <w:t>organisation</w:t>
      </w:r>
      <w:r>
        <w:tab/>
        <w:t>2(1)</w:t>
      </w:r>
    </w:p>
    <w:p>
      <w:pPr>
        <w:pStyle w:val="DefinedTerms"/>
      </w:pPr>
      <w:r>
        <w:t>participating State or Territory</w:t>
      </w:r>
      <w:r>
        <w:tab/>
        <w:t>54M</w:t>
      </w:r>
    </w:p>
    <w:p>
      <w:pPr>
        <w:pStyle w:val="DefinedTerms"/>
      </w:pPr>
      <w:r>
        <w:t>prison dog</w:t>
      </w:r>
      <w:r>
        <w:tab/>
        <w:t>81A</w:t>
      </w:r>
    </w:p>
    <w:p>
      <w:pPr>
        <w:pStyle w:val="DefinedTerms"/>
      </w:pPr>
      <w:r>
        <w:t>prison officer</w:t>
      </w:r>
      <w:r>
        <w:tab/>
        <w:t>30</w:t>
      </w:r>
    </w:p>
    <w:p>
      <w:pPr>
        <w:pStyle w:val="DefinedTerms"/>
      </w:pPr>
      <w:r>
        <w:t>privilege</w:t>
      </w:r>
      <w:r>
        <w:tab/>
        <w:t>30</w:t>
      </w:r>
    </w:p>
    <w:p>
      <w:pPr>
        <w:pStyle w:val="DefinedTerms"/>
      </w:pPr>
      <w:r>
        <w:t>property</w:t>
      </w:r>
      <w:r>
        <w:tab/>
        <w:t>49(2)</w:t>
      </w:r>
    </w:p>
    <w:p>
      <w:pPr>
        <w:pStyle w:val="DefinedTerms"/>
      </w:pPr>
      <w:r>
        <w:t>relevant material</w:t>
      </w:r>
      <w:r>
        <w:tab/>
        <w:t>30</w:t>
      </w:r>
    </w:p>
    <w:p>
      <w:pPr>
        <w:pStyle w:val="DefinedTerms"/>
      </w:pPr>
      <w:r>
        <w:t>removal action</w:t>
      </w:r>
      <w:r>
        <w:tab/>
        <w:t>30</w:t>
      </w:r>
    </w:p>
    <w:p>
      <w:pPr>
        <w:pStyle w:val="DefinedTerms"/>
      </w:pPr>
      <w:r>
        <w:t>review officer</w:t>
      </w:r>
      <w:r>
        <w:tab/>
        <w:t>30</w:t>
      </w:r>
    </w:p>
    <w:p>
      <w:pPr>
        <w:pStyle w:val="DefinedTerms"/>
      </w:pPr>
      <w:r>
        <w:t>submission period</w:t>
      </w:r>
      <w:r>
        <w:tab/>
        <w:t>30</w:t>
      </w:r>
    </w:p>
    <w:p>
      <w:pPr>
        <w:pStyle w:val="DefinedTerms"/>
      </w:pPr>
      <w:r>
        <w:t>suitability to continue as a prison officer</w:t>
      </w:r>
      <w:r>
        <w:tab/>
        <w:t>30</w:t>
      </w:r>
    </w:p>
    <w:p>
      <w:pPr>
        <w:pStyle w:val="DefinedTerms"/>
      </w:pPr>
      <w:r>
        <w:t>summary of investigation</w:t>
      </w:r>
      <w:r>
        <w:tab/>
        <w:t>30</w:t>
      </w:r>
    </w:p>
    <w:p>
      <w:pPr>
        <w:pStyle w:val="DefinedTerms"/>
      </w:pPr>
      <w:r>
        <w:t>supervision</w:t>
      </w:r>
      <w:r>
        <w:tab/>
        <w:t>2(1)</w:t>
      </w:r>
    </w:p>
    <w:p>
      <w:pPr>
        <w:pStyle w:val="DefinedTerms"/>
      </w:pPr>
      <w:r>
        <w:t>sweat patch</w:t>
      </w:r>
      <w:r>
        <w:tab/>
        <w:t>26</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Aug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82" w:name="Schedule"/>
    <w:bookmarkEnd w:id="3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9" w:name="Compilation"/>
    <w:bookmarkEnd w:id="3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1" w:name="DefinedTerms"/>
    <w:bookmarkEnd w:id="39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2" w:name="Coversheet"/>
    <w:bookmarkEnd w:id="3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4246"/>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23311</Words>
  <Characters>116094</Characters>
  <Application>Microsoft Office Word</Application>
  <DocSecurity>0</DocSecurity>
  <Lines>3137</Lines>
  <Paragraphs>1883</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137522</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1982 - 05-d0-02</dc:title>
  <dc:subject/>
  <dc:creator/>
  <cp:keywords/>
  <dc:description/>
  <cp:lastModifiedBy>svcMRProcess</cp:lastModifiedBy>
  <cp:revision>4</cp:revision>
  <cp:lastPrinted>2008-07-28T07:49:00Z</cp:lastPrinted>
  <dcterms:created xsi:type="dcterms:W3CDTF">2018-09-13T03:44:00Z</dcterms:created>
  <dcterms:modified xsi:type="dcterms:W3CDTF">2018-09-13T03:44:00Z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AsAtDate">
    <vt:lpwstr>24 Aug 2015</vt:lpwstr>
  </property>
  <property fmtid="{D5CDD505-2E9C-101B-9397-08002B2CF9AE}" pid="7" name="Suffix">
    <vt:lpwstr>05-d0-02</vt:lpwstr>
  </property>
  <property fmtid="{D5CDD505-2E9C-101B-9397-08002B2CF9AE}" pid="8" name="CommencementDate">
    <vt:lpwstr>20150824</vt:lpwstr>
  </property>
</Properties>
</file>