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Retail Trading Hours Act 1987</w:t>
      </w:r>
      <w:r>
        <w:rPr>
          <w:sz w:val="48"/>
        </w:rPr>
        <w:fldChar w:fldCharType="end"/>
      </w:r>
    </w:p>
    <w:p>
      <w:pPr>
        <w:pStyle w:val="ReprintNo"/>
      </w:pPr>
      <w:r>
        <w:t>Reprint 4:  The Act as at 7 August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255362" w:rsidRDefault="00255362">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255362" w:rsidRDefault="00255362">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255362" w:rsidRDefault="00255362">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255362" w:rsidRDefault="00255362">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7"/>
        </w:numPr>
        <w:tabs>
          <w:tab w:val="clear" w:pos="360"/>
          <w:tab w:val="num" w:pos="1209"/>
        </w:tabs>
        <w:ind w:left="1200"/>
        <w:rPr>
          <w:sz w:val="20"/>
        </w:rPr>
      </w:pPr>
      <w:r>
        <w:rPr>
          <w:sz w:val="20"/>
        </w:rPr>
        <w:t>removed (because it was repealed or deleted from the law); or</w:t>
      </w:r>
    </w:p>
    <w:p>
      <w:pPr>
        <w:numPr>
          <w:ilvl w:val="0"/>
          <w:numId w:val="27"/>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7 August 2015</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_Toc425754772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_Toc425754773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_Toc425754774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_Toc425754775 \h </w:instrText>
      </w:r>
      <w:r>
        <w:fldChar w:fldCharType="separate"/>
      </w:r>
      <w:r>
        <w:t>4</w:t>
      </w:r>
      <w:r>
        <w:fldChar w:fldCharType="end"/>
      </w:r>
    </w:p>
    <w:p>
      <w:pPr>
        <w:pStyle w:val="TOC8"/>
        <w:rPr>
          <w:rFonts w:asciiTheme="minorHAnsi" w:eastAsiaTheme="minorEastAsia" w:hAnsiTheme="minorHAnsi" w:cstheme="minorBidi"/>
          <w:szCs w:val="22"/>
        </w:rPr>
      </w:pPr>
      <w:r>
        <w:t>5.</w:t>
      </w:r>
      <w:r>
        <w:tab/>
        <w:t xml:space="preserve">Application of </w:t>
      </w:r>
      <w:r>
        <w:rPr>
          <w:i/>
        </w:rPr>
        <w:t>Interpretation Act 1984</w:t>
      </w:r>
      <w:r>
        <w:t xml:space="preserve"> to orders</w:t>
      </w:r>
      <w:r>
        <w:tab/>
      </w:r>
      <w:r>
        <w:fldChar w:fldCharType="begin"/>
      </w:r>
      <w:r>
        <w:instrText xml:space="preserve"> PAGEREF _Toc425754776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Officers</w:t>
      </w:r>
      <w:r>
        <w:tab/>
      </w:r>
      <w:r>
        <w:fldChar w:fldCharType="begin"/>
      </w:r>
      <w:r>
        <w:instrText xml:space="preserve"> PAGEREF _Toc425754778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Inspectors</w:t>
      </w:r>
      <w:r>
        <w:tab/>
      </w:r>
      <w:r>
        <w:fldChar w:fldCharType="begin"/>
      </w:r>
      <w:r>
        <w:instrText xml:space="preserve"> PAGEREF _Toc425754779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Inspector’s certificate</w:t>
      </w:r>
      <w:r>
        <w:tab/>
      </w:r>
      <w:r>
        <w:fldChar w:fldCharType="begin"/>
      </w:r>
      <w:r>
        <w:instrText xml:space="preserve"> PAGEREF _Toc425754780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Inspector subject to chief executive officer</w:t>
      </w:r>
      <w:r>
        <w:tab/>
      </w:r>
      <w:r>
        <w:fldChar w:fldCharType="begin"/>
      </w:r>
      <w:r>
        <w:instrText xml:space="preserve"> PAGEREF _Toc425754781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Retail trading hours</w:t>
      </w:r>
    </w:p>
    <w:p>
      <w:pPr>
        <w:pStyle w:val="TOC8"/>
        <w:rPr>
          <w:rFonts w:asciiTheme="minorHAnsi" w:eastAsiaTheme="minorEastAsia" w:hAnsiTheme="minorHAnsi" w:cstheme="minorBidi"/>
          <w:szCs w:val="22"/>
        </w:rPr>
      </w:pPr>
      <w:r>
        <w:t>10</w:t>
      </w:r>
      <w:r>
        <w:rPr>
          <w:snapToGrid w:val="0"/>
        </w:rPr>
        <w:t>.</w:t>
      </w:r>
      <w:r>
        <w:rPr>
          <w:snapToGrid w:val="0"/>
        </w:rPr>
        <w:tab/>
        <w:t>Categories of retail shops</w:t>
      </w:r>
      <w:r>
        <w:tab/>
      </w:r>
      <w:r>
        <w:fldChar w:fldCharType="begin"/>
      </w:r>
      <w:r>
        <w:instrText xml:space="preserve"> PAGEREF _Toc425754783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Certifying shops as small retail shops or special retail shops</w:t>
      </w:r>
      <w:r>
        <w:tab/>
      </w:r>
      <w:r>
        <w:fldChar w:fldCharType="begin"/>
      </w:r>
      <w:r>
        <w:instrText xml:space="preserve"> PAGEREF _Toc425754784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Trading hours for some general retail shops</w:t>
      </w:r>
      <w:r>
        <w:tab/>
      </w:r>
      <w:r>
        <w:fldChar w:fldCharType="begin"/>
      </w:r>
      <w:r>
        <w:instrText xml:space="preserve"> PAGEREF _Toc425754785 \h </w:instrText>
      </w:r>
      <w:r>
        <w:fldChar w:fldCharType="separate"/>
      </w:r>
      <w:r>
        <w:t>13</w:t>
      </w:r>
      <w:r>
        <w:fldChar w:fldCharType="end"/>
      </w:r>
    </w:p>
    <w:p>
      <w:pPr>
        <w:pStyle w:val="TOC8"/>
        <w:rPr>
          <w:rFonts w:asciiTheme="minorHAnsi" w:eastAsiaTheme="minorEastAsia" w:hAnsiTheme="minorHAnsi" w:cstheme="minorBidi"/>
          <w:szCs w:val="22"/>
        </w:rPr>
      </w:pPr>
      <w:r>
        <w:t>12A.</w:t>
      </w:r>
      <w:r>
        <w:tab/>
        <w:t>Trading hours for general retail shops in holiday resorts</w:t>
      </w:r>
      <w:r>
        <w:tab/>
      </w:r>
      <w:r>
        <w:fldChar w:fldCharType="begin"/>
      </w:r>
      <w:r>
        <w:instrText xml:space="preserve"> PAGEREF _Toc425754786 \h </w:instrText>
      </w:r>
      <w:r>
        <w:fldChar w:fldCharType="separate"/>
      </w:r>
      <w:r>
        <w:t>14</w:t>
      </w:r>
      <w:r>
        <w:fldChar w:fldCharType="end"/>
      </w:r>
    </w:p>
    <w:p>
      <w:pPr>
        <w:pStyle w:val="TOC8"/>
        <w:rPr>
          <w:rFonts w:asciiTheme="minorHAnsi" w:eastAsiaTheme="minorEastAsia" w:hAnsiTheme="minorHAnsi" w:cstheme="minorBidi"/>
          <w:szCs w:val="22"/>
        </w:rPr>
      </w:pPr>
      <w:r>
        <w:t>12B.</w:t>
      </w:r>
      <w:r>
        <w:tab/>
        <w:t>Trading hours for motor vehicle shops</w:t>
      </w:r>
      <w:r>
        <w:tab/>
      </w:r>
      <w:r>
        <w:fldChar w:fldCharType="begin"/>
      </w:r>
      <w:r>
        <w:instrText xml:space="preserve"> PAGEREF _Toc425754787 \h </w:instrText>
      </w:r>
      <w:r>
        <w:fldChar w:fldCharType="separate"/>
      </w:r>
      <w:r>
        <w:t>15</w:t>
      </w:r>
      <w:r>
        <w:fldChar w:fldCharType="end"/>
      </w:r>
    </w:p>
    <w:p>
      <w:pPr>
        <w:pStyle w:val="TOC8"/>
        <w:rPr>
          <w:rFonts w:asciiTheme="minorHAnsi" w:eastAsiaTheme="minorEastAsia" w:hAnsiTheme="minorHAnsi" w:cstheme="minorBidi"/>
          <w:szCs w:val="22"/>
        </w:rPr>
      </w:pPr>
      <w:r>
        <w:t>12C.</w:t>
      </w:r>
      <w:r>
        <w:tab/>
        <w:t>No restriction on trading hours for small retail shops</w:t>
      </w:r>
      <w:r>
        <w:tab/>
      </w:r>
      <w:r>
        <w:fldChar w:fldCharType="begin"/>
      </w:r>
      <w:r>
        <w:instrText xml:space="preserve"> PAGEREF _Toc425754788 \h </w:instrText>
      </w:r>
      <w:r>
        <w:fldChar w:fldCharType="separate"/>
      </w:r>
      <w:r>
        <w:t>15</w:t>
      </w:r>
      <w:r>
        <w:fldChar w:fldCharType="end"/>
      </w:r>
    </w:p>
    <w:p>
      <w:pPr>
        <w:pStyle w:val="TOC8"/>
        <w:rPr>
          <w:rFonts w:asciiTheme="minorHAnsi" w:eastAsiaTheme="minorEastAsia" w:hAnsiTheme="minorHAnsi" w:cstheme="minorBidi"/>
          <w:szCs w:val="22"/>
        </w:rPr>
      </w:pPr>
      <w:r>
        <w:t>12D.</w:t>
      </w:r>
      <w:r>
        <w:tab/>
        <w:t>Trading hours for special retail shops</w:t>
      </w:r>
      <w:r>
        <w:tab/>
      </w:r>
      <w:r>
        <w:fldChar w:fldCharType="begin"/>
      </w:r>
      <w:r>
        <w:instrText xml:space="preserve"> PAGEREF _Toc425754789 \h </w:instrText>
      </w:r>
      <w:r>
        <w:fldChar w:fldCharType="separate"/>
      </w:r>
      <w:r>
        <w:t>15</w:t>
      </w:r>
      <w:r>
        <w:fldChar w:fldCharType="end"/>
      </w:r>
    </w:p>
    <w:p>
      <w:pPr>
        <w:pStyle w:val="TOC8"/>
        <w:rPr>
          <w:rFonts w:asciiTheme="minorHAnsi" w:eastAsiaTheme="minorEastAsia" w:hAnsiTheme="minorHAnsi" w:cstheme="minorBidi"/>
          <w:szCs w:val="22"/>
        </w:rPr>
      </w:pPr>
      <w:r>
        <w:t>12E.</w:t>
      </w:r>
      <w:r>
        <w:tab/>
        <w:t>Variation of trading hours</w:t>
      </w:r>
      <w:r>
        <w:tab/>
      </w:r>
      <w:r>
        <w:fldChar w:fldCharType="begin"/>
      </w:r>
      <w:r>
        <w:instrText xml:space="preserve"> PAGEREF _Toc425754790 \h </w:instrText>
      </w:r>
      <w:r>
        <w:fldChar w:fldCharType="separate"/>
      </w:r>
      <w:r>
        <w:t>16</w:t>
      </w:r>
      <w:r>
        <w:fldChar w:fldCharType="end"/>
      </w:r>
    </w:p>
    <w:p>
      <w:pPr>
        <w:pStyle w:val="TOC8"/>
        <w:rPr>
          <w:rFonts w:asciiTheme="minorHAnsi" w:eastAsiaTheme="minorEastAsia" w:hAnsiTheme="minorHAnsi" w:cstheme="minorBidi"/>
          <w:szCs w:val="22"/>
        </w:rPr>
      </w:pPr>
      <w:r>
        <w:t>14.</w:t>
      </w:r>
      <w:r>
        <w:tab/>
        <w:t>No restriction on trading hours for filling stations</w:t>
      </w:r>
      <w:r>
        <w:tab/>
      </w:r>
      <w:r>
        <w:fldChar w:fldCharType="begin"/>
      </w:r>
      <w:r>
        <w:instrText xml:space="preserve"> PAGEREF _Toc425754791 \h </w:instrText>
      </w:r>
      <w:r>
        <w:fldChar w:fldCharType="separate"/>
      </w:r>
      <w:r>
        <w:t>17</w:t>
      </w:r>
      <w:r>
        <w:fldChar w:fldCharType="end"/>
      </w:r>
    </w:p>
    <w:p>
      <w:pPr>
        <w:pStyle w:val="TOC8"/>
        <w:rPr>
          <w:rFonts w:asciiTheme="minorHAnsi" w:eastAsiaTheme="minorEastAsia" w:hAnsiTheme="minorHAnsi" w:cstheme="minorBidi"/>
          <w:szCs w:val="22"/>
        </w:rPr>
      </w:pPr>
      <w:r>
        <w:t>14A.</w:t>
      </w:r>
      <w:r>
        <w:tab/>
        <w:t>Goods that can be sold at filling stations</w:t>
      </w:r>
      <w:r>
        <w:tab/>
      </w:r>
      <w:r>
        <w:fldChar w:fldCharType="begin"/>
      </w:r>
      <w:r>
        <w:instrText xml:space="preserve"> PAGEREF _Toc425754792 \h </w:instrText>
      </w:r>
      <w:r>
        <w:fldChar w:fldCharType="separate"/>
      </w:r>
      <w:r>
        <w:t>17</w:t>
      </w:r>
      <w:r>
        <w:fldChar w:fldCharType="end"/>
      </w:r>
    </w:p>
    <w:p>
      <w:pPr>
        <w:pStyle w:val="TOC8"/>
        <w:rPr>
          <w:rFonts w:asciiTheme="minorHAnsi" w:eastAsiaTheme="minorEastAsia" w:hAnsiTheme="minorHAnsi" w:cstheme="minorBidi"/>
          <w:szCs w:val="22"/>
        </w:rPr>
      </w:pPr>
      <w:r>
        <w:t>14B.</w:t>
      </w:r>
      <w:r>
        <w:tab/>
        <w:t>Small filling stations, general provisions about</w:t>
      </w:r>
      <w:r>
        <w:tab/>
      </w:r>
      <w:r>
        <w:fldChar w:fldCharType="begin"/>
      </w:r>
      <w:r>
        <w:instrText xml:space="preserve"> PAGEREF _Toc425754793 \h </w:instrText>
      </w:r>
      <w:r>
        <w:fldChar w:fldCharType="separate"/>
      </w:r>
      <w:r>
        <w:t>18</w:t>
      </w:r>
      <w:r>
        <w:fldChar w:fldCharType="end"/>
      </w:r>
    </w:p>
    <w:p>
      <w:pPr>
        <w:pStyle w:val="TOC8"/>
        <w:rPr>
          <w:rFonts w:asciiTheme="minorHAnsi" w:eastAsiaTheme="minorEastAsia" w:hAnsiTheme="minorHAnsi" w:cstheme="minorBidi"/>
          <w:szCs w:val="22"/>
        </w:rPr>
      </w:pPr>
      <w:r>
        <w:t>14C.</w:t>
      </w:r>
      <w:r>
        <w:tab/>
        <w:t>Certifying filling stations as small filling stations</w:t>
      </w:r>
      <w:r>
        <w:tab/>
      </w:r>
      <w:r>
        <w:fldChar w:fldCharType="begin"/>
      </w:r>
      <w:r>
        <w:instrText xml:space="preserve"> PAGEREF _Toc425754794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Permits</w:t>
      </w:r>
      <w:r>
        <w:tab/>
      </w:r>
      <w:r>
        <w:fldChar w:fldCharType="begin"/>
      </w:r>
      <w:r>
        <w:instrText xml:space="preserve"> PAGEREF _Toc425754795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Covenants relating to opening of retail shops</w:t>
      </w:r>
      <w:r>
        <w:tab/>
      </w:r>
      <w:r>
        <w:fldChar w:fldCharType="begin"/>
      </w:r>
      <w:r>
        <w:instrText xml:space="preserve"> PAGEREF _Toc425754796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22</w:t>
      </w:r>
      <w:r>
        <w:rPr>
          <w:snapToGrid w:val="0"/>
        </w:rPr>
        <w:t>.</w:t>
      </w:r>
      <w:r>
        <w:rPr>
          <w:snapToGrid w:val="0"/>
        </w:rPr>
        <w:tab/>
        <w:t>Covenants contrary to this Act negated</w:t>
      </w:r>
      <w:r>
        <w:tab/>
      </w:r>
      <w:r>
        <w:fldChar w:fldCharType="begin"/>
      </w:r>
      <w:r>
        <w:instrText xml:space="preserve"> PAGEREF _Toc425754798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Auctions of domestic furniture at dwelling house</w:t>
      </w:r>
      <w:r>
        <w:tab/>
      </w:r>
      <w:r>
        <w:fldChar w:fldCharType="begin"/>
      </w:r>
      <w:r>
        <w:instrText xml:space="preserve"> PAGEREF _Toc425754799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When retail shop deemed not to be closed</w:t>
      </w:r>
      <w:r>
        <w:tab/>
      </w:r>
      <w:r>
        <w:fldChar w:fldCharType="begin"/>
      </w:r>
      <w:r>
        <w:instrText xml:space="preserve"> PAGEREF _Toc425754800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Offences as to operating retail shops</w:t>
      </w:r>
      <w:r>
        <w:tab/>
      </w:r>
      <w:r>
        <w:fldChar w:fldCharType="begin"/>
      </w:r>
      <w:r>
        <w:instrText xml:space="preserve"> PAGEREF _Toc425754801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Advertisements of retail shopping hours, restrictions on</w:t>
      </w:r>
      <w:r>
        <w:tab/>
      </w:r>
      <w:r>
        <w:fldChar w:fldCharType="begin"/>
      </w:r>
      <w:r>
        <w:instrText xml:space="preserve"> PAGEREF _Toc425754802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Chief executive officer’s powers</w:t>
      </w:r>
      <w:r>
        <w:tab/>
      </w:r>
      <w:r>
        <w:fldChar w:fldCharType="begin"/>
      </w:r>
      <w:r>
        <w:instrText xml:space="preserve"> PAGEREF _Toc425754803 \h </w:instrText>
      </w:r>
      <w:r>
        <w:fldChar w:fldCharType="separate"/>
      </w:r>
      <w:r>
        <w:t>26</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Delegation</w:t>
      </w:r>
      <w:r>
        <w:tab/>
      </w:r>
      <w:r>
        <w:fldChar w:fldCharType="begin"/>
      </w:r>
      <w:r>
        <w:instrText xml:space="preserve"> PAGEREF _Toc425754804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Access to places, books etc.</w:t>
      </w:r>
      <w:r>
        <w:tab/>
      </w:r>
      <w:r>
        <w:fldChar w:fldCharType="begin"/>
      </w:r>
      <w:r>
        <w:instrText xml:space="preserve"> PAGEREF _Toc425754805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Inspector or authorised person may require information</w:t>
      </w:r>
      <w:r>
        <w:tab/>
      </w:r>
      <w:r>
        <w:fldChar w:fldCharType="begin"/>
      </w:r>
      <w:r>
        <w:instrText xml:space="preserve"> PAGEREF _Toc425754806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Obstructing etc. inspector, authorised person etc.</w:t>
      </w:r>
      <w:r>
        <w:tab/>
      </w:r>
      <w:r>
        <w:fldChar w:fldCharType="begin"/>
      </w:r>
      <w:r>
        <w:instrText xml:space="preserve"> PAGEREF _Toc425754807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Protection of person questioned</w:t>
      </w:r>
      <w:r>
        <w:tab/>
      </w:r>
      <w:r>
        <w:fldChar w:fldCharType="begin"/>
      </w:r>
      <w:r>
        <w:instrText xml:space="preserve"> PAGEREF _Toc425754808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Unauthorised disclosure of information</w:t>
      </w:r>
      <w:r>
        <w:tab/>
      </w:r>
      <w:r>
        <w:fldChar w:fldCharType="begin"/>
      </w:r>
      <w:r>
        <w:instrText xml:space="preserve"> PAGEREF _Toc425754809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as to dishonesty or damage</w:t>
      </w:r>
      <w:r>
        <w:tab/>
      </w:r>
      <w:r>
        <w:fldChar w:fldCharType="begin"/>
      </w:r>
      <w:r>
        <w:instrText xml:space="preserve"> PAGEREF _Toc425754810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Liability of directors etc. of bodies corporate</w:t>
      </w:r>
      <w:r>
        <w:tab/>
      </w:r>
      <w:r>
        <w:fldChar w:fldCharType="begin"/>
      </w:r>
      <w:r>
        <w:instrText xml:space="preserve"> PAGEREF _Toc425754811 \h </w:instrText>
      </w:r>
      <w:r>
        <w:fldChar w:fldCharType="separate"/>
      </w:r>
      <w:r>
        <w:t>30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Records etc. for this Act, availability of</w:t>
      </w:r>
      <w:r>
        <w:tab/>
      </w:r>
      <w:r>
        <w:fldChar w:fldCharType="begin"/>
      </w:r>
      <w:r>
        <w:instrText xml:space="preserve"> PAGEREF _Toc425754812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Records etc. for this Act to be in English</w:t>
      </w:r>
      <w:r>
        <w:tab/>
      </w:r>
      <w:r>
        <w:fldChar w:fldCharType="begin"/>
      </w:r>
      <w:r>
        <w:instrText xml:space="preserve"> PAGEREF _Toc425754813 \h </w:instrText>
      </w:r>
      <w:r>
        <w:fldChar w:fldCharType="separate"/>
      </w:r>
      <w:r>
        <w:t>31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Prosecutions of offences need chief executive officer’s consent</w:t>
      </w:r>
      <w:r>
        <w:tab/>
      </w:r>
      <w:r>
        <w:fldChar w:fldCharType="begin"/>
      </w:r>
      <w:r>
        <w:instrText xml:space="preserve"> PAGEREF _Toc425754814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Protection of officers, members and others</w:t>
      </w:r>
      <w:r>
        <w:tab/>
      </w:r>
      <w:r>
        <w:fldChar w:fldCharType="begin"/>
      </w:r>
      <w:r>
        <w:instrText xml:space="preserve"> PAGEREF _Toc425754815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w:t>
      </w:r>
      <w:r>
        <w:tab/>
      </w:r>
      <w:r>
        <w:fldChar w:fldCharType="begin"/>
      </w:r>
      <w:r>
        <w:instrText xml:space="preserve"> PAGEREF _Toc425754816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_Toc425754817 \h </w:instrText>
      </w:r>
      <w:r>
        <w:fldChar w:fldCharType="separate"/>
      </w:r>
      <w:r>
        <w:t>33</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_Toc425754818 \h </w:instrText>
      </w:r>
      <w:r>
        <w:fldChar w:fldCharType="separate"/>
      </w:r>
      <w:r>
        <w:t>34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Savings</w:t>
      </w:r>
      <w:r>
        <w:tab/>
      </w:r>
      <w:r>
        <w:fldChar w:fldCharType="begin"/>
      </w:r>
      <w:r>
        <w:instrText xml:space="preserve"> PAGEREF _Toc425754819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_Toc425754821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7 August 2015</w:t>
            </w:r>
            <w:r>
              <w:rPr>
                <w:b/>
                <w:sz w:val="22"/>
              </w:rPr>
              <w:fldChar w:fldCharType="end"/>
            </w:r>
          </w:p>
        </w:tc>
      </w:tr>
    </w:tbl>
    <w:p>
      <w:pPr>
        <w:pStyle w:val="WA"/>
        <w:spacing w:before="12"/>
      </w:pPr>
      <w:r>
        <w:t>Western Australia</w:t>
      </w:r>
    </w:p>
    <w:p>
      <w:pPr>
        <w:pStyle w:val="NameofActReg"/>
        <w:spacing w:before="1080" w:after="180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3" w:name="_Toc404159173"/>
      <w:bookmarkStart w:id="4" w:name="_Toc416962492"/>
      <w:bookmarkStart w:id="5" w:name="_Toc416962544"/>
      <w:bookmarkStart w:id="6" w:name="_Toc423357102"/>
      <w:bookmarkStart w:id="7" w:name="_Toc42575477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404159174"/>
      <w:bookmarkStart w:id="9" w:name="_Toc425754772"/>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10" w:name="_Toc404159175"/>
      <w:bookmarkStart w:id="11" w:name="_Toc425754773"/>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2" w:name="_Toc404159176"/>
      <w:bookmarkStart w:id="13" w:name="_Toc425754774"/>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motor 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No. 8 of 2012 s. 169; No. 23 of 2014 s. 91.] </w:t>
      </w:r>
    </w:p>
    <w:p>
      <w:pPr>
        <w:pStyle w:val="Heading5"/>
        <w:spacing w:before="180"/>
        <w:rPr>
          <w:snapToGrid w:val="0"/>
        </w:rPr>
      </w:pPr>
      <w:bookmarkStart w:id="14" w:name="_Toc404159177"/>
      <w:bookmarkStart w:id="15" w:name="_Toc425754775"/>
      <w:r>
        <w:rPr>
          <w:rStyle w:val="CharSectno"/>
        </w:rPr>
        <w:t>4</w:t>
      </w:r>
      <w:r>
        <w:rPr>
          <w:snapToGrid w:val="0"/>
        </w:rPr>
        <w:t>.</w:t>
      </w:r>
      <w:r>
        <w:rPr>
          <w:snapToGrid w:val="0"/>
        </w:rPr>
        <w:tab/>
        <w:t>Application</w:t>
      </w:r>
      <w:bookmarkEnd w:id="14"/>
      <w:bookmarkEnd w:id="15"/>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16" w:name="_Toc404159178"/>
      <w:bookmarkStart w:id="17" w:name="_Toc425754776"/>
      <w:r>
        <w:rPr>
          <w:rStyle w:val="CharSectno"/>
        </w:rPr>
        <w:t>5</w:t>
      </w:r>
      <w:r>
        <w:t>.</w:t>
      </w:r>
      <w:r>
        <w:tab/>
        <w:t xml:space="preserve">Application of </w:t>
      </w:r>
      <w:r>
        <w:rPr>
          <w:i/>
        </w:rPr>
        <w:t>Interpretation Act 1984</w:t>
      </w:r>
      <w:r>
        <w:t xml:space="preserve"> to orders</w:t>
      </w:r>
      <w:bookmarkEnd w:id="16"/>
      <w:bookmarkEnd w:id="17"/>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18" w:name="_Toc404159179"/>
      <w:bookmarkStart w:id="19" w:name="_Toc416962498"/>
      <w:bookmarkStart w:id="20" w:name="_Toc416962550"/>
      <w:bookmarkStart w:id="21" w:name="_Toc423357108"/>
      <w:bookmarkStart w:id="22" w:name="_Toc425754777"/>
      <w:r>
        <w:rPr>
          <w:rStyle w:val="CharPartNo"/>
        </w:rPr>
        <w:t>Part II</w:t>
      </w:r>
      <w:r>
        <w:rPr>
          <w:rStyle w:val="CharDivNo"/>
        </w:rPr>
        <w:t> </w:t>
      </w:r>
      <w:r>
        <w:t>—</w:t>
      </w:r>
      <w:r>
        <w:rPr>
          <w:rStyle w:val="CharDivText"/>
        </w:rPr>
        <w:t> </w:t>
      </w:r>
      <w:r>
        <w:rPr>
          <w:rStyle w:val="CharPartText"/>
        </w:rPr>
        <w:t>Administration</w:t>
      </w:r>
      <w:bookmarkEnd w:id="18"/>
      <w:bookmarkEnd w:id="19"/>
      <w:bookmarkEnd w:id="20"/>
      <w:bookmarkEnd w:id="21"/>
      <w:bookmarkEnd w:id="22"/>
      <w:r>
        <w:rPr>
          <w:rStyle w:val="CharPartText"/>
        </w:rPr>
        <w:t xml:space="preserve"> </w:t>
      </w:r>
    </w:p>
    <w:p>
      <w:pPr>
        <w:pStyle w:val="Heading5"/>
        <w:rPr>
          <w:snapToGrid w:val="0"/>
        </w:rPr>
      </w:pPr>
      <w:bookmarkStart w:id="23" w:name="_Toc404159180"/>
      <w:bookmarkStart w:id="24" w:name="_Toc425754778"/>
      <w:r>
        <w:rPr>
          <w:rStyle w:val="CharSectno"/>
        </w:rPr>
        <w:t>6</w:t>
      </w:r>
      <w:r>
        <w:rPr>
          <w:snapToGrid w:val="0"/>
        </w:rPr>
        <w:t>.</w:t>
      </w:r>
      <w:r>
        <w:rPr>
          <w:snapToGrid w:val="0"/>
        </w:rPr>
        <w:tab/>
        <w:t>Officers</w:t>
      </w:r>
      <w:bookmarkEnd w:id="23"/>
      <w:bookmarkEnd w:id="24"/>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25" w:name="_Toc404159181"/>
      <w:bookmarkStart w:id="26" w:name="_Toc425754779"/>
      <w:r>
        <w:rPr>
          <w:rStyle w:val="CharSectno"/>
        </w:rPr>
        <w:t>7</w:t>
      </w:r>
      <w:r>
        <w:rPr>
          <w:snapToGrid w:val="0"/>
        </w:rPr>
        <w:t>.</w:t>
      </w:r>
      <w:r>
        <w:rPr>
          <w:snapToGrid w:val="0"/>
        </w:rPr>
        <w:tab/>
        <w:t>Inspectors</w:t>
      </w:r>
      <w:bookmarkEnd w:id="25"/>
      <w:bookmarkEnd w:id="26"/>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27" w:name="_Toc404159182"/>
      <w:bookmarkStart w:id="28" w:name="_Toc425754780"/>
      <w:r>
        <w:rPr>
          <w:rStyle w:val="CharSectno"/>
        </w:rPr>
        <w:t>8</w:t>
      </w:r>
      <w:r>
        <w:rPr>
          <w:snapToGrid w:val="0"/>
        </w:rPr>
        <w:t>.</w:t>
      </w:r>
      <w:r>
        <w:rPr>
          <w:snapToGrid w:val="0"/>
        </w:rPr>
        <w:tab/>
        <w:t>Inspector’s certificate</w:t>
      </w:r>
      <w:bookmarkEnd w:id="27"/>
      <w:bookmarkEnd w:id="28"/>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29" w:name="_Toc404159183"/>
      <w:bookmarkStart w:id="30" w:name="_Toc425754781"/>
      <w:r>
        <w:rPr>
          <w:rStyle w:val="CharSectno"/>
        </w:rPr>
        <w:t>9</w:t>
      </w:r>
      <w:r>
        <w:rPr>
          <w:snapToGrid w:val="0"/>
        </w:rPr>
        <w:t>.</w:t>
      </w:r>
      <w:r>
        <w:rPr>
          <w:snapToGrid w:val="0"/>
        </w:rPr>
        <w:tab/>
        <w:t>Inspector subject to chief executive officer</w:t>
      </w:r>
      <w:bookmarkEnd w:id="29"/>
      <w:bookmarkEnd w:id="30"/>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31" w:name="_Toc404159184"/>
      <w:bookmarkStart w:id="32" w:name="_Toc416962503"/>
      <w:bookmarkStart w:id="33" w:name="_Toc416962555"/>
      <w:bookmarkStart w:id="34" w:name="_Toc423357113"/>
      <w:bookmarkStart w:id="35" w:name="_Toc425754782"/>
      <w:r>
        <w:rPr>
          <w:rStyle w:val="CharPartNo"/>
        </w:rPr>
        <w:t>Part III</w:t>
      </w:r>
      <w:r>
        <w:rPr>
          <w:rStyle w:val="CharDivNo"/>
        </w:rPr>
        <w:t> </w:t>
      </w:r>
      <w:r>
        <w:t>—</w:t>
      </w:r>
      <w:r>
        <w:rPr>
          <w:rStyle w:val="CharDivText"/>
        </w:rPr>
        <w:t> </w:t>
      </w:r>
      <w:r>
        <w:rPr>
          <w:rStyle w:val="CharPartText"/>
        </w:rPr>
        <w:t>Retail trading hours</w:t>
      </w:r>
      <w:bookmarkEnd w:id="31"/>
      <w:bookmarkEnd w:id="32"/>
      <w:bookmarkEnd w:id="33"/>
      <w:bookmarkEnd w:id="34"/>
      <w:bookmarkEnd w:id="35"/>
      <w:r>
        <w:rPr>
          <w:rStyle w:val="CharPartText"/>
        </w:rPr>
        <w:t xml:space="preserve"> </w:t>
      </w:r>
    </w:p>
    <w:p>
      <w:pPr>
        <w:pStyle w:val="Heading5"/>
        <w:spacing w:before="200"/>
        <w:rPr>
          <w:snapToGrid w:val="0"/>
        </w:rPr>
      </w:pPr>
      <w:bookmarkStart w:id="36" w:name="_Toc404159185"/>
      <w:bookmarkStart w:id="37" w:name="_Toc425754783"/>
      <w:r>
        <w:rPr>
          <w:rStyle w:val="CharSectno"/>
        </w:rPr>
        <w:t>10</w:t>
      </w:r>
      <w:r>
        <w:rPr>
          <w:snapToGrid w:val="0"/>
        </w:rPr>
        <w:t>.</w:t>
      </w:r>
      <w:r>
        <w:rPr>
          <w:snapToGrid w:val="0"/>
        </w:rPr>
        <w:tab/>
        <w:t>Categories of retail shops</w:t>
      </w:r>
      <w:bookmarkEnd w:id="36"/>
      <w:bookmarkEnd w:id="37"/>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 xml:space="preserve">25 persons </w:t>
      </w:r>
      <w:r>
        <w:rPr>
          <w:snapToGrid w:val="0"/>
        </w:rPr>
        <w:t>(inclusive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4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3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3 or more retail shops that are not owned or operated together with the other persons in the group.</w:t>
      </w:r>
    </w:p>
    <w:p>
      <w:pPr>
        <w:pStyle w:val="Subsection"/>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spacing w:before="60"/>
      </w:pPr>
      <w:r>
        <w:tab/>
        <w:t>(ii)</w:t>
      </w:r>
      <w:r>
        <w:tab/>
        <w:t>an agent, banker, solicitor, accountant, auditor or other person acting in any capacity for or on behalf of the other owner;</w:t>
      </w:r>
    </w:p>
    <w:p>
      <w:pPr>
        <w:pStyle w:val="Indenta"/>
        <w:spacing w:before="60"/>
      </w:pPr>
      <w:r>
        <w:tab/>
      </w:r>
      <w:r>
        <w:tab/>
        <w:t>and</w:t>
      </w:r>
    </w:p>
    <w:p>
      <w:pPr>
        <w:pStyle w:val="Indenta"/>
        <w:spacing w:before="60"/>
      </w:pPr>
      <w:r>
        <w:tab/>
        <w:t>(f)</w:t>
      </w:r>
      <w:r>
        <w:tab/>
        <w:t xml:space="preserve">whether one owner is — </w:t>
      </w:r>
    </w:p>
    <w:p>
      <w:pPr>
        <w:pStyle w:val="Indenti"/>
        <w:spacing w:before="60"/>
      </w:pPr>
      <w:r>
        <w:tab/>
        <w:t>(i)</w:t>
      </w:r>
      <w:r>
        <w:tab/>
        <w:t>a trustee for the other owner; or</w:t>
      </w:r>
    </w:p>
    <w:p>
      <w:pPr>
        <w:pStyle w:val="Indenti"/>
        <w:spacing w:before="60"/>
      </w:pPr>
      <w:r>
        <w:tab/>
        <w:t>(ii)</w:t>
      </w:r>
      <w:r>
        <w:tab/>
        <w:t>a trustee of a trust of which the other owner is a discretionary or other beneficiary.</w:t>
      </w:r>
    </w:p>
    <w:p>
      <w:pPr>
        <w:pStyle w:val="Subsection"/>
        <w:spacing w:before="12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2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spacing w:before="12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No. 40 of 2011 s. 4; No. 23 of 2014 s. 92.] </w:t>
      </w:r>
    </w:p>
    <w:p>
      <w:pPr>
        <w:pStyle w:val="Heading5"/>
        <w:rPr>
          <w:snapToGrid w:val="0"/>
        </w:rPr>
      </w:pPr>
      <w:bookmarkStart w:id="38" w:name="_Toc404159186"/>
      <w:bookmarkStart w:id="39" w:name="_Toc425754784"/>
      <w:r>
        <w:rPr>
          <w:rStyle w:val="CharSectno"/>
        </w:rPr>
        <w:t>11</w:t>
      </w:r>
      <w:r>
        <w:rPr>
          <w:snapToGrid w:val="0"/>
        </w:rPr>
        <w:t>.</w:t>
      </w:r>
      <w:r>
        <w:rPr>
          <w:snapToGrid w:val="0"/>
        </w:rPr>
        <w:tab/>
        <w:t>Certifying shops as small retail shops or special retail shops</w:t>
      </w:r>
      <w:bookmarkEnd w:id="38"/>
      <w:bookmarkEnd w:id="39"/>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rPr>
          <w:snapToGrid w:val="0"/>
        </w:rPr>
      </w:pPr>
      <w:bookmarkStart w:id="40" w:name="_Toc404159187"/>
      <w:bookmarkStart w:id="41" w:name="_Toc425754785"/>
      <w:r>
        <w:rPr>
          <w:rStyle w:val="CharSectno"/>
        </w:rPr>
        <w:t>12</w:t>
      </w:r>
      <w:r>
        <w:rPr>
          <w:snapToGrid w:val="0"/>
        </w:rPr>
        <w:t>.</w:t>
      </w:r>
      <w:r>
        <w:rPr>
          <w:snapToGrid w:val="0"/>
        </w:rPr>
        <w:tab/>
        <w:t>Trading hours for some general retail shops</w:t>
      </w:r>
      <w:bookmarkEnd w:id="40"/>
      <w:bookmarkEnd w:id="41"/>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until 11 a.m. and from and after 5 p.m.; and</w:t>
      </w:r>
    </w:p>
    <w:p>
      <w:pPr>
        <w:pStyle w:val="Indenta"/>
      </w:pPr>
      <w:r>
        <w:tab/>
        <w:t>(d)</w:t>
      </w:r>
      <w:r>
        <w:tab/>
        <w:t>on each public holiday and public half</w:t>
      </w:r>
      <w:r>
        <w:noBreakHyphen/>
        <w:t>holiday.</w:t>
      </w:r>
    </w:p>
    <w:p>
      <w:pPr>
        <w:pStyle w:val="Subsection"/>
        <w:spacing w:before="180"/>
      </w:pPr>
      <w:r>
        <w:tab/>
        <w:t>(4)</w:t>
      </w:r>
      <w:r>
        <w:tab/>
        <w:t xml:space="preserve">Subsection (3) does not apply to — </w:t>
      </w:r>
    </w:p>
    <w:p>
      <w:pPr>
        <w:pStyle w:val="Indenta"/>
      </w:pPr>
      <w:r>
        <w:tab/>
        <w:t>(a)</w:t>
      </w:r>
      <w:r>
        <w:tab/>
        <w:t>a general retail shop in a holiday resort, as defined in section 12A(4); or</w:t>
      </w:r>
    </w:p>
    <w:p>
      <w:pPr>
        <w:pStyle w:val="Ednotepara"/>
      </w:pPr>
      <w:r>
        <w:tab/>
        <w:t>[(b)</w:t>
      </w:r>
      <w:r>
        <w:tab/>
        <w:t>deleted]</w:t>
      </w:r>
    </w:p>
    <w:p>
      <w:pPr>
        <w:pStyle w:val="Indenta"/>
      </w:pPr>
      <w:r>
        <w:tab/>
        <w:t>(c)</w:t>
      </w:r>
      <w:r>
        <w:tab/>
        <w:t>a motor vehicle shop.</w:t>
      </w:r>
    </w:p>
    <w:p>
      <w:pPr>
        <w:pStyle w:val="Footnotesection"/>
      </w:pPr>
      <w:r>
        <w:tab/>
        <w:t xml:space="preserve">[Section 12 amended by No. 1 of 1991 s. 8; No. 47 of 2006 s. 8; No. 22 of 2010 s. 4; No. 38 of 2010 s. 4; No. 13 of 2012 s. 4.] </w:t>
      </w:r>
    </w:p>
    <w:p>
      <w:pPr>
        <w:pStyle w:val="Heading5"/>
        <w:spacing w:before="240"/>
      </w:pPr>
      <w:bookmarkStart w:id="42" w:name="_Toc404159188"/>
      <w:bookmarkStart w:id="43" w:name="_Toc425754786"/>
      <w:r>
        <w:rPr>
          <w:rStyle w:val="CharSectno"/>
        </w:rPr>
        <w:t>12A</w:t>
      </w:r>
      <w:r>
        <w:t>.</w:t>
      </w:r>
      <w:r>
        <w:tab/>
        <w:t>Trading hours for general retail shops in holiday resorts</w:t>
      </w:r>
      <w:bookmarkEnd w:id="42"/>
      <w:bookmarkEnd w:id="43"/>
    </w:p>
    <w:p>
      <w:pPr>
        <w:pStyle w:val="Subsection"/>
        <w:spacing w:before="180"/>
      </w:pPr>
      <w:r>
        <w:tab/>
        <w:t>(1)</w:t>
      </w:r>
      <w:r>
        <w:tab/>
        <w:t xml:space="preserve">The Minister may by order fix a time or times when general retail shops in a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spacing w:before="180"/>
      </w:pPr>
      <w:r>
        <w:tab/>
        <w:t>(2)</w:t>
      </w:r>
      <w:r>
        <w:tab/>
        <w:t xml:space="preserve">An order may apply to — </w:t>
      </w:r>
    </w:p>
    <w:p>
      <w:pPr>
        <w:pStyle w:val="Indenta"/>
      </w:pPr>
      <w:r>
        <w:tab/>
        <w:t>(a)</w:t>
      </w:r>
      <w:r>
        <w:tab/>
        <w:t>all general retail shops in the holiday resort; or</w:t>
      </w:r>
    </w:p>
    <w:p>
      <w:pPr>
        <w:pStyle w:val="Indenta"/>
      </w:pPr>
      <w:r>
        <w:tab/>
        <w:t>(b)</w:t>
      </w:r>
      <w:r>
        <w:tab/>
        <w:t>general retail shops in the holiday resort of a class specified in the order; or</w:t>
      </w:r>
    </w:p>
    <w:p>
      <w:pPr>
        <w:pStyle w:val="Indenta"/>
      </w:pPr>
      <w:r>
        <w:tab/>
        <w:t>(c)</w:t>
      </w:r>
      <w:r>
        <w:tab/>
        <w:t>general retail shops in the holiday resort that are specified in the order.</w:t>
      </w:r>
    </w:p>
    <w:p>
      <w:pPr>
        <w:pStyle w:val="Ednotesubsection"/>
      </w:pPr>
      <w:r>
        <w:tab/>
        <w:t>[(3)</w:t>
      </w:r>
      <w:r>
        <w:tab/>
        <w:t>deleted]</w:t>
      </w:r>
    </w:p>
    <w:p>
      <w:pPr>
        <w:pStyle w:val="Subsection"/>
      </w:pPr>
      <w:r>
        <w:tab/>
        <w:t>(4)</w:t>
      </w:r>
      <w:r>
        <w:tab/>
        <w:t xml:space="preserve">In this section — </w:t>
      </w:r>
    </w:p>
    <w:p>
      <w:pPr>
        <w:pStyle w:val="Defstart"/>
      </w:pPr>
      <w:r>
        <w:rPr>
          <w:b/>
        </w:rPr>
        <w:tab/>
      </w:r>
      <w:r>
        <w:rPr>
          <w:rStyle w:val="CharDefText"/>
        </w:rPr>
        <w:t>holiday resort</w:t>
      </w:r>
      <w:r>
        <w:t xml:space="preserve"> means the Rockingham holiday resort,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 or Wanneroo holiday resort;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smartTag w:uri="urn:schemas-microsoft-com:office:smarttags" w:element="place">
        <w:smartTag w:uri="urn:schemas-microsoft-com:office:smarttags" w:element="PlaceName">
          <w:r>
            <w:rPr>
              <w:rStyle w:val="CharDefText"/>
            </w:rPr>
            <w:t>Rottnest</w:t>
          </w:r>
        </w:smartTag>
        <w:r>
          <w:rPr>
            <w:rStyle w:val="CharDefText"/>
          </w:rPr>
          <w:t xml:space="preserve"> </w:t>
        </w:r>
        <w:smartTag w:uri="urn:schemas-microsoft-com:office:smarttags" w:element="PlaceType">
          <w:r>
            <w:rPr>
              <w:rStyle w:val="CharDefText"/>
            </w:rPr>
            <w:t>Island</w:t>
          </w:r>
        </w:smartTag>
      </w:smartTag>
      <w:r>
        <w:rPr>
          <w:rStyle w:val="CharDefText"/>
        </w:rPr>
        <w:t xml:space="preserve"> holiday resort</w:t>
      </w:r>
      <w:r>
        <w:t xml:space="preserve"> means the area or areas prescribed for the purposes of this definition;</w:t>
      </w:r>
    </w:p>
    <w:p>
      <w:pPr>
        <w:pStyle w:val="Defstart"/>
        <w:keepNext/>
      </w:pPr>
      <w:r>
        <w:rPr>
          <w:b/>
        </w:rPr>
        <w:tab/>
      </w:r>
      <w:r>
        <w:rPr>
          <w:rStyle w:val="CharDefText"/>
        </w:rPr>
        <w:t>Wanneroo holiday resort</w:t>
      </w:r>
      <w:r>
        <w:t xml:space="preserve"> means the area or areas prescribed for the purposes of this definition.</w:t>
      </w:r>
    </w:p>
    <w:p>
      <w:pPr>
        <w:pStyle w:val="Footnotesection"/>
      </w:pPr>
      <w:r>
        <w:tab/>
        <w:t>[Section 12A inserted by No. 47 of 2006 s. 9; amended by No. 22 of 2010 s. 5; No. 36 of 2010 s. 4; No. 37 of 2010 s. 4; No. 13 of 2012 s. 5.]</w:t>
      </w:r>
    </w:p>
    <w:p>
      <w:pPr>
        <w:pStyle w:val="Heading5"/>
      </w:pPr>
      <w:bookmarkStart w:id="44" w:name="_Toc404159189"/>
      <w:bookmarkStart w:id="45" w:name="_Toc425754787"/>
      <w:r>
        <w:rPr>
          <w:rStyle w:val="CharSectno"/>
        </w:rPr>
        <w:t>12B</w:t>
      </w:r>
      <w:r>
        <w:t>.</w:t>
      </w:r>
      <w:r>
        <w:tab/>
        <w:t>Trading hours for motor vehicle shops</w:t>
      </w:r>
      <w:bookmarkEnd w:id="44"/>
      <w:bookmarkEnd w:id="45"/>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r>
        <w:tab/>
        <w:t>[Section 12B inserted by No. 47 of 2006 s. 9.]</w:t>
      </w:r>
    </w:p>
    <w:p>
      <w:pPr>
        <w:pStyle w:val="Heading5"/>
      </w:pPr>
      <w:bookmarkStart w:id="46" w:name="_Toc404159190"/>
      <w:bookmarkStart w:id="47" w:name="_Toc425754788"/>
      <w:r>
        <w:rPr>
          <w:rStyle w:val="CharSectno"/>
        </w:rPr>
        <w:t>12C</w:t>
      </w:r>
      <w:r>
        <w:t>.</w:t>
      </w:r>
      <w:r>
        <w:tab/>
        <w:t>No restriction on trading hours for small retail shops</w:t>
      </w:r>
      <w:bookmarkEnd w:id="46"/>
      <w:bookmarkEnd w:id="47"/>
    </w:p>
    <w:p>
      <w:pPr>
        <w:pStyle w:val="Subsection"/>
      </w:pPr>
      <w:r>
        <w:tab/>
      </w:r>
      <w:r>
        <w:tab/>
        <w:t>A small retail shop may be open at any time.</w:t>
      </w:r>
    </w:p>
    <w:p>
      <w:pPr>
        <w:pStyle w:val="Footnotesection"/>
      </w:pPr>
      <w:r>
        <w:tab/>
        <w:t>[Section 12C inserted by No. 47 of 2006 s. 9.]</w:t>
      </w:r>
    </w:p>
    <w:p>
      <w:pPr>
        <w:pStyle w:val="Heading5"/>
      </w:pPr>
      <w:bookmarkStart w:id="48" w:name="_Toc404159191"/>
      <w:bookmarkStart w:id="49" w:name="_Toc425754789"/>
      <w:r>
        <w:rPr>
          <w:rStyle w:val="CharSectno"/>
        </w:rPr>
        <w:t>12D</w:t>
      </w:r>
      <w:r>
        <w:t>.</w:t>
      </w:r>
      <w:r>
        <w:tab/>
        <w:t>Trading hours for special retail shops</w:t>
      </w:r>
      <w:bookmarkEnd w:id="48"/>
      <w:bookmarkEnd w:id="49"/>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r>
        <w:tab/>
        <w:t>[Section 12D inserted by No. 47 of 2006 s. 9.]</w:t>
      </w:r>
    </w:p>
    <w:p>
      <w:pPr>
        <w:pStyle w:val="Heading5"/>
      </w:pPr>
      <w:bookmarkStart w:id="50" w:name="_Toc404159192"/>
      <w:bookmarkStart w:id="51" w:name="_Toc425754790"/>
      <w:r>
        <w:rPr>
          <w:rStyle w:val="CharSectno"/>
        </w:rPr>
        <w:t>12E</w:t>
      </w:r>
      <w:r>
        <w:t>.</w:t>
      </w:r>
      <w:r>
        <w:tab/>
        <w:t>Variation of trading hours</w:t>
      </w:r>
      <w:bookmarkEnd w:id="50"/>
      <w:bookmarkEnd w:id="51"/>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 xml:space="preserve">Without limiting the effect of subsection (3A), but despite any other provision of this section, an order can vary the trading hours of general retail shops in the metropolitan area only in relation to a day that is — </w:t>
      </w:r>
    </w:p>
    <w:p>
      <w:pPr>
        <w:pStyle w:val="Indenta"/>
      </w:pPr>
      <w:r>
        <w:tab/>
        <w:t>(a)</w:t>
      </w:r>
      <w:r>
        <w:tab/>
        <w:t>within the period of 28 days ending on 1 January; or</w:t>
      </w:r>
    </w:p>
    <w:p>
      <w:pPr>
        <w:pStyle w:val="Indenta"/>
      </w:pPr>
      <w:r>
        <w:tab/>
        <w:t>(b)</w:t>
      </w:r>
      <w:r>
        <w:tab/>
        <w:t>a public holiday or public half</w:t>
      </w:r>
      <w:r>
        <w:noBreakHyphen/>
        <w:t>holiday outside that period.</w:t>
      </w:r>
    </w:p>
    <w:p>
      <w:pPr>
        <w:pStyle w:val="Subsection"/>
      </w:pPr>
      <w:r>
        <w:tab/>
        <w:t>(3A)</w:t>
      </w:r>
      <w:r>
        <w:tab/>
        <w:t>An order cannot authorise general retail shops in the metropolitan area to be open on Anzac Day (25 April), Christmas Day (25 December) or Good Friday.</w:t>
      </w:r>
    </w:p>
    <w:p>
      <w:pPr>
        <w:pStyle w:val="Subsection"/>
      </w:pPr>
      <w:r>
        <w:tab/>
        <w:t>(3)</w:t>
      </w:r>
      <w:r>
        <w:tab/>
        <w:t xml:space="preserve">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tab/>
      </w:r>
      <w:r>
        <w:rPr>
          <w:rStyle w:val="CharDefText"/>
        </w:rPr>
        <w:t>order</w:t>
      </w:r>
      <w:r>
        <w:t xml:space="preserve"> means an order made under subsection (1);</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 No. 13 of 2012 s. 6.]</w:t>
      </w:r>
    </w:p>
    <w:p>
      <w:pPr>
        <w:pStyle w:val="Ednotesection"/>
      </w:pPr>
      <w:r>
        <w:t>[</w:t>
      </w:r>
      <w:r>
        <w:rPr>
          <w:b/>
          <w:bCs/>
        </w:rPr>
        <w:t>13.</w:t>
      </w:r>
      <w:r>
        <w:tab/>
        <w:t>Deleted by No. 47 of 2006 s. 10.]</w:t>
      </w:r>
    </w:p>
    <w:p>
      <w:pPr>
        <w:pStyle w:val="Heading5"/>
      </w:pPr>
      <w:bookmarkStart w:id="52" w:name="_Toc404159193"/>
      <w:bookmarkStart w:id="53" w:name="_Toc425754791"/>
      <w:r>
        <w:rPr>
          <w:rStyle w:val="CharSectno"/>
        </w:rPr>
        <w:t>14</w:t>
      </w:r>
      <w:r>
        <w:t>.</w:t>
      </w:r>
      <w:r>
        <w:tab/>
        <w:t>No restriction on trading hours for filling stations</w:t>
      </w:r>
      <w:bookmarkEnd w:id="52"/>
      <w:bookmarkEnd w:id="53"/>
    </w:p>
    <w:p>
      <w:pPr>
        <w:pStyle w:val="Subsection"/>
      </w:pPr>
      <w:r>
        <w:tab/>
      </w:r>
      <w:r>
        <w:tab/>
        <w:t>A filling station may be open at any time.</w:t>
      </w:r>
    </w:p>
    <w:p>
      <w:pPr>
        <w:pStyle w:val="Footnotesection"/>
      </w:pPr>
      <w:r>
        <w:tab/>
        <w:t>[Section 14 inserted by No. 47 of 2006 s. 11.]</w:t>
      </w:r>
    </w:p>
    <w:p>
      <w:pPr>
        <w:pStyle w:val="Heading5"/>
      </w:pPr>
      <w:bookmarkStart w:id="54" w:name="_Toc404159194"/>
      <w:bookmarkStart w:id="55" w:name="_Toc425754792"/>
      <w:r>
        <w:rPr>
          <w:rStyle w:val="CharSectno"/>
        </w:rPr>
        <w:t>14A</w:t>
      </w:r>
      <w:r>
        <w:t>.</w:t>
      </w:r>
      <w:r>
        <w:tab/>
        <w:t>Goods that can be sold at filling stations</w:t>
      </w:r>
      <w:bookmarkEnd w:id="54"/>
      <w:bookmarkEnd w:id="55"/>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 or</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r>
        <w:tab/>
        <w:t>[Section 14A inserted by No. 47 of 2006 s. 11; amended by No. 38 of 2010 s. 6.]</w:t>
      </w:r>
    </w:p>
    <w:p>
      <w:pPr>
        <w:pStyle w:val="Heading5"/>
      </w:pPr>
      <w:bookmarkStart w:id="56" w:name="_Toc404159195"/>
      <w:bookmarkStart w:id="57" w:name="_Toc425754793"/>
      <w:r>
        <w:rPr>
          <w:rStyle w:val="CharSectno"/>
        </w:rPr>
        <w:t>14B</w:t>
      </w:r>
      <w:r>
        <w:t>.</w:t>
      </w:r>
      <w:r>
        <w:tab/>
        <w:t>Small filling stations, general provisions about</w:t>
      </w:r>
      <w:bookmarkEnd w:id="56"/>
      <w:bookmarkEnd w:id="57"/>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 or</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r>
      <w:r>
        <w:tab/>
        <w:t>and</w:t>
      </w:r>
    </w:p>
    <w:p>
      <w:pPr>
        <w:pStyle w:val="Indenta"/>
      </w:pPr>
      <w:r>
        <w:tab/>
        <w:t>(b)</w:t>
      </w:r>
      <w:r>
        <w:tab/>
        <w:t>the filling station is operated for the benefit of the eligible persons referred to in paragraph (a); and</w:t>
      </w:r>
    </w:p>
    <w:p>
      <w:pPr>
        <w:pStyle w:val="Indenta"/>
      </w:pPr>
      <w:r>
        <w:tab/>
        <w:t>(c)</w:t>
      </w:r>
      <w:r>
        <w:tab/>
        <w:t>the eligible persons referred to in paragraph (a) are personally and actively engaged in the filling station; and</w:t>
      </w:r>
    </w:p>
    <w:p>
      <w:pPr>
        <w:pStyle w:val="Indenta"/>
      </w:pPr>
      <w:r>
        <w:tab/>
        <w:t>(d)</w:t>
      </w:r>
      <w:r>
        <w:tab/>
        <w:t>not more than 10 persons (including the eligible persons who own and operate the filling station) work in the filling station at any one and the same time; and</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 and</w:t>
      </w:r>
    </w:p>
    <w:p>
      <w:pPr>
        <w:pStyle w:val="Indenti"/>
      </w:pPr>
      <w:r>
        <w:tab/>
        <w:t>(ii)</w:t>
      </w:r>
      <w:r>
        <w:tab/>
        <w:t>does not own or operate another filling station together with a person who is outside that group of persons; and</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keepLines/>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r>
        <w:tab/>
        <w:t>[Section 14B inserted by No. 47 of 2006 s. 11.]</w:t>
      </w:r>
    </w:p>
    <w:p>
      <w:pPr>
        <w:pStyle w:val="Heading5"/>
      </w:pPr>
      <w:bookmarkStart w:id="58" w:name="_Toc404159196"/>
      <w:bookmarkStart w:id="59" w:name="_Toc425754794"/>
      <w:r>
        <w:rPr>
          <w:rStyle w:val="CharSectno"/>
        </w:rPr>
        <w:t>14C</w:t>
      </w:r>
      <w:r>
        <w:t>.</w:t>
      </w:r>
      <w:r>
        <w:tab/>
        <w:t>Certifying filling stations as small filling stations</w:t>
      </w:r>
      <w:bookmarkEnd w:id="58"/>
      <w:bookmarkEnd w:id="59"/>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spacing w:before="120"/>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spacing w:before="120"/>
      </w:pPr>
      <w:r>
        <w:tab/>
        <w:t>(3)</w:t>
      </w:r>
      <w:r>
        <w:tab/>
        <w:t>A person who is aggrieved by a decision of the chief executive officer refusing the issue of a certificate under subsection (2) may appeal to the Minister, whose decision is final.</w:t>
      </w:r>
    </w:p>
    <w:p>
      <w:pPr>
        <w:pStyle w:val="Subsection"/>
        <w:spacing w:before="120"/>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spacing w:before="120"/>
      </w:pPr>
      <w:r>
        <w:tab/>
        <w:t>(5)</w:t>
      </w:r>
      <w:r>
        <w:tab/>
        <w:t>The cancellation of a certificate under this section does not prevent a person from being prosecuted for an offence against this Act.</w:t>
      </w:r>
    </w:p>
    <w:p>
      <w:pPr>
        <w:pStyle w:val="Footnotesection"/>
        <w:spacing w:before="80"/>
        <w:ind w:left="890" w:hanging="890"/>
      </w:pPr>
      <w:r>
        <w:tab/>
        <w:t>[Section 14C inserted by No. 47 of 2006 s. 11; amended by No. 38 of 2010 s. 7.]</w:t>
      </w:r>
    </w:p>
    <w:p>
      <w:pPr>
        <w:pStyle w:val="Heading5"/>
        <w:rPr>
          <w:snapToGrid w:val="0"/>
        </w:rPr>
      </w:pPr>
      <w:bookmarkStart w:id="60" w:name="_Toc404159197"/>
      <w:bookmarkStart w:id="61" w:name="_Toc425754795"/>
      <w:r>
        <w:rPr>
          <w:rStyle w:val="CharSectno"/>
        </w:rPr>
        <w:t>15</w:t>
      </w:r>
      <w:r>
        <w:rPr>
          <w:snapToGrid w:val="0"/>
        </w:rPr>
        <w:t>.</w:t>
      </w:r>
      <w:r>
        <w:rPr>
          <w:snapToGrid w:val="0"/>
        </w:rPr>
        <w:tab/>
        <w:t>Permits</w:t>
      </w:r>
      <w:bookmarkEnd w:id="60"/>
      <w:bookmarkEnd w:id="61"/>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spacing w:before="160"/>
        <w:rPr>
          <w:snapToGrid w:val="0"/>
        </w:rPr>
      </w:pPr>
      <w:bookmarkStart w:id="62" w:name="_Toc404159198"/>
      <w:bookmarkStart w:id="63" w:name="_Toc425754796"/>
      <w:r>
        <w:rPr>
          <w:rStyle w:val="CharSectno"/>
        </w:rPr>
        <w:t>16</w:t>
      </w:r>
      <w:r>
        <w:rPr>
          <w:snapToGrid w:val="0"/>
        </w:rPr>
        <w:t>.</w:t>
      </w:r>
      <w:r>
        <w:rPr>
          <w:snapToGrid w:val="0"/>
        </w:rPr>
        <w:tab/>
        <w:t>Covenants relating to opening of retail shops</w:t>
      </w:r>
      <w:bookmarkEnd w:id="62"/>
      <w:bookmarkEnd w:id="63"/>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Ednotesection"/>
        <w:spacing w:before="160"/>
        <w:ind w:left="890" w:hanging="890"/>
      </w:pPr>
      <w:r>
        <w:t>[</w:t>
      </w:r>
      <w:r>
        <w:rPr>
          <w:b/>
          <w:bCs/>
        </w:rPr>
        <w:t>17-21.</w:t>
      </w:r>
      <w:r>
        <w:tab/>
        <w:t>Deleted by No. 23 of 2014 s. 93.]</w:t>
      </w:r>
    </w:p>
    <w:p>
      <w:pPr>
        <w:pStyle w:val="Heading2"/>
      </w:pPr>
      <w:bookmarkStart w:id="64" w:name="_Toc404159199"/>
      <w:bookmarkStart w:id="65" w:name="_Toc416962518"/>
      <w:bookmarkStart w:id="66" w:name="_Toc416962570"/>
      <w:bookmarkStart w:id="67" w:name="_Toc423357128"/>
      <w:bookmarkStart w:id="68" w:name="_Toc425754797"/>
      <w:r>
        <w:rPr>
          <w:rStyle w:val="CharPartNo"/>
        </w:rPr>
        <w:t>Part IV</w:t>
      </w:r>
      <w:r>
        <w:rPr>
          <w:rStyle w:val="CharDivNo"/>
        </w:rPr>
        <w:t> </w:t>
      </w:r>
      <w:r>
        <w:t>—</w:t>
      </w:r>
      <w:r>
        <w:rPr>
          <w:rStyle w:val="CharDivText"/>
        </w:rPr>
        <w:t> </w:t>
      </w:r>
      <w:r>
        <w:rPr>
          <w:rStyle w:val="CharPartText"/>
        </w:rPr>
        <w:t>Miscellaneous</w:t>
      </w:r>
      <w:bookmarkEnd w:id="64"/>
      <w:bookmarkEnd w:id="65"/>
      <w:bookmarkEnd w:id="66"/>
      <w:bookmarkEnd w:id="67"/>
      <w:bookmarkEnd w:id="68"/>
      <w:r>
        <w:rPr>
          <w:rStyle w:val="CharPartText"/>
        </w:rPr>
        <w:t xml:space="preserve"> </w:t>
      </w:r>
    </w:p>
    <w:p>
      <w:pPr>
        <w:pStyle w:val="Heading5"/>
        <w:rPr>
          <w:snapToGrid w:val="0"/>
        </w:rPr>
      </w:pPr>
      <w:bookmarkStart w:id="69" w:name="_Toc404159200"/>
      <w:bookmarkStart w:id="70" w:name="_Toc425754798"/>
      <w:r>
        <w:rPr>
          <w:rStyle w:val="CharSectno"/>
        </w:rPr>
        <w:t>22</w:t>
      </w:r>
      <w:r>
        <w:rPr>
          <w:snapToGrid w:val="0"/>
        </w:rPr>
        <w:t>.</w:t>
      </w:r>
      <w:r>
        <w:rPr>
          <w:snapToGrid w:val="0"/>
        </w:rPr>
        <w:tab/>
        <w:t>Covenants contrary to this Act negated</w:t>
      </w:r>
      <w:bookmarkEnd w:id="69"/>
      <w:bookmarkEnd w:id="70"/>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71" w:name="_Toc404159201"/>
      <w:bookmarkStart w:id="72" w:name="_Toc425754799"/>
      <w:r>
        <w:rPr>
          <w:rStyle w:val="CharSectno"/>
        </w:rPr>
        <w:t>23</w:t>
      </w:r>
      <w:r>
        <w:rPr>
          <w:snapToGrid w:val="0"/>
        </w:rPr>
        <w:t>.</w:t>
      </w:r>
      <w:r>
        <w:rPr>
          <w:snapToGrid w:val="0"/>
        </w:rPr>
        <w:tab/>
        <w:t>Auctions of domestic furniture at dwelling house</w:t>
      </w:r>
      <w:bookmarkEnd w:id="71"/>
      <w:bookmarkEnd w:id="72"/>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73" w:name="_Toc404159202"/>
      <w:bookmarkStart w:id="74" w:name="_Toc425754800"/>
      <w:r>
        <w:rPr>
          <w:rStyle w:val="CharSectno"/>
        </w:rPr>
        <w:t>24</w:t>
      </w:r>
      <w:r>
        <w:rPr>
          <w:snapToGrid w:val="0"/>
        </w:rPr>
        <w:t>.</w:t>
      </w:r>
      <w:r>
        <w:rPr>
          <w:snapToGrid w:val="0"/>
        </w:rPr>
        <w:tab/>
        <w:t>When retail shop deemed not to be closed</w:t>
      </w:r>
      <w:bookmarkEnd w:id="73"/>
      <w:bookmarkEnd w:id="74"/>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75" w:name="_Toc404159203"/>
      <w:bookmarkStart w:id="76" w:name="_Toc425754801"/>
      <w:r>
        <w:rPr>
          <w:rStyle w:val="CharSectno"/>
        </w:rPr>
        <w:t>25</w:t>
      </w:r>
      <w:r>
        <w:rPr>
          <w:snapToGrid w:val="0"/>
        </w:rPr>
        <w:t>.</w:t>
      </w:r>
      <w:r>
        <w:rPr>
          <w:snapToGrid w:val="0"/>
        </w:rPr>
        <w:tab/>
        <w:t>Offences as to operating retail shops</w:t>
      </w:r>
      <w:bookmarkEnd w:id="75"/>
      <w:bookmarkEnd w:id="76"/>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77" w:name="_Toc404159204"/>
      <w:bookmarkStart w:id="78" w:name="_Toc425754802"/>
      <w:r>
        <w:rPr>
          <w:rStyle w:val="CharSectno"/>
        </w:rPr>
        <w:t>26</w:t>
      </w:r>
      <w:r>
        <w:rPr>
          <w:snapToGrid w:val="0"/>
        </w:rPr>
        <w:t>.</w:t>
      </w:r>
      <w:r>
        <w:rPr>
          <w:snapToGrid w:val="0"/>
        </w:rPr>
        <w:tab/>
        <w:t>Advertisements of retail shopping hours, restrictions on</w:t>
      </w:r>
      <w:bookmarkEnd w:id="77"/>
      <w:bookmarkEnd w:id="78"/>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79" w:name="_Toc404159205"/>
      <w:bookmarkStart w:id="80" w:name="_Toc425754803"/>
      <w:r>
        <w:rPr>
          <w:rStyle w:val="CharSectno"/>
        </w:rPr>
        <w:t>27</w:t>
      </w:r>
      <w:r>
        <w:rPr>
          <w:snapToGrid w:val="0"/>
        </w:rPr>
        <w:t>.</w:t>
      </w:r>
      <w:r>
        <w:rPr>
          <w:snapToGrid w:val="0"/>
        </w:rPr>
        <w:tab/>
        <w:t>Chief executive officer’s powers</w:t>
      </w:r>
      <w:bookmarkEnd w:id="79"/>
      <w:bookmarkEnd w:id="80"/>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81" w:name="_Toc404159206"/>
      <w:bookmarkStart w:id="82" w:name="_Toc425754804"/>
      <w:r>
        <w:rPr>
          <w:rStyle w:val="CharSectno"/>
        </w:rPr>
        <w:t>27A</w:t>
      </w:r>
      <w:r>
        <w:rPr>
          <w:snapToGrid w:val="0"/>
        </w:rPr>
        <w:t>.</w:t>
      </w:r>
      <w:r>
        <w:rPr>
          <w:snapToGrid w:val="0"/>
        </w:rPr>
        <w:tab/>
        <w:t>Delegation</w:t>
      </w:r>
      <w:bookmarkEnd w:id="81"/>
      <w:bookmarkEnd w:id="82"/>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83" w:name="_Toc404159207"/>
      <w:bookmarkStart w:id="84" w:name="_Toc425754805"/>
      <w:r>
        <w:rPr>
          <w:rStyle w:val="CharSectno"/>
        </w:rPr>
        <w:t>28</w:t>
      </w:r>
      <w:r>
        <w:rPr>
          <w:snapToGrid w:val="0"/>
        </w:rPr>
        <w:t>.</w:t>
      </w:r>
      <w:r>
        <w:rPr>
          <w:snapToGrid w:val="0"/>
        </w:rPr>
        <w:tab/>
        <w:t>Access to places, books etc.</w:t>
      </w:r>
      <w:bookmarkEnd w:id="83"/>
      <w:bookmarkEnd w:id="84"/>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keepLines w:val="0"/>
        <w:widowControl w:val="0"/>
        <w:rPr>
          <w:snapToGrid w:val="0"/>
        </w:rPr>
      </w:pPr>
      <w:bookmarkStart w:id="85" w:name="_Toc404159208"/>
      <w:bookmarkStart w:id="86" w:name="_Toc425754806"/>
      <w:r>
        <w:rPr>
          <w:rStyle w:val="CharSectno"/>
        </w:rPr>
        <w:t>29</w:t>
      </w:r>
      <w:r>
        <w:rPr>
          <w:snapToGrid w:val="0"/>
        </w:rPr>
        <w:t>.</w:t>
      </w:r>
      <w:r>
        <w:rPr>
          <w:snapToGrid w:val="0"/>
        </w:rPr>
        <w:tab/>
        <w:t>Inspector or authorised person may require information</w:t>
      </w:r>
      <w:bookmarkEnd w:id="85"/>
      <w:bookmarkEnd w:id="86"/>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87" w:name="_Toc404159209"/>
      <w:bookmarkStart w:id="88" w:name="_Toc425754807"/>
      <w:r>
        <w:rPr>
          <w:rStyle w:val="CharSectno"/>
        </w:rPr>
        <w:t>30</w:t>
      </w:r>
      <w:r>
        <w:rPr>
          <w:snapToGrid w:val="0"/>
        </w:rPr>
        <w:t>.</w:t>
      </w:r>
      <w:r>
        <w:rPr>
          <w:snapToGrid w:val="0"/>
        </w:rPr>
        <w:tab/>
        <w:t>Obstructing etc. inspector, authorised person etc.</w:t>
      </w:r>
      <w:bookmarkEnd w:id="87"/>
      <w:bookmarkEnd w:id="8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spacing w:before="240"/>
        <w:rPr>
          <w:snapToGrid w:val="0"/>
        </w:rPr>
      </w:pPr>
      <w:bookmarkStart w:id="89" w:name="_Toc404159210"/>
      <w:bookmarkStart w:id="90" w:name="_Toc425754808"/>
      <w:r>
        <w:rPr>
          <w:rStyle w:val="CharSectno"/>
        </w:rPr>
        <w:t>31</w:t>
      </w:r>
      <w:r>
        <w:rPr>
          <w:snapToGrid w:val="0"/>
        </w:rPr>
        <w:t>.</w:t>
      </w:r>
      <w:r>
        <w:rPr>
          <w:snapToGrid w:val="0"/>
        </w:rPr>
        <w:tab/>
        <w:t>Protection of person questioned</w:t>
      </w:r>
      <w:bookmarkEnd w:id="89"/>
      <w:bookmarkEnd w:id="90"/>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240"/>
        <w:rPr>
          <w:snapToGrid w:val="0"/>
        </w:rPr>
      </w:pPr>
      <w:bookmarkStart w:id="91" w:name="_Toc404159211"/>
      <w:bookmarkStart w:id="92" w:name="_Toc425754809"/>
      <w:r>
        <w:rPr>
          <w:rStyle w:val="CharSectno"/>
        </w:rPr>
        <w:t>32</w:t>
      </w:r>
      <w:r>
        <w:rPr>
          <w:snapToGrid w:val="0"/>
        </w:rPr>
        <w:t>.</w:t>
      </w:r>
      <w:r>
        <w:rPr>
          <w:snapToGrid w:val="0"/>
        </w:rPr>
        <w:tab/>
        <w:t>Unauthorised disclosure of information</w:t>
      </w:r>
      <w:bookmarkEnd w:id="91"/>
      <w:bookmarkEnd w:id="92"/>
    </w:p>
    <w:p>
      <w:pPr>
        <w:pStyle w:val="Subsection"/>
        <w:spacing w:before="18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r>
        <w:tab/>
        <w:t>[Section 32 amended by No. 47 of 2006 s. 17.]</w:t>
      </w:r>
    </w:p>
    <w:p>
      <w:pPr>
        <w:pStyle w:val="Heading5"/>
        <w:spacing w:before="240"/>
        <w:rPr>
          <w:snapToGrid w:val="0"/>
        </w:rPr>
      </w:pPr>
      <w:bookmarkStart w:id="93" w:name="_Toc404159212"/>
      <w:bookmarkStart w:id="94" w:name="_Toc425754810"/>
      <w:r>
        <w:rPr>
          <w:rStyle w:val="CharSectno"/>
        </w:rPr>
        <w:t>33</w:t>
      </w:r>
      <w:r>
        <w:rPr>
          <w:snapToGrid w:val="0"/>
        </w:rPr>
        <w:t>.</w:t>
      </w:r>
      <w:r>
        <w:rPr>
          <w:snapToGrid w:val="0"/>
        </w:rPr>
        <w:tab/>
        <w:t>Offences as to dishonesty or damage</w:t>
      </w:r>
      <w:bookmarkEnd w:id="93"/>
      <w:bookmarkEnd w:id="94"/>
    </w:p>
    <w:p>
      <w:pPr>
        <w:pStyle w:val="Subsection"/>
        <w:spacing w:before="18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spacing w:before="180"/>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spacing w:before="180"/>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r>
        <w:tab/>
        <w:t>[Section 33 amended by No. 47 of 2006 s. 17.]</w:t>
      </w:r>
    </w:p>
    <w:p>
      <w:pPr>
        <w:pStyle w:val="Heading5"/>
        <w:spacing w:before="240"/>
        <w:rPr>
          <w:snapToGrid w:val="0"/>
        </w:rPr>
      </w:pPr>
      <w:bookmarkStart w:id="95" w:name="_Toc404159213"/>
      <w:bookmarkStart w:id="96" w:name="_Toc425754811"/>
      <w:r>
        <w:rPr>
          <w:rStyle w:val="CharSectno"/>
        </w:rPr>
        <w:t>34</w:t>
      </w:r>
      <w:r>
        <w:rPr>
          <w:snapToGrid w:val="0"/>
        </w:rPr>
        <w:t>.</w:t>
      </w:r>
      <w:r>
        <w:rPr>
          <w:snapToGrid w:val="0"/>
        </w:rPr>
        <w:tab/>
        <w:t>Liability of directors etc. of bodies corporate</w:t>
      </w:r>
      <w:bookmarkEnd w:id="95"/>
      <w:bookmarkEnd w:id="96"/>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97" w:name="_Toc404159214"/>
      <w:bookmarkStart w:id="98" w:name="_Toc425754812"/>
      <w:r>
        <w:rPr>
          <w:rStyle w:val="CharSectno"/>
        </w:rPr>
        <w:t>35</w:t>
      </w:r>
      <w:r>
        <w:rPr>
          <w:snapToGrid w:val="0"/>
        </w:rPr>
        <w:t>.</w:t>
      </w:r>
      <w:r>
        <w:rPr>
          <w:snapToGrid w:val="0"/>
        </w:rPr>
        <w:tab/>
        <w:t>Records etc. for this Act, availability of</w:t>
      </w:r>
      <w:bookmarkEnd w:id="97"/>
      <w:bookmarkEnd w:id="98"/>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99" w:name="_Toc404159215"/>
      <w:bookmarkStart w:id="100" w:name="_Toc425754813"/>
      <w:r>
        <w:rPr>
          <w:rStyle w:val="CharSectno"/>
        </w:rPr>
        <w:t>36</w:t>
      </w:r>
      <w:r>
        <w:rPr>
          <w:snapToGrid w:val="0"/>
        </w:rPr>
        <w:t>.</w:t>
      </w:r>
      <w:r>
        <w:rPr>
          <w:snapToGrid w:val="0"/>
        </w:rPr>
        <w:tab/>
        <w:t>Records etc. for this Act to be in English</w:t>
      </w:r>
      <w:bookmarkEnd w:id="99"/>
      <w:bookmarkEnd w:id="100"/>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101" w:name="_Toc404159216"/>
      <w:bookmarkStart w:id="102" w:name="_Toc425754814"/>
      <w:r>
        <w:rPr>
          <w:rStyle w:val="CharSectno"/>
        </w:rPr>
        <w:t>37</w:t>
      </w:r>
      <w:r>
        <w:rPr>
          <w:snapToGrid w:val="0"/>
        </w:rPr>
        <w:t>.</w:t>
      </w:r>
      <w:r>
        <w:rPr>
          <w:snapToGrid w:val="0"/>
        </w:rPr>
        <w:tab/>
        <w:t>Prosecutions of offences need chief executive officer’s consent</w:t>
      </w:r>
      <w:bookmarkEnd w:id="101"/>
      <w:bookmarkEnd w:id="102"/>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103" w:name="_Toc404159217"/>
      <w:bookmarkStart w:id="104" w:name="_Toc425754815"/>
      <w:r>
        <w:rPr>
          <w:rStyle w:val="CharSectno"/>
        </w:rPr>
        <w:t>38</w:t>
      </w:r>
      <w:r>
        <w:rPr>
          <w:snapToGrid w:val="0"/>
        </w:rPr>
        <w:t>.</w:t>
      </w:r>
      <w:r>
        <w:rPr>
          <w:snapToGrid w:val="0"/>
        </w:rPr>
        <w:tab/>
        <w:t>Protection of officers, members and others</w:t>
      </w:r>
      <w:bookmarkEnd w:id="103"/>
      <w:bookmarkEnd w:id="104"/>
      <w:r>
        <w:rPr>
          <w:snapToGrid w:val="0"/>
        </w:rPr>
        <w:t xml:space="preserve"> </w:t>
      </w:r>
    </w:p>
    <w:p>
      <w:pPr>
        <w:pStyle w:val="Subsection"/>
        <w:rPr>
          <w:snapToGrid w:val="0"/>
        </w:rPr>
      </w:pPr>
      <w:r>
        <w:rPr>
          <w:snapToGrid w:val="0"/>
        </w:rPr>
        <w:tab/>
      </w:r>
      <w:r>
        <w:rPr>
          <w:snapToGrid w:val="0"/>
        </w:rPr>
        <w:tab/>
        <w:t xml:space="preserve">No liability attaches to the chief executive officer, any inspector, authorised </w:t>
      </w:r>
      <w:r>
        <w:t>person or officer of the Department</w:t>
      </w:r>
      <w:r>
        <w:rPr>
          <w:snapToGrid w:val="0"/>
        </w:rPr>
        <w:t xml:space="preserv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No. 23 of 2014 s. 94.] </w:t>
      </w:r>
    </w:p>
    <w:p>
      <w:pPr>
        <w:pStyle w:val="Heading5"/>
        <w:rPr>
          <w:snapToGrid w:val="0"/>
        </w:rPr>
      </w:pPr>
      <w:bookmarkStart w:id="105" w:name="_Toc404159218"/>
      <w:bookmarkStart w:id="106" w:name="_Toc425754816"/>
      <w:r>
        <w:rPr>
          <w:rStyle w:val="CharSectno"/>
        </w:rPr>
        <w:t>39</w:t>
      </w:r>
      <w:r>
        <w:rPr>
          <w:snapToGrid w:val="0"/>
        </w:rPr>
        <w:t>.</w:t>
      </w:r>
      <w:r>
        <w:rPr>
          <w:snapToGrid w:val="0"/>
        </w:rPr>
        <w:tab/>
        <w:t>Evidentiary provisions</w:t>
      </w:r>
      <w:bookmarkEnd w:id="105"/>
      <w:bookmarkEnd w:id="106"/>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spacing w:before="240"/>
        <w:rPr>
          <w:snapToGrid w:val="0"/>
        </w:rPr>
      </w:pPr>
      <w:bookmarkStart w:id="107" w:name="_Toc404159219"/>
      <w:bookmarkStart w:id="108" w:name="_Toc425754817"/>
      <w:r>
        <w:rPr>
          <w:rStyle w:val="CharSectno"/>
        </w:rPr>
        <w:t>40</w:t>
      </w:r>
      <w:r>
        <w:rPr>
          <w:snapToGrid w:val="0"/>
        </w:rPr>
        <w:t>.</w:t>
      </w:r>
      <w:r>
        <w:rPr>
          <w:snapToGrid w:val="0"/>
        </w:rPr>
        <w:tab/>
        <w:t>Regulations</w:t>
      </w:r>
      <w:bookmarkEnd w:id="107"/>
      <w:bookmarkEnd w:id="108"/>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109" w:name="_Toc404159220"/>
      <w:bookmarkStart w:id="110" w:name="_Toc425754818"/>
      <w:r>
        <w:rPr>
          <w:rStyle w:val="CharSectno"/>
        </w:rPr>
        <w:t>41</w:t>
      </w:r>
      <w:r>
        <w:t>.</w:t>
      </w:r>
      <w:r>
        <w:tab/>
        <w:t>Review of Act</w:t>
      </w:r>
      <w:bookmarkEnd w:id="109"/>
      <w:bookmarkEnd w:id="110"/>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111" w:name="_Toc404159221"/>
      <w:bookmarkStart w:id="112" w:name="_Toc425754819"/>
      <w:r>
        <w:rPr>
          <w:rStyle w:val="CharSectno"/>
        </w:rPr>
        <w:t>42</w:t>
      </w:r>
      <w:r>
        <w:rPr>
          <w:snapToGrid w:val="0"/>
        </w:rPr>
        <w:t>.</w:t>
      </w:r>
      <w:r>
        <w:rPr>
          <w:snapToGrid w:val="0"/>
        </w:rPr>
        <w:tab/>
        <w:t>Savings</w:t>
      </w:r>
      <w:bookmarkEnd w:id="111"/>
      <w:bookmarkEnd w:id="112"/>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r>
        <w:rPr>
          <w:vertAlign w:val="superscript"/>
        </w:rPr>
        <w:t> 1</w:t>
      </w:r>
      <w:r>
        <w:t>.</w:t>
      </w:r>
    </w:p>
    <w:p>
      <w:pPr>
        <w:pStyle w:val="Footnotesection"/>
      </w:pPr>
      <w:r>
        <w:tab/>
        <w:t xml:space="preserve">[Section 42 amended by No. 73 of 1994 s. 4.] </w:t>
      </w:r>
    </w:p>
    <w:p>
      <w:pPr>
        <w:pStyle w:val="Ednotesection"/>
      </w:pPr>
      <w:r>
        <w:t>[</w:t>
      </w:r>
      <w:r>
        <w:rPr>
          <w:b/>
          <w:bCs/>
        </w:rPr>
        <w:t>43.</w:t>
      </w:r>
      <w:r>
        <w:tab/>
        <w:t>Deleted by No. 47 of 2006 s. 15.]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13" w:name="_Toc404159222"/>
      <w:bookmarkStart w:id="114" w:name="_Toc416962541"/>
      <w:bookmarkStart w:id="115" w:name="_Toc416962593"/>
      <w:bookmarkStart w:id="116" w:name="_Toc423357151"/>
      <w:bookmarkStart w:id="117" w:name="_Toc425754820"/>
      <w:r>
        <w:t>Notes</w:t>
      </w:r>
      <w:bookmarkEnd w:id="113"/>
      <w:bookmarkEnd w:id="114"/>
      <w:bookmarkEnd w:id="115"/>
      <w:bookmarkEnd w:id="116"/>
      <w:bookmarkEnd w:id="117"/>
    </w:p>
    <w:p>
      <w:pPr>
        <w:pStyle w:val="nSubsection"/>
      </w:pPr>
      <w:r>
        <w:rPr>
          <w:vertAlign w:val="superscript"/>
        </w:rPr>
        <w:t>1</w:t>
      </w:r>
      <w:r>
        <w:tab/>
        <w:t xml:space="preserve">This reprint is a compilation as at 7 August 2015 of the </w:t>
      </w:r>
      <w:r>
        <w:rPr>
          <w:i/>
        </w:rPr>
        <w:t xml:space="preserve">Retail Trading Hours Act 1987 </w:t>
      </w:r>
      <w:r>
        <w:t>and includes the amendments made by the other written laws referred to in the following table</w:t>
      </w:r>
      <w:r>
        <w:rPr>
          <w:vertAlign w:val="superscript"/>
        </w:rPr>
        <w:t> </w:t>
      </w:r>
      <w:r>
        <w:t>.  The table also contains information about any reprint.</w:t>
      </w:r>
    </w:p>
    <w:p>
      <w:pPr>
        <w:pStyle w:val="nHeading3"/>
      </w:pPr>
      <w:bookmarkStart w:id="118" w:name="_Toc425754821"/>
      <w:r>
        <w:t>Compilation table</w:t>
      </w:r>
      <w:bookmarkEnd w:id="11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Retail Trading Hours Act 1987</w:t>
            </w:r>
          </w:p>
        </w:tc>
        <w:tc>
          <w:tcPr>
            <w:tcW w:w="1134" w:type="dxa"/>
            <w:tcBorders>
              <w:top w:val="single" w:sz="8" w:space="0" w:color="auto"/>
            </w:tcBorders>
          </w:tcPr>
          <w:p>
            <w:pPr>
              <w:pStyle w:val="nTable"/>
              <w:spacing w:after="40"/>
            </w:pPr>
            <w:r>
              <w:t>123 of 1987</w:t>
            </w:r>
          </w:p>
        </w:tc>
        <w:tc>
          <w:tcPr>
            <w:tcW w:w="1134" w:type="dxa"/>
            <w:tcBorders>
              <w:top w:val="single" w:sz="8" w:space="0" w:color="auto"/>
            </w:tcBorders>
          </w:tcPr>
          <w:p>
            <w:pPr>
              <w:pStyle w:val="nTable"/>
              <w:spacing w:after="40"/>
            </w:pPr>
            <w:r>
              <w:t>31 Dec 1987</w:t>
            </w:r>
          </w:p>
        </w:tc>
        <w:tc>
          <w:tcPr>
            <w:tcW w:w="2552" w:type="dxa"/>
            <w:tcBorders>
              <w:top w:val="single" w:sz="8" w:space="0" w:color="auto"/>
            </w:tcBorders>
          </w:tcPr>
          <w:p>
            <w:pPr>
              <w:pStyle w:val="nTable"/>
              <w:spacing w:after="40"/>
            </w:pPr>
            <w:r>
              <w:t>s. 1 and 2: 31 Dec 1987;</w:t>
            </w:r>
            <w:r>
              <w:br/>
              <w:t xml:space="preserve">Act other than s. 1 and 2: 1 Sep 1988 (see s. 2 and </w:t>
            </w:r>
            <w:r>
              <w:rPr>
                <w:i/>
              </w:rPr>
              <w:t>Gazette</w:t>
            </w:r>
            <w:r>
              <w:t xml:space="preserve"> 12 Aug 1988 p. 2695)</w:t>
            </w:r>
          </w:p>
        </w:tc>
      </w:tr>
      <w:tr>
        <w:trPr>
          <w:cantSplit/>
        </w:trPr>
        <w:tc>
          <w:tcPr>
            <w:tcW w:w="2269" w:type="dxa"/>
          </w:tcPr>
          <w:p>
            <w:pPr>
              <w:pStyle w:val="nTable"/>
              <w:spacing w:after="40"/>
              <w:ind w:right="113"/>
            </w:pPr>
            <w:r>
              <w:rPr>
                <w:i/>
              </w:rPr>
              <w:t>Retail Trading Hours Amendment Act 1991</w:t>
            </w:r>
          </w:p>
        </w:tc>
        <w:tc>
          <w:tcPr>
            <w:tcW w:w="1134" w:type="dxa"/>
          </w:tcPr>
          <w:p>
            <w:pPr>
              <w:pStyle w:val="nTable"/>
              <w:spacing w:after="40"/>
            </w:pPr>
            <w:r>
              <w:t>1 of 1991</w:t>
            </w:r>
          </w:p>
        </w:tc>
        <w:tc>
          <w:tcPr>
            <w:tcW w:w="1134" w:type="dxa"/>
          </w:tcPr>
          <w:p>
            <w:pPr>
              <w:pStyle w:val="nTable"/>
              <w:spacing w:after="40"/>
            </w:pPr>
            <w:r>
              <w:t>17 May 1991</w:t>
            </w:r>
          </w:p>
        </w:tc>
        <w:tc>
          <w:tcPr>
            <w:tcW w:w="2552" w:type="dxa"/>
          </w:tcPr>
          <w:p>
            <w:pPr>
              <w:pStyle w:val="nTable"/>
              <w:spacing w:after="40"/>
            </w:pPr>
            <w:r>
              <w:t>s. 1 and 2: 17 May 1991;</w:t>
            </w:r>
            <w:r>
              <w:br/>
              <w:t xml:space="preserve">Act other than s. 1, 2 and 12: 2 Aug 1991 (see s. 2 and </w:t>
            </w:r>
            <w:r>
              <w:rPr>
                <w:i/>
              </w:rPr>
              <w:t>Gazette</w:t>
            </w:r>
            <w:r>
              <w:t xml:space="preserve"> 2 Aug 1991 p. 3991);</w:t>
            </w:r>
            <w:r>
              <w:br/>
              <w:t xml:space="preserve">s. 12: 1 Nov 1991 (see s. 2 and </w:t>
            </w:r>
            <w:r>
              <w:rPr>
                <w:i/>
              </w:rPr>
              <w:t>Gazette</w:t>
            </w:r>
            <w:r>
              <w:t xml:space="preserve"> 1 Nov 1991 p. 5588)</w:t>
            </w:r>
          </w:p>
        </w:tc>
      </w:tr>
      <w:tr>
        <w:trPr>
          <w:cantSplit/>
        </w:trPr>
        <w:tc>
          <w:tcPr>
            <w:tcW w:w="2269"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Statutes (Repeals and Minor Amendments) Act 1994 </w:t>
            </w:r>
            <w:r>
              <w:t xml:space="preserve">s. 4 </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ind w:right="113"/>
            </w:pPr>
            <w:r>
              <w:rPr>
                <w:i/>
              </w:rPr>
              <w:t>Pawnbrokers and Second</w:t>
            </w:r>
            <w:r>
              <w:rPr>
                <w:i/>
              </w:rPr>
              <w:noBreakHyphen/>
              <w:t xml:space="preserve">hand Dealers Act 1994 </w:t>
            </w:r>
            <w:r>
              <w:t>s. 100</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 xml:space="preserve">1 Apr 1996 (see s. 2 and </w:t>
            </w:r>
            <w:r>
              <w:rPr>
                <w:i/>
              </w:rPr>
              <w:t>Gazette</w:t>
            </w:r>
            <w:r>
              <w:t xml:space="preserve"> 29 Mar 1996 p. 1495)</w:t>
            </w:r>
          </w:p>
        </w:tc>
      </w:tr>
      <w:tr>
        <w:trPr>
          <w:cantSplit/>
        </w:trPr>
        <w:tc>
          <w:tcPr>
            <w:tcW w:w="2269" w:type="dxa"/>
          </w:tcPr>
          <w:p>
            <w:pPr>
              <w:pStyle w:val="nTable"/>
              <w:spacing w:after="40"/>
              <w:ind w:right="113"/>
            </w:pPr>
            <w:r>
              <w:rPr>
                <w:i/>
              </w:rPr>
              <w:t xml:space="preserve">Local Government (Consequential Amendments) Act 1996 </w:t>
            </w:r>
            <w:r>
              <w:rPr>
                <w:kern w:val="20"/>
              </w:rP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9" w:type="dxa"/>
            <w:gridSpan w:val="4"/>
          </w:tcPr>
          <w:p>
            <w:pPr>
              <w:pStyle w:val="nTable"/>
              <w:spacing w:after="40"/>
            </w:pPr>
            <w:r>
              <w:rPr>
                <w:b/>
              </w:rPr>
              <w:t xml:space="preserve">Reprint of the </w:t>
            </w:r>
            <w:r>
              <w:rPr>
                <w:b/>
                <w:i/>
              </w:rPr>
              <w:t>Retail Trading Hours Act 1987</w:t>
            </w:r>
            <w:r>
              <w:rPr>
                <w:b/>
              </w:rPr>
              <w:t xml:space="preserve"> as at 18 Jan 2002</w:t>
            </w:r>
            <w:r>
              <w:t xml:space="preserve"> (includes amendments listed above)</w:t>
            </w:r>
          </w:p>
        </w:tc>
      </w:tr>
      <w:tr>
        <w:trPr>
          <w:cantSplit/>
        </w:trPr>
        <w:tc>
          <w:tcPr>
            <w:tcW w:w="2269" w:type="dxa"/>
          </w:tcPr>
          <w:p>
            <w:pPr>
              <w:pStyle w:val="nTable"/>
              <w:spacing w:after="40"/>
              <w:ind w:right="113"/>
            </w:pPr>
            <w:r>
              <w:rPr>
                <w:i/>
              </w:rPr>
              <w:t>Retail Trading Hours Amendment (Referendums) Act 2004</w:t>
            </w:r>
          </w:p>
        </w:tc>
        <w:tc>
          <w:tcPr>
            <w:tcW w:w="1134" w:type="dxa"/>
          </w:tcPr>
          <w:p>
            <w:pPr>
              <w:pStyle w:val="nTable"/>
              <w:spacing w:after="40"/>
            </w:pPr>
            <w:r>
              <w:t>78 of 2004</w:t>
            </w:r>
          </w:p>
        </w:tc>
        <w:tc>
          <w:tcPr>
            <w:tcW w:w="1134" w:type="dxa"/>
          </w:tcPr>
          <w:p>
            <w:pPr>
              <w:pStyle w:val="nTable"/>
              <w:spacing w:after="40"/>
            </w:pPr>
            <w:r>
              <w:t>8 Dec 2004</w:t>
            </w:r>
          </w:p>
        </w:tc>
        <w:tc>
          <w:tcPr>
            <w:tcW w:w="2552" w:type="dxa"/>
          </w:tcPr>
          <w:p>
            <w:pPr>
              <w:pStyle w:val="nTable"/>
              <w:spacing w:after="40"/>
            </w:pPr>
            <w:r>
              <w:t>8 Dec 2004 (see s. 2)</w:t>
            </w:r>
          </w:p>
        </w:tc>
      </w:tr>
      <w:tr>
        <w:trPr>
          <w:cantSplit/>
        </w:trPr>
        <w:tc>
          <w:tcPr>
            <w:tcW w:w="2269"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tcPr>
          <w:p>
            <w:pPr>
              <w:pStyle w:val="nTable"/>
              <w:spacing w:after="40"/>
              <w:rPr>
                <w:i/>
                <w:iCs/>
                <w:snapToGrid w:val="0"/>
                <w:vertAlign w:val="superscript"/>
              </w:rPr>
            </w:pPr>
            <w:r>
              <w:rPr>
                <w:i/>
                <w:iCs/>
                <w:snapToGrid w:val="0"/>
              </w:rPr>
              <w:t>Retail Shops and Fair Trading Legislation Amendment Act 2006</w:t>
            </w:r>
            <w:r>
              <w:rPr>
                <w:snapToGrid w:val="0"/>
              </w:rPr>
              <w:t> Pt. 2 </w:t>
            </w:r>
            <w:r>
              <w:rPr>
                <w:snapToGrid w:val="0"/>
                <w:vertAlign w:val="superscript"/>
              </w:rPr>
              <w:t>3</w:t>
            </w:r>
          </w:p>
        </w:tc>
        <w:tc>
          <w:tcPr>
            <w:tcW w:w="1134" w:type="dxa"/>
          </w:tcPr>
          <w:p>
            <w:pPr>
              <w:pStyle w:val="nTable"/>
              <w:spacing w:after="40"/>
              <w:rPr>
                <w:snapToGrid w:val="0"/>
              </w:rPr>
            </w:pPr>
            <w:r>
              <w:rPr>
                <w:snapToGrid w:val="0"/>
              </w:rPr>
              <w:t>47 of 2006</w:t>
            </w:r>
          </w:p>
        </w:tc>
        <w:tc>
          <w:tcPr>
            <w:tcW w:w="1134" w:type="dxa"/>
          </w:tcPr>
          <w:p>
            <w:pPr>
              <w:pStyle w:val="nTable"/>
              <w:spacing w:after="40"/>
            </w:pPr>
            <w:r>
              <w:t>4 Oct 2006</w:t>
            </w:r>
          </w:p>
        </w:tc>
        <w:tc>
          <w:tcPr>
            <w:tcW w:w="2552" w:type="dxa"/>
          </w:tcPr>
          <w:p>
            <w:pPr>
              <w:pStyle w:val="nTable"/>
              <w:spacing w:after="40"/>
              <w:rPr>
                <w:snapToGrid w:val="0"/>
              </w:rPr>
            </w:pPr>
            <w:r>
              <w:t xml:space="preserve">11 May 2007 (see s. 2 and </w:t>
            </w:r>
            <w:r>
              <w:rPr>
                <w:i/>
                <w:iCs/>
              </w:rPr>
              <w:t>Gazette</w:t>
            </w:r>
            <w:r>
              <w:t xml:space="preserve"> 11 May 2007 p. 2017)</w:t>
            </w:r>
          </w:p>
        </w:tc>
      </w:tr>
      <w:tr>
        <w:trPr>
          <w:cantSplit/>
        </w:trPr>
        <w:tc>
          <w:tcPr>
            <w:tcW w:w="2269" w:type="dxa"/>
          </w:tcPr>
          <w:p>
            <w:pPr>
              <w:pStyle w:val="nTable"/>
              <w:spacing w:after="40"/>
              <w:rPr>
                <w:i/>
                <w:iCs/>
                <w:snapToGrid w:val="0"/>
              </w:rPr>
            </w:pPr>
            <w:r>
              <w:rPr>
                <w:i/>
                <w:iCs/>
                <w:snapToGrid w:val="0"/>
              </w:rPr>
              <w:t xml:space="preserve">Liquor and Gaming Legislation Amendment Act 2006 </w:t>
            </w:r>
            <w:r>
              <w:rPr>
                <w:snapToGrid w:val="0"/>
              </w:rPr>
              <w:t>s. 115 </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7089" w:type="dxa"/>
            <w:gridSpan w:val="4"/>
          </w:tcPr>
          <w:p>
            <w:pPr>
              <w:pStyle w:val="nTable"/>
              <w:spacing w:after="40"/>
              <w:rPr>
                <w:snapToGrid w:val="0"/>
              </w:rPr>
            </w:pPr>
            <w:r>
              <w:rPr>
                <w:b/>
              </w:rPr>
              <w:t xml:space="preserve">Reprint 2:  The </w:t>
            </w:r>
            <w:r>
              <w:rPr>
                <w:b/>
                <w:i/>
              </w:rPr>
              <w:t>Retail Trading Hours Act 1987</w:t>
            </w:r>
            <w:r>
              <w:rPr>
                <w:b/>
              </w:rPr>
              <w:t xml:space="preserve"> as at 16 Nov 2007</w:t>
            </w:r>
            <w:r>
              <w:t xml:space="preserve"> (includes amendments listed above)</w:t>
            </w:r>
          </w:p>
        </w:tc>
      </w:tr>
      <w:tr>
        <w:trPr>
          <w:cantSplit/>
        </w:trPr>
        <w:tc>
          <w:tcPr>
            <w:tcW w:w="2269" w:type="dxa"/>
          </w:tcPr>
          <w:p>
            <w:pPr>
              <w:pStyle w:val="nTable"/>
              <w:spacing w:after="40"/>
              <w:rPr>
                <w:rFonts w:ascii="Times" w:hAnsi="Times"/>
                <w:i/>
                <w:iCs/>
                <w:snapToGrid w:val="0"/>
              </w:rPr>
            </w:pPr>
            <w:r>
              <w:rPr>
                <w:rFonts w:ascii="Times" w:hAnsi="Times"/>
                <w:i/>
                <w:iCs/>
                <w:snapToGrid w:val="0"/>
              </w:rPr>
              <w:t>Training Legislation Amendment and Repeal Act 2008</w:t>
            </w:r>
            <w:r>
              <w:rPr>
                <w:rFonts w:ascii="Times" w:hAnsi="Times"/>
                <w:snapToGrid w:val="0"/>
              </w:rPr>
              <w:t xml:space="preserve"> s. 60</w:t>
            </w:r>
          </w:p>
        </w:tc>
        <w:tc>
          <w:tcPr>
            <w:tcW w:w="1134" w:type="dxa"/>
          </w:tcPr>
          <w:p>
            <w:pPr>
              <w:pStyle w:val="nTable"/>
              <w:spacing w:after="40"/>
              <w:rPr>
                <w:rFonts w:ascii="Times" w:hAnsi="Times"/>
                <w:snapToGrid w:val="0"/>
              </w:rPr>
            </w:pPr>
            <w:r>
              <w:rPr>
                <w:rFonts w:ascii="Times" w:hAnsi="Times"/>
                <w:snapToGrid w:val="0"/>
              </w:rPr>
              <w:t>44 of 2008</w:t>
            </w:r>
          </w:p>
        </w:tc>
        <w:tc>
          <w:tcPr>
            <w:tcW w:w="1134" w:type="dxa"/>
          </w:tcPr>
          <w:p>
            <w:pPr>
              <w:pStyle w:val="nTable"/>
              <w:spacing w:after="40"/>
              <w:rPr>
                <w:rFonts w:ascii="Times" w:hAnsi="Times"/>
              </w:rPr>
            </w:pPr>
            <w:r>
              <w:rPr>
                <w:rFonts w:ascii="Times" w:hAnsi="Times"/>
                <w:snapToGrid w:val="0"/>
              </w:rPr>
              <w:t>10 Dec 2008</w:t>
            </w:r>
          </w:p>
        </w:tc>
        <w:tc>
          <w:tcPr>
            <w:tcW w:w="2552" w:type="dxa"/>
          </w:tcPr>
          <w:p>
            <w:pPr>
              <w:pStyle w:val="nTable"/>
              <w:spacing w:after="40"/>
              <w:rPr>
                <w:rFonts w:ascii="Times" w:hAnsi="Times"/>
                <w:snapToGrid w:val="0"/>
              </w:rPr>
            </w:pPr>
            <w:r>
              <w:rPr>
                <w:rFonts w:ascii="Times" w:hAnsi="Times"/>
                <w:snapToGrid w:val="0"/>
              </w:rPr>
              <w:t>10 Jun 2009 (see s. 2(2))</w:t>
            </w:r>
          </w:p>
        </w:tc>
      </w:tr>
      <w:tr>
        <w:trPr>
          <w:cantSplit/>
        </w:trPr>
        <w:tc>
          <w:tcPr>
            <w:tcW w:w="2269" w:type="dxa"/>
          </w:tcPr>
          <w:p>
            <w:pPr>
              <w:pStyle w:val="nTable"/>
              <w:spacing w:after="40"/>
              <w:rPr>
                <w:rFonts w:ascii="Times" w:hAnsi="Times"/>
                <w:iCs/>
                <w:snapToGrid w:val="0"/>
              </w:rPr>
            </w:pPr>
            <w:r>
              <w:rPr>
                <w:rFonts w:ascii="Times" w:hAnsi="Times"/>
                <w:i/>
                <w:snapToGrid w:val="0"/>
              </w:rPr>
              <w:t>Acts Amendment (Bankruptcy) Act 2009</w:t>
            </w:r>
            <w:r>
              <w:rPr>
                <w:rFonts w:ascii="Times" w:hAnsi="Times"/>
                <w:iCs/>
                <w:snapToGrid w:val="0"/>
              </w:rPr>
              <w:t xml:space="preserve"> s. 75</w:t>
            </w:r>
          </w:p>
        </w:tc>
        <w:tc>
          <w:tcPr>
            <w:tcW w:w="1134" w:type="dxa"/>
          </w:tcPr>
          <w:p>
            <w:pPr>
              <w:pStyle w:val="nTable"/>
              <w:spacing w:after="40"/>
              <w:rPr>
                <w:rFonts w:ascii="Times" w:hAnsi="Times"/>
              </w:rPr>
            </w:pPr>
            <w:r>
              <w:rPr>
                <w:rFonts w:ascii="Times" w:hAnsi="Times"/>
              </w:rPr>
              <w:t>18 of 2009</w:t>
            </w:r>
          </w:p>
        </w:tc>
        <w:tc>
          <w:tcPr>
            <w:tcW w:w="1134" w:type="dxa"/>
          </w:tcPr>
          <w:p>
            <w:pPr>
              <w:pStyle w:val="nTable"/>
              <w:spacing w:after="40"/>
              <w:rPr>
                <w:rFonts w:ascii="Times" w:hAnsi="Times"/>
              </w:rPr>
            </w:pPr>
            <w:r>
              <w:rPr>
                <w:rFonts w:ascii="Times" w:hAnsi="Times"/>
              </w:rPr>
              <w:t>16 Sep 2009</w:t>
            </w:r>
          </w:p>
        </w:tc>
        <w:tc>
          <w:tcPr>
            <w:tcW w:w="2552" w:type="dxa"/>
          </w:tcPr>
          <w:p>
            <w:pPr>
              <w:pStyle w:val="nTable"/>
              <w:spacing w:after="40"/>
              <w:rPr>
                <w:rFonts w:ascii="Times" w:hAnsi="Times"/>
              </w:rPr>
            </w:pPr>
            <w:r>
              <w:rPr>
                <w:rFonts w:ascii="Times" w:hAnsi="Times"/>
              </w:rPr>
              <w:t>17 Sep 2009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(Joondalup Special Trading Precinct) Act 2010</w:t>
            </w:r>
          </w:p>
        </w:tc>
        <w:tc>
          <w:tcPr>
            <w:tcW w:w="1134" w:type="dxa"/>
          </w:tcPr>
          <w:p>
            <w:pPr>
              <w:pStyle w:val="nTable"/>
              <w:spacing w:after="40"/>
              <w:rPr>
                <w:rFonts w:ascii="Times" w:hAnsi="Times"/>
              </w:rPr>
            </w:pPr>
            <w:r>
              <w:rPr>
                <w:rFonts w:ascii="Times" w:hAnsi="Times"/>
              </w:rPr>
              <w:t>22 of 2010</w:t>
            </w:r>
          </w:p>
        </w:tc>
        <w:tc>
          <w:tcPr>
            <w:tcW w:w="1134" w:type="dxa"/>
          </w:tcPr>
          <w:p>
            <w:pPr>
              <w:pStyle w:val="nTable"/>
              <w:spacing w:after="40"/>
              <w:rPr>
                <w:rFonts w:ascii="Times" w:hAnsi="Times"/>
              </w:rPr>
            </w:pPr>
            <w:r>
              <w:rPr>
                <w:rFonts w:ascii="Times" w:hAnsi="Times"/>
              </w:rPr>
              <w:t>7 Jul 2010</w:t>
            </w:r>
          </w:p>
        </w:tc>
        <w:tc>
          <w:tcPr>
            <w:tcW w:w="2552" w:type="dxa"/>
          </w:tcPr>
          <w:p>
            <w:pPr>
              <w:pStyle w:val="nTable"/>
              <w:spacing w:after="40"/>
              <w:rPr>
                <w:rFonts w:ascii="Times" w:hAnsi="Times"/>
              </w:rPr>
            </w:pPr>
            <w:r>
              <w:rPr>
                <w:rFonts w:ascii="Times" w:hAnsi="Times"/>
                <w:snapToGrid w:val="0"/>
              </w:rPr>
              <w:t>s. 1 and 2: 7 Jul 2010 (see s. 2(a));</w:t>
            </w:r>
            <w:r>
              <w:rPr>
                <w:rFonts w:ascii="Times" w:hAnsi="Times"/>
                <w:snapToGrid w:val="0"/>
              </w:rPr>
              <w:br/>
              <w:t>Act other than s. 1 and 2: 8 Jul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(Armadale Special Trading Precinct) Act 2010</w:t>
            </w:r>
          </w:p>
        </w:tc>
        <w:tc>
          <w:tcPr>
            <w:tcW w:w="1134" w:type="dxa"/>
          </w:tcPr>
          <w:p>
            <w:pPr>
              <w:pStyle w:val="nTable"/>
              <w:spacing w:after="40"/>
              <w:rPr>
                <w:rFonts w:ascii="Times" w:hAnsi="Times"/>
              </w:rPr>
            </w:pPr>
            <w:r>
              <w:rPr>
                <w:rFonts w:ascii="Times" w:hAnsi="Times"/>
              </w:rPr>
              <w:t>36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(Midland Special Trading Precinct) Act 2010</w:t>
            </w:r>
          </w:p>
        </w:tc>
        <w:tc>
          <w:tcPr>
            <w:tcW w:w="1134" w:type="dxa"/>
          </w:tcPr>
          <w:p>
            <w:pPr>
              <w:pStyle w:val="nTable"/>
              <w:spacing w:after="40"/>
              <w:rPr>
                <w:rFonts w:ascii="Times" w:hAnsi="Times"/>
              </w:rPr>
            </w:pPr>
            <w:r>
              <w:rPr>
                <w:rFonts w:ascii="Times" w:hAnsi="Times"/>
              </w:rPr>
              <w:t>37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Act 2010</w:t>
            </w:r>
          </w:p>
        </w:tc>
        <w:tc>
          <w:tcPr>
            <w:tcW w:w="1134" w:type="dxa"/>
          </w:tcPr>
          <w:p>
            <w:pPr>
              <w:pStyle w:val="nTable"/>
              <w:spacing w:after="40"/>
              <w:rPr>
                <w:rFonts w:ascii="Times" w:hAnsi="Times"/>
              </w:rPr>
            </w:pPr>
            <w:r>
              <w:rPr>
                <w:rFonts w:ascii="Times" w:hAnsi="Times"/>
              </w:rPr>
              <w:t xml:space="preserve">38 of 2010 </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s. 1 and 2: 1 Oct 2010 (see s. 2(a));</w:t>
            </w:r>
            <w:r>
              <w:rPr>
                <w:rFonts w:ascii="Times" w:hAnsi="Times"/>
                <w:snapToGrid w:val="0"/>
              </w:rPr>
              <w:br/>
              <w:t xml:space="preserve">Act other than s. 1 and 2: 1 Nov 2010 (see s. 2(b) and </w:t>
            </w:r>
            <w:r>
              <w:rPr>
                <w:rFonts w:ascii="Times" w:hAnsi="Times"/>
                <w:i/>
                <w:iCs/>
                <w:snapToGrid w:val="0"/>
              </w:rPr>
              <w:t xml:space="preserve">Gazette </w:t>
            </w:r>
            <w:r>
              <w:rPr>
                <w:rFonts w:ascii="Times" w:hAnsi="Times"/>
                <w:snapToGrid w:val="0"/>
              </w:rPr>
              <w:t>22 Oct 2010 p. 5207)</w:t>
            </w:r>
          </w:p>
        </w:tc>
      </w:tr>
      <w:tr>
        <w:trPr>
          <w:cantSplit/>
        </w:trPr>
        <w:tc>
          <w:tcPr>
            <w:tcW w:w="2269" w:type="dxa"/>
          </w:tcPr>
          <w:p>
            <w:pPr>
              <w:pStyle w:val="nTable"/>
              <w:spacing w:after="40"/>
              <w:rPr>
                <w:rFonts w:ascii="Times" w:hAnsi="Times"/>
                <w:i/>
                <w:snapToGrid w:val="0"/>
              </w:rPr>
            </w:pPr>
            <w:r>
              <w:rPr>
                <w:rFonts w:ascii="Times" w:hAnsi="Times"/>
                <w:i/>
                <w:snapToGrid w:val="0"/>
              </w:rPr>
              <w:t>Public Sector Reform Act 2010</w:t>
            </w:r>
            <w:r>
              <w:rPr>
                <w:rFonts w:ascii="Times" w:hAnsi="Times"/>
                <w:iCs/>
                <w:snapToGrid w:val="0"/>
              </w:rPr>
              <w:t xml:space="preserve"> s. 89</w:t>
            </w:r>
          </w:p>
        </w:tc>
        <w:tc>
          <w:tcPr>
            <w:tcW w:w="1134" w:type="dxa"/>
          </w:tcPr>
          <w:p>
            <w:pPr>
              <w:pStyle w:val="nTable"/>
              <w:spacing w:after="40"/>
              <w:rPr>
                <w:rFonts w:ascii="Times" w:hAnsi="Times"/>
              </w:rPr>
            </w:pPr>
            <w:r>
              <w:rPr>
                <w:rFonts w:ascii="Times" w:hAnsi="Times"/>
                <w:snapToGrid w:val="0"/>
              </w:rPr>
              <w:t>39 of 2010</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 xml:space="preserve">1 Dec 2010 (see s. 2(b) and </w:t>
            </w:r>
            <w:r>
              <w:rPr>
                <w:rFonts w:ascii="Times" w:hAnsi="Times"/>
                <w:i/>
                <w:iCs/>
                <w:snapToGrid w:val="0"/>
              </w:rPr>
              <w:t>Gazette</w:t>
            </w:r>
            <w:r>
              <w:rPr>
                <w:rFonts w:ascii="Times" w:hAnsi="Times"/>
                <w:snapToGrid w:val="0"/>
              </w:rPr>
              <w:t xml:space="preserve"> 5 Nov 2010 p. 5563)</w:t>
            </w:r>
          </w:p>
        </w:tc>
      </w:tr>
      <w:tr>
        <w:trPr>
          <w:cantSplit/>
        </w:trPr>
        <w:tc>
          <w:tcPr>
            <w:tcW w:w="7089" w:type="dxa"/>
            <w:gridSpan w:val="4"/>
          </w:tcPr>
          <w:p>
            <w:pPr>
              <w:pStyle w:val="nTable"/>
              <w:spacing w:after="40"/>
              <w:rPr>
                <w:snapToGrid w:val="0"/>
                <w:spacing w:val="-2"/>
              </w:rPr>
            </w:pPr>
            <w:r>
              <w:rPr>
                <w:b/>
              </w:rPr>
              <w:t xml:space="preserve">Reprint 3:  The </w:t>
            </w:r>
            <w:r>
              <w:rPr>
                <w:b/>
                <w:i/>
              </w:rPr>
              <w:t>Retail Trading Hours Act 1987</w:t>
            </w:r>
            <w:r>
              <w:rPr>
                <w:b/>
              </w:rPr>
              <w:t xml:space="preserve"> as at 4 Feb 2011</w:t>
            </w:r>
            <w:r>
              <w:t xml:space="preserve"> (includes amendments listed above)</w:t>
            </w:r>
          </w:p>
        </w:tc>
      </w:tr>
      <w:tr>
        <w:trPr>
          <w:cantSplit/>
        </w:trPr>
        <w:tc>
          <w:tcPr>
            <w:tcW w:w="2269" w:type="dxa"/>
          </w:tcPr>
          <w:p>
            <w:pPr>
              <w:pStyle w:val="nTable"/>
              <w:spacing w:after="40"/>
              <w:rPr>
                <w:i/>
                <w:snapToGrid w:val="0"/>
              </w:rPr>
            </w:pPr>
            <w:r>
              <w:rPr>
                <w:i/>
                <w:snapToGrid w:val="0"/>
              </w:rPr>
              <w:t>Retail Trading Hours Amendment Act 2011</w:t>
            </w:r>
          </w:p>
        </w:tc>
        <w:tc>
          <w:tcPr>
            <w:tcW w:w="1134" w:type="dxa"/>
          </w:tcPr>
          <w:p>
            <w:pPr>
              <w:pStyle w:val="nTable"/>
              <w:spacing w:after="40"/>
            </w:pPr>
            <w:r>
              <w:rPr>
                <w:snapToGrid w:val="0"/>
              </w:rPr>
              <w:t>40 of 2011</w:t>
            </w:r>
          </w:p>
        </w:tc>
        <w:tc>
          <w:tcPr>
            <w:tcW w:w="1134" w:type="dxa"/>
          </w:tcPr>
          <w:p>
            <w:pPr>
              <w:pStyle w:val="nTable"/>
              <w:spacing w:after="40"/>
            </w:pPr>
            <w:r>
              <w:t>4 Oct 2011</w:t>
            </w:r>
          </w:p>
        </w:tc>
        <w:tc>
          <w:tcPr>
            <w:tcW w:w="2552" w:type="dxa"/>
          </w:tcPr>
          <w:p>
            <w:pPr>
              <w:pStyle w:val="nTable"/>
              <w:spacing w:after="40"/>
              <w:rPr>
                <w:snapToGrid w:val="0"/>
                <w:spacing w:val="-2"/>
              </w:rPr>
            </w:pPr>
            <w:r>
              <w:rPr>
                <w:snapToGrid w:val="0"/>
              </w:rPr>
              <w:t>s. 1 and 2: 4 Oct 2011 (see s. 2(a));</w:t>
            </w:r>
            <w:r>
              <w:rPr>
                <w:snapToGrid w:val="0"/>
              </w:rPr>
              <w:br/>
              <w:t>Act other than s. 1 and 2: 5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45</w:t>
            </w:r>
          </w:p>
        </w:tc>
        <w:tc>
          <w:tcPr>
            <w:tcW w:w="1134"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269" w:type="dxa"/>
          </w:tcPr>
          <w:p>
            <w:pPr>
              <w:pStyle w:val="nTable"/>
              <w:spacing w:after="40"/>
              <w:rPr>
                <w:i/>
                <w:snapToGrid w:val="0"/>
              </w:rPr>
            </w:pPr>
            <w:r>
              <w:rPr>
                <w:i/>
                <w:snapToGrid w:val="0"/>
              </w:rPr>
              <w:t>Retail Trading Hours Amendment Act 2012</w:t>
            </w:r>
          </w:p>
        </w:tc>
        <w:tc>
          <w:tcPr>
            <w:tcW w:w="1134" w:type="dxa"/>
          </w:tcPr>
          <w:p>
            <w:pPr>
              <w:pStyle w:val="nTable"/>
              <w:spacing w:after="40"/>
              <w:rPr>
                <w:snapToGrid w:val="0"/>
              </w:rPr>
            </w:pPr>
            <w:r>
              <w:rPr>
                <w:snapToGrid w:val="0"/>
              </w:rPr>
              <w:t>13 of 2012</w:t>
            </w:r>
          </w:p>
        </w:tc>
        <w:tc>
          <w:tcPr>
            <w:tcW w:w="1134" w:type="dxa"/>
          </w:tcPr>
          <w:p>
            <w:pPr>
              <w:pStyle w:val="nTable"/>
              <w:spacing w:after="40"/>
            </w:pPr>
            <w:r>
              <w:t>3 Jul 2012</w:t>
            </w:r>
          </w:p>
        </w:tc>
        <w:tc>
          <w:tcPr>
            <w:tcW w:w="2552" w:type="dxa"/>
          </w:tcPr>
          <w:p>
            <w:pPr>
              <w:pStyle w:val="nTable"/>
              <w:spacing w:after="40"/>
              <w:rPr>
                <w:snapToGrid w:val="0"/>
              </w:rPr>
            </w:pPr>
            <w:r>
              <w:rPr>
                <w:snapToGrid w:val="0"/>
              </w:rPr>
              <w:t>s. 1 and 2: 3 Jul 2012 (see s. 2(a));</w:t>
            </w:r>
            <w:r>
              <w:rPr>
                <w:snapToGrid w:val="0"/>
              </w:rPr>
              <w:br/>
              <w:t xml:space="preserve">s. 3-6: 26 Aug 2012 (see s. 2(b) and </w:t>
            </w:r>
            <w:r>
              <w:rPr>
                <w:i/>
                <w:snapToGrid w:val="0"/>
              </w:rPr>
              <w:t>Gazette</w:t>
            </w:r>
            <w:r>
              <w:rPr>
                <w:snapToGrid w:val="0"/>
              </w:rPr>
              <w:t xml:space="preserve"> 17 Aug 2012 p. 3899)</w:t>
            </w:r>
          </w:p>
        </w:tc>
      </w:tr>
      <w:tr>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13 Div. 1</w:t>
            </w:r>
          </w:p>
        </w:tc>
        <w:tc>
          <w:tcPr>
            <w:tcW w:w="1134" w:type="dxa"/>
            <w:shd w:val="clear" w:color="auto" w:fill="auto"/>
          </w:tcPr>
          <w:p>
            <w:pPr>
              <w:pStyle w:val="nTable"/>
              <w:spacing w:after="40"/>
              <w:rPr>
                <w:snapToGrid w:val="0"/>
              </w:rPr>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4: The </w:t>
            </w:r>
            <w:r>
              <w:rPr>
                <w:b/>
                <w:i/>
                <w:noProof/>
                <w:snapToGrid w:val="0"/>
              </w:rPr>
              <w:t>Retail Trading Hours Act 1987</w:t>
            </w:r>
            <w:r>
              <w:rPr>
                <w:b/>
                <w:snapToGrid w:val="0"/>
              </w:rPr>
              <w:t xml:space="preserve"> as at 7 Aug 2015</w:t>
            </w:r>
            <w:r>
              <w:rPr>
                <w:snapToGrid w:val="0"/>
              </w:rPr>
              <w:t xml:space="preserve"> (includes amendments listed above)</w:t>
            </w:r>
          </w:p>
        </w:tc>
      </w:tr>
    </w:tbl>
    <w:p>
      <w:pPr>
        <w:pStyle w:val="nSubsection"/>
        <w:spacing w:before="160"/>
      </w:pPr>
      <w:r>
        <w:rPr>
          <w:vertAlign w:val="superscript"/>
        </w:rPr>
        <w:t>2</w:t>
      </w:r>
      <w:r>
        <w:tab/>
        <w:t xml:space="preserve">Repealed by the </w:t>
      </w:r>
      <w:r>
        <w:rPr>
          <w:i/>
        </w:rPr>
        <w:t>Industrial Relations Legislation Amendment and Repeal Act 1995</w:t>
      </w:r>
      <w:r>
        <w:t>.</w:t>
      </w:r>
    </w:p>
    <w:p>
      <w:pPr>
        <w:pStyle w:val="nSubsection"/>
        <w:keepNext/>
        <w:rPr>
          <w:snapToGrid w:val="0"/>
        </w:rPr>
      </w:pPr>
      <w:r>
        <w:rPr>
          <w:snapToGrid w:val="0"/>
          <w:vertAlign w:val="superscript"/>
        </w:rPr>
        <w:t>3</w:t>
      </w:r>
      <w:r>
        <w:rPr>
          <w:snapToGrid w:val="0"/>
        </w:rPr>
        <w:tab/>
        <w:t xml:space="preserve">The </w:t>
      </w:r>
      <w:r>
        <w:rPr>
          <w:i/>
          <w:iCs/>
          <w:snapToGrid w:val="0"/>
        </w:rPr>
        <w:t>Retail Shops and Fair Trading Legislation Amendment Act 2006</w:t>
      </w:r>
      <w:r>
        <w:rPr>
          <w:snapToGrid w:val="0"/>
        </w:rPr>
        <w:t xml:space="preserve"> s. 18 reads as follows:</w:t>
      </w:r>
    </w:p>
    <w:p>
      <w:pPr>
        <w:pStyle w:val="BlankOpen"/>
        <w:rPr>
          <w:snapToGrid w:val="0"/>
        </w:rPr>
      </w:pPr>
    </w:p>
    <w:p>
      <w:pPr>
        <w:pStyle w:val="nzHeading5"/>
      </w:pPr>
      <w:r>
        <w:rPr>
          <w:rStyle w:val="CharSectno"/>
        </w:rPr>
        <w:t>18</w:t>
      </w:r>
      <w:r>
        <w:t>.</w:t>
      </w:r>
      <w:r>
        <w:tab/>
        <w:t>Validation</w:t>
      </w:r>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120" w:name="_Toc416962596"/>
      <w:bookmarkStart w:id="121" w:name="_Toc423357153"/>
      <w:bookmarkStart w:id="122" w:name="_Toc425754822"/>
      <w:r>
        <w:rPr>
          <w:sz w:val="28"/>
        </w:rPr>
        <w:t>Defined terms</w:t>
      </w:r>
      <w:bookmarkEnd w:id="120"/>
      <w:bookmarkEnd w:id="121"/>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14A(2)</w:t>
      </w:r>
    </w:p>
    <w:p>
      <w:pPr>
        <w:pStyle w:val="DefinedTerms"/>
      </w:pPr>
      <w:r>
        <w:t>agreement</w:t>
      </w:r>
      <w:r>
        <w:tab/>
        <w:t>3(1)</w:t>
      </w:r>
    </w:p>
    <w:p>
      <w:pPr>
        <w:pStyle w:val="DefinedTerms"/>
      </w:pPr>
      <w:r>
        <w:t>authorised person</w:t>
      </w:r>
      <w:r>
        <w:tab/>
        <w:t>3(1)</w:t>
      </w:r>
    </w:p>
    <w:p>
      <w:pPr>
        <w:pStyle w:val="DefinedTerms"/>
      </w:pPr>
      <w:r>
        <w:t>chief executive officer</w:t>
      </w:r>
      <w:r>
        <w:tab/>
        <w:t>3(1)</w:t>
      </w:r>
    </w:p>
    <w:p>
      <w:pPr>
        <w:pStyle w:val="DefinedTerms"/>
      </w:pPr>
      <w:r>
        <w:t>commencement day</w:t>
      </w:r>
      <w:r>
        <w:tab/>
        <w:t>42(2)</w:t>
      </w:r>
    </w:p>
    <w:p>
      <w:pPr>
        <w:pStyle w:val="DefinedTerms"/>
      </w:pPr>
      <w:r>
        <w:t>corporation</w:t>
      </w:r>
      <w:r>
        <w:tab/>
        <w:t>10(3ab)</w:t>
      </w:r>
    </w:p>
    <w:p>
      <w:pPr>
        <w:pStyle w:val="DefinedTerms"/>
      </w:pPr>
      <w:r>
        <w:t>filling station</w:t>
      </w:r>
      <w:r>
        <w:tab/>
        <w:t>3(1)</w:t>
      </w:r>
    </w:p>
    <w:p>
      <w:pPr>
        <w:pStyle w:val="DefinedTerms"/>
      </w:pPr>
      <w:r>
        <w:t>fuel</w:t>
      </w:r>
      <w:r>
        <w:tab/>
        <w:t>3(1)</w:t>
      </w:r>
    </w:p>
    <w:p>
      <w:pPr>
        <w:pStyle w:val="DefinedTerms"/>
      </w:pPr>
      <w:r>
        <w:t>holiday resort</w:t>
      </w:r>
      <w:r>
        <w:tab/>
        <w:t>12A(4)</w:t>
      </w:r>
    </w:p>
    <w:p>
      <w:pPr>
        <w:pStyle w:val="DefinedTerms"/>
      </w:pPr>
      <w:r>
        <w:t>inspector</w:t>
      </w:r>
      <w:r>
        <w:tab/>
        <w:t>3(1)</w:t>
      </w:r>
    </w:p>
    <w:p>
      <w:pPr>
        <w:pStyle w:val="DefinedTerms"/>
      </w:pPr>
      <w:r>
        <w:t>motor vehicle</w:t>
      </w:r>
      <w:r>
        <w:tab/>
        <w:t>3(1)</w:t>
      </w:r>
    </w:p>
    <w:p>
      <w:pPr>
        <w:pStyle w:val="DefinedTerms"/>
      </w:pPr>
      <w:r>
        <w:t>motor vehicle shop</w:t>
      </w:r>
      <w:r>
        <w:tab/>
        <w:t>3(1)</w:t>
      </w:r>
    </w:p>
    <w:p>
      <w:pPr>
        <w:pStyle w:val="DefinedTerms"/>
      </w:pPr>
      <w:r>
        <w:t>officer</w:t>
      </w:r>
      <w:r>
        <w:tab/>
        <w:t>10(3ab)</w:t>
      </w:r>
    </w:p>
    <w:p>
      <w:pPr>
        <w:pStyle w:val="DefinedTerms"/>
      </w:pPr>
      <w:r>
        <w:t>operate</w:t>
      </w:r>
      <w:r>
        <w:tab/>
        <w:t>3(1)</w:t>
      </w:r>
    </w:p>
    <w:p>
      <w:pPr>
        <w:pStyle w:val="DefinedTerms"/>
      </w:pPr>
      <w:r>
        <w:t>order</w:t>
      </w:r>
      <w:r>
        <w:tab/>
        <w:t>12E(8)</w:t>
      </w:r>
    </w:p>
    <w:p>
      <w:pPr>
        <w:pStyle w:val="DefinedTerms"/>
      </w:pPr>
      <w:r>
        <w:t>place</w:t>
      </w:r>
      <w:r>
        <w:tab/>
        <w:t>3(1)</w:t>
      </w:r>
    </w:p>
    <w:p>
      <w:pPr>
        <w:pStyle w:val="DefinedTerms"/>
      </w:pPr>
      <w:r>
        <w:t>prescribed services</w:t>
      </w:r>
      <w:r>
        <w:tab/>
        <w:t>3(1)</w:t>
      </w:r>
    </w:p>
    <w:p>
      <w:pPr>
        <w:pStyle w:val="DefinedTerms"/>
      </w:pPr>
      <w:r>
        <w:t>publish</w:t>
      </w:r>
      <w:r>
        <w:tab/>
        <w:t>26(2)</w:t>
      </w:r>
    </w:p>
    <w:p>
      <w:pPr>
        <w:pStyle w:val="DefinedTerms"/>
      </w:pPr>
      <w:r>
        <w:t>related body corporate</w:t>
      </w:r>
      <w:r>
        <w:tab/>
        <w:t>10(3ab)</w:t>
      </w:r>
    </w:p>
    <w:p>
      <w:pPr>
        <w:pStyle w:val="DefinedTerms"/>
      </w:pPr>
      <w:r>
        <w:t>retail sale</w:t>
      </w:r>
      <w:r>
        <w:tab/>
        <w:t>3(1)</w:t>
      </w:r>
    </w:p>
    <w:p>
      <w:pPr>
        <w:pStyle w:val="DefinedTerms"/>
      </w:pPr>
      <w:r>
        <w:t>retail shop</w:t>
      </w:r>
      <w:r>
        <w:tab/>
        <w:t>3(1)</w:t>
      </w:r>
    </w:p>
    <w:p>
      <w:pPr>
        <w:pStyle w:val="DefinedTerms"/>
      </w:pPr>
      <w:r>
        <w:t>Rockingham holiday resort</w:t>
      </w:r>
      <w:r>
        <w:tab/>
        <w:t>12A(4)</w:t>
      </w:r>
    </w:p>
    <w:p>
      <w:pPr>
        <w:pStyle w:val="DefinedTerms"/>
      </w:pPr>
      <w:r>
        <w:t>Rottnest Island holiday resort</w:t>
      </w:r>
      <w:r>
        <w:tab/>
        <w:t>12A(4)</w:t>
      </w:r>
    </w:p>
    <w:p>
      <w:pPr>
        <w:pStyle w:val="DefinedTerms"/>
      </w:pPr>
      <w:r>
        <w:t>sell</w:t>
      </w:r>
      <w:r>
        <w:tab/>
        <w:t>3(1)</w:t>
      </w:r>
    </w:p>
    <w:p>
      <w:pPr>
        <w:pStyle w:val="DefinedTerms"/>
      </w:pPr>
      <w:r>
        <w:t>specified</w:t>
      </w:r>
      <w:r>
        <w:tab/>
        <w:t>12E(8)</w:t>
      </w:r>
    </w:p>
    <w:p>
      <w:pPr>
        <w:pStyle w:val="DefinedTerms"/>
      </w:pPr>
      <w:r>
        <w:t>Wanneroo holiday resort</w:t>
      </w:r>
      <w:r>
        <w:tab/>
        <w:t>12A(4)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 w:name="Coversheet"/>
    <w:bookmarkEnd w:id="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1"/>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239"/>
    <w:docVar w:name="WAFER_20140129115345" w:val="RemoveTocBookmarks,RemoveUnusedBookmarks,RemoveLanguageTags,UsedStyles,ResetPageSize,UpdateArrangement"/>
    <w:docVar w:name="WAFER_20140129115345_GUID" w:val="a3690614-3b8b-4b0c-b539-7444b4521126"/>
    <w:docVar w:name="WAFER_20140129130615" w:val="RemoveTocBookmarks,RunningHeaders"/>
    <w:docVar w:name="WAFER_20140129130615_GUID" w:val="987128a2-bc98-426a-90a3-71f2885f7156"/>
    <w:docVar w:name="WAFER_20141015123102" w:val="RemoveTocBookmarks,RemoveUnusedBookmarks,RemoveLanguageTags,UsedStyles,ResetPageSize,UpdateArrangement"/>
    <w:docVar w:name="WAFER_20141015123102_GUID" w:val="68b93da1-cd3e-44d7-852c-e4f8bdee707e"/>
    <w:docVar w:name="WAFER_20141119103520" w:val="RemoveTocBookmarks,RunningHeaders"/>
    <w:docVar w:name="WAFER_20141119103520_GUID" w:val="86ded48d-7f4c-4b23-a593-d56df598fe7e"/>
    <w:docVar w:name="WAFER_20150416145239" w:val="ResetPageSize,UpdateArrangement,UpdateNTable"/>
    <w:docVar w:name="WAFER_20150416145239_GUID" w:val="f8764094-cd97-4816-9a3f-7e38b0804c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11018</Words>
  <Characters>49583</Characters>
  <Application>Microsoft Office Word</Application>
  <DocSecurity>0</DocSecurity>
  <Lines>1458</Lines>
  <Paragraphs>830</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59771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1987 - 04-00-00</dc:title>
  <dc:subject/>
  <dc:creator/>
  <cp:keywords/>
  <dc:description/>
  <cp:lastModifiedBy>svcMRProcess</cp:lastModifiedBy>
  <cp:revision>4</cp:revision>
  <cp:lastPrinted>2015-07-28T01:49:00Z</cp:lastPrinted>
  <dcterms:created xsi:type="dcterms:W3CDTF">2020-04-24T22:37:00Z</dcterms:created>
  <dcterms:modified xsi:type="dcterms:W3CDTF">2020-04-24T22:37:00Z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20150807</vt:lpwstr>
  </property>
  <property fmtid="{D5CDD505-2E9C-101B-9397-08002B2CF9AE}" pid="4" name="DocumentType">
    <vt:lpwstr>Act</vt:lpwstr>
  </property>
  <property fmtid="{D5CDD505-2E9C-101B-9397-08002B2CF9AE}" pid="5" name="OwlsUID">
    <vt:i4>696</vt:i4>
  </property>
  <property fmtid="{D5CDD505-2E9C-101B-9397-08002B2CF9AE}" pid="6" name="AsAtDate">
    <vt:lpwstr>07 Aug 2015</vt:lpwstr>
  </property>
  <property fmtid="{D5CDD505-2E9C-101B-9397-08002B2CF9AE}" pid="7" name="Suffix">
    <vt:lpwstr>04-00-00</vt:lpwstr>
  </property>
  <property fmtid="{D5CDD505-2E9C-101B-9397-08002B2CF9AE}" pid="8" name="ReprintedAsAt">
    <vt:filetime>2015-08-06T16:00:00Z</vt:filetime>
  </property>
  <property fmtid="{D5CDD505-2E9C-101B-9397-08002B2CF9AE}" pid="9" name="ReprintNo">
    <vt:lpwstr>4</vt:lpwstr>
  </property>
</Properties>
</file>