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Rules 2009</w:t>
      </w:r>
      <w:r>
        <w:rPr>
          <w:sz w:val="48"/>
        </w:rPr>
        <w:fldChar w:fldCharType="end"/>
      </w:r>
    </w:p>
    <w:p>
      <w:pPr>
        <w:pStyle w:val="ReprintNo"/>
      </w:pPr>
      <w:r>
        <w:t>Reprint 1:  The rules as at 14 August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0288"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Rules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0288"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Rules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_Toc426101203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_Toc426101204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_Toc426101205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Australian legal practitioners</w:t>
      </w:r>
    </w:p>
    <w:p>
      <w:pPr>
        <w:pStyle w:val="TOC4"/>
        <w:tabs>
          <w:tab w:val="right" w:leader="dot" w:pos="708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_Toc426101208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or renewal of local practising certificate (s. 43(1)(b))</w:t>
      </w:r>
      <w:r>
        <w:tab/>
      </w:r>
      <w:r>
        <w:fldChar w:fldCharType="begin"/>
      </w:r>
      <w:r>
        <w:instrText xml:space="preserve"> PAGEREF _Toc426101209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_Toc426101210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_Toc426101211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_Toc426101212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_Toc426101215 \h </w:instrText>
      </w:r>
      <w:r>
        <w:fldChar w:fldCharType="separate"/>
      </w:r>
      <w:r>
        <w:t>4</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_Toc426101217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_Toc426101218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_Toc426101219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_Toc426101220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_Toc426101221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_Toc426101222 \h </w:instrText>
      </w:r>
      <w:r>
        <w:fldChar w:fldCharType="separate"/>
      </w:r>
      <w:r>
        <w:t>8</w:t>
      </w:r>
      <w:r>
        <w:fldChar w:fldCharType="end"/>
      </w:r>
    </w:p>
    <w:p>
      <w:pPr>
        <w:pStyle w:val="TOC6"/>
        <w:tabs>
          <w:tab w:val="right" w:leader="dot" w:pos="708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_Toc426101224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_Toc426101225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_Toc426101226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_Toc426101227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_Toc426101228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_Toc426101229 \h </w:instrText>
      </w:r>
      <w:r>
        <w:fldChar w:fldCharType="separate"/>
      </w:r>
      <w:r>
        <w:t>12</w:t>
      </w:r>
      <w:r>
        <w:fldChar w:fldCharType="end"/>
      </w:r>
    </w:p>
    <w:p>
      <w:pPr>
        <w:pStyle w:val="TOC6"/>
        <w:tabs>
          <w:tab w:val="right" w:leader="dot" w:pos="708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_Toc426101231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_Toc426101232 \h </w:instrText>
      </w:r>
      <w:r>
        <w:fldChar w:fldCharType="separate"/>
      </w:r>
      <w:r>
        <w:t>15</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_Toc426101233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_Toc426101234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_Toc426101235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_Toc426101236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_Toc426101238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_Toc426101240 \h </w:instrText>
      </w:r>
      <w:r>
        <w:fldChar w:fldCharType="separate"/>
      </w:r>
      <w:r>
        <w:t>19</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_Toc426101241 \h </w:instrText>
      </w:r>
      <w:r>
        <w:fldChar w:fldCharType="separate"/>
      </w:r>
      <w:r>
        <w:t>19</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_Toc426101242 \h </w:instrText>
      </w:r>
      <w:r>
        <w:fldChar w:fldCharType="separate"/>
      </w:r>
      <w:r>
        <w:t>20</w:t>
      </w:r>
      <w:r>
        <w:fldChar w:fldCharType="end"/>
      </w:r>
    </w:p>
    <w:p>
      <w:pPr>
        <w:pStyle w:val="TOC4"/>
        <w:tabs>
          <w:tab w:val="right" w:leader="dot" w:pos="708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_Toc426101244 \h </w:instrText>
      </w:r>
      <w:r>
        <w:fldChar w:fldCharType="separate"/>
      </w:r>
      <w:r>
        <w:t>20</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_Toc426101245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_Toc426101247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_Toc426101248 \h </w:instrText>
      </w:r>
      <w:r>
        <w:fldChar w:fldCharType="separate"/>
      </w:r>
      <w:r>
        <w:t>23</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_Toc426101249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4 — Legal Practice Board</w:t>
      </w:r>
    </w:p>
    <w:p>
      <w:pPr>
        <w:pStyle w:val="TOC4"/>
        <w:tabs>
          <w:tab w:val="right" w:leader="dot" w:pos="708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_Toc426101252 \h </w:instrText>
      </w:r>
      <w:r>
        <w:fldChar w:fldCharType="separate"/>
      </w:r>
      <w:r>
        <w:t>24</w:t>
      </w:r>
      <w:r>
        <w:fldChar w:fldCharType="end"/>
      </w:r>
    </w:p>
    <w:p>
      <w:pPr>
        <w:pStyle w:val="TOC4"/>
        <w:tabs>
          <w:tab w:val="right" w:leader="dot" w:pos="708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_Toc426101254 \h </w:instrText>
      </w:r>
      <w:r>
        <w:fldChar w:fldCharType="separate"/>
      </w:r>
      <w:r>
        <w:t>24</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_Toc426101255 \h </w:instrText>
      </w:r>
      <w:r>
        <w:fldChar w:fldCharType="separate"/>
      </w:r>
      <w:r>
        <w:t>24</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_Toc426101256 \h </w:instrText>
      </w:r>
      <w:r>
        <w:fldChar w:fldCharType="separate"/>
      </w:r>
      <w:r>
        <w:t>24</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_Toc426101257 \h </w:instrText>
      </w:r>
      <w:r>
        <w:fldChar w:fldCharType="separate"/>
      </w:r>
      <w:r>
        <w:t>25</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_Toc426101258 \h </w:instrText>
      </w:r>
      <w:r>
        <w:fldChar w:fldCharType="separate"/>
      </w:r>
      <w:r>
        <w:t>25</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_Toc426101259 \h </w:instrText>
      </w:r>
      <w:r>
        <w:fldChar w:fldCharType="separate"/>
      </w:r>
      <w:r>
        <w:t>25</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_Toc426101260 \h </w:instrText>
      </w:r>
      <w:r>
        <w:fldChar w:fldCharType="separate"/>
      </w:r>
      <w:r>
        <w:t>26</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_Toc426101261 \h </w:instrText>
      </w:r>
      <w:r>
        <w:fldChar w:fldCharType="separate"/>
      </w:r>
      <w:r>
        <w:t>27</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_Toc426101262 \h </w:instrText>
      </w:r>
      <w:r>
        <w:fldChar w:fldCharType="separate"/>
      </w:r>
      <w:r>
        <w:t>27</w:t>
      </w:r>
      <w:r>
        <w:fldChar w:fldCharType="end"/>
      </w:r>
    </w:p>
    <w:p>
      <w:pPr>
        <w:pStyle w:val="TOC4"/>
        <w:tabs>
          <w:tab w:val="right" w:leader="dot" w:pos="708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_Toc426101264 \h </w:instrText>
      </w:r>
      <w:r>
        <w:fldChar w:fldCharType="separate"/>
      </w:r>
      <w:r>
        <w:t>27</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_Toc426101265 \h </w:instrText>
      </w:r>
      <w:r>
        <w:fldChar w:fldCharType="separate"/>
      </w:r>
      <w:r>
        <w:t>27</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_Toc426101266 \h </w:instrText>
      </w:r>
      <w:r>
        <w:fldChar w:fldCharType="separate"/>
      </w:r>
      <w:r>
        <w:t>27</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_Toc426101267 \h </w:instrText>
      </w:r>
      <w:r>
        <w:fldChar w:fldCharType="separate"/>
      </w:r>
      <w:r>
        <w:t>28</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_Toc426101268 \h </w:instrText>
      </w:r>
      <w:r>
        <w:fldChar w:fldCharType="separate"/>
      </w:r>
      <w:r>
        <w:t>28</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_Toc426101269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_Toc426101271 \h </w:instrText>
      </w:r>
      <w:r>
        <w:fldChar w:fldCharType="separate"/>
      </w:r>
      <w:r>
        <w:t>29</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_Toc426101272 \h </w:instrText>
      </w:r>
      <w:r>
        <w:fldChar w:fldCharType="separate"/>
      </w:r>
      <w:r>
        <w:t>29</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_Toc426101273 \h </w:instrText>
      </w:r>
      <w:r>
        <w:fldChar w:fldCharType="separate"/>
      </w:r>
      <w:r>
        <w:t>29</w:t>
      </w:r>
      <w:r>
        <w:fldChar w:fldCharType="end"/>
      </w:r>
    </w:p>
    <w:p>
      <w:pPr>
        <w:pStyle w:val="TOC2"/>
        <w:tabs>
          <w:tab w:val="right" w:leader="dot" w:pos="7087"/>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_Toc426101275 \h </w:instrText>
      </w:r>
      <w:r>
        <w:fldChar w:fldCharType="separate"/>
      </w:r>
      <w:r>
        <w:t>30</w:t>
      </w:r>
      <w:r>
        <w:fldChar w:fldCharType="end"/>
      </w:r>
    </w:p>
    <w:p>
      <w:pPr>
        <w:pStyle w:val="TOC8"/>
        <w:rPr>
          <w:rFonts w:asciiTheme="minorHAnsi" w:eastAsiaTheme="minorEastAsia" w:hAnsiTheme="minorHAnsi" w:cstheme="minorBidi"/>
          <w:szCs w:val="22"/>
        </w:rPr>
      </w:pPr>
      <w:r>
        <w:t>48.</w:t>
      </w:r>
      <w:r>
        <w:tab/>
        <w:t>People entitled to use library</w:t>
      </w:r>
      <w:r>
        <w:tab/>
      </w:r>
      <w:r>
        <w:fldChar w:fldCharType="begin"/>
      </w:r>
      <w:r>
        <w:instrText xml:space="preserve"> PAGEREF _Toc426101276 \h </w:instrText>
      </w:r>
      <w:r>
        <w:fldChar w:fldCharType="separate"/>
      </w:r>
      <w:r>
        <w:t>30</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_Toc426101277 \h </w:instrText>
      </w:r>
      <w:r>
        <w:fldChar w:fldCharType="separate"/>
      </w:r>
      <w:r>
        <w:t>31</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_Toc426101278 \h </w:instrText>
      </w:r>
      <w:r>
        <w:fldChar w:fldCharType="separate"/>
      </w:r>
      <w:r>
        <w:t>32</w:t>
      </w:r>
      <w:r>
        <w:fldChar w:fldCharType="end"/>
      </w:r>
    </w:p>
    <w:p>
      <w:pPr>
        <w:pStyle w:val="TOC8"/>
        <w:rPr>
          <w:rFonts w:asciiTheme="minorHAnsi" w:eastAsiaTheme="minorEastAsia" w:hAnsiTheme="minorHAnsi" w:cstheme="minorBidi"/>
          <w:szCs w:val="22"/>
        </w:rPr>
      </w:pPr>
      <w:r>
        <w:t>51.</w:t>
      </w:r>
      <w:r>
        <w:tab/>
        <w:t>Use of library and books</w:t>
      </w:r>
      <w:r>
        <w:tab/>
      </w:r>
      <w:r>
        <w:fldChar w:fldCharType="begin"/>
      </w:r>
      <w:r>
        <w:instrText xml:space="preserve"> PAGEREF _Toc426101279 \h </w:instrText>
      </w:r>
      <w:r>
        <w:fldChar w:fldCharType="separate"/>
      </w:r>
      <w:r>
        <w:t>32</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_Toc426101280 \h </w:instrText>
      </w:r>
      <w:r>
        <w:fldChar w:fldCharType="separate"/>
      </w:r>
      <w:r>
        <w:t>33</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_Toc426101281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Board</w:t>
      </w:r>
      <w:r>
        <w:tab/>
      </w:r>
      <w:r>
        <w:fldChar w:fldCharType="begin"/>
      </w:r>
      <w:r>
        <w:instrText xml:space="preserve"> PAGEREF _Toc426101283 \h </w:instrText>
      </w:r>
      <w:r>
        <w:fldChar w:fldCharType="separate"/>
      </w:r>
      <w:r>
        <w:t>35</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_Toc426101284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_Toc426101286 \h </w:instrText>
      </w:r>
      <w:r>
        <w:fldChar w:fldCharType="separate"/>
      </w:r>
      <w:r>
        <w:t>36</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_Toc426101287 \h </w:instrText>
      </w:r>
      <w:r>
        <w:fldChar w:fldCharType="separate"/>
      </w:r>
      <w:r>
        <w:t>36</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_Toc426101289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0"/>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26101202"/>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26101203"/>
      <w:r>
        <w:rPr>
          <w:rStyle w:val="CharSectno"/>
        </w:rPr>
        <w:t>1</w:t>
      </w:r>
      <w:r>
        <w:t>.</w:t>
      </w:r>
      <w:r>
        <w:tab/>
        <w:t>Citation</w:t>
      </w:r>
      <w:bookmarkEnd w:id="4"/>
    </w:p>
    <w:p>
      <w:pPr>
        <w:pStyle w:val="Subsection"/>
      </w:pPr>
      <w:r>
        <w:tab/>
      </w:r>
      <w:r>
        <w:tab/>
      </w:r>
      <w:bookmarkStart w:id="5" w:name="Start_Cursor"/>
      <w:bookmarkEnd w:id="5"/>
      <w:r>
        <w:t xml:space="preserve">These rules are the </w:t>
      </w:r>
      <w:r>
        <w:rPr>
          <w:i/>
        </w:rPr>
        <w:t>Legal Profession Rules 2009</w:t>
      </w:r>
      <w:r>
        <w:rPr>
          <w:vertAlign w:val="superscript"/>
        </w:rPr>
        <w:t> 1</w:t>
      </w:r>
      <w:r>
        <w:t>.</w:t>
      </w:r>
    </w:p>
    <w:p>
      <w:pPr>
        <w:pStyle w:val="Heading5"/>
      </w:pPr>
      <w:bookmarkStart w:id="6" w:name="_Toc426101204"/>
      <w:r>
        <w:rPr>
          <w:rStyle w:val="CharSectno"/>
        </w:rPr>
        <w:t>2</w:t>
      </w:r>
      <w:r>
        <w:t>.</w:t>
      </w:r>
      <w:r>
        <w:tab/>
        <w:t>Commencement</w:t>
      </w:r>
      <w:bookmarkEnd w:id="6"/>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7" w:name="_Toc426101205"/>
      <w:r>
        <w:rPr>
          <w:rStyle w:val="CharSectno"/>
        </w:rPr>
        <w:t>3A</w:t>
      </w:r>
      <w:r>
        <w:t>.</w:t>
      </w:r>
      <w:r>
        <w:tab/>
        <w:t>Supervised legal practice (s. 3)</w:t>
      </w:r>
      <w:bookmarkEnd w:id="7"/>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8" w:name="_Toc426101206"/>
      <w:r>
        <w:rPr>
          <w:rStyle w:val="CharPartNo"/>
        </w:rPr>
        <w:t>Part 2</w:t>
      </w:r>
      <w:r>
        <w:t> — </w:t>
      </w:r>
      <w:r>
        <w:rPr>
          <w:rStyle w:val="CharPartText"/>
        </w:rPr>
        <w:t>Australian legal practitioners</w:t>
      </w:r>
      <w:bookmarkEnd w:id="8"/>
    </w:p>
    <w:p>
      <w:pPr>
        <w:pStyle w:val="Heading3"/>
      </w:pPr>
      <w:bookmarkStart w:id="9" w:name="_Toc426101207"/>
      <w:r>
        <w:rPr>
          <w:rStyle w:val="CharDivNo"/>
        </w:rPr>
        <w:t>Division 1</w:t>
      </w:r>
      <w:r>
        <w:t> — </w:t>
      </w:r>
      <w:r>
        <w:rPr>
          <w:rStyle w:val="CharDivText"/>
        </w:rPr>
        <w:t>Grant or renewal of local practising certificates</w:t>
      </w:r>
      <w:bookmarkEnd w:id="9"/>
    </w:p>
    <w:p>
      <w:pPr>
        <w:pStyle w:val="Heading5"/>
      </w:pPr>
      <w:bookmarkStart w:id="10" w:name="_Toc426101208"/>
      <w:r>
        <w:rPr>
          <w:rStyle w:val="CharSectno"/>
        </w:rPr>
        <w:t>3</w:t>
      </w:r>
      <w:r>
        <w:t>.</w:t>
      </w:r>
      <w:r>
        <w:tab/>
        <w:t>Application for grant or renewal of local practising certificate (s. 43(1))</w:t>
      </w:r>
      <w:bookmarkEnd w:id="1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1" w:name="_Toc426101209"/>
      <w:r>
        <w:rPr>
          <w:rStyle w:val="CharSectno"/>
        </w:rPr>
        <w:t>4</w:t>
      </w:r>
      <w:r>
        <w:t>.</w:t>
      </w:r>
      <w:r>
        <w:tab/>
        <w:t>Fee for application for grant or renewal of local practising certificate (s. 43(1)(b))</w:t>
      </w:r>
      <w:bookmarkEnd w:id="11"/>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12" w:name="_Toc426101210"/>
      <w:r>
        <w:rPr>
          <w:rStyle w:val="CharSectno"/>
        </w:rPr>
        <w:t>5</w:t>
      </w:r>
      <w:r>
        <w:t>.</w:t>
      </w:r>
      <w:r>
        <w:tab/>
        <w:t>Timing of application for renewal of local practising certificate (s. 44)</w:t>
      </w:r>
      <w:bookmarkEnd w:id="1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3" w:name="_Toc426101211"/>
      <w:r>
        <w:rPr>
          <w:rStyle w:val="CharSectno"/>
        </w:rPr>
        <w:t>6</w:t>
      </w:r>
      <w:r>
        <w:t>.</w:t>
      </w:r>
      <w:r>
        <w:tab/>
        <w:t>Notification of change of details</w:t>
      </w:r>
      <w:bookmarkEnd w:id="1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4" w:name="_Toc426101212"/>
      <w:r>
        <w:rPr>
          <w:rStyle w:val="CharSectno"/>
        </w:rPr>
        <w:t>7A</w:t>
      </w:r>
      <w:r>
        <w:t>.</w:t>
      </w:r>
      <w:r>
        <w:tab/>
        <w:t>Contributions to Guarantee Fund (s. 337)</w:t>
      </w:r>
      <w:bookmarkEnd w:id="1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5" w:name="_Toc426101213"/>
      <w:r>
        <w:rPr>
          <w:rStyle w:val="CharDivNo"/>
        </w:rPr>
        <w:t>Division 2</w:t>
      </w:r>
      <w:r>
        <w:t> — </w:t>
      </w:r>
      <w:r>
        <w:rPr>
          <w:rStyle w:val="CharDivText"/>
        </w:rPr>
        <w:t>Condition on local practising certificates: continuing professional development</w:t>
      </w:r>
      <w:bookmarkEnd w:id="15"/>
    </w:p>
    <w:p>
      <w:pPr>
        <w:pStyle w:val="Heading4"/>
      </w:pPr>
      <w:bookmarkStart w:id="16" w:name="_Toc426101214"/>
      <w:r>
        <w:t>Subdivision 1 — Preliminary</w:t>
      </w:r>
      <w:bookmarkEnd w:id="16"/>
    </w:p>
    <w:p>
      <w:pPr>
        <w:pStyle w:val="Footnoteheading"/>
      </w:pPr>
      <w:r>
        <w:tab/>
        <w:t>[Heading inserted in Gazette 20 Feb 2015 p. 681.]</w:t>
      </w:r>
    </w:p>
    <w:p>
      <w:pPr>
        <w:pStyle w:val="Heading5"/>
      </w:pPr>
      <w:bookmarkStart w:id="17" w:name="_Toc426101215"/>
      <w:r>
        <w:rPr>
          <w:rStyle w:val="CharSectno"/>
        </w:rPr>
        <w:t>7</w:t>
      </w:r>
      <w:r>
        <w:t>.</w:t>
      </w:r>
      <w:r>
        <w:tab/>
        <w:t>Terms used</w:t>
      </w:r>
      <w:bookmarkEnd w:id="1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18" w:name="_Toc426101216"/>
      <w:r>
        <w:t>Subdivision 2 — Local practising certificates in force before 1 July 2015</w:t>
      </w:r>
      <w:bookmarkEnd w:id="18"/>
    </w:p>
    <w:p>
      <w:pPr>
        <w:pStyle w:val="Footnoteheading"/>
      </w:pPr>
      <w:r>
        <w:tab/>
        <w:t>[Heading inserted in Gazette 20 Feb 2015 p. 681.]</w:t>
      </w:r>
    </w:p>
    <w:p>
      <w:pPr>
        <w:pStyle w:val="Heading5"/>
      </w:pPr>
      <w:bookmarkStart w:id="19" w:name="_Toc426101217"/>
      <w:r>
        <w:rPr>
          <w:rStyle w:val="CharSectno"/>
        </w:rPr>
        <w:t>8A</w:t>
      </w:r>
      <w:r>
        <w:t>.</w:t>
      </w:r>
      <w:r>
        <w:tab/>
        <w:t>Terms used</w:t>
      </w:r>
      <w:bookmarkEnd w:id="19"/>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20" w:name="_Toc426101218"/>
      <w:r>
        <w:rPr>
          <w:rStyle w:val="CharSectno"/>
        </w:rPr>
        <w:t>8</w:t>
      </w:r>
      <w:r>
        <w:t>.</w:t>
      </w:r>
      <w:r>
        <w:tab/>
        <w:t>Condition on practising certificates before 1 July 2015: practitioner must complete professional development</w:t>
      </w:r>
      <w:bookmarkEnd w:id="20"/>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in Gazette 20 Feb 2015 p. 682.]</w:t>
      </w:r>
    </w:p>
    <w:p>
      <w:pPr>
        <w:pStyle w:val="Heading5"/>
      </w:pPr>
      <w:bookmarkStart w:id="21" w:name="_Toc426101219"/>
      <w:r>
        <w:rPr>
          <w:rStyle w:val="CharSectno"/>
        </w:rPr>
        <w:t>9</w:t>
      </w:r>
      <w:r>
        <w:t>.</w:t>
      </w:r>
      <w:r>
        <w:tab/>
        <w:t>Earning CPD points</w:t>
      </w:r>
      <w:bookmarkEnd w:id="21"/>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NotesPerm"/>
        <w:tabs>
          <w:tab w:val="clear" w:pos="879"/>
          <w:tab w:val="left" w:pos="851"/>
        </w:tabs>
        <w:spacing w:before="120"/>
        <w:ind w:left="1418" w:hanging="1418"/>
      </w:pPr>
      <w:r>
        <w:tab/>
        <w:t>Note:</w:t>
      </w:r>
      <w:r>
        <w:tab/>
      </w:r>
    </w:p>
    <w:p>
      <w:pPr>
        <w:pStyle w:val="NotesPerm"/>
        <w:tabs>
          <w:tab w:val="clear" w:pos="879"/>
          <w:tab w:val="left" w:pos="851"/>
        </w:tabs>
        <w:spacing w:before="80"/>
        <w:ind w:left="1418" w:hanging="1418"/>
      </w:pPr>
      <w:r>
        <w:tab/>
      </w:r>
      <w:r>
        <w:tab/>
        <w:t>Subdivision 3 deals with earning CPD points after 31 March 2015.</w:t>
      </w:r>
    </w:p>
    <w:p>
      <w:pPr>
        <w:pStyle w:val="Footnotesection"/>
        <w:spacing w:before="100"/>
      </w:pPr>
      <w:r>
        <w:tab/>
        <w:t>[Rule 9 amended in Gazette 20 Feb 2015 p. 682.]</w:t>
      </w:r>
    </w:p>
    <w:p>
      <w:pPr>
        <w:pStyle w:val="Heading5"/>
      </w:pPr>
      <w:bookmarkStart w:id="22" w:name="_Toc426101220"/>
      <w:r>
        <w:rPr>
          <w:rStyle w:val="CharSectno"/>
        </w:rPr>
        <w:t>10</w:t>
      </w:r>
      <w:r>
        <w:t>.</w:t>
      </w:r>
      <w:r>
        <w:tab/>
        <w:t>Competency area requirements</w:t>
      </w:r>
      <w:bookmarkEnd w:id="22"/>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3" w:name="_Toc426101221"/>
      <w:r>
        <w:rPr>
          <w:rStyle w:val="CharSectno"/>
        </w:rPr>
        <w:t>11</w:t>
      </w:r>
      <w:r>
        <w:t>.</w:t>
      </w:r>
      <w:r>
        <w:tab/>
        <w:t>Interactive and publishing point requirements</w:t>
      </w:r>
      <w:bookmarkEnd w:id="23"/>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4" w:name="_Toc426101222"/>
      <w:r>
        <w:rPr>
          <w:rStyle w:val="CharSectno"/>
        </w:rPr>
        <w:t>12</w:t>
      </w:r>
      <w:r>
        <w:t>.</w:t>
      </w:r>
      <w:r>
        <w:tab/>
        <w:t>CPD points for an activity</w:t>
      </w:r>
      <w:bookmarkEnd w:id="24"/>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25" w:name="_Toc426101223"/>
      <w:r>
        <w:t>Subdivision 3 — Local practising certificates in force on or after 1 July 2015</w:t>
      </w:r>
      <w:bookmarkEnd w:id="25"/>
    </w:p>
    <w:p>
      <w:pPr>
        <w:pStyle w:val="Footnoteheading"/>
      </w:pPr>
      <w:r>
        <w:tab/>
        <w:t>[Heading inserted in Gazette 20 Feb 2015 p. 682.]</w:t>
      </w:r>
    </w:p>
    <w:p>
      <w:pPr>
        <w:pStyle w:val="Heading5"/>
      </w:pPr>
      <w:bookmarkStart w:id="26" w:name="_Toc426101224"/>
      <w:r>
        <w:rPr>
          <w:rStyle w:val="CharSectno"/>
        </w:rPr>
        <w:t>13A</w:t>
      </w:r>
      <w:r>
        <w:t>.</w:t>
      </w:r>
      <w:r>
        <w:tab/>
        <w:t>Terms used</w:t>
      </w:r>
      <w:bookmarkEnd w:id="26"/>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27" w:name="_Toc426101225"/>
      <w:r>
        <w:rPr>
          <w:rStyle w:val="CharSectno"/>
        </w:rPr>
        <w:t>13B</w:t>
      </w:r>
      <w:r>
        <w:t>.</w:t>
      </w:r>
      <w:r>
        <w:tab/>
        <w:t>Condition on practising certificates on and after 1 July 2015: practitioner must complete professional development</w:t>
      </w:r>
      <w:bookmarkEnd w:id="27"/>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28" w:name="_Toc426101226"/>
      <w:r>
        <w:rPr>
          <w:rStyle w:val="CharSectno"/>
        </w:rPr>
        <w:t>13C</w:t>
      </w:r>
      <w:r>
        <w:t>.</w:t>
      </w:r>
      <w:r>
        <w:tab/>
        <w:t>Earning CPD points</w:t>
      </w:r>
      <w:bookmarkEnd w:id="28"/>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29" w:name="_Toc426101227"/>
      <w:r>
        <w:rPr>
          <w:rStyle w:val="CharSectno"/>
        </w:rPr>
        <w:t>13D</w:t>
      </w:r>
      <w:r>
        <w:t>.</w:t>
      </w:r>
      <w:r>
        <w:tab/>
        <w:t>Competency area requirements</w:t>
      </w:r>
      <w:bookmarkEnd w:id="29"/>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30" w:name="_Toc426101228"/>
      <w:r>
        <w:rPr>
          <w:rStyle w:val="CharSectno"/>
        </w:rPr>
        <w:t>13E</w:t>
      </w:r>
      <w:r>
        <w:t>.</w:t>
      </w:r>
      <w:r>
        <w:tab/>
        <w:t>Requirements for interactive and publication CPD points</w:t>
      </w:r>
      <w:bookmarkEnd w:id="30"/>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31" w:name="_Toc426101229"/>
      <w:r>
        <w:rPr>
          <w:rStyle w:val="CharSectno"/>
        </w:rPr>
        <w:t>13F</w:t>
      </w:r>
      <w:r>
        <w:t>.</w:t>
      </w:r>
      <w:r>
        <w:tab/>
        <w:t>CPD points for particular approved CPD activities</w:t>
      </w:r>
      <w:bookmarkEnd w:id="31"/>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32" w:name="_Toc426101230"/>
      <w:r>
        <w:t>Subdivision 4 — Other matters about continuing professional development</w:t>
      </w:r>
      <w:bookmarkEnd w:id="32"/>
    </w:p>
    <w:p>
      <w:pPr>
        <w:pStyle w:val="Footnoteheading"/>
      </w:pPr>
      <w:r>
        <w:tab/>
        <w:t>[Heading inserted in Gazette 20 Feb 2015 p. 686.]</w:t>
      </w:r>
    </w:p>
    <w:p>
      <w:pPr>
        <w:pStyle w:val="Heading5"/>
      </w:pPr>
      <w:bookmarkStart w:id="33" w:name="_Toc426101231"/>
      <w:r>
        <w:rPr>
          <w:rStyle w:val="CharSectno"/>
        </w:rPr>
        <w:t>13</w:t>
      </w:r>
      <w:r>
        <w:t>.</w:t>
      </w:r>
      <w:r>
        <w:tab/>
        <w:t>Points for repeated activities</w:t>
      </w:r>
      <w:bookmarkEnd w:id="33"/>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34" w:name="_Toc426101232"/>
      <w:r>
        <w:rPr>
          <w:rStyle w:val="CharSectno"/>
        </w:rPr>
        <w:t>14</w:t>
      </w:r>
      <w:r>
        <w:t>.</w:t>
      </w:r>
      <w:r>
        <w:tab/>
        <w:t>QA providers</w:t>
      </w:r>
      <w:bookmarkEnd w:id="34"/>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35" w:name="_Toc426101233"/>
      <w:r>
        <w:rPr>
          <w:rStyle w:val="CharSectno"/>
        </w:rPr>
        <w:t>15</w:t>
      </w:r>
      <w:r>
        <w:t>.</w:t>
      </w:r>
      <w:r>
        <w:tab/>
        <w:t>Approval of professional development activities</w:t>
      </w:r>
      <w:bookmarkEnd w:id="35"/>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36" w:name="_Toc426101234"/>
      <w:r>
        <w:rPr>
          <w:rStyle w:val="CharSectno"/>
        </w:rPr>
        <w:t>16</w:t>
      </w:r>
      <w:r>
        <w:t>.</w:t>
      </w:r>
      <w:r>
        <w:tab/>
        <w:t>Approvals generally</w:t>
      </w:r>
      <w:bookmarkEnd w:id="36"/>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37" w:name="_Toc426101235"/>
      <w:r>
        <w:rPr>
          <w:rStyle w:val="CharSectno"/>
        </w:rPr>
        <w:t>17</w:t>
      </w:r>
      <w:r>
        <w:t>.</w:t>
      </w:r>
      <w:r>
        <w:tab/>
        <w:t>Variations</w:t>
      </w:r>
      <w:bookmarkEnd w:id="37"/>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38" w:name="_Toc426101236"/>
      <w:r>
        <w:rPr>
          <w:rStyle w:val="CharSectno"/>
        </w:rPr>
        <w:t>18</w:t>
      </w:r>
      <w:r>
        <w:t>.</w:t>
      </w:r>
      <w:r>
        <w:tab/>
        <w:t>Electronic activities to be reviewed yearly</w:t>
      </w:r>
      <w:bookmarkEnd w:id="38"/>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pPr>
      <w:bookmarkStart w:id="39" w:name="_Toc426101237"/>
      <w:r>
        <w:rPr>
          <w:rStyle w:val="CharDivNo"/>
        </w:rPr>
        <w:t>Division 3</w:t>
      </w:r>
      <w:r>
        <w:t> — </w:t>
      </w:r>
      <w:r>
        <w:rPr>
          <w:rStyle w:val="CharDivText"/>
        </w:rPr>
        <w:t>Other conditions on local practising certificates</w:t>
      </w:r>
      <w:bookmarkEnd w:id="39"/>
    </w:p>
    <w:p>
      <w:pPr>
        <w:pStyle w:val="Heading5"/>
      </w:pPr>
      <w:bookmarkStart w:id="40" w:name="_Toc426101238"/>
      <w:r>
        <w:rPr>
          <w:rStyle w:val="CharSectno"/>
        </w:rPr>
        <w:t>19</w:t>
      </w:r>
      <w:r>
        <w:t>.</w:t>
      </w:r>
      <w:r>
        <w:tab/>
        <w:t>Restricted legal practice (s. 50)</w:t>
      </w:r>
      <w:bookmarkEnd w:id="40"/>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in Gazette 17 Jul 2015 p. 2884</w:t>
      </w:r>
      <w:r>
        <w:noBreakHyphen/>
        <w:t>6.]</w:t>
      </w:r>
    </w:p>
    <w:p>
      <w:pPr>
        <w:pStyle w:val="Heading3"/>
      </w:pPr>
      <w:bookmarkStart w:id="41" w:name="_Toc426101239"/>
      <w:r>
        <w:rPr>
          <w:rStyle w:val="CharDivNo"/>
        </w:rPr>
        <w:t>Division 4</w:t>
      </w:r>
      <w:r>
        <w:t> — </w:t>
      </w:r>
      <w:r>
        <w:rPr>
          <w:rStyle w:val="CharDivText"/>
        </w:rPr>
        <w:t>Local legal practitioner with articled clerk</w:t>
      </w:r>
      <w:bookmarkEnd w:id="41"/>
    </w:p>
    <w:p>
      <w:pPr>
        <w:pStyle w:val="Heading5"/>
      </w:pPr>
      <w:bookmarkStart w:id="42" w:name="_Toc426101240"/>
      <w:r>
        <w:rPr>
          <w:rStyle w:val="CharSectno"/>
        </w:rPr>
        <w:t>20</w:t>
      </w:r>
      <w:r>
        <w:t>.</w:t>
      </w:r>
      <w:r>
        <w:tab/>
        <w:t>Terms used</w:t>
      </w:r>
      <w:bookmarkEnd w:id="42"/>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43" w:name="_Toc426101241"/>
      <w:r>
        <w:rPr>
          <w:rStyle w:val="CharSectno"/>
        </w:rPr>
        <w:t>21</w:t>
      </w:r>
      <w:r>
        <w:t>.</w:t>
      </w:r>
      <w:r>
        <w:tab/>
        <w:t>Supervision of articled clerks</w:t>
      </w:r>
      <w:bookmarkEnd w:id="43"/>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44" w:name="_Toc426101242"/>
      <w:r>
        <w:rPr>
          <w:rStyle w:val="CharSectno"/>
        </w:rPr>
        <w:t>22</w:t>
      </w:r>
      <w:r>
        <w:t>.</w:t>
      </w:r>
      <w:r>
        <w:tab/>
        <w:t>Conduct of principal for articled clerk</w:t>
      </w:r>
      <w:bookmarkEnd w:id="44"/>
    </w:p>
    <w:p>
      <w:pPr>
        <w:pStyle w:val="Subsection"/>
      </w:pPr>
      <w:r>
        <w:tab/>
      </w:r>
      <w:r>
        <w:tab/>
        <w:t>A local legal practitioner who is the principal for an articled clerk under articles of clerkship must comply with that deed.</w:t>
      </w:r>
    </w:p>
    <w:p>
      <w:pPr>
        <w:pStyle w:val="Heading3"/>
      </w:pPr>
      <w:bookmarkStart w:id="45" w:name="_Toc426101243"/>
      <w:r>
        <w:rPr>
          <w:rStyle w:val="CharDivNo"/>
        </w:rPr>
        <w:t>Division 5</w:t>
      </w:r>
      <w:r>
        <w:t> — </w:t>
      </w:r>
      <w:r>
        <w:rPr>
          <w:rStyle w:val="CharDivText"/>
        </w:rPr>
        <w:t>Interstate legal practitioners</w:t>
      </w:r>
      <w:bookmarkEnd w:id="45"/>
    </w:p>
    <w:p>
      <w:pPr>
        <w:pStyle w:val="Heading5"/>
      </w:pPr>
      <w:bookmarkStart w:id="46" w:name="_Toc426101244"/>
      <w:r>
        <w:rPr>
          <w:rStyle w:val="CharSectno"/>
        </w:rPr>
        <w:t>23</w:t>
      </w:r>
      <w:r>
        <w:t>.</w:t>
      </w:r>
      <w:r>
        <w:tab/>
        <w:t>Notification requirements for interstate legal practitioners (s. 71)</w:t>
      </w:r>
      <w:bookmarkEnd w:id="46"/>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47" w:name="_Toc426101245"/>
      <w:r>
        <w:rPr>
          <w:rStyle w:val="CharSectno"/>
        </w:rPr>
        <w:t>24</w:t>
      </w:r>
      <w:r>
        <w:t>.</w:t>
      </w:r>
      <w:r>
        <w:tab/>
        <w:t>Restricted legal practice by interstate legal practitioner (s. 72)</w:t>
      </w:r>
      <w:bookmarkEnd w:id="47"/>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48" w:name="_Toc426101246"/>
      <w:r>
        <w:rPr>
          <w:rStyle w:val="CharPartNo"/>
        </w:rPr>
        <w:t>Part 3</w:t>
      </w:r>
      <w:r>
        <w:rPr>
          <w:rStyle w:val="CharDivNo"/>
        </w:rPr>
        <w:t> </w:t>
      </w:r>
      <w:r>
        <w:t>—</w:t>
      </w:r>
      <w:r>
        <w:rPr>
          <w:rStyle w:val="CharDivText"/>
        </w:rPr>
        <w:t> </w:t>
      </w:r>
      <w:r>
        <w:rPr>
          <w:rStyle w:val="CharPartText"/>
        </w:rPr>
        <w:t>Foreign lawyers</w:t>
      </w:r>
      <w:bookmarkEnd w:id="48"/>
    </w:p>
    <w:p>
      <w:pPr>
        <w:pStyle w:val="Heading5"/>
      </w:pPr>
      <w:bookmarkStart w:id="49" w:name="_Toc426101247"/>
      <w:r>
        <w:rPr>
          <w:rStyle w:val="CharSectno"/>
        </w:rPr>
        <w:t>25</w:t>
      </w:r>
      <w:r>
        <w:t>.</w:t>
      </w:r>
      <w:r>
        <w:tab/>
        <w:t>Fee for application for grant or renewal of registration (s. 168)</w:t>
      </w:r>
      <w:bookmarkEnd w:id="49"/>
    </w:p>
    <w:p>
      <w:pPr>
        <w:pStyle w:val="Subsection"/>
      </w:pPr>
      <w:r>
        <w:tab/>
      </w:r>
      <w:r>
        <w:tab/>
        <w:t>The fee payable for an application for the grant or renewal of registration as a foreign lawyer is the relevant fee specified in Schedule 1.</w:t>
      </w:r>
    </w:p>
    <w:p>
      <w:pPr>
        <w:pStyle w:val="Heading5"/>
      </w:pPr>
      <w:bookmarkStart w:id="50" w:name="_Toc426101248"/>
      <w:r>
        <w:rPr>
          <w:rStyle w:val="CharSectno"/>
        </w:rPr>
        <w:t>26</w:t>
      </w:r>
      <w:r>
        <w:t>.</w:t>
      </w:r>
      <w:r>
        <w:tab/>
        <w:t>Conditions regarding notification of offence (s. 191)</w:t>
      </w:r>
      <w:bookmarkEnd w:id="50"/>
    </w:p>
    <w:p>
      <w:pPr>
        <w:pStyle w:val="Subsection"/>
      </w:pPr>
      <w:r>
        <w:tab/>
      </w:r>
      <w:r>
        <w:tab/>
        <w:t>A notice under section 191 of the Act must be in an approved form.</w:t>
      </w:r>
    </w:p>
    <w:p>
      <w:pPr>
        <w:pStyle w:val="Heading5"/>
      </w:pPr>
      <w:bookmarkStart w:id="51" w:name="_Toc426101249"/>
      <w:r>
        <w:rPr>
          <w:rStyle w:val="CharSectno"/>
        </w:rPr>
        <w:t>27</w:t>
      </w:r>
      <w:r>
        <w:t>.</w:t>
      </w:r>
      <w:r>
        <w:tab/>
        <w:t>Notification requirements for interstate</w:t>
      </w:r>
      <w:r>
        <w:noBreakHyphen/>
        <w:t>registered foreign lawyers (s. 196)</w:t>
      </w:r>
      <w:bookmarkEnd w:id="5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52" w:name="_Toc426101250"/>
      <w:r>
        <w:rPr>
          <w:rStyle w:val="CharPartNo"/>
        </w:rPr>
        <w:t>Part 4</w:t>
      </w:r>
      <w:r>
        <w:t> — </w:t>
      </w:r>
      <w:r>
        <w:rPr>
          <w:rStyle w:val="CharPartText"/>
        </w:rPr>
        <w:t>Legal Practice Board</w:t>
      </w:r>
      <w:bookmarkEnd w:id="52"/>
    </w:p>
    <w:p>
      <w:pPr>
        <w:pStyle w:val="Heading3"/>
      </w:pPr>
      <w:bookmarkStart w:id="53" w:name="_Toc426101251"/>
      <w:r>
        <w:rPr>
          <w:rStyle w:val="CharDivNo"/>
        </w:rPr>
        <w:t>Division 1</w:t>
      </w:r>
      <w:r>
        <w:t> — </w:t>
      </w:r>
      <w:r>
        <w:rPr>
          <w:rStyle w:val="CharDivText"/>
        </w:rPr>
        <w:t>Preliminary matters</w:t>
      </w:r>
      <w:bookmarkEnd w:id="53"/>
    </w:p>
    <w:p>
      <w:pPr>
        <w:pStyle w:val="Heading5"/>
      </w:pPr>
      <w:bookmarkStart w:id="54" w:name="_Toc426101252"/>
      <w:r>
        <w:rPr>
          <w:rStyle w:val="CharSectno"/>
        </w:rPr>
        <w:t>28</w:t>
      </w:r>
      <w:r>
        <w:t>.</w:t>
      </w:r>
      <w:r>
        <w:tab/>
        <w:t>Term used: secretary</w:t>
      </w:r>
      <w:bookmarkEnd w:id="54"/>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5" w:name="_Toc426101253"/>
      <w:r>
        <w:rPr>
          <w:rStyle w:val="CharDivNo"/>
        </w:rPr>
        <w:t>Division 2</w:t>
      </w:r>
      <w:r>
        <w:t> — </w:t>
      </w:r>
      <w:r>
        <w:rPr>
          <w:rStyle w:val="CharDivText"/>
        </w:rPr>
        <w:t>Election of members of the Board</w:t>
      </w:r>
      <w:bookmarkEnd w:id="55"/>
    </w:p>
    <w:p>
      <w:pPr>
        <w:pStyle w:val="Heading5"/>
      </w:pPr>
      <w:bookmarkStart w:id="56" w:name="_Toc426101254"/>
      <w:r>
        <w:rPr>
          <w:rStyle w:val="CharSectno"/>
        </w:rPr>
        <w:t>29</w:t>
      </w:r>
      <w:r>
        <w:t>.</w:t>
      </w:r>
      <w:r>
        <w:tab/>
        <w:t>Annual election date</w:t>
      </w:r>
      <w:bookmarkEnd w:id="56"/>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57" w:name="_Toc426101255"/>
      <w:r>
        <w:rPr>
          <w:rStyle w:val="CharSectno"/>
        </w:rPr>
        <w:t>30</w:t>
      </w:r>
      <w:r>
        <w:t>.</w:t>
      </w:r>
      <w:r>
        <w:tab/>
        <w:t>Returning officers</w:t>
      </w:r>
      <w:bookmarkEnd w:id="57"/>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58" w:name="_Toc426101256"/>
      <w:r>
        <w:rPr>
          <w:rStyle w:val="CharSectno"/>
        </w:rPr>
        <w:t>31</w:t>
      </w:r>
      <w:r>
        <w:t>.</w:t>
      </w:r>
      <w:r>
        <w:tab/>
        <w:t>Nomination of candidates</w:t>
      </w:r>
      <w:bookmarkEnd w:id="5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59" w:name="_Toc426101257"/>
      <w:r>
        <w:rPr>
          <w:rStyle w:val="CharSectno"/>
        </w:rPr>
        <w:t>32</w:t>
      </w:r>
      <w:r>
        <w:t>.</w:t>
      </w:r>
      <w:r>
        <w:tab/>
        <w:t>Candidates elected when nominations equal vacancies</w:t>
      </w:r>
      <w:bookmarkEnd w:id="59"/>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0" w:name="_Toc426101258"/>
      <w:r>
        <w:rPr>
          <w:rStyle w:val="CharSectno"/>
        </w:rPr>
        <w:t>33</w:t>
      </w:r>
      <w:r>
        <w:t>.</w:t>
      </w:r>
      <w:r>
        <w:tab/>
        <w:t>Ballot papers</w:t>
      </w:r>
      <w:bookmarkEnd w:id="60"/>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1" w:name="_Toc426101259"/>
      <w:r>
        <w:rPr>
          <w:rStyle w:val="CharSectno"/>
        </w:rPr>
        <w:t>34</w:t>
      </w:r>
      <w:r>
        <w:t>.</w:t>
      </w:r>
      <w:r>
        <w:tab/>
        <w:t>Voting</w:t>
      </w:r>
      <w:bookmarkEnd w:id="61"/>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2" w:name="_Toc426101260"/>
      <w:r>
        <w:rPr>
          <w:rStyle w:val="CharSectno"/>
        </w:rPr>
        <w:t>35</w:t>
      </w:r>
      <w:r>
        <w:t>.</w:t>
      </w:r>
      <w:r>
        <w:tab/>
        <w:t>Commencement of term of office</w:t>
      </w:r>
      <w:bookmarkEnd w:id="62"/>
    </w:p>
    <w:p>
      <w:pPr>
        <w:pStyle w:val="Subsection"/>
      </w:pPr>
      <w:r>
        <w:tab/>
      </w:r>
      <w:r>
        <w:tab/>
        <w:t>A person elected under rule 32 or 34 takes office on the Thursday after the election date.</w:t>
      </w:r>
    </w:p>
    <w:p>
      <w:pPr>
        <w:pStyle w:val="Heading5"/>
      </w:pPr>
      <w:bookmarkStart w:id="63" w:name="_Toc426101261"/>
      <w:r>
        <w:rPr>
          <w:rStyle w:val="CharSectno"/>
        </w:rPr>
        <w:t>36</w:t>
      </w:r>
      <w:r>
        <w:t>.</w:t>
      </w:r>
      <w:r>
        <w:tab/>
        <w:t xml:space="preserve">Results to be published in </w:t>
      </w:r>
      <w:r>
        <w:rPr>
          <w:i/>
          <w:iCs/>
        </w:rPr>
        <w:t>Gazette</w:t>
      </w:r>
      <w:bookmarkEnd w:id="6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64" w:name="_Toc426101262"/>
      <w:r>
        <w:rPr>
          <w:rStyle w:val="CharSectno"/>
        </w:rPr>
        <w:t>37</w:t>
      </w:r>
      <w:r>
        <w:t>.</w:t>
      </w:r>
      <w:r>
        <w:tab/>
        <w:t>Non-receipt of ballot papers</w:t>
      </w:r>
      <w:bookmarkEnd w:id="64"/>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65" w:name="_Toc426101263"/>
      <w:r>
        <w:rPr>
          <w:rStyle w:val="CharDivNo"/>
        </w:rPr>
        <w:t>Division 3</w:t>
      </w:r>
      <w:r>
        <w:t> — </w:t>
      </w:r>
      <w:r>
        <w:rPr>
          <w:rStyle w:val="CharDivText"/>
        </w:rPr>
        <w:t>Board meetings</w:t>
      </w:r>
      <w:bookmarkEnd w:id="65"/>
    </w:p>
    <w:p>
      <w:pPr>
        <w:pStyle w:val="Heading5"/>
        <w:spacing w:before="240"/>
      </w:pPr>
      <w:bookmarkStart w:id="66" w:name="_Toc426101264"/>
      <w:r>
        <w:rPr>
          <w:rStyle w:val="CharSectno"/>
        </w:rPr>
        <w:t>38</w:t>
      </w:r>
      <w:r>
        <w:t>.</w:t>
      </w:r>
      <w:r>
        <w:tab/>
        <w:t>Board meetings</w:t>
      </w:r>
      <w:bookmarkEnd w:id="66"/>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67" w:name="_Toc426101265"/>
      <w:r>
        <w:rPr>
          <w:rStyle w:val="CharSectno"/>
        </w:rPr>
        <w:t>39</w:t>
      </w:r>
      <w:r>
        <w:t>.</w:t>
      </w:r>
      <w:r>
        <w:tab/>
        <w:t>Holding meetings remotely</w:t>
      </w:r>
      <w:bookmarkEnd w:id="6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68" w:name="_Toc426101266"/>
      <w:r>
        <w:rPr>
          <w:rStyle w:val="CharSectno"/>
        </w:rPr>
        <w:t>40</w:t>
      </w:r>
      <w:r>
        <w:t>.</w:t>
      </w:r>
      <w:r>
        <w:tab/>
        <w:t>Urgent meetings</w:t>
      </w:r>
      <w:bookmarkEnd w:id="68"/>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69" w:name="_Toc426101267"/>
      <w:r>
        <w:rPr>
          <w:rStyle w:val="CharSectno"/>
        </w:rPr>
        <w:t>41</w:t>
      </w:r>
      <w:r>
        <w:t>.</w:t>
      </w:r>
      <w:r>
        <w:tab/>
        <w:t>Resolution without meeting</w:t>
      </w:r>
      <w:bookmarkEnd w:id="69"/>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0" w:name="_Toc426101268"/>
      <w:r>
        <w:rPr>
          <w:rStyle w:val="CharSectno"/>
        </w:rPr>
        <w:t>42</w:t>
      </w:r>
      <w:r>
        <w:t>.</w:t>
      </w:r>
      <w:r>
        <w:tab/>
        <w:t>Rescission or amendment</w:t>
      </w:r>
      <w:bookmarkEnd w:id="7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1" w:name="_Toc426101269"/>
      <w:r>
        <w:rPr>
          <w:rStyle w:val="CharSectno"/>
        </w:rPr>
        <w:t>43</w:t>
      </w:r>
      <w:r>
        <w:t>.</w:t>
      </w:r>
      <w:r>
        <w:tab/>
        <w:t>Minutes</w:t>
      </w:r>
      <w:bookmarkEnd w:id="71"/>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2" w:name="_Toc426101270"/>
      <w:r>
        <w:rPr>
          <w:rStyle w:val="CharDivNo"/>
        </w:rPr>
        <w:t>Division 4</w:t>
      </w:r>
      <w:r>
        <w:t> — </w:t>
      </w:r>
      <w:r>
        <w:rPr>
          <w:rStyle w:val="CharDivText"/>
        </w:rPr>
        <w:t>Committees</w:t>
      </w:r>
      <w:bookmarkEnd w:id="72"/>
    </w:p>
    <w:p>
      <w:pPr>
        <w:pStyle w:val="Heading5"/>
        <w:spacing w:before="200"/>
      </w:pPr>
      <w:bookmarkStart w:id="73" w:name="_Toc426101271"/>
      <w:r>
        <w:rPr>
          <w:rStyle w:val="CharSectno"/>
        </w:rPr>
        <w:t>44</w:t>
      </w:r>
      <w:r>
        <w:t>.</w:t>
      </w:r>
      <w:r>
        <w:tab/>
        <w:t>Convenor and deputy convenor</w:t>
      </w:r>
      <w:bookmarkEnd w:id="7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74" w:name="_Toc426101272"/>
      <w:r>
        <w:rPr>
          <w:rStyle w:val="CharSectno"/>
        </w:rPr>
        <w:t>45</w:t>
      </w:r>
      <w:r>
        <w:t>.</w:t>
      </w:r>
      <w:r>
        <w:tab/>
        <w:t>Committee meetings</w:t>
      </w:r>
      <w:bookmarkEnd w:id="74"/>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75" w:name="_Toc426101273"/>
      <w:r>
        <w:rPr>
          <w:rStyle w:val="CharSectno"/>
        </w:rPr>
        <w:t>46</w:t>
      </w:r>
      <w:r>
        <w:t>.</w:t>
      </w:r>
      <w:r>
        <w:tab/>
        <w:t>Application of applied provisions</w:t>
      </w:r>
      <w:bookmarkEnd w:id="75"/>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pPr>
      <w:bookmarkStart w:id="76" w:name="_Toc426101274"/>
      <w:r>
        <w:rPr>
          <w:rStyle w:val="CharPartNo"/>
        </w:rPr>
        <w:t>Part 5</w:t>
      </w:r>
      <w:r>
        <w:rPr>
          <w:rStyle w:val="CharDivNo"/>
        </w:rPr>
        <w:t> </w:t>
      </w:r>
      <w:r>
        <w:t>—</w:t>
      </w:r>
      <w:r>
        <w:rPr>
          <w:rStyle w:val="CharDivText"/>
        </w:rPr>
        <w:t> </w:t>
      </w:r>
      <w:r>
        <w:rPr>
          <w:rStyle w:val="CharPartText"/>
        </w:rPr>
        <w:t>Law Library at Supreme Court</w:t>
      </w:r>
      <w:bookmarkEnd w:id="76"/>
    </w:p>
    <w:p>
      <w:pPr>
        <w:pStyle w:val="Heading5"/>
      </w:pPr>
      <w:bookmarkStart w:id="77" w:name="_Toc426101275"/>
      <w:r>
        <w:rPr>
          <w:rStyle w:val="CharSectno"/>
        </w:rPr>
        <w:t>47</w:t>
      </w:r>
      <w:r>
        <w:t>.</w:t>
      </w:r>
      <w:r>
        <w:tab/>
        <w:t>Terms used</w:t>
      </w:r>
      <w:bookmarkEnd w:id="77"/>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 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78" w:name="_Toc426101276"/>
      <w:r>
        <w:rPr>
          <w:rStyle w:val="CharSectno"/>
        </w:rPr>
        <w:t>48</w:t>
      </w:r>
      <w:r>
        <w:t>.</w:t>
      </w:r>
      <w:r>
        <w:tab/>
        <w:t>People entitled to use library</w:t>
      </w:r>
      <w:bookmarkEnd w:id="78"/>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79" w:name="_Toc426101277"/>
      <w:r>
        <w:rPr>
          <w:rStyle w:val="CharSectno"/>
        </w:rPr>
        <w:t>49</w:t>
      </w:r>
      <w:r>
        <w:t>.</w:t>
      </w:r>
      <w:r>
        <w:tab/>
        <w:t>Librarian may suspend or restrict entitlement to use library</w:t>
      </w:r>
      <w:bookmarkEnd w:id="79"/>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80" w:name="_Toc426101278"/>
      <w:r>
        <w:rPr>
          <w:rStyle w:val="CharSectno"/>
        </w:rPr>
        <w:t>50</w:t>
      </w:r>
      <w:r>
        <w:t>.</w:t>
      </w:r>
      <w:r>
        <w:tab/>
        <w:t>Board may suspend or restrict entitlement to use library</w:t>
      </w:r>
      <w:bookmarkEnd w:id="8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81" w:name="_Toc426101279"/>
      <w:r>
        <w:rPr>
          <w:rStyle w:val="CharSectno"/>
        </w:rPr>
        <w:t>51</w:t>
      </w:r>
      <w:r>
        <w:t>.</w:t>
      </w:r>
      <w:r>
        <w:tab/>
        <w:t>Use of library and books</w:t>
      </w:r>
      <w:bookmarkEnd w:id="81"/>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82" w:name="_Toc426101280"/>
      <w:r>
        <w:rPr>
          <w:rStyle w:val="CharSectno"/>
        </w:rPr>
        <w:t>52</w:t>
      </w:r>
      <w:r>
        <w:t>.</w:t>
      </w:r>
      <w:r>
        <w:tab/>
        <w:t>Borrowing books</w:t>
      </w:r>
      <w:bookmarkEnd w:id="82"/>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83" w:name="_Toc426101281"/>
      <w:r>
        <w:rPr>
          <w:rStyle w:val="CharSectno"/>
        </w:rPr>
        <w:t>53</w:t>
      </w:r>
      <w:r>
        <w:t>.</w:t>
      </w:r>
      <w:r>
        <w:tab/>
        <w:t>Removal of unauthorised people and retrieval of books</w:t>
      </w:r>
      <w:bookmarkEnd w:id="83"/>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84" w:name="_Toc426101282"/>
      <w:r>
        <w:rPr>
          <w:rStyle w:val="CharPartNo"/>
        </w:rPr>
        <w:t>Part 6</w:t>
      </w:r>
      <w:r>
        <w:rPr>
          <w:rStyle w:val="CharDivNo"/>
        </w:rPr>
        <w:t> </w:t>
      </w:r>
      <w:r>
        <w:t>—</w:t>
      </w:r>
      <w:r>
        <w:rPr>
          <w:rStyle w:val="CharDivText"/>
        </w:rPr>
        <w:t> </w:t>
      </w:r>
      <w:r>
        <w:rPr>
          <w:rStyle w:val="CharPartText"/>
        </w:rPr>
        <w:t>General matters</w:t>
      </w:r>
      <w:bookmarkEnd w:id="84"/>
    </w:p>
    <w:p>
      <w:pPr>
        <w:pStyle w:val="Heading5"/>
      </w:pPr>
      <w:bookmarkStart w:id="85" w:name="_Toc426101283"/>
      <w:r>
        <w:rPr>
          <w:rStyle w:val="CharSectno"/>
        </w:rPr>
        <w:t>54</w:t>
      </w:r>
      <w:r>
        <w:t>.</w:t>
      </w:r>
      <w:r>
        <w:tab/>
        <w:t>Documents given to or by Board</w:t>
      </w:r>
      <w:bookmarkEnd w:id="85"/>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86" w:name="_Toc426101284"/>
      <w:r>
        <w:rPr>
          <w:rStyle w:val="CharSectno"/>
        </w:rPr>
        <w:t>55</w:t>
      </w:r>
      <w:r>
        <w:t>.</w:t>
      </w:r>
      <w:r>
        <w:tab/>
        <w:t>Board may excuse non-compliance</w:t>
      </w:r>
      <w:bookmarkEnd w:id="8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7" w:name="_Toc426101285"/>
      <w:r>
        <w:rPr>
          <w:rStyle w:val="CharSchNo"/>
        </w:rPr>
        <w:t>Schedule 1</w:t>
      </w:r>
      <w:r>
        <w:rPr>
          <w:rStyle w:val="CharSDivNo"/>
        </w:rPr>
        <w:t> </w:t>
      </w:r>
      <w:r>
        <w:t>—</w:t>
      </w:r>
      <w:r>
        <w:rPr>
          <w:rStyle w:val="CharSDivText"/>
        </w:rPr>
        <w:t> </w:t>
      </w:r>
      <w:r>
        <w:rPr>
          <w:rStyle w:val="CharSchText"/>
        </w:rPr>
        <w:t>Fees</w:t>
      </w:r>
      <w:bookmarkEnd w:id="87"/>
    </w:p>
    <w:p>
      <w:pPr>
        <w:pStyle w:val="yShoulderClause"/>
        <w:spacing w:after="60"/>
      </w:pPr>
      <w:r>
        <w:t>[r. 4 and 25]</w:t>
      </w:r>
    </w:p>
    <w:p>
      <w:pPr>
        <w:pStyle w:val="yHeading5"/>
      </w:pPr>
      <w:bookmarkStart w:id="88" w:name="_Toc426101286"/>
      <w:r>
        <w:rPr>
          <w:rStyle w:val="CharSClsNo"/>
        </w:rPr>
        <w:t>1</w:t>
      </w:r>
      <w:r>
        <w:t>.</w:t>
      </w:r>
      <w:r>
        <w:tab/>
        <w:t>Terms used</w:t>
      </w:r>
      <w:bookmarkEnd w:id="88"/>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89" w:name="_Toc426101287"/>
      <w:r>
        <w:rPr>
          <w:rStyle w:val="CharSClsNo"/>
        </w:rPr>
        <w:t>2</w:t>
      </w:r>
      <w:r>
        <w:t>.</w:t>
      </w:r>
      <w:r>
        <w:tab/>
        <w:t>Fees</w:t>
      </w:r>
      <w:bookmarkEnd w:id="89"/>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426101288"/>
      <w:r>
        <w:t>Notes</w:t>
      </w:r>
      <w:bookmarkEnd w:id="91"/>
    </w:p>
    <w:p>
      <w:pPr>
        <w:pStyle w:val="nSubsection"/>
      </w:pPr>
      <w:r>
        <w:rPr>
          <w:vertAlign w:val="superscript"/>
        </w:rPr>
        <w:t>1</w:t>
      </w:r>
      <w:r>
        <w:tab/>
        <w:t xml:space="preserve">This reprint is a compilation as at 14 August 2015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92" w:name="_Toc426101289"/>
      <w:r>
        <w:t>Compilation table</w:t>
      </w:r>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single" w:sz="8" w:space="0" w:color="auto"/>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bl>
    <w:p>
      <w:pPr>
        <w:rPr>
          <w:iCs/>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4" w:name="_Toc426101290"/>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book</w:t>
      </w:r>
      <w:r>
        <w:tab/>
        <w:t>47</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committee</w:t>
      </w:r>
      <w:r>
        <w:tab/>
        <w:t>47</w:t>
      </w:r>
    </w:p>
    <w:p>
      <w:pPr>
        <w:pStyle w:val="DefinedTerms"/>
      </w:pPr>
      <w:r>
        <w:t>competency area 1</w:t>
      </w:r>
      <w:r>
        <w:tab/>
        <w:t>10(2), 13D(2)</w:t>
      </w:r>
    </w:p>
    <w:p>
      <w:pPr>
        <w:pStyle w:val="DefinedTerms"/>
      </w:pPr>
      <w:r>
        <w:t>competency area 2</w:t>
      </w:r>
      <w:r>
        <w:tab/>
        <w:t>10(3), 13D(3)</w:t>
      </w:r>
    </w:p>
    <w:p>
      <w:pPr>
        <w:pStyle w:val="DefinedTerms"/>
      </w:pPr>
      <w:r>
        <w:t>competency area 3</w:t>
      </w:r>
      <w:r>
        <w:tab/>
        <w:t>10(4), 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41(2)(a)(ii)</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32953"/>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203132953" w:val="RemoveTrackChanges"/>
    <w:docVar w:name="WAFER_20151203132953_GUID" w:val="4390e040-3cc7-475a-98d5-9ddc1496cf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Subsection"/>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4Char">
    <w:name w:val="Heading 4 Char"/>
    <w:basedOn w:val="DefaultParagraphFont"/>
    <w:link w:val="Heading4"/>
    <w:rPr>
      <w:b/>
      <w:sz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Subsection"/>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4Char">
    <w:name w:val="Heading 4 Char"/>
    <w:basedOn w:val="DefaultParagraphFont"/>
    <w:link w:val="Heading4"/>
    <w:rPr>
      <w:b/>
      <w:sz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9715</Words>
  <Characters>46632</Characters>
  <Application>Microsoft Office Word</Application>
  <DocSecurity>0</DocSecurity>
  <Lines>1554</Lines>
  <Paragraphs>955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2009 - 01-00-01</dc:title>
  <dc:subject/>
  <dc:creator/>
  <cp:keywords/>
  <dc:description/>
  <cp:lastModifiedBy>svcMRProcess</cp:lastModifiedBy>
  <cp:revision>4</cp:revision>
  <cp:lastPrinted>2015-08-19T03:38:00Z</cp:lastPrinted>
  <dcterms:created xsi:type="dcterms:W3CDTF">2018-09-22T06:02:00Z</dcterms:created>
  <dcterms:modified xsi:type="dcterms:W3CDTF">2018-09-22T06:02:00Z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20150814</vt:lpwstr>
  </property>
  <property fmtid="{D5CDD505-2E9C-101B-9397-08002B2CF9AE}" pid="4" name="OwlsUID">
    <vt:i4>41036</vt:i4>
  </property>
  <property fmtid="{D5CDD505-2E9C-101B-9397-08002B2CF9AE}" pid="5" name="DocumentType">
    <vt:lpwstr>Reg</vt:lpwstr>
  </property>
  <property fmtid="{D5CDD505-2E9C-101B-9397-08002B2CF9AE}" pid="6" name="AsAtDate">
    <vt:lpwstr>14 Aug 2015</vt:lpwstr>
  </property>
  <property fmtid="{D5CDD505-2E9C-101B-9397-08002B2CF9AE}" pid="7" name="Suffix">
    <vt:lpwstr>01-00-01</vt:lpwstr>
  </property>
  <property fmtid="{D5CDD505-2E9C-101B-9397-08002B2CF9AE}" pid="8" name="ReprintedAsAt">
    <vt:filetime>2015-08-13T16:00:00Z</vt:filetime>
  </property>
  <property fmtid="{D5CDD505-2E9C-101B-9397-08002B2CF9AE}" pid="9" name="ReprintNo">
    <vt:lpwstr>1</vt:lpwstr>
  </property>
</Properties>
</file>