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Rules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Legal Profession Rules 2009</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_Toc426101203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_Toc426101204 \h </w:instrText>
      </w:r>
      <w:r>
        <w:fldChar w:fldCharType="separate"/>
      </w:r>
      <w:r>
        <w:t>1</w:t>
      </w:r>
      <w:r>
        <w:fldChar w:fldCharType="end"/>
      </w:r>
    </w:p>
    <w:p>
      <w:pPr>
        <w:pStyle w:val="TOC8"/>
        <w:rPr>
          <w:rFonts w:asciiTheme="minorHAnsi" w:eastAsiaTheme="minorEastAsia" w:hAnsiTheme="minorHAnsi" w:cstheme="minorBidi"/>
          <w:szCs w:val="22"/>
        </w:rPr>
      </w:pPr>
      <w:r>
        <w:t>3A.</w:t>
      </w:r>
      <w:r>
        <w:tab/>
        <w:t>Supervised legal practice (s. 3)</w:t>
      </w:r>
      <w:r>
        <w:tab/>
      </w:r>
      <w:r>
        <w:fldChar w:fldCharType="begin"/>
      </w:r>
      <w:r>
        <w:instrText xml:space="preserve"> PAGEREF _Toc426101205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Australian legal practitioners</w:t>
      </w:r>
    </w:p>
    <w:p>
      <w:pPr>
        <w:pStyle w:val="TOC4"/>
        <w:tabs>
          <w:tab w:val="right" w:leader="dot" w:pos="7087"/>
        </w:tabs>
        <w:rPr>
          <w:rFonts w:asciiTheme="minorHAnsi" w:eastAsiaTheme="minorEastAsia" w:hAnsiTheme="minorHAnsi" w:cstheme="minorBidi"/>
          <w:b w:val="0"/>
          <w:szCs w:val="22"/>
        </w:rPr>
      </w:pPr>
      <w:r>
        <w:t>Division 1 — Grant or renewal of local practising certificates</w:t>
      </w:r>
    </w:p>
    <w:p>
      <w:pPr>
        <w:pStyle w:val="TOC8"/>
        <w:rPr>
          <w:rFonts w:asciiTheme="minorHAnsi" w:eastAsiaTheme="minorEastAsia" w:hAnsiTheme="minorHAnsi" w:cstheme="minorBidi"/>
          <w:szCs w:val="22"/>
        </w:rPr>
      </w:pPr>
      <w:r>
        <w:t>3.</w:t>
      </w:r>
      <w:r>
        <w:tab/>
        <w:t>Application for grant or renewal of local practising certificate (s. 43(1))</w:t>
      </w:r>
      <w:r>
        <w:tab/>
      </w:r>
      <w:r>
        <w:fldChar w:fldCharType="begin"/>
      </w:r>
      <w:r>
        <w:instrText xml:space="preserve"> PAGEREF _Toc426101208 \h </w:instrText>
      </w:r>
      <w:r>
        <w:fldChar w:fldCharType="separate"/>
      </w:r>
      <w:r>
        <w:t>2</w:t>
      </w:r>
      <w:r>
        <w:fldChar w:fldCharType="end"/>
      </w:r>
    </w:p>
    <w:p>
      <w:pPr>
        <w:pStyle w:val="TOC8"/>
        <w:rPr>
          <w:rFonts w:asciiTheme="minorHAnsi" w:eastAsiaTheme="minorEastAsia" w:hAnsiTheme="minorHAnsi" w:cstheme="minorBidi"/>
          <w:szCs w:val="22"/>
        </w:rPr>
      </w:pPr>
      <w:r>
        <w:t>4.</w:t>
      </w:r>
      <w:r>
        <w:tab/>
        <w:t>Fee for application for grant or renewal of local practising certificate (s. 43(1)(b))</w:t>
      </w:r>
      <w:r>
        <w:tab/>
      </w:r>
      <w:r>
        <w:fldChar w:fldCharType="begin"/>
      </w:r>
      <w:r>
        <w:instrText xml:space="preserve"> PAGEREF _Toc426101209 \h </w:instrText>
      </w:r>
      <w:r>
        <w:fldChar w:fldCharType="separate"/>
      </w:r>
      <w:r>
        <w:t>2</w:t>
      </w:r>
      <w:r>
        <w:fldChar w:fldCharType="end"/>
      </w:r>
    </w:p>
    <w:p>
      <w:pPr>
        <w:pStyle w:val="TOC8"/>
        <w:rPr>
          <w:rFonts w:asciiTheme="minorHAnsi" w:eastAsiaTheme="minorEastAsia" w:hAnsiTheme="minorHAnsi" w:cstheme="minorBidi"/>
          <w:szCs w:val="22"/>
        </w:rPr>
      </w:pPr>
      <w:r>
        <w:t>5.</w:t>
      </w:r>
      <w:r>
        <w:tab/>
        <w:t>Timing of application for renewal of local practising certificate (s. 44)</w:t>
      </w:r>
      <w:r>
        <w:tab/>
      </w:r>
      <w:r>
        <w:fldChar w:fldCharType="begin"/>
      </w:r>
      <w:r>
        <w:instrText xml:space="preserve"> PAGEREF _Toc426101210 \h </w:instrText>
      </w:r>
      <w:r>
        <w:fldChar w:fldCharType="separate"/>
      </w:r>
      <w:r>
        <w:t>3</w:t>
      </w:r>
      <w:r>
        <w:fldChar w:fldCharType="end"/>
      </w:r>
    </w:p>
    <w:p>
      <w:pPr>
        <w:pStyle w:val="TOC8"/>
        <w:rPr>
          <w:rFonts w:asciiTheme="minorHAnsi" w:eastAsiaTheme="minorEastAsia" w:hAnsiTheme="minorHAnsi" w:cstheme="minorBidi"/>
          <w:szCs w:val="22"/>
        </w:rPr>
      </w:pPr>
      <w:r>
        <w:t>6.</w:t>
      </w:r>
      <w:r>
        <w:tab/>
        <w:t>Notification of change of details</w:t>
      </w:r>
      <w:r>
        <w:tab/>
      </w:r>
      <w:r>
        <w:fldChar w:fldCharType="begin"/>
      </w:r>
      <w:r>
        <w:instrText xml:space="preserve"> PAGEREF _Toc426101211 \h </w:instrText>
      </w:r>
      <w:r>
        <w:fldChar w:fldCharType="separate"/>
      </w:r>
      <w:r>
        <w:t>3</w:t>
      </w:r>
      <w:r>
        <w:fldChar w:fldCharType="end"/>
      </w:r>
    </w:p>
    <w:p>
      <w:pPr>
        <w:pStyle w:val="TOC8"/>
        <w:rPr>
          <w:rFonts w:asciiTheme="minorHAnsi" w:eastAsiaTheme="minorEastAsia" w:hAnsiTheme="minorHAnsi" w:cstheme="minorBidi"/>
          <w:szCs w:val="22"/>
        </w:rPr>
      </w:pPr>
      <w:r>
        <w:t>7A.</w:t>
      </w:r>
      <w:r>
        <w:tab/>
        <w:t>Contributions to Guarantee Fund (s. 337)</w:t>
      </w:r>
      <w:r>
        <w:tab/>
      </w:r>
      <w:r>
        <w:fldChar w:fldCharType="begin"/>
      </w:r>
      <w:r>
        <w:instrText xml:space="preserve"> PAGEREF _Toc426101212 \h </w:instrText>
      </w:r>
      <w:r>
        <w:fldChar w:fldCharType="separate"/>
      </w:r>
      <w:r>
        <w:t>3</w:t>
      </w:r>
      <w:r>
        <w:fldChar w:fldCharType="end"/>
      </w:r>
    </w:p>
    <w:p>
      <w:pPr>
        <w:pStyle w:val="TOC4"/>
        <w:tabs>
          <w:tab w:val="right" w:leader="dot" w:pos="7087"/>
        </w:tabs>
        <w:rPr>
          <w:rFonts w:asciiTheme="minorHAnsi" w:eastAsiaTheme="minorEastAsia" w:hAnsiTheme="minorHAnsi" w:cstheme="minorBidi"/>
          <w:b w:val="0"/>
          <w:szCs w:val="22"/>
        </w:rPr>
      </w:pPr>
      <w:r>
        <w:t>Division 2 — Condition on local practising certificates: continuing professional development</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_Toc426101215 \h </w:instrText>
      </w:r>
      <w:r>
        <w:fldChar w:fldCharType="separate"/>
      </w:r>
      <w:r>
        <w:t>4</w:t>
      </w:r>
      <w:r>
        <w:fldChar w:fldCharType="end"/>
      </w:r>
    </w:p>
    <w:p>
      <w:pPr>
        <w:pStyle w:val="TOC6"/>
        <w:tabs>
          <w:tab w:val="right" w:leader="dot" w:pos="7087"/>
        </w:tabs>
        <w:rPr>
          <w:rFonts w:asciiTheme="minorHAnsi" w:eastAsiaTheme="minorEastAsia" w:hAnsiTheme="minorHAnsi" w:cstheme="minorBidi"/>
          <w:b w:val="0"/>
          <w:sz w:val="22"/>
          <w:szCs w:val="22"/>
        </w:rPr>
      </w:pPr>
      <w:r>
        <w:t>Subdivision 2 — Local practising certificates in force before 1 July 2015</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_Toc426101217 \h </w:instrText>
      </w:r>
      <w:r>
        <w:fldChar w:fldCharType="separate"/>
      </w:r>
      <w:r>
        <w:t>5</w:t>
      </w:r>
      <w:r>
        <w:fldChar w:fldCharType="end"/>
      </w:r>
    </w:p>
    <w:p>
      <w:pPr>
        <w:pStyle w:val="TOC8"/>
        <w:rPr>
          <w:rFonts w:asciiTheme="minorHAnsi" w:eastAsiaTheme="minorEastAsia" w:hAnsiTheme="minorHAnsi" w:cstheme="minorBidi"/>
          <w:szCs w:val="22"/>
        </w:rPr>
      </w:pPr>
      <w:r>
        <w:t>8.</w:t>
      </w:r>
      <w:r>
        <w:tab/>
        <w:t>Condition on practising certificates before 1 July 2015: practitioner must complete professional development</w:t>
      </w:r>
      <w:r>
        <w:tab/>
      </w:r>
      <w:r>
        <w:fldChar w:fldCharType="begin"/>
      </w:r>
      <w:r>
        <w:instrText xml:space="preserve"> PAGEREF _Toc426101218 \h </w:instrText>
      </w:r>
      <w:r>
        <w:fldChar w:fldCharType="separate"/>
      </w:r>
      <w:r>
        <w:t>6</w:t>
      </w:r>
      <w:r>
        <w:fldChar w:fldCharType="end"/>
      </w:r>
    </w:p>
    <w:p>
      <w:pPr>
        <w:pStyle w:val="TOC8"/>
        <w:rPr>
          <w:rFonts w:asciiTheme="minorHAnsi" w:eastAsiaTheme="minorEastAsia" w:hAnsiTheme="minorHAnsi" w:cstheme="minorBidi"/>
          <w:szCs w:val="22"/>
        </w:rPr>
      </w:pPr>
      <w:r>
        <w:t>9.</w:t>
      </w:r>
      <w:r>
        <w:tab/>
        <w:t>Earning CPD points</w:t>
      </w:r>
      <w:r>
        <w:tab/>
      </w:r>
      <w:r>
        <w:fldChar w:fldCharType="begin"/>
      </w:r>
      <w:r>
        <w:instrText xml:space="preserve"> PAGEREF _Toc426101219 \h </w:instrText>
      </w:r>
      <w:r>
        <w:fldChar w:fldCharType="separate"/>
      </w:r>
      <w:r>
        <w:t>6</w:t>
      </w:r>
      <w:r>
        <w:fldChar w:fldCharType="end"/>
      </w:r>
    </w:p>
    <w:p>
      <w:pPr>
        <w:pStyle w:val="TOC8"/>
        <w:rPr>
          <w:rFonts w:asciiTheme="minorHAnsi" w:eastAsiaTheme="minorEastAsia" w:hAnsiTheme="minorHAnsi" w:cstheme="minorBidi"/>
          <w:szCs w:val="22"/>
        </w:rPr>
      </w:pPr>
      <w:r>
        <w:t>10.</w:t>
      </w:r>
      <w:r>
        <w:tab/>
        <w:t>Competency area requirements</w:t>
      </w:r>
      <w:r>
        <w:tab/>
      </w:r>
      <w:r>
        <w:fldChar w:fldCharType="begin"/>
      </w:r>
      <w:r>
        <w:instrText xml:space="preserve"> PAGEREF _Toc426101220 \h </w:instrText>
      </w:r>
      <w:r>
        <w:fldChar w:fldCharType="separate"/>
      </w:r>
      <w:r>
        <w:t>7</w:t>
      </w:r>
      <w:r>
        <w:fldChar w:fldCharType="end"/>
      </w:r>
    </w:p>
    <w:p>
      <w:pPr>
        <w:pStyle w:val="TOC8"/>
        <w:rPr>
          <w:rFonts w:asciiTheme="minorHAnsi" w:eastAsiaTheme="minorEastAsia" w:hAnsiTheme="minorHAnsi" w:cstheme="minorBidi"/>
          <w:szCs w:val="22"/>
        </w:rPr>
      </w:pPr>
      <w:r>
        <w:t>11.</w:t>
      </w:r>
      <w:r>
        <w:tab/>
        <w:t>Interactive and publishing point requirements</w:t>
      </w:r>
      <w:r>
        <w:tab/>
      </w:r>
      <w:r>
        <w:fldChar w:fldCharType="begin"/>
      </w:r>
      <w:r>
        <w:instrText xml:space="preserve"> PAGEREF _Toc426101221 \h </w:instrText>
      </w:r>
      <w:r>
        <w:fldChar w:fldCharType="separate"/>
      </w:r>
      <w:r>
        <w:t>8</w:t>
      </w:r>
      <w:r>
        <w:fldChar w:fldCharType="end"/>
      </w:r>
    </w:p>
    <w:p>
      <w:pPr>
        <w:pStyle w:val="TOC8"/>
        <w:rPr>
          <w:rFonts w:asciiTheme="minorHAnsi" w:eastAsiaTheme="minorEastAsia" w:hAnsiTheme="minorHAnsi" w:cstheme="minorBidi"/>
          <w:szCs w:val="22"/>
        </w:rPr>
      </w:pPr>
      <w:r>
        <w:t>12.</w:t>
      </w:r>
      <w:r>
        <w:tab/>
        <w:t>CPD points for an activity</w:t>
      </w:r>
      <w:r>
        <w:tab/>
      </w:r>
      <w:r>
        <w:fldChar w:fldCharType="begin"/>
      </w:r>
      <w:r>
        <w:instrText xml:space="preserve"> PAGEREF _Toc426101222 \h </w:instrText>
      </w:r>
      <w:r>
        <w:fldChar w:fldCharType="separate"/>
      </w:r>
      <w:r>
        <w:t>8</w:t>
      </w:r>
      <w:r>
        <w:fldChar w:fldCharType="end"/>
      </w:r>
    </w:p>
    <w:p>
      <w:pPr>
        <w:pStyle w:val="TOC6"/>
        <w:tabs>
          <w:tab w:val="right" w:leader="dot" w:pos="7087"/>
        </w:tabs>
        <w:rPr>
          <w:rFonts w:asciiTheme="minorHAnsi" w:eastAsiaTheme="minorEastAsia" w:hAnsiTheme="minorHAnsi" w:cstheme="minorBidi"/>
          <w:b w:val="0"/>
          <w:sz w:val="22"/>
          <w:szCs w:val="22"/>
        </w:rPr>
      </w:pPr>
      <w:r>
        <w:t>Subdivision 3 — Local practising certificates in force on or after 1 July 2015</w:t>
      </w:r>
    </w:p>
    <w:p>
      <w:pPr>
        <w:pStyle w:val="TOC8"/>
        <w:rPr>
          <w:rFonts w:asciiTheme="minorHAnsi" w:eastAsiaTheme="minorEastAsia" w:hAnsiTheme="minorHAnsi" w:cstheme="minorBidi"/>
          <w:szCs w:val="22"/>
        </w:rPr>
      </w:pPr>
      <w:r>
        <w:t>13A.</w:t>
      </w:r>
      <w:r>
        <w:tab/>
        <w:t>Terms used</w:t>
      </w:r>
      <w:r>
        <w:tab/>
      </w:r>
      <w:r>
        <w:fldChar w:fldCharType="begin"/>
      </w:r>
      <w:r>
        <w:instrText xml:space="preserve"> PAGEREF _Toc426101224 \h </w:instrText>
      </w:r>
      <w:r>
        <w:fldChar w:fldCharType="separate"/>
      </w:r>
      <w:r>
        <w:t>9</w:t>
      </w:r>
      <w:r>
        <w:fldChar w:fldCharType="end"/>
      </w:r>
    </w:p>
    <w:p>
      <w:pPr>
        <w:pStyle w:val="TOC8"/>
        <w:rPr>
          <w:rFonts w:asciiTheme="minorHAnsi" w:eastAsiaTheme="minorEastAsia" w:hAnsiTheme="minorHAnsi" w:cstheme="minorBidi"/>
          <w:szCs w:val="22"/>
        </w:rPr>
      </w:pPr>
      <w:r>
        <w:t>13B.</w:t>
      </w:r>
      <w:r>
        <w:tab/>
        <w:t>Condition on practising certificates on and after 1 July 2015: practitioner must complete professional development</w:t>
      </w:r>
      <w:r>
        <w:tab/>
      </w:r>
      <w:r>
        <w:fldChar w:fldCharType="begin"/>
      </w:r>
      <w:r>
        <w:instrText xml:space="preserve"> PAGEREF _Toc426101225 \h </w:instrText>
      </w:r>
      <w:r>
        <w:fldChar w:fldCharType="separate"/>
      </w:r>
      <w:r>
        <w:t>9</w:t>
      </w:r>
      <w:r>
        <w:fldChar w:fldCharType="end"/>
      </w:r>
    </w:p>
    <w:p>
      <w:pPr>
        <w:pStyle w:val="TOC8"/>
        <w:rPr>
          <w:rFonts w:asciiTheme="minorHAnsi" w:eastAsiaTheme="minorEastAsia" w:hAnsiTheme="minorHAnsi" w:cstheme="minorBidi"/>
          <w:szCs w:val="22"/>
        </w:rPr>
      </w:pPr>
      <w:r>
        <w:t>13C.</w:t>
      </w:r>
      <w:r>
        <w:tab/>
        <w:t>Earning CPD points</w:t>
      </w:r>
      <w:r>
        <w:tab/>
      </w:r>
      <w:r>
        <w:fldChar w:fldCharType="begin"/>
      </w:r>
      <w:r>
        <w:instrText xml:space="preserve"> PAGEREF _Toc426101226 \h </w:instrText>
      </w:r>
      <w:r>
        <w:fldChar w:fldCharType="separate"/>
      </w:r>
      <w:r>
        <w:t>11</w:t>
      </w:r>
      <w:r>
        <w:fldChar w:fldCharType="end"/>
      </w:r>
    </w:p>
    <w:p>
      <w:pPr>
        <w:pStyle w:val="TOC8"/>
        <w:rPr>
          <w:rFonts w:asciiTheme="minorHAnsi" w:eastAsiaTheme="minorEastAsia" w:hAnsiTheme="minorHAnsi" w:cstheme="minorBidi"/>
          <w:szCs w:val="22"/>
        </w:rPr>
      </w:pPr>
      <w:r>
        <w:t>13D.</w:t>
      </w:r>
      <w:r>
        <w:tab/>
        <w:t>Competency area requirements</w:t>
      </w:r>
      <w:r>
        <w:tab/>
      </w:r>
      <w:r>
        <w:fldChar w:fldCharType="begin"/>
      </w:r>
      <w:r>
        <w:instrText xml:space="preserve"> PAGEREF _Toc426101227 \h </w:instrText>
      </w:r>
      <w:r>
        <w:fldChar w:fldCharType="separate"/>
      </w:r>
      <w:r>
        <w:t>11</w:t>
      </w:r>
      <w:r>
        <w:fldChar w:fldCharType="end"/>
      </w:r>
    </w:p>
    <w:p>
      <w:pPr>
        <w:pStyle w:val="TOC8"/>
        <w:rPr>
          <w:rFonts w:asciiTheme="minorHAnsi" w:eastAsiaTheme="minorEastAsia" w:hAnsiTheme="minorHAnsi" w:cstheme="minorBidi"/>
          <w:szCs w:val="22"/>
        </w:rPr>
      </w:pPr>
      <w:r>
        <w:t>13E.</w:t>
      </w:r>
      <w:r>
        <w:tab/>
        <w:t>Requirements for interactive and publication CPD points</w:t>
      </w:r>
      <w:r>
        <w:tab/>
      </w:r>
      <w:r>
        <w:fldChar w:fldCharType="begin"/>
      </w:r>
      <w:r>
        <w:instrText xml:space="preserve"> PAGEREF _Toc426101228 \h </w:instrText>
      </w:r>
      <w:r>
        <w:fldChar w:fldCharType="separate"/>
      </w:r>
      <w:r>
        <w:t>12</w:t>
      </w:r>
      <w:r>
        <w:fldChar w:fldCharType="end"/>
      </w:r>
    </w:p>
    <w:p>
      <w:pPr>
        <w:pStyle w:val="TOC8"/>
        <w:rPr>
          <w:rFonts w:asciiTheme="minorHAnsi" w:eastAsiaTheme="minorEastAsia" w:hAnsiTheme="minorHAnsi" w:cstheme="minorBidi"/>
          <w:szCs w:val="22"/>
        </w:rPr>
      </w:pPr>
      <w:r>
        <w:t>13F.</w:t>
      </w:r>
      <w:r>
        <w:tab/>
        <w:t>CPD points for particular approved CPD activities</w:t>
      </w:r>
      <w:r>
        <w:tab/>
      </w:r>
      <w:r>
        <w:fldChar w:fldCharType="begin"/>
      </w:r>
      <w:r>
        <w:instrText xml:space="preserve"> PAGEREF _Toc426101229 \h </w:instrText>
      </w:r>
      <w:r>
        <w:fldChar w:fldCharType="separate"/>
      </w:r>
      <w:r>
        <w:t>12</w:t>
      </w:r>
      <w:r>
        <w:fldChar w:fldCharType="end"/>
      </w:r>
    </w:p>
    <w:p>
      <w:pPr>
        <w:pStyle w:val="TOC6"/>
        <w:tabs>
          <w:tab w:val="right" w:leader="dot" w:pos="7087"/>
        </w:tabs>
        <w:rPr>
          <w:rFonts w:asciiTheme="minorHAnsi" w:eastAsiaTheme="minorEastAsia" w:hAnsiTheme="minorHAnsi" w:cstheme="minorBidi"/>
          <w:b w:val="0"/>
          <w:sz w:val="22"/>
          <w:szCs w:val="22"/>
        </w:rPr>
      </w:pPr>
      <w:r>
        <w:t>Subdivision 4 — Other matters about continuing professional development</w:t>
      </w:r>
    </w:p>
    <w:p>
      <w:pPr>
        <w:pStyle w:val="TOC8"/>
        <w:rPr>
          <w:rFonts w:asciiTheme="minorHAnsi" w:eastAsiaTheme="minorEastAsia" w:hAnsiTheme="minorHAnsi" w:cstheme="minorBidi"/>
          <w:szCs w:val="22"/>
        </w:rPr>
      </w:pPr>
      <w:r>
        <w:t>13.</w:t>
      </w:r>
      <w:r>
        <w:tab/>
        <w:t>Points for repeated activities</w:t>
      </w:r>
      <w:r>
        <w:tab/>
      </w:r>
      <w:r>
        <w:fldChar w:fldCharType="begin"/>
      </w:r>
      <w:r>
        <w:instrText xml:space="preserve"> PAGEREF _Toc426101231 \h </w:instrText>
      </w:r>
      <w:r>
        <w:fldChar w:fldCharType="separate"/>
      </w:r>
      <w:r>
        <w:t>14</w:t>
      </w:r>
      <w:r>
        <w:fldChar w:fldCharType="end"/>
      </w:r>
    </w:p>
    <w:p>
      <w:pPr>
        <w:pStyle w:val="TOC8"/>
        <w:rPr>
          <w:rFonts w:asciiTheme="minorHAnsi" w:eastAsiaTheme="minorEastAsia" w:hAnsiTheme="minorHAnsi" w:cstheme="minorBidi"/>
          <w:szCs w:val="22"/>
        </w:rPr>
      </w:pPr>
      <w:r>
        <w:t>14.</w:t>
      </w:r>
      <w:r>
        <w:tab/>
        <w:t>QA providers</w:t>
      </w:r>
      <w:r>
        <w:tab/>
      </w:r>
      <w:r>
        <w:fldChar w:fldCharType="begin"/>
      </w:r>
      <w:r>
        <w:instrText xml:space="preserve"> PAGEREF _Toc426101232 \h </w:instrText>
      </w:r>
      <w:r>
        <w:fldChar w:fldCharType="separate"/>
      </w:r>
      <w:r>
        <w:t>15</w:t>
      </w:r>
      <w:r>
        <w:fldChar w:fldCharType="end"/>
      </w:r>
    </w:p>
    <w:p>
      <w:pPr>
        <w:pStyle w:val="TOC8"/>
        <w:rPr>
          <w:rFonts w:asciiTheme="minorHAnsi" w:eastAsiaTheme="minorEastAsia" w:hAnsiTheme="minorHAnsi" w:cstheme="minorBidi"/>
          <w:szCs w:val="22"/>
        </w:rPr>
      </w:pPr>
      <w:r>
        <w:t>15.</w:t>
      </w:r>
      <w:r>
        <w:tab/>
        <w:t>Approval of professional development activities</w:t>
      </w:r>
      <w:r>
        <w:tab/>
      </w:r>
      <w:r>
        <w:fldChar w:fldCharType="begin"/>
      </w:r>
      <w:r>
        <w:instrText xml:space="preserve"> PAGEREF _Toc426101233 \h </w:instrText>
      </w:r>
      <w:r>
        <w:fldChar w:fldCharType="separate"/>
      </w:r>
      <w:r>
        <w:t>15</w:t>
      </w:r>
      <w:r>
        <w:fldChar w:fldCharType="end"/>
      </w:r>
    </w:p>
    <w:p>
      <w:pPr>
        <w:pStyle w:val="TOC8"/>
        <w:rPr>
          <w:rFonts w:asciiTheme="minorHAnsi" w:eastAsiaTheme="minorEastAsia" w:hAnsiTheme="minorHAnsi" w:cstheme="minorBidi"/>
          <w:szCs w:val="22"/>
        </w:rPr>
      </w:pPr>
      <w:r>
        <w:t>16.</w:t>
      </w:r>
      <w:r>
        <w:tab/>
        <w:t>Approvals generally</w:t>
      </w:r>
      <w:r>
        <w:tab/>
      </w:r>
      <w:r>
        <w:fldChar w:fldCharType="begin"/>
      </w:r>
      <w:r>
        <w:instrText xml:space="preserve"> PAGEREF _Toc426101234 \h </w:instrText>
      </w:r>
      <w:r>
        <w:fldChar w:fldCharType="separate"/>
      </w:r>
      <w:r>
        <w:t>16</w:t>
      </w:r>
      <w:r>
        <w:fldChar w:fldCharType="end"/>
      </w:r>
    </w:p>
    <w:p>
      <w:pPr>
        <w:pStyle w:val="TOC8"/>
        <w:rPr>
          <w:rFonts w:asciiTheme="minorHAnsi" w:eastAsiaTheme="minorEastAsia" w:hAnsiTheme="minorHAnsi" w:cstheme="minorBidi"/>
          <w:szCs w:val="22"/>
        </w:rPr>
      </w:pPr>
      <w:r>
        <w:t>17.</w:t>
      </w:r>
      <w:r>
        <w:tab/>
        <w:t>Variations</w:t>
      </w:r>
      <w:r>
        <w:tab/>
      </w:r>
      <w:r>
        <w:fldChar w:fldCharType="begin"/>
      </w:r>
      <w:r>
        <w:instrText xml:space="preserve"> PAGEREF _Toc426101235 \h </w:instrText>
      </w:r>
      <w:r>
        <w:fldChar w:fldCharType="separate"/>
      </w:r>
      <w:r>
        <w:t>16</w:t>
      </w:r>
      <w:r>
        <w:fldChar w:fldCharType="end"/>
      </w:r>
    </w:p>
    <w:p>
      <w:pPr>
        <w:pStyle w:val="TOC8"/>
        <w:rPr>
          <w:rFonts w:asciiTheme="minorHAnsi" w:eastAsiaTheme="minorEastAsia" w:hAnsiTheme="minorHAnsi" w:cstheme="minorBidi"/>
          <w:szCs w:val="22"/>
        </w:rPr>
      </w:pPr>
      <w:r>
        <w:t>18.</w:t>
      </w:r>
      <w:r>
        <w:tab/>
        <w:t>Electronic activities to be reviewed yearly</w:t>
      </w:r>
      <w:r>
        <w:tab/>
      </w:r>
      <w:r>
        <w:fldChar w:fldCharType="begin"/>
      </w:r>
      <w:r>
        <w:instrText xml:space="preserve"> PAGEREF _Toc426101236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3 — Other conditions on local practising certificates</w:t>
      </w:r>
    </w:p>
    <w:p>
      <w:pPr>
        <w:pStyle w:val="TOC8"/>
        <w:rPr>
          <w:rFonts w:asciiTheme="minorHAnsi" w:eastAsiaTheme="minorEastAsia" w:hAnsiTheme="minorHAnsi" w:cstheme="minorBidi"/>
          <w:szCs w:val="22"/>
        </w:rPr>
      </w:pPr>
      <w:r>
        <w:t>19.</w:t>
      </w:r>
      <w:r>
        <w:tab/>
        <w:t>Restricted legal practice (s. 50)</w:t>
      </w:r>
      <w:r>
        <w:tab/>
      </w:r>
      <w:r>
        <w:fldChar w:fldCharType="begin"/>
      </w:r>
      <w:r>
        <w:instrText xml:space="preserve"> PAGEREF _Toc426101238 \h </w:instrText>
      </w:r>
      <w:r>
        <w:fldChar w:fldCharType="separate"/>
      </w:r>
      <w:r>
        <w:t>17</w:t>
      </w:r>
      <w:r>
        <w:fldChar w:fldCharType="end"/>
      </w:r>
    </w:p>
    <w:p>
      <w:pPr>
        <w:pStyle w:val="TOC4"/>
        <w:tabs>
          <w:tab w:val="right" w:leader="dot" w:pos="7087"/>
        </w:tabs>
        <w:rPr>
          <w:rFonts w:asciiTheme="minorHAnsi" w:eastAsiaTheme="minorEastAsia" w:hAnsiTheme="minorHAnsi" w:cstheme="minorBidi"/>
          <w:b w:val="0"/>
          <w:szCs w:val="22"/>
        </w:rPr>
      </w:pPr>
      <w:r>
        <w:t>Division 4 — Local legal practitioner with articled clerk</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_Toc426101240 \h </w:instrText>
      </w:r>
      <w:r>
        <w:fldChar w:fldCharType="separate"/>
      </w:r>
      <w:r>
        <w:t>19</w:t>
      </w:r>
      <w:r>
        <w:fldChar w:fldCharType="end"/>
      </w:r>
    </w:p>
    <w:p>
      <w:pPr>
        <w:pStyle w:val="TOC8"/>
        <w:rPr>
          <w:rFonts w:asciiTheme="minorHAnsi" w:eastAsiaTheme="minorEastAsia" w:hAnsiTheme="minorHAnsi" w:cstheme="minorBidi"/>
          <w:szCs w:val="22"/>
        </w:rPr>
      </w:pPr>
      <w:r>
        <w:t>21.</w:t>
      </w:r>
      <w:r>
        <w:tab/>
        <w:t>Supervision of articled clerks</w:t>
      </w:r>
      <w:r>
        <w:tab/>
      </w:r>
      <w:r>
        <w:fldChar w:fldCharType="begin"/>
      </w:r>
      <w:r>
        <w:instrText xml:space="preserve"> PAGEREF _Toc426101241 \h </w:instrText>
      </w:r>
      <w:r>
        <w:fldChar w:fldCharType="separate"/>
      </w:r>
      <w:r>
        <w:t>19</w:t>
      </w:r>
      <w:r>
        <w:fldChar w:fldCharType="end"/>
      </w:r>
    </w:p>
    <w:p>
      <w:pPr>
        <w:pStyle w:val="TOC8"/>
        <w:rPr>
          <w:rFonts w:asciiTheme="minorHAnsi" w:eastAsiaTheme="minorEastAsia" w:hAnsiTheme="minorHAnsi" w:cstheme="minorBidi"/>
          <w:szCs w:val="22"/>
        </w:rPr>
      </w:pPr>
      <w:r>
        <w:t>22.</w:t>
      </w:r>
      <w:r>
        <w:tab/>
        <w:t>Conduct of principal for articled clerk</w:t>
      </w:r>
      <w:r>
        <w:tab/>
      </w:r>
      <w:r>
        <w:fldChar w:fldCharType="begin"/>
      </w:r>
      <w:r>
        <w:instrText xml:space="preserve"> PAGEREF _Toc426101242 \h </w:instrText>
      </w:r>
      <w:r>
        <w:fldChar w:fldCharType="separate"/>
      </w:r>
      <w:r>
        <w:t>20</w:t>
      </w:r>
      <w:r>
        <w:fldChar w:fldCharType="end"/>
      </w:r>
    </w:p>
    <w:p>
      <w:pPr>
        <w:pStyle w:val="TOC4"/>
        <w:tabs>
          <w:tab w:val="right" w:leader="dot" w:pos="7087"/>
        </w:tabs>
        <w:rPr>
          <w:rFonts w:asciiTheme="minorHAnsi" w:eastAsiaTheme="minorEastAsia" w:hAnsiTheme="minorHAnsi" w:cstheme="minorBidi"/>
          <w:b w:val="0"/>
          <w:szCs w:val="22"/>
        </w:rPr>
      </w:pPr>
      <w:r>
        <w:t>Division 5 — Interstate legal practitioners</w:t>
      </w:r>
    </w:p>
    <w:p>
      <w:pPr>
        <w:pStyle w:val="TOC8"/>
        <w:rPr>
          <w:rFonts w:asciiTheme="minorHAnsi" w:eastAsiaTheme="minorEastAsia" w:hAnsiTheme="minorHAnsi" w:cstheme="minorBidi"/>
          <w:szCs w:val="22"/>
        </w:rPr>
      </w:pPr>
      <w:r>
        <w:t>23.</w:t>
      </w:r>
      <w:r>
        <w:tab/>
        <w:t>Notification requirements for interstate legal practitioners (s. 71)</w:t>
      </w:r>
      <w:r>
        <w:tab/>
      </w:r>
      <w:r>
        <w:fldChar w:fldCharType="begin"/>
      </w:r>
      <w:r>
        <w:instrText xml:space="preserve"> PAGEREF _Toc426101244 \h </w:instrText>
      </w:r>
      <w:r>
        <w:fldChar w:fldCharType="separate"/>
      </w:r>
      <w:r>
        <w:t>20</w:t>
      </w:r>
      <w:r>
        <w:fldChar w:fldCharType="end"/>
      </w:r>
    </w:p>
    <w:p>
      <w:pPr>
        <w:pStyle w:val="TOC8"/>
        <w:rPr>
          <w:rFonts w:asciiTheme="minorHAnsi" w:eastAsiaTheme="minorEastAsia" w:hAnsiTheme="minorHAnsi" w:cstheme="minorBidi"/>
          <w:szCs w:val="22"/>
        </w:rPr>
      </w:pPr>
      <w:r>
        <w:t>24.</w:t>
      </w:r>
      <w:r>
        <w:tab/>
        <w:t>Restricted legal practice by interstate legal practitioner (s. 72)</w:t>
      </w:r>
      <w:r>
        <w:tab/>
      </w:r>
      <w:r>
        <w:fldChar w:fldCharType="begin"/>
      </w:r>
      <w:r>
        <w:instrText xml:space="preserve"> PAGEREF _Toc426101245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3 — Foreign lawyers</w:t>
      </w:r>
    </w:p>
    <w:p>
      <w:pPr>
        <w:pStyle w:val="TOC8"/>
        <w:rPr>
          <w:rFonts w:asciiTheme="minorHAnsi" w:eastAsiaTheme="minorEastAsia" w:hAnsiTheme="minorHAnsi" w:cstheme="minorBidi"/>
          <w:szCs w:val="22"/>
        </w:rPr>
      </w:pPr>
      <w:r>
        <w:t>25.</w:t>
      </w:r>
      <w:r>
        <w:tab/>
        <w:t>Fee for application for grant or renewal of registration (s. 168)</w:t>
      </w:r>
      <w:r>
        <w:tab/>
      </w:r>
      <w:r>
        <w:fldChar w:fldCharType="begin"/>
      </w:r>
      <w:r>
        <w:instrText xml:space="preserve"> PAGEREF _Toc426101247 \h </w:instrText>
      </w:r>
      <w:r>
        <w:fldChar w:fldCharType="separate"/>
      </w:r>
      <w:r>
        <w:t>23</w:t>
      </w:r>
      <w:r>
        <w:fldChar w:fldCharType="end"/>
      </w:r>
    </w:p>
    <w:p>
      <w:pPr>
        <w:pStyle w:val="TOC8"/>
        <w:rPr>
          <w:rFonts w:asciiTheme="minorHAnsi" w:eastAsiaTheme="minorEastAsia" w:hAnsiTheme="minorHAnsi" w:cstheme="minorBidi"/>
          <w:szCs w:val="22"/>
        </w:rPr>
      </w:pPr>
      <w:r>
        <w:t>26.</w:t>
      </w:r>
      <w:r>
        <w:tab/>
        <w:t>Conditions regarding notification of offence (s. 191)</w:t>
      </w:r>
      <w:r>
        <w:tab/>
      </w:r>
      <w:r>
        <w:fldChar w:fldCharType="begin"/>
      </w:r>
      <w:r>
        <w:instrText xml:space="preserve"> PAGEREF _Toc426101248 \h </w:instrText>
      </w:r>
      <w:r>
        <w:fldChar w:fldCharType="separate"/>
      </w:r>
      <w:r>
        <w:t>23</w:t>
      </w:r>
      <w:r>
        <w:fldChar w:fldCharType="end"/>
      </w:r>
    </w:p>
    <w:p>
      <w:pPr>
        <w:pStyle w:val="TOC8"/>
        <w:rPr>
          <w:rFonts w:asciiTheme="minorHAnsi" w:eastAsiaTheme="minorEastAsia" w:hAnsiTheme="minorHAnsi" w:cstheme="minorBidi"/>
          <w:szCs w:val="22"/>
        </w:rPr>
      </w:pPr>
      <w:r>
        <w:t>27.</w:t>
      </w:r>
      <w:r>
        <w:tab/>
        <w:t>Notification requirements for interstate</w:t>
      </w:r>
      <w:r>
        <w:noBreakHyphen/>
        <w:t>registered foreign lawyers (s. 196)</w:t>
      </w:r>
      <w:r>
        <w:tab/>
      </w:r>
      <w:r>
        <w:fldChar w:fldCharType="begin"/>
      </w:r>
      <w:r>
        <w:instrText xml:space="preserve"> PAGEREF _Toc426101249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4 — Legal Practice Board</w:t>
      </w:r>
    </w:p>
    <w:p>
      <w:pPr>
        <w:pStyle w:val="TOC4"/>
        <w:tabs>
          <w:tab w:val="right" w:leader="dot" w:pos="708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28.</w:t>
      </w:r>
      <w:r>
        <w:tab/>
        <w:t>Term used: secretary</w:t>
      </w:r>
      <w:r>
        <w:tab/>
      </w:r>
      <w:r>
        <w:fldChar w:fldCharType="begin"/>
      </w:r>
      <w:r>
        <w:instrText xml:space="preserve"> PAGEREF _Toc426101252 \h </w:instrText>
      </w:r>
      <w:r>
        <w:fldChar w:fldCharType="separate"/>
      </w:r>
      <w:r>
        <w:t>24</w:t>
      </w:r>
      <w:r>
        <w:fldChar w:fldCharType="end"/>
      </w:r>
    </w:p>
    <w:p>
      <w:pPr>
        <w:pStyle w:val="TOC4"/>
        <w:tabs>
          <w:tab w:val="right" w:leader="dot" w:pos="7087"/>
        </w:tabs>
        <w:rPr>
          <w:rFonts w:asciiTheme="minorHAnsi" w:eastAsiaTheme="minorEastAsia" w:hAnsiTheme="minorHAnsi" w:cstheme="minorBidi"/>
          <w:b w:val="0"/>
          <w:szCs w:val="22"/>
        </w:rPr>
      </w:pPr>
      <w:r>
        <w:t>Division 2 — Election of members of the Board</w:t>
      </w:r>
    </w:p>
    <w:p>
      <w:pPr>
        <w:pStyle w:val="TOC8"/>
        <w:rPr>
          <w:rFonts w:asciiTheme="minorHAnsi" w:eastAsiaTheme="minorEastAsia" w:hAnsiTheme="minorHAnsi" w:cstheme="minorBidi"/>
          <w:szCs w:val="22"/>
        </w:rPr>
      </w:pPr>
      <w:r>
        <w:t>29.</w:t>
      </w:r>
      <w:r>
        <w:tab/>
        <w:t>Annual election date</w:t>
      </w:r>
      <w:r>
        <w:tab/>
      </w:r>
      <w:r>
        <w:fldChar w:fldCharType="begin"/>
      </w:r>
      <w:r>
        <w:instrText xml:space="preserve"> PAGEREF _Toc426101254 \h </w:instrText>
      </w:r>
      <w:r>
        <w:fldChar w:fldCharType="separate"/>
      </w:r>
      <w:r>
        <w:t>24</w:t>
      </w:r>
      <w:r>
        <w:fldChar w:fldCharType="end"/>
      </w:r>
    </w:p>
    <w:p>
      <w:pPr>
        <w:pStyle w:val="TOC8"/>
        <w:rPr>
          <w:rFonts w:asciiTheme="minorHAnsi" w:eastAsiaTheme="minorEastAsia" w:hAnsiTheme="minorHAnsi" w:cstheme="minorBidi"/>
          <w:szCs w:val="22"/>
        </w:rPr>
      </w:pPr>
      <w:r>
        <w:t>30.</w:t>
      </w:r>
      <w:r>
        <w:tab/>
        <w:t>Returning officers</w:t>
      </w:r>
      <w:r>
        <w:tab/>
      </w:r>
      <w:r>
        <w:fldChar w:fldCharType="begin"/>
      </w:r>
      <w:r>
        <w:instrText xml:space="preserve"> PAGEREF _Toc426101255 \h </w:instrText>
      </w:r>
      <w:r>
        <w:fldChar w:fldCharType="separate"/>
      </w:r>
      <w:r>
        <w:t>24</w:t>
      </w:r>
      <w:r>
        <w:fldChar w:fldCharType="end"/>
      </w:r>
    </w:p>
    <w:p>
      <w:pPr>
        <w:pStyle w:val="TOC8"/>
        <w:rPr>
          <w:rFonts w:asciiTheme="minorHAnsi" w:eastAsiaTheme="minorEastAsia" w:hAnsiTheme="minorHAnsi" w:cstheme="minorBidi"/>
          <w:szCs w:val="22"/>
        </w:rPr>
      </w:pPr>
      <w:r>
        <w:t>31.</w:t>
      </w:r>
      <w:r>
        <w:tab/>
        <w:t>Nomination of candidates</w:t>
      </w:r>
      <w:r>
        <w:tab/>
      </w:r>
      <w:r>
        <w:fldChar w:fldCharType="begin"/>
      </w:r>
      <w:r>
        <w:instrText xml:space="preserve"> PAGEREF _Toc426101256 \h </w:instrText>
      </w:r>
      <w:r>
        <w:fldChar w:fldCharType="separate"/>
      </w:r>
      <w:r>
        <w:t>24</w:t>
      </w:r>
      <w:r>
        <w:fldChar w:fldCharType="end"/>
      </w:r>
    </w:p>
    <w:p>
      <w:pPr>
        <w:pStyle w:val="TOC8"/>
        <w:rPr>
          <w:rFonts w:asciiTheme="minorHAnsi" w:eastAsiaTheme="minorEastAsia" w:hAnsiTheme="minorHAnsi" w:cstheme="minorBidi"/>
          <w:szCs w:val="22"/>
        </w:rPr>
      </w:pPr>
      <w:r>
        <w:t>32.</w:t>
      </w:r>
      <w:r>
        <w:tab/>
        <w:t>Candidates elected when nominations equal vacancies</w:t>
      </w:r>
      <w:r>
        <w:tab/>
      </w:r>
      <w:r>
        <w:fldChar w:fldCharType="begin"/>
      </w:r>
      <w:r>
        <w:instrText xml:space="preserve"> PAGEREF _Toc426101257 \h </w:instrText>
      </w:r>
      <w:r>
        <w:fldChar w:fldCharType="separate"/>
      </w:r>
      <w:r>
        <w:t>25</w:t>
      </w:r>
      <w:r>
        <w:fldChar w:fldCharType="end"/>
      </w:r>
    </w:p>
    <w:p>
      <w:pPr>
        <w:pStyle w:val="TOC8"/>
        <w:rPr>
          <w:rFonts w:asciiTheme="minorHAnsi" w:eastAsiaTheme="minorEastAsia" w:hAnsiTheme="minorHAnsi" w:cstheme="minorBidi"/>
          <w:szCs w:val="22"/>
        </w:rPr>
      </w:pPr>
      <w:r>
        <w:t>33.</w:t>
      </w:r>
      <w:r>
        <w:tab/>
        <w:t>Ballot papers</w:t>
      </w:r>
      <w:r>
        <w:tab/>
      </w:r>
      <w:r>
        <w:fldChar w:fldCharType="begin"/>
      </w:r>
      <w:r>
        <w:instrText xml:space="preserve"> PAGEREF _Toc426101258 \h </w:instrText>
      </w:r>
      <w:r>
        <w:fldChar w:fldCharType="separate"/>
      </w:r>
      <w:r>
        <w:t>25</w:t>
      </w:r>
      <w:r>
        <w:fldChar w:fldCharType="end"/>
      </w:r>
    </w:p>
    <w:p>
      <w:pPr>
        <w:pStyle w:val="TOC8"/>
        <w:rPr>
          <w:rFonts w:asciiTheme="minorHAnsi" w:eastAsiaTheme="minorEastAsia" w:hAnsiTheme="minorHAnsi" w:cstheme="minorBidi"/>
          <w:szCs w:val="22"/>
        </w:rPr>
      </w:pPr>
      <w:r>
        <w:t>34.</w:t>
      </w:r>
      <w:r>
        <w:tab/>
        <w:t>Voting</w:t>
      </w:r>
      <w:r>
        <w:tab/>
      </w:r>
      <w:r>
        <w:fldChar w:fldCharType="begin"/>
      </w:r>
      <w:r>
        <w:instrText xml:space="preserve"> PAGEREF _Toc426101259 \h </w:instrText>
      </w:r>
      <w:r>
        <w:fldChar w:fldCharType="separate"/>
      </w:r>
      <w:r>
        <w:t>25</w:t>
      </w:r>
      <w:r>
        <w:fldChar w:fldCharType="end"/>
      </w:r>
    </w:p>
    <w:p>
      <w:pPr>
        <w:pStyle w:val="TOC8"/>
        <w:rPr>
          <w:rFonts w:asciiTheme="minorHAnsi" w:eastAsiaTheme="minorEastAsia" w:hAnsiTheme="minorHAnsi" w:cstheme="minorBidi"/>
          <w:szCs w:val="22"/>
        </w:rPr>
      </w:pPr>
      <w:r>
        <w:t>35.</w:t>
      </w:r>
      <w:r>
        <w:tab/>
        <w:t>Commencement of term of office</w:t>
      </w:r>
      <w:r>
        <w:tab/>
      </w:r>
      <w:r>
        <w:fldChar w:fldCharType="begin"/>
      </w:r>
      <w:r>
        <w:instrText xml:space="preserve"> PAGEREF _Toc426101260 \h </w:instrText>
      </w:r>
      <w:r>
        <w:fldChar w:fldCharType="separate"/>
      </w:r>
      <w:r>
        <w:t>26</w:t>
      </w:r>
      <w:r>
        <w:fldChar w:fldCharType="end"/>
      </w:r>
    </w:p>
    <w:p>
      <w:pPr>
        <w:pStyle w:val="TOC8"/>
        <w:rPr>
          <w:rFonts w:asciiTheme="minorHAnsi" w:eastAsiaTheme="minorEastAsia" w:hAnsiTheme="minorHAnsi" w:cstheme="minorBidi"/>
          <w:szCs w:val="22"/>
        </w:rPr>
      </w:pPr>
      <w:r>
        <w:t>36.</w:t>
      </w:r>
      <w:r>
        <w:tab/>
        <w:t xml:space="preserve">Results to be published in </w:t>
      </w:r>
      <w:r>
        <w:rPr>
          <w:i/>
          <w:iCs/>
        </w:rPr>
        <w:t>Gazette</w:t>
      </w:r>
      <w:r>
        <w:tab/>
      </w:r>
      <w:r>
        <w:fldChar w:fldCharType="begin"/>
      </w:r>
      <w:r>
        <w:instrText xml:space="preserve"> PAGEREF _Toc426101261 \h </w:instrText>
      </w:r>
      <w:r>
        <w:fldChar w:fldCharType="separate"/>
      </w:r>
      <w:r>
        <w:t>27</w:t>
      </w:r>
      <w:r>
        <w:fldChar w:fldCharType="end"/>
      </w:r>
    </w:p>
    <w:p>
      <w:pPr>
        <w:pStyle w:val="TOC8"/>
        <w:rPr>
          <w:rFonts w:asciiTheme="minorHAnsi" w:eastAsiaTheme="minorEastAsia" w:hAnsiTheme="minorHAnsi" w:cstheme="minorBidi"/>
          <w:szCs w:val="22"/>
        </w:rPr>
      </w:pPr>
      <w:r>
        <w:t>37.</w:t>
      </w:r>
      <w:r>
        <w:tab/>
        <w:t>Non-receipt of ballot papers</w:t>
      </w:r>
      <w:r>
        <w:tab/>
      </w:r>
      <w:r>
        <w:fldChar w:fldCharType="begin"/>
      </w:r>
      <w:r>
        <w:instrText xml:space="preserve"> PAGEREF _Toc426101262 \h </w:instrText>
      </w:r>
      <w:r>
        <w:fldChar w:fldCharType="separate"/>
      </w:r>
      <w:r>
        <w:t>27</w:t>
      </w:r>
      <w:r>
        <w:fldChar w:fldCharType="end"/>
      </w:r>
    </w:p>
    <w:p>
      <w:pPr>
        <w:pStyle w:val="TOC4"/>
        <w:tabs>
          <w:tab w:val="right" w:leader="dot" w:pos="7087"/>
        </w:tabs>
        <w:rPr>
          <w:rFonts w:asciiTheme="minorHAnsi" w:eastAsiaTheme="minorEastAsia" w:hAnsiTheme="minorHAnsi" w:cstheme="minorBidi"/>
          <w:b w:val="0"/>
          <w:szCs w:val="22"/>
        </w:rPr>
      </w:pPr>
      <w:r>
        <w:t>Division 3 — Board meetings</w:t>
      </w:r>
    </w:p>
    <w:p>
      <w:pPr>
        <w:pStyle w:val="TOC8"/>
        <w:rPr>
          <w:rFonts w:asciiTheme="minorHAnsi" w:eastAsiaTheme="minorEastAsia" w:hAnsiTheme="minorHAnsi" w:cstheme="minorBidi"/>
          <w:szCs w:val="22"/>
        </w:rPr>
      </w:pPr>
      <w:r>
        <w:t>38.</w:t>
      </w:r>
      <w:r>
        <w:tab/>
        <w:t>Board meetings</w:t>
      </w:r>
      <w:r>
        <w:tab/>
      </w:r>
      <w:r>
        <w:fldChar w:fldCharType="begin"/>
      </w:r>
      <w:r>
        <w:instrText xml:space="preserve"> PAGEREF _Toc426101264 \h </w:instrText>
      </w:r>
      <w:r>
        <w:fldChar w:fldCharType="separate"/>
      </w:r>
      <w:r>
        <w:t>27</w:t>
      </w:r>
      <w:r>
        <w:fldChar w:fldCharType="end"/>
      </w:r>
    </w:p>
    <w:p>
      <w:pPr>
        <w:pStyle w:val="TOC8"/>
        <w:rPr>
          <w:rFonts w:asciiTheme="minorHAnsi" w:eastAsiaTheme="minorEastAsia" w:hAnsiTheme="minorHAnsi" w:cstheme="minorBidi"/>
          <w:szCs w:val="22"/>
        </w:rPr>
      </w:pPr>
      <w:r>
        <w:t>39.</w:t>
      </w:r>
      <w:r>
        <w:tab/>
        <w:t>Holding meetings remotely</w:t>
      </w:r>
      <w:r>
        <w:tab/>
      </w:r>
      <w:r>
        <w:fldChar w:fldCharType="begin"/>
      </w:r>
      <w:r>
        <w:instrText xml:space="preserve"> PAGEREF _Toc426101265 \h </w:instrText>
      </w:r>
      <w:r>
        <w:fldChar w:fldCharType="separate"/>
      </w:r>
      <w:r>
        <w:t>27</w:t>
      </w:r>
      <w:r>
        <w:fldChar w:fldCharType="end"/>
      </w:r>
    </w:p>
    <w:p>
      <w:pPr>
        <w:pStyle w:val="TOC8"/>
        <w:rPr>
          <w:rFonts w:asciiTheme="minorHAnsi" w:eastAsiaTheme="minorEastAsia" w:hAnsiTheme="minorHAnsi" w:cstheme="minorBidi"/>
          <w:szCs w:val="22"/>
        </w:rPr>
      </w:pPr>
      <w:r>
        <w:t>40.</w:t>
      </w:r>
      <w:r>
        <w:tab/>
        <w:t>Urgent meetings</w:t>
      </w:r>
      <w:r>
        <w:tab/>
      </w:r>
      <w:r>
        <w:fldChar w:fldCharType="begin"/>
      </w:r>
      <w:r>
        <w:instrText xml:space="preserve"> PAGEREF _Toc426101266 \h </w:instrText>
      </w:r>
      <w:r>
        <w:fldChar w:fldCharType="separate"/>
      </w:r>
      <w:r>
        <w:t>27</w:t>
      </w:r>
      <w:r>
        <w:fldChar w:fldCharType="end"/>
      </w:r>
    </w:p>
    <w:p>
      <w:pPr>
        <w:pStyle w:val="TOC8"/>
        <w:rPr>
          <w:rFonts w:asciiTheme="minorHAnsi" w:eastAsiaTheme="minorEastAsia" w:hAnsiTheme="minorHAnsi" w:cstheme="minorBidi"/>
          <w:szCs w:val="22"/>
        </w:rPr>
      </w:pPr>
      <w:r>
        <w:t>41.</w:t>
      </w:r>
      <w:r>
        <w:tab/>
        <w:t>Resolution without meeting</w:t>
      </w:r>
      <w:r>
        <w:tab/>
      </w:r>
      <w:r>
        <w:fldChar w:fldCharType="begin"/>
      </w:r>
      <w:r>
        <w:instrText xml:space="preserve"> PAGEREF _Toc426101267 \h </w:instrText>
      </w:r>
      <w:r>
        <w:fldChar w:fldCharType="separate"/>
      </w:r>
      <w:r>
        <w:t>28</w:t>
      </w:r>
      <w:r>
        <w:fldChar w:fldCharType="end"/>
      </w:r>
    </w:p>
    <w:p>
      <w:pPr>
        <w:pStyle w:val="TOC8"/>
        <w:rPr>
          <w:rFonts w:asciiTheme="minorHAnsi" w:eastAsiaTheme="minorEastAsia" w:hAnsiTheme="minorHAnsi" w:cstheme="minorBidi"/>
          <w:szCs w:val="22"/>
        </w:rPr>
      </w:pPr>
      <w:r>
        <w:t>42.</w:t>
      </w:r>
      <w:r>
        <w:tab/>
        <w:t>Rescission or amendment</w:t>
      </w:r>
      <w:r>
        <w:tab/>
      </w:r>
      <w:r>
        <w:fldChar w:fldCharType="begin"/>
      </w:r>
      <w:r>
        <w:instrText xml:space="preserve"> PAGEREF _Toc426101268 \h </w:instrText>
      </w:r>
      <w:r>
        <w:fldChar w:fldCharType="separate"/>
      </w:r>
      <w:r>
        <w:t>28</w:t>
      </w:r>
      <w:r>
        <w:fldChar w:fldCharType="end"/>
      </w:r>
    </w:p>
    <w:p>
      <w:pPr>
        <w:pStyle w:val="TOC8"/>
        <w:rPr>
          <w:rFonts w:asciiTheme="minorHAnsi" w:eastAsiaTheme="minorEastAsia" w:hAnsiTheme="minorHAnsi" w:cstheme="minorBidi"/>
          <w:szCs w:val="22"/>
        </w:rPr>
      </w:pPr>
      <w:r>
        <w:t>43.</w:t>
      </w:r>
      <w:r>
        <w:tab/>
        <w:t>Minutes</w:t>
      </w:r>
      <w:r>
        <w:tab/>
      </w:r>
      <w:r>
        <w:fldChar w:fldCharType="begin"/>
      </w:r>
      <w:r>
        <w:instrText xml:space="preserve"> PAGEREF _Toc426101269 \h </w:instrText>
      </w:r>
      <w:r>
        <w:fldChar w:fldCharType="separate"/>
      </w:r>
      <w:r>
        <w:t>29</w:t>
      </w:r>
      <w:r>
        <w:fldChar w:fldCharType="end"/>
      </w:r>
    </w:p>
    <w:p>
      <w:pPr>
        <w:pStyle w:val="TOC4"/>
        <w:tabs>
          <w:tab w:val="right" w:leader="dot" w:pos="708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44.</w:t>
      </w:r>
      <w:r>
        <w:tab/>
        <w:t>Convenor and deputy convenor</w:t>
      </w:r>
      <w:r>
        <w:tab/>
      </w:r>
      <w:r>
        <w:fldChar w:fldCharType="begin"/>
      </w:r>
      <w:r>
        <w:instrText xml:space="preserve"> PAGEREF _Toc426101271 \h </w:instrText>
      </w:r>
      <w:r>
        <w:fldChar w:fldCharType="separate"/>
      </w:r>
      <w:r>
        <w:t>29</w:t>
      </w:r>
      <w:r>
        <w:fldChar w:fldCharType="end"/>
      </w:r>
    </w:p>
    <w:p>
      <w:pPr>
        <w:pStyle w:val="TOC8"/>
        <w:rPr>
          <w:rFonts w:asciiTheme="minorHAnsi" w:eastAsiaTheme="minorEastAsia" w:hAnsiTheme="minorHAnsi" w:cstheme="minorBidi"/>
          <w:szCs w:val="22"/>
        </w:rPr>
      </w:pPr>
      <w:r>
        <w:t>45.</w:t>
      </w:r>
      <w:r>
        <w:tab/>
        <w:t>Committee meetings</w:t>
      </w:r>
      <w:r>
        <w:tab/>
      </w:r>
      <w:r>
        <w:fldChar w:fldCharType="begin"/>
      </w:r>
      <w:r>
        <w:instrText xml:space="preserve"> PAGEREF _Toc426101272 \h </w:instrText>
      </w:r>
      <w:r>
        <w:fldChar w:fldCharType="separate"/>
      </w:r>
      <w:r>
        <w:t>29</w:t>
      </w:r>
      <w:r>
        <w:fldChar w:fldCharType="end"/>
      </w:r>
    </w:p>
    <w:p>
      <w:pPr>
        <w:pStyle w:val="TOC8"/>
        <w:rPr>
          <w:rFonts w:asciiTheme="minorHAnsi" w:eastAsiaTheme="minorEastAsia" w:hAnsiTheme="minorHAnsi" w:cstheme="minorBidi"/>
          <w:szCs w:val="22"/>
        </w:rPr>
      </w:pPr>
      <w:r>
        <w:t>46.</w:t>
      </w:r>
      <w:r>
        <w:tab/>
        <w:t>Application of applied provisions</w:t>
      </w:r>
      <w:r>
        <w:tab/>
      </w:r>
      <w:r>
        <w:fldChar w:fldCharType="begin"/>
      </w:r>
      <w:r>
        <w:instrText xml:space="preserve"> PAGEREF _Toc426101273 \h </w:instrText>
      </w:r>
      <w:r>
        <w:fldChar w:fldCharType="separate"/>
      </w:r>
      <w:r>
        <w:t>29</w:t>
      </w:r>
      <w:r>
        <w:fldChar w:fldCharType="end"/>
      </w:r>
    </w:p>
    <w:p>
      <w:pPr>
        <w:pStyle w:val="TOC2"/>
        <w:tabs>
          <w:tab w:val="right" w:leader="dot" w:pos="7087"/>
        </w:tabs>
        <w:rPr>
          <w:rFonts w:asciiTheme="minorHAnsi" w:eastAsiaTheme="minorEastAsia" w:hAnsiTheme="minorHAnsi" w:cstheme="minorBidi"/>
          <w:b w:val="0"/>
          <w:sz w:val="22"/>
          <w:szCs w:val="22"/>
        </w:rPr>
      </w:pPr>
      <w:r>
        <w:t>Part 5 — Law Library at Supreme Court</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_Toc426101275 \h </w:instrText>
      </w:r>
      <w:r>
        <w:fldChar w:fldCharType="separate"/>
      </w:r>
      <w:r>
        <w:t>30</w:t>
      </w:r>
      <w:r>
        <w:fldChar w:fldCharType="end"/>
      </w:r>
    </w:p>
    <w:p>
      <w:pPr>
        <w:pStyle w:val="TOC8"/>
        <w:rPr>
          <w:rFonts w:asciiTheme="minorHAnsi" w:eastAsiaTheme="minorEastAsia" w:hAnsiTheme="minorHAnsi" w:cstheme="minorBidi"/>
          <w:szCs w:val="22"/>
        </w:rPr>
      </w:pPr>
      <w:r>
        <w:t>48.</w:t>
      </w:r>
      <w:r>
        <w:tab/>
        <w:t>People entitled to use library</w:t>
      </w:r>
      <w:r>
        <w:tab/>
      </w:r>
      <w:r>
        <w:fldChar w:fldCharType="begin"/>
      </w:r>
      <w:r>
        <w:instrText xml:space="preserve"> PAGEREF _Toc426101276 \h </w:instrText>
      </w:r>
      <w:r>
        <w:fldChar w:fldCharType="separate"/>
      </w:r>
      <w:r>
        <w:t>30</w:t>
      </w:r>
      <w:r>
        <w:fldChar w:fldCharType="end"/>
      </w:r>
    </w:p>
    <w:p>
      <w:pPr>
        <w:pStyle w:val="TOC8"/>
        <w:rPr>
          <w:rFonts w:asciiTheme="minorHAnsi" w:eastAsiaTheme="minorEastAsia" w:hAnsiTheme="minorHAnsi" w:cstheme="minorBidi"/>
          <w:szCs w:val="22"/>
        </w:rPr>
      </w:pPr>
      <w:r>
        <w:t>49.</w:t>
      </w:r>
      <w:r>
        <w:tab/>
        <w:t>Librarian may suspend or restrict entitlement to use library</w:t>
      </w:r>
      <w:r>
        <w:tab/>
      </w:r>
      <w:r>
        <w:fldChar w:fldCharType="begin"/>
      </w:r>
      <w:r>
        <w:instrText xml:space="preserve"> PAGEREF _Toc426101277 \h </w:instrText>
      </w:r>
      <w:r>
        <w:fldChar w:fldCharType="separate"/>
      </w:r>
      <w:r>
        <w:t>31</w:t>
      </w:r>
      <w:r>
        <w:fldChar w:fldCharType="end"/>
      </w:r>
    </w:p>
    <w:p>
      <w:pPr>
        <w:pStyle w:val="TOC8"/>
        <w:rPr>
          <w:rFonts w:asciiTheme="minorHAnsi" w:eastAsiaTheme="minorEastAsia" w:hAnsiTheme="minorHAnsi" w:cstheme="minorBidi"/>
          <w:szCs w:val="22"/>
        </w:rPr>
      </w:pPr>
      <w:r>
        <w:t>50.</w:t>
      </w:r>
      <w:r>
        <w:tab/>
        <w:t>Board may suspend or restrict entitlement to use library</w:t>
      </w:r>
      <w:r>
        <w:tab/>
      </w:r>
      <w:r>
        <w:fldChar w:fldCharType="begin"/>
      </w:r>
      <w:r>
        <w:instrText xml:space="preserve"> PAGEREF _Toc426101278 \h </w:instrText>
      </w:r>
      <w:r>
        <w:fldChar w:fldCharType="separate"/>
      </w:r>
      <w:r>
        <w:t>32</w:t>
      </w:r>
      <w:r>
        <w:fldChar w:fldCharType="end"/>
      </w:r>
    </w:p>
    <w:p>
      <w:pPr>
        <w:pStyle w:val="TOC8"/>
        <w:rPr>
          <w:rFonts w:asciiTheme="minorHAnsi" w:eastAsiaTheme="minorEastAsia" w:hAnsiTheme="minorHAnsi" w:cstheme="minorBidi"/>
          <w:szCs w:val="22"/>
        </w:rPr>
      </w:pPr>
      <w:r>
        <w:t>51.</w:t>
      </w:r>
      <w:r>
        <w:tab/>
        <w:t>Use of library and books</w:t>
      </w:r>
      <w:r>
        <w:tab/>
      </w:r>
      <w:r>
        <w:fldChar w:fldCharType="begin"/>
      </w:r>
      <w:r>
        <w:instrText xml:space="preserve"> PAGEREF _Toc426101279 \h </w:instrText>
      </w:r>
      <w:r>
        <w:fldChar w:fldCharType="separate"/>
      </w:r>
      <w:r>
        <w:t>32</w:t>
      </w:r>
      <w:r>
        <w:fldChar w:fldCharType="end"/>
      </w:r>
    </w:p>
    <w:p>
      <w:pPr>
        <w:pStyle w:val="TOC8"/>
        <w:rPr>
          <w:rFonts w:asciiTheme="minorHAnsi" w:eastAsiaTheme="minorEastAsia" w:hAnsiTheme="minorHAnsi" w:cstheme="minorBidi"/>
          <w:szCs w:val="22"/>
        </w:rPr>
      </w:pPr>
      <w:r>
        <w:t>52.</w:t>
      </w:r>
      <w:r>
        <w:tab/>
        <w:t>Borrowing books</w:t>
      </w:r>
      <w:r>
        <w:tab/>
      </w:r>
      <w:r>
        <w:fldChar w:fldCharType="begin"/>
      </w:r>
      <w:r>
        <w:instrText xml:space="preserve"> PAGEREF _Toc426101280 \h </w:instrText>
      </w:r>
      <w:r>
        <w:fldChar w:fldCharType="separate"/>
      </w:r>
      <w:r>
        <w:t>33</w:t>
      </w:r>
      <w:r>
        <w:fldChar w:fldCharType="end"/>
      </w:r>
    </w:p>
    <w:p>
      <w:pPr>
        <w:pStyle w:val="TOC8"/>
        <w:rPr>
          <w:rFonts w:asciiTheme="minorHAnsi" w:eastAsiaTheme="minorEastAsia" w:hAnsiTheme="minorHAnsi" w:cstheme="minorBidi"/>
          <w:szCs w:val="22"/>
        </w:rPr>
      </w:pPr>
      <w:r>
        <w:t>53.</w:t>
      </w:r>
      <w:r>
        <w:tab/>
        <w:t>Removal of unauthorised people and retrieval of books</w:t>
      </w:r>
      <w:r>
        <w:tab/>
      </w:r>
      <w:r>
        <w:fldChar w:fldCharType="begin"/>
      </w:r>
      <w:r>
        <w:instrText xml:space="preserve"> PAGEREF _Toc426101281 \h </w:instrText>
      </w:r>
      <w:r>
        <w:fldChar w:fldCharType="separate"/>
      </w:r>
      <w:r>
        <w:t>34</w:t>
      </w:r>
      <w:r>
        <w:fldChar w:fldCharType="end"/>
      </w:r>
    </w:p>
    <w:p>
      <w:pPr>
        <w:pStyle w:val="TOC2"/>
        <w:tabs>
          <w:tab w:val="right" w:leader="dot" w:pos="7087"/>
        </w:tabs>
        <w:rPr>
          <w:rFonts w:asciiTheme="minorHAnsi" w:eastAsiaTheme="minorEastAsia" w:hAnsiTheme="minorHAnsi" w:cstheme="minorBidi"/>
          <w:b w:val="0"/>
          <w:sz w:val="22"/>
          <w:szCs w:val="22"/>
        </w:rPr>
      </w:pPr>
      <w:r>
        <w:t>Part 6 — General matters</w:t>
      </w:r>
    </w:p>
    <w:p>
      <w:pPr>
        <w:pStyle w:val="TOC8"/>
        <w:rPr>
          <w:rFonts w:asciiTheme="minorHAnsi" w:eastAsiaTheme="minorEastAsia" w:hAnsiTheme="minorHAnsi" w:cstheme="minorBidi"/>
          <w:szCs w:val="22"/>
        </w:rPr>
      </w:pPr>
      <w:r>
        <w:t>54.</w:t>
      </w:r>
      <w:r>
        <w:tab/>
        <w:t>Documents given to or by Board</w:t>
      </w:r>
      <w:r>
        <w:tab/>
      </w:r>
      <w:r>
        <w:fldChar w:fldCharType="begin"/>
      </w:r>
      <w:r>
        <w:instrText xml:space="preserve"> PAGEREF _Toc426101283 \h </w:instrText>
      </w:r>
      <w:r>
        <w:fldChar w:fldCharType="separate"/>
      </w:r>
      <w:r>
        <w:t>35</w:t>
      </w:r>
      <w:r>
        <w:fldChar w:fldCharType="end"/>
      </w:r>
    </w:p>
    <w:p>
      <w:pPr>
        <w:pStyle w:val="TOC8"/>
        <w:rPr>
          <w:rFonts w:asciiTheme="minorHAnsi" w:eastAsiaTheme="minorEastAsia" w:hAnsiTheme="minorHAnsi" w:cstheme="minorBidi"/>
          <w:szCs w:val="22"/>
        </w:rPr>
      </w:pPr>
      <w:r>
        <w:t>55.</w:t>
      </w:r>
      <w:r>
        <w:tab/>
        <w:t>Board may excuse non-compliance</w:t>
      </w:r>
      <w:r>
        <w:tab/>
      </w:r>
      <w:r>
        <w:fldChar w:fldCharType="begin"/>
      </w:r>
      <w:r>
        <w:instrText xml:space="preserve"> PAGEREF _Toc426101284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_Toc426101286 \h </w:instrText>
      </w:r>
      <w:r>
        <w:fldChar w:fldCharType="separate"/>
      </w:r>
      <w:r>
        <w:t>36</w:t>
      </w:r>
      <w:r>
        <w:fldChar w:fldCharType="end"/>
      </w:r>
    </w:p>
    <w:p>
      <w:pPr>
        <w:pStyle w:val="TOC8"/>
        <w:rPr>
          <w:rFonts w:asciiTheme="minorHAnsi" w:eastAsiaTheme="minorEastAsia" w:hAnsiTheme="minorHAnsi" w:cstheme="minorBidi"/>
          <w:szCs w:val="22"/>
        </w:rPr>
      </w:pPr>
      <w:r>
        <w:t>2.</w:t>
      </w:r>
      <w:r>
        <w:tab/>
        <w:t>Fees</w:t>
      </w:r>
      <w:r>
        <w:tab/>
      </w:r>
      <w:r>
        <w:fldChar w:fldCharType="begin"/>
      </w:r>
      <w:r>
        <w:instrText xml:space="preserve"> PAGEREF _Toc426101287 \h </w:instrText>
      </w:r>
      <w:r>
        <w:fldChar w:fldCharType="separate"/>
      </w:r>
      <w:r>
        <w:t>36</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_Toc426101289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3" w:name="_Toc426101202"/>
      <w:r>
        <w:rPr>
          <w:rStyle w:val="CharPartNo"/>
        </w:rPr>
        <w:t>Part 1</w:t>
      </w:r>
      <w:r>
        <w:rPr>
          <w:rStyle w:val="CharDivNo"/>
        </w:rPr>
        <w:t> </w:t>
      </w:r>
      <w:r>
        <w:t>—</w:t>
      </w:r>
      <w:r>
        <w:rPr>
          <w:rStyle w:val="CharDivText"/>
        </w:rPr>
        <w:t> </w:t>
      </w:r>
      <w:r>
        <w:rPr>
          <w:rStyle w:val="CharPartText"/>
        </w:rPr>
        <w:t>Preliminary matters</w:t>
      </w:r>
      <w:bookmarkEnd w:id="3"/>
    </w:p>
    <w:p>
      <w:pPr>
        <w:pStyle w:val="Heading5"/>
      </w:pPr>
      <w:bookmarkStart w:id="4" w:name="_Toc426101203"/>
      <w:r>
        <w:rPr>
          <w:rStyle w:val="CharSectno"/>
        </w:rPr>
        <w:t>1</w:t>
      </w:r>
      <w:r>
        <w:t>.</w:t>
      </w:r>
      <w:r>
        <w:tab/>
        <w:t>Citation</w:t>
      </w:r>
      <w:bookmarkEnd w:id="4"/>
    </w:p>
    <w:p>
      <w:pPr>
        <w:pStyle w:val="Subsection"/>
      </w:pPr>
      <w:r>
        <w:tab/>
      </w:r>
      <w:r>
        <w:tab/>
      </w:r>
      <w:bookmarkStart w:id="5" w:name="Start_Cursor"/>
      <w:bookmarkEnd w:id="5"/>
      <w:r>
        <w:t xml:space="preserve">These rules are the </w:t>
      </w:r>
      <w:r>
        <w:rPr>
          <w:i/>
        </w:rPr>
        <w:t>Legal Profession Rules 2009</w:t>
      </w:r>
      <w:r>
        <w:rPr>
          <w:vertAlign w:val="superscript"/>
        </w:rPr>
        <w:t> 1</w:t>
      </w:r>
      <w:r>
        <w:t>.</w:t>
      </w:r>
    </w:p>
    <w:p>
      <w:pPr>
        <w:pStyle w:val="Heading5"/>
      </w:pPr>
      <w:bookmarkStart w:id="6" w:name="_Toc426101204"/>
      <w:r>
        <w:rPr>
          <w:rStyle w:val="CharSectno"/>
        </w:rPr>
        <w:t>2</w:t>
      </w:r>
      <w:r>
        <w:t>.</w:t>
      </w:r>
      <w:r>
        <w:tab/>
        <w:t>Commencement</w:t>
      </w:r>
      <w:bookmarkEnd w:id="6"/>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r>
        <w:rPr>
          <w:vertAlign w:val="superscript"/>
        </w:rPr>
        <w:t> 1</w:t>
      </w:r>
      <w:r>
        <w:t>.</w:t>
      </w:r>
    </w:p>
    <w:p>
      <w:pPr>
        <w:pStyle w:val="Heading5"/>
      </w:pPr>
      <w:bookmarkStart w:id="7" w:name="_Toc426101205"/>
      <w:r>
        <w:rPr>
          <w:rStyle w:val="CharSectno"/>
        </w:rPr>
        <w:t>3A</w:t>
      </w:r>
      <w:r>
        <w:t>.</w:t>
      </w:r>
      <w:r>
        <w:tab/>
        <w:t>Supervised legal practice (s. 3)</w:t>
      </w:r>
      <w:bookmarkEnd w:id="7"/>
    </w:p>
    <w:p>
      <w:pPr>
        <w:pStyle w:val="Subsection"/>
      </w:pPr>
      <w:r>
        <w:tab/>
      </w:r>
      <w:r>
        <w:tab/>
        <w:t xml:space="preserve">For the purposes of paragraph (f) of the definition of </w:t>
      </w:r>
      <w:r>
        <w:rPr>
          <w:b/>
          <w:i/>
        </w:rPr>
        <w:t>supervised legal practice</w:t>
      </w:r>
      <w:r>
        <w:t xml:space="preserve"> in section 3 of the Act, legal practice by a person who is an Australian legal practitioner in a capacity that is approved under rule 19 or 24 is approved.</w:t>
      </w:r>
    </w:p>
    <w:p>
      <w:pPr>
        <w:pStyle w:val="Footnotesection"/>
      </w:pPr>
      <w:r>
        <w:tab/>
        <w:t>[Rule 3A inserted in Gazette 17 Jul 2015 p. 2884.]</w:t>
      </w:r>
    </w:p>
    <w:p>
      <w:pPr>
        <w:pStyle w:val="Heading2"/>
      </w:pPr>
      <w:bookmarkStart w:id="8" w:name="_Toc426101206"/>
      <w:r>
        <w:rPr>
          <w:rStyle w:val="CharPartNo"/>
        </w:rPr>
        <w:t>Part 2</w:t>
      </w:r>
      <w:r>
        <w:t> — </w:t>
      </w:r>
      <w:r>
        <w:rPr>
          <w:rStyle w:val="CharPartText"/>
        </w:rPr>
        <w:t>Australian legal practitioners</w:t>
      </w:r>
      <w:bookmarkEnd w:id="8"/>
    </w:p>
    <w:p>
      <w:pPr>
        <w:pStyle w:val="Heading3"/>
      </w:pPr>
      <w:bookmarkStart w:id="9" w:name="_Toc426101207"/>
      <w:r>
        <w:rPr>
          <w:rStyle w:val="CharDivNo"/>
        </w:rPr>
        <w:t>Division 1</w:t>
      </w:r>
      <w:r>
        <w:t> — </w:t>
      </w:r>
      <w:r>
        <w:rPr>
          <w:rStyle w:val="CharDivText"/>
        </w:rPr>
        <w:t>Grant or renewal of local practising certificates</w:t>
      </w:r>
      <w:bookmarkEnd w:id="9"/>
    </w:p>
    <w:p>
      <w:pPr>
        <w:pStyle w:val="Heading5"/>
      </w:pPr>
      <w:bookmarkStart w:id="10" w:name="_Toc426101208"/>
      <w:r>
        <w:rPr>
          <w:rStyle w:val="CharSectno"/>
        </w:rPr>
        <w:t>3</w:t>
      </w:r>
      <w:r>
        <w:t>.</w:t>
      </w:r>
      <w:r>
        <w:tab/>
        <w:t>Application for grant or renewal of local practising certificate (s. 43(1))</w:t>
      </w:r>
      <w:bookmarkEnd w:id="10"/>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1" w:name="_Toc426101209"/>
      <w:r>
        <w:rPr>
          <w:rStyle w:val="CharSectno"/>
        </w:rPr>
        <w:t>4</w:t>
      </w:r>
      <w:r>
        <w:t>.</w:t>
      </w:r>
      <w:r>
        <w:tab/>
        <w:t>Fee for application for grant or renewal of local practising certificate (s. 43(1)(b))</w:t>
      </w:r>
      <w:bookmarkEnd w:id="11"/>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12" w:name="_Toc426101210"/>
      <w:r>
        <w:rPr>
          <w:rStyle w:val="CharSectno"/>
        </w:rPr>
        <w:t>5</w:t>
      </w:r>
      <w:r>
        <w:t>.</w:t>
      </w:r>
      <w:r>
        <w:tab/>
        <w:t>Timing of application for renewal of local practising certificate (s. 44)</w:t>
      </w:r>
      <w:bookmarkEnd w:id="1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3" w:name="_Toc426101211"/>
      <w:r>
        <w:rPr>
          <w:rStyle w:val="CharSectno"/>
        </w:rPr>
        <w:t>6</w:t>
      </w:r>
      <w:r>
        <w:t>.</w:t>
      </w:r>
      <w:r>
        <w:tab/>
        <w:t>Notification of change of details</w:t>
      </w:r>
      <w:bookmarkEnd w:id="13"/>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4" w:name="_Toc426101212"/>
      <w:r>
        <w:rPr>
          <w:rStyle w:val="CharSectno"/>
        </w:rPr>
        <w:t>7A</w:t>
      </w:r>
      <w:r>
        <w:t>.</w:t>
      </w:r>
      <w:r>
        <w:tab/>
        <w:t>Contributions to Guarantee Fund (s. 337)</w:t>
      </w:r>
      <w:bookmarkEnd w:id="14"/>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15" w:name="_Toc426101213"/>
      <w:r>
        <w:rPr>
          <w:rStyle w:val="CharDivNo"/>
        </w:rPr>
        <w:t>Division 2</w:t>
      </w:r>
      <w:r>
        <w:t> — </w:t>
      </w:r>
      <w:r>
        <w:rPr>
          <w:rStyle w:val="CharDivText"/>
        </w:rPr>
        <w:t>Condition on local practising certificates: continuing professional development</w:t>
      </w:r>
      <w:bookmarkEnd w:id="15"/>
    </w:p>
    <w:p>
      <w:pPr>
        <w:pStyle w:val="Heading4"/>
      </w:pPr>
      <w:bookmarkStart w:id="16" w:name="_Toc426101214"/>
      <w:r>
        <w:t>Subdivision 1 — Preliminary</w:t>
      </w:r>
      <w:bookmarkEnd w:id="16"/>
    </w:p>
    <w:p>
      <w:pPr>
        <w:pStyle w:val="Footnoteheading"/>
      </w:pPr>
      <w:r>
        <w:tab/>
        <w:t>[Heading inserted in Gazette 20 Feb 2015 p. 681.]</w:t>
      </w:r>
    </w:p>
    <w:p>
      <w:pPr>
        <w:pStyle w:val="Heading5"/>
      </w:pPr>
      <w:bookmarkStart w:id="17" w:name="_Toc426101215"/>
      <w:r>
        <w:rPr>
          <w:rStyle w:val="CharSectno"/>
        </w:rPr>
        <w:t>7</w:t>
      </w:r>
      <w:r>
        <w:t>.</w:t>
      </w:r>
      <w:r>
        <w:tab/>
        <w:t>Terms used</w:t>
      </w:r>
      <w:bookmarkEnd w:id="17"/>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whether or not the material is to be presented by the person who prepared the material; and</w:t>
      </w:r>
    </w:p>
    <w:p>
      <w:pPr>
        <w:pStyle w:val="Defpara"/>
      </w:pPr>
      <w:r>
        <w:tab/>
        <w:t>(d)</w:t>
      </w:r>
      <w:r>
        <w:tab/>
        <w:t>the editing, publishing or refereeing of a journal, or article in a journal, or similar publication (whether in print or an electronic format and whether in a publication primarily intended for the legal profession or otherwise);</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pPr>
      <w:r>
        <w:tab/>
        <w:t>[Rule 7 amended in Gazette 20 Feb 2015 p. 681.]</w:t>
      </w:r>
    </w:p>
    <w:p>
      <w:pPr>
        <w:pStyle w:val="Heading4"/>
      </w:pPr>
      <w:bookmarkStart w:id="18" w:name="_Toc426101216"/>
      <w:r>
        <w:t>Subdivision 2 — Local practising certificates in force before 1 July 2015</w:t>
      </w:r>
      <w:bookmarkEnd w:id="18"/>
    </w:p>
    <w:p>
      <w:pPr>
        <w:pStyle w:val="Footnoteheading"/>
      </w:pPr>
      <w:r>
        <w:tab/>
        <w:t>[Heading inserted in Gazette 20 Feb 2015 p. 681.]</w:t>
      </w:r>
    </w:p>
    <w:p>
      <w:pPr>
        <w:pStyle w:val="Heading5"/>
      </w:pPr>
      <w:bookmarkStart w:id="19" w:name="_Toc426101217"/>
      <w:r>
        <w:rPr>
          <w:rStyle w:val="CharSectno"/>
        </w:rPr>
        <w:t>8A</w:t>
      </w:r>
      <w:r>
        <w:t>.</w:t>
      </w:r>
      <w:r>
        <w:tab/>
        <w:t>Terms used</w:t>
      </w:r>
      <w:bookmarkEnd w:id="19"/>
    </w:p>
    <w:p>
      <w:pPr>
        <w:pStyle w:val="Subsection"/>
      </w:pPr>
      <w:r>
        <w:tab/>
      </w:r>
      <w:r>
        <w:tab/>
        <w:t xml:space="preserve">In this Subdivision — </w:t>
      </w:r>
    </w:p>
    <w:p>
      <w:pPr>
        <w:pStyle w:val="Defstart"/>
      </w:pPr>
      <w:r>
        <w:tab/>
      </w:r>
      <w:r>
        <w:rPr>
          <w:rStyle w:val="CharDefText"/>
        </w:rPr>
        <w:t>certificate year</w:t>
      </w:r>
      <w:r>
        <w:t xml:space="preserve"> means the period during which a local practising certificate is in force;</w:t>
      </w:r>
    </w:p>
    <w:p>
      <w:pPr>
        <w:pStyle w:val="Defstart"/>
      </w:pPr>
      <w:r>
        <w:tab/>
      </w:r>
      <w:r>
        <w:rPr>
          <w:rStyle w:val="CharDefText"/>
        </w:rPr>
        <w:t>CPD condition</w:t>
      </w:r>
      <w:r>
        <w:t xml:space="preserve"> means the condition imposed on a local practising certificate by rule 8(1);</w:t>
      </w:r>
    </w:p>
    <w:p>
      <w:pPr>
        <w:pStyle w:val="Subsection"/>
        <w:spacing w:before="80"/>
      </w:pPr>
      <w:r>
        <w:tab/>
      </w:r>
      <w:r>
        <w:tab/>
      </w:r>
      <w:r>
        <w:rPr>
          <w:rStyle w:val="CharDefText"/>
        </w:rPr>
        <w:t>CPD point</w:t>
      </w:r>
      <w:r>
        <w:t xml:space="preserve"> means a point earned in accordance with rule 9;</w:t>
      </w:r>
    </w:p>
    <w:p>
      <w:pPr>
        <w:pStyle w:val="Defstart"/>
      </w:pPr>
      <w:r>
        <w:tab/>
      </w:r>
      <w:r>
        <w:rPr>
          <w:rStyle w:val="CharDefText"/>
        </w:rPr>
        <w:t>individual activity</w:t>
      </w:r>
      <w:r>
        <w:t xml:space="preserve"> means an approved CPD activity that is not an interactive activity.</w:t>
      </w:r>
    </w:p>
    <w:p>
      <w:pPr>
        <w:pStyle w:val="Footnotesection"/>
      </w:pPr>
      <w:r>
        <w:tab/>
        <w:t>[Rule 8A inserted in Gazette 20 Feb 2015 p. 681.]</w:t>
      </w:r>
    </w:p>
    <w:p>
      <w:pPr>
        <w:pStyle w:val="Heading5"/>
      </w:pPr>
      <w:bookmarkStart w:id="20" w:name="_Toc426101218"/>
      <w:r>
        <w:rPr>
          <w:rStyle w:val="CharSectno"/>
        </w:rPr>
        <w:t>8</w:t>
      </w:r>
      <w:r>
        <w:t>.</w:t>
      </w:r>
      <w:r>
        <w:tab/>
        <w:t>Condition on practising certificates before 1 July 2015: practitioner must complete professional development</w:t>
      </w:r>
      <w:bookmarkEnd w:id="20"/>
    </w:p>
    <w:p>
      <w:pPr>
        <w:pStyle w:val="Subsection"/>
        <w:spacing w:before="150"/>
      </w:pPr>
      <w:r>
        <w:tab/>
        <w:t>(1)</w:t>
      </w:r>
      <w:r>
        <w:tab/>
        <w:t xml:space="preserve">A local practising certificate that takes effect on or after 1 July 2009, but before 1 July 2015, is subject to the condition that the local legal practitioner must earn 10 CPD points during the certificate year. </w:t>
      </w:r>
    </w:p>
    <w:p>
      <w:pPr>
        <w:pStyle w:val="Subsection"/>
        <w:spacing w:before="150"/>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spacing w:before="100"/>
      </w:pPr>
      <w:r>
        <w:tab/>
        <w:t>[Rule 8 amended in Gazette 20 Feb 2015 p. 682.]</w:t>
      </w:r>
    </w:p>
    <w:p>
      <w:pPr>
        <w:pStyle w:val="Heading5"/>
      </w:pPr>
      <w:bookmarkStart w:id="21" w:name="_Toc426101219"/>
      <w:r>
        <w:rPr>
          <w:rStyle w:val="CharSectno"/>
        </w:rPr>
        <w:t>9</w:t>
      </w:r>
      <w:r>
        <w:t>.</w:t>
      </w:r>
      <w:r>
        <w:tab/>
        <w:t>Earning CPD points</w:t>
      </w:r>
      <w:bookmarkEnd w:id="21"/>
    </w:p>
    <w:p>
      <w:pPr>
        <w:pStyle w:val="Subsection"/>
        <w:spacing w:before="150"/>
      </w:pPr>
      <w:r>
        <w:tab/>
        <w:t>(1)</w:t>
      </w:r>
      <w:r>
        <w:tab/>
        <w:t>A local legal practitioner earns CPD points by completing approved CPD activities.</w:t>
      </w:r>
    </w:p>
    <w:p>
      <w:pPr>
        <w:pStyle w:val="Subsection"/>
        <w:spacing w:before="150"/>
      </w:pPr>
      <w:r>
        <w:tab/>
        <w:t>(2)</w:t>
      </w:r>
      <w:r>
        <w:tab/>
        <w:t>The number of CPD points earned by completing a particular approved CPD activity is to be determined under rule 12.</w:t>
      </w:r>
    </w:p>
    <w:p>
      <w:pPr>
        <w:pStyle w:val="Subsection"/>
        <w:spacing w:before="150"/>
      </w:pPr>
      <w:r>
        <w:tab/>
        <w:t>(3)</w:t>
      </w:r>
      <w:r>
        <w:tab/>
        <w:t>Subject to subrules (4) and (5A), a CPD point is earned in the certificate year during which the approved CPD activity is completed.</w:t>
      </w:r>
    </w:p>
    <w:p>
      <w:pPr>
        <w:pStyle w:val="Subsection"/>
        <w:spacing w:before="150"/>
      </w:pPr>
      <w:r>
        <w:tab/>
        <w:t>(4)</w:t>
      </w:r>
      <w:r>
        <w:tab/>
        <w:t>A CPD point earned by the completion of an approved CPD activity on or after 1 April but before 30 June in a year is to be taken to have been earned on 1 July of that year.</w:t>
      </w:r>
    </w:p>
    <w:p>
      <w:pPr>
        <w:pStyle w:val="Subsection"/>
        <w:spacing w:before="150"/>
      </w:pPr>
      <w:r>
        <w:tab/>
        <w:t>(5A)</w:t>
      </w:r>
      <w:r>
        <w:tab/>
        <w:t>Subrules (3) and (4) do not apply to points earned after 31 March 2015 and before 1 July 2015.</w:t>
      </w:r>
    </w:p>
    <w:p>
      <w:pPr>
        <w:pStyle w:val="Subsection"/>
        <w:spacing w:before="150"/>
      </w:pPr>
      <w:r>
        <w:tab/>
        <w:t>(5)</w:t>
      </w:r>
      <w:r>
        <w:tab/>
        <w:t xml:space="preserve">A practitioner may complete an interactive activity — </w:t>
      </w:r>
    </w:p>
    <w:p>
      <w:pPr>
        <w:pStyle w:val="Indenta"/>
        <w:spacing w:before="60"/>
      </w:pPr>
      <w:r>
        <w:tab/>
        <w:t>(a)</w:t>
      </w:r>
      <w:r>
        <w:tab/>
        <w:t>as a participant by attending in person or by remote communication; or</w:t>
      </w:r>
    </w:p>
    <w:p>
      <w:pPr>
        <w:pStyle w:val="Indenta"/>
        <w:spacing w:before="60"/>
      </w:pPr>
      <w:r>
        <w:tab/>
        <w:t>(b)</w:t>
      </w:r>
      <w:r>
        <w:tab/>
        <w:t>as a presenter, commentator or chair of the activity.</w:t>
      </w:r>
    </w:p>
    <w:p>
      <w:pPr>
        <w:pStyle w:val="PermNoteHeading"/>
      </w:pPr>
      <w:r>
        <w:tab/>
        <w:t>Note:</w:t>
      </w:r>
    </w:p>
    <w:p>
      <w:pPr>
        <w:pStyle w:val="PermNoteText"/>
      </w:pPr>
      <w:r>
        <w:tab/>
      </w:r>
      <w:r>
        <w:tab/>
        <w:t>Subdivision 3 deals with earning CPD points after 31 March 2015.</w:t>
      </w:r>
    </w:p>
    <w:p>
      <w:pPr>
        <w:pStyle w:val="Footnotesection"/>
        <w:spacing w:before="100"/>
      </w:pPr>
      <w:r>
        <w:tab/>
        <w:t>[Rule 9 amended in Gazette 20 Feb 2015 p. 682.]</w:t>
      </w:r>
    </w:p>
    <w:p>
      <w:pPr>
        <w:pStyle w:val="Heading5"/>
      </w:pPr>
      <w:bookmarkStart w:id="22" w:name="_Toc426101220"/>
      <w:r>
        <w:rPr>
          <w:rStyle w:val="CharSectno"/>
        </w:rPr>
        <w:t>10</w:t>
      </w:r>
      <w:r>
        <w:t>.</w:t>
      </w:r>
      <w:r>
        <w:tab/>
        <w:t>Competency area requirements</w:t>
      </w:r>
      <w:bookmarkEnd w:id="22"/>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3" w:name="_Toc426101221"/>
      <w:r>
        <w:rPr>
          <w:rStyle w:val="CharSectno"/>
        </w:rPr>
        <w:t>11</w:t>
      </w:r>
      <w:r>
        <w:t>.</w:t>
      </w:r>
      <w:r>
        <w:tab/>
        <w:t>Interactive and publishing point requirements</w:t>
      </w:r>
      <w:bookmarkEnd w:id="23"/>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4" w:name="_Toc426101222"/>
      <w:r>
        <w:rPr>
          <w:rStyle w:val="CharSectno"/>
        </w:rPr>
        <w:t>12</w:t>
      </w:r>
      <w:r>
        <w:t>.</w:t>
      </w:r>
      <w:r>
        <w:tab/>
        <w:t>CPD points for an activity</w:t>
      </w:r>
      <w:bookmarkEnd w:id="24"/>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ind w:left="573" w:hanging="573"/>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keepNext/>
            </w:pPr>
            <w:r>
              <w:t>As writer</w:t>
            </w:r>
          </w:p>
        </w:tc>
        <w:tc>
          <w:tcPr>
            <w:tcW w:w="4252" w:type="dxa"/>
          </w:tcPr>
          <w:p>
            <w:pPr>
              <w:pStyle w:val="TableNAm"/>
              <w:keepNext/>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Ednotesubsection"/>
      </w:pPr>
      <w:r>
        <w:tab/>
        <w:t>[(2)</w:t>
      </w:r>
      <w:r>
        <w:tab/>
        <w:t>deleted]</w:t>
      </w:r>
    </w:p>
    <w:p>
      <w:pPr>
        <w:pStyle w:val="Subsection"/>
      </w:pPr>
      <w:r>
        <w:tab/>
        <w:t>(3)</w:t>
      </w:r>
      <w:r>
        <w:tab/>
        <w:t>The maximum number of CPD points that can be earned from completing a single approved CPD activity is 7.</w:t>
      </w:r>
    </w:p>
    <w:p>
      <w:pPr>
        <w:pStyle w:val="Footnotesection"/>
      </w:pPr>
      <w:r>
        <w:tab/>
        <w:t>[Rule 12 amended in Gazette 20 Feb 2015 p. 682.]</w:t>
      </w:r>
    </w:p>
    <w:p>
      <w:pPr>
        <w:pStyle w:val="Heading4"/>
      </w:pPr>
      <w:bookmarkStart w:id="25" w:name="_Toc426101223"/>
      <w:r>
        <w:t>Subdivision 3 — Local practising certificates in force on or after 1 July 2015</w:t>
      </w:r>
      <w:bookmarkEnd w:id="25"/>
    </w:p>
    <w:p>
      <w:pPr>
        <w:pStyle w:val="Footnoteheading"/>
      </w:pPr>
      <w:r>
        <w:tab/>
        <w:t>[Heading inserted in Gazette 20 Feb 2015 p. 682.]</w:t>
      </w:r>
    </w:p>
    <w:p>
      <w:pPr>
        <w:pStyle w:val="Heading5"/>
      </w:pPr>
      <w:bookmarkStart w:id="26" w:name="_Toc426101224"/>
      <w:r>
        <w:rPr>
          <w:rStyle w:val="CharSectno"/>
        </w:rPr>
        <w:t>13A</w:t>
      </w:r>
      <w:r>
        <w:t>.</w:t>
      </w:r>
      <w:r>
        <w:tab/>
        <w:t>Terms used</w:t>
      </w:r>
      <w:bookmarkEnd w:id="26"/>
    </w:p>
    <w:p>
      <w:pPr>
        <w:pStyle w:val="Subsection"/>
      </w:pPr>
      <w:r>
        <w:tab/>
      </w:r>
      <w:r>
        <w:tab/>
        <w:t xml:space="preserve">In this Subdivision — </w:t>
      </w:r>
    </w:p>
    <w:p>
      <w:pPr>
        <w:pStyle w:val="Defstart"/>
      </w:pPr>
      <w:r>
        <w:tab/>
      </w:r>
      <w:r>
        <w:rPr>
          <w:rStyle w:val="CharDefText"/>
        </w:rPr>
        <w:t>CPD condition</w:t>
      </w:r>
      <w:r>
        <w:t xml:space="preserve"> means the condition imposed on a local practising certificate by rule 13B(1) or (2);</w:t>
      </w:r>
    </w:p>
    <w:p>
      <w:pPr>
        <w:pStyle w:val="Defstart"/>
      </w:pPr>
      <w:r>
        <w:tab/>
      </w:r>
      <w:r>
        <w:rPr>
          <w:rStyle w:val="CharDefText"/>
        </w:rPr>
        <w:t>CPD period</w:t>
      </w:r>
      <w:r>
        <w:t xml:space="preserve"> means the period from 1 April to 31 March;</w:t>
      </w:r>
    </w:p>
    <w:p>
      <w:pPr>
        <w:pStyle w:val="Defstart"/>
      </w:pPr>
      <w:r>
        <w:tab/>
      </w:r>
      <w:r>
        <w:rPr>
          <w:rStyle w:val="CharDefText"/>
        </w:rPr>
        <w:t>CPD point</w:t>
      </w:r>
      <w:r>
        <w:t xml:space="preserve"> means a point earned in accordance with rule 13C;</w:t>
      </w:r>
    </w:p>
    <w:p>
      <w:pPr>
        <w:pStyle w:val="Defstart"/>
      </w:pPr>
      <w:r>
        <w:tab/>
      </w:r>
      <w:r>
        <w:rPr>
          <w:rStyle w:val="CharDefText"/>
        </w:rPr>
        <w:t>electronic activity</w:t>
      </w:r>
      <w:r>
        <w:t xml:space="preserve"> means an approved CPD activity provided by way of the electronic communication of information in the form of data, text, sound or images, or a combination of those things.</w:t>
      </w:r>
    </w:p>
    <w:p>
      <w:pPr>
        <w:pStyle w:val="Footnotesection"/>
      </w:pPr>
      <w:r>
        <w:tab/>
        <w:t>[Rule 13A inserted in Gazette 20 Feb 2015 p. 682.]</w:t>
      </w:r>
    </w:p>
    <w:p>
      <w:pPr>
        <w:pStyle w:val="Heading5"/>
      </w:pPr>
      <w:bookmarkStart w:id="27" w:name="_Toc426101225"/>
      <w:r>
        <w:rPr>
          <w:rStyle w:val="CharSectno"/>
        </w:rPr>
        <w:t>13B</w:t>
      </w:r>
      <w:r>
        <w:t>.</w:t>
      </w:r>
      <w:r>
        <w:tab/>
        <w:t>Condition on practising certificates on and after 1 July 2015: practitioner must complete professional development</w:t>
      </w:r>
      <w:bookmarkEnd w:id="27"/>
    </w:p>
    <w:p>
      <w:pPr>
        <w:pStyle w:val="Subsection"/>
      </w:pPr>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Month in which local practising certificate granted</w:t>
            </w:r>
          </w:p>
        </w:tc>
        <w:tc>
          <w:tcPr>
            <w:tcW w:w="3034" w:type="dxa"/>
          </w:tcPr>
          <w:p>
            <w:pPr>
              <w:pStyle w:val="TableNAm"/>
              <w:rPr>
                <w:b/>
              </w:rPr>
            </w:pPr>
            <w:r>
              <w:rPr>
                <w:b/>
              </w:rPr>
              <w:t>Number of CPD points to be earned in the CPD period</w:t>
            </w:r>
          </w:p>
        </w:tc>
      </w:tr>
      <w:tr>
        <w:tc>
          <w:tcPr>
            <w:tcW w:w="3033" w:type="dxa"/>
          </w:tcPr>
          <w:p>
            <w:pPr>
              <w:pStyle w:val="TableNAm"/>
            </w:pPr>
            <w:r>
              <w:t>July</w:t>
            </w:r>
          </w:p>
        </w:tc>
        <w:tc>
          <w:tcPr>
            <w:tcW w:w="3034" w:type="dxa"/>
          </w:tcPr>
          <w:p>
            <w:pPr>
              <w:pStyle w:val="TableNAm"/>
            </w:pPr>
            <w:r>
              <w:t>9</w:t>
            </w:r>
          </w:p>
        </w:tc>
      </w:tr>
      <w:tr>
        <w:tc>
          <w:tcPr>
            <w:tcW w:w="3033" w:type="dxa"/>
          </w:tcPr>
          <w:p>
            <w:pPr>
              <w:pStyle w:val="TableNAm"/>
            </w:pPr>
            <w:r>
              <w:t>August</w:t>
            </w:r>
          </w:p>
        </w:tc>
        <w:tc>
          <w:tcPr>
            <w:tcW w:w="3034" w:type="dxa"/>
          </w:tcPr>
          <w:p>
            <w:pPr>
              <w:pStyle w:val="TableNAm"/>
            </w:pPr>
            <w:r>
              <w:t>8</w:t>
            </w:r>
          </w:p>
        </w:tc>
      </w:tr>
      <w:tr>
        <w:tc>
          <w:tcPr>
            <w:tcW w:w="3033" w:type="dxa"/>
          </w:tcPr>
          <w:p>
            <w:pPr>
              <w:pStyle w:val="TableNAm"/>
            </w:pPr>
            <w:r>
              <w:t>September</w:t>
            </w:r>
          </w:p>
        </w:tc>
        <w:tc>
          <w:tcPr>
            <w:tcW w:w="3034" w:type="dxa"/>
          </w:tcPr>
          <w:p>
            <w:pPr>
              <w:pStyle w:val="TableNAm"/>
            </w:pPr>
            <w:r>
              <w:t>7</w:t>
            </w:r>
          </w:p>
        </w:tc>
      </w:tr>
      <w:tr>
        <w:tc>
          <w:tcPr>
            <w:tcW w:w="3033" w:type="dxa"/>
          </w:tcPr>
          <w:p>
            <w:pPr>
              <w:pStyle w:val="TableNAm"/>
            </w:pPr>
            <w:r>
              <w:t>October</w:t>
            </w:r>
          </w:p>
        </w:tc>
        <w:tc>
          <w:tcPr>
            <w:tcW w:w="3034" w:type="dxa"/>
          </w:tcPr>
          <w:p>
            <w:pPr>
              <w:pStyle w:val="TableNAm"/>
            </w:pPr>
            <w:r>
              <w:t>6</w:t>
            </w:r>
          </w:p>
        </w:tc>
      </w:tr>
      <w:tr>
        <w:tc>
          <w:tcPr>
            <w:tcW w:w="3033" w:type="dxa"/>
          </w:tcPr>
          <w:p>
            <w:pPr>
              <w:pStyle w:val="TableNAm"/>
            </w:pPr>
            <w:r>
              <w:t>November</w:t>
            </w:r>
          </w:p>
        </w:tc>
        <w:tc>
          <w:tcPr>
            <w:tcW w:w="3034" w:type="dxa"/>
          </w:tcPr>
          <w:p>
            <w:pPr>
              <w:pStyle w:val="TableNAm"/>
            </w:pPr>
            <w:r>
              <w:t>5</w:t>
            </w:r>
          </w:p>
        </w:tc>
      </w:tr>
      <w:tr>
        <w:tc>
          <w:tcPr>
            <w:tcW w:w="3033" w:type="dxa"/>
          </w:tcPr>
          <w:p>
            <w:pPr>
              <w:pStyle w:val="TableNAm"/>
            </w:pPr>
            <w:r>
              <w:t>December</w:t>
            </w:r>
          </w:p>
        </w:tc>
        <w:tc>
          <w:tcPr>
            <w:tcW w:w="3034" w:type="dxa"/>
          </w:tcPr>
          <w:p>
            <w:pPr>
              <w:pStyle w:val="TableNAm"/>
            </w:pPr>
            <w:r>
              <w:t>4</w:t>
            </w:r>
          </w:p>
        </w:tc>
      </w:tr>
      <w:tr>
        <w:tc>
          <w:tcPr>
            <w:tcW w:w="3033" w:type="dxa"/>
          </w:tcPr>
          <w:p>
            <w:pPr>
              <w:pStyle w:val="TableNAm"/>
            </w:pPr>
            <w:r>
              <w:t>January</w:t>
            </w:r>
          </w:p>
        </w:tc>
        <w:tc>
          <w:tcPr>
            <w:tcW w:w="3034" w:type="dxa"/>
          </w:tcPr>
          <w:p>
            <w:pPr>
              <w:pStyle w:val="TableNAm"/>
            </w:pPr>
            <w:r>
              <w:t>3</w:t>
            </w:r>
          </w:p>
        </w:tc>
      </w:tr>
      <w:tr>
        <w:tc>
          <w:tcPr>
            <w:tcW w:w="3033" w:type="dxa"/>
          </w:tcPr>
          <w:p>
            <w:pPr>
              <w:pStyle w:val="TableNAm"/>
            </w:pPr>
            <w:r>
              <w:t>February</w:t>
            </w:r>
          </w:p>
        </w:tc>
        <w:tc>
          <w:tcPr>
            <w:tcW w:w="3034" w:type="dxa"/>
          </w:tcPr>
          <w:p>
            <w:pPr>
              <w:pStyle w:val="TableNAm"/>
            </w:pPr>
            <w:r>
              <w:t>2</w:t>
            </w:r>
          </w:p>
        </w:tc>
      </w:tr>
      <w:tr>
        <w:tc>
          <w:tcPr>
            <w:tcW w:w="3033" w:type="dxa"/>
          </w:tcPr>
          <w:p>
            <w:pPr>
              <w:pStyle w:val="TableNAm"/>
            </w:pPr>
            <w:r>
              <w:t>March</w:t>
            </w:r>
          </w:p>
        </w:tc>
        <w:tc>
          <w:tcPr>
            <w:tcW w:w="3034" w:type="dxa"/>
          </w:tcPr>
          <w:p>
            <w:pPr>
              <w:pStyle w:val="TableNAm"/>
            </w:pPr>
            <w:r>
              <w:t>1</w:t>
            </w:r>
          </w:p>
        </w:tc>
      </w:tr>
    </w:tbl>
    <w:p>
      <w:pPr>
        <w:pStyle w:val="Subsection"/>
      </w:pPr>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p>
    <w:p>
      <w:pPr>
        <w:pStyle w:val="Subsection"/>
      </w:pPr>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p>
    <w:p>
      <w:pPr>
        <w:pStyle w:val="Footnotesection"/>
      </w:pPr>
      <w:r>
        <w:tab/>
        <w:t>[Rule 13B inserted in Gazette 20 Feb 2015 p. 683.]</w:t>
      </w:r>
    </w:p>
    <w:p>
      <w:pPr>
        <w:pStyle w:val="Heading5"/>
      </w:pPr>
      <w:bookmarkStart w:id="28" w:name="_Toc426101226"/>
      <w:r>
        <w:rPr>
          <w:rStyle w:val="CharSectno"/>
        </w:rPr>
        <w:t>13C</w:t>
      </w:r>
      <w:r>
        <w:t>.</w:t>
      </w:r>
      <w:r>
        <w:tab/>
        <w:t>Earning CPD points</w:t>
      </w:r>
      <w:bookmarkEnd w:id="28"/>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13F(1), subject to rule 13F(2) and (3).</w:t>
      </w:r>
    </w:p>
    <w:p>
      <w:pPr>
        <w:pStyle w:val="Subsection"/>
      </w:pPr>
      <w:r>
        <w:tab/>
        <w:t>(3)</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participant in an interactive electronic activity; or</w:t>
      </w:r>
    </w:p>
    <w:p>
      <w:pPr>
        <w:pStyle w:val="Indenta"/>
      </w:pPr>
      <w:r>
        <w:tab/>
        <w:t>(c)</w:t>
      </w:r>
      <w:r>
        <w:tab/>
        <w:t>as a presenter, commentator or chair of the activity.</w:t>
      </w:r>
    </w:p>
    <w:p>
      <w:pPr>
        <w:pStyle w:val="Footnotesection"/>
      </w:pPr>
      <w:r>
        <w:tab/>
        <w:t>[Rule 13C inserted in Gazette 20 Feb 2015 p. 683</w:t>
      </w:r>
      <w:r>
        <w:noBreakHyphen/>
        <w:t>4.]</w:t>
      </w:r>
    </w:p>
    <w:p>
      <w:pPr>
        <w:pStyle w:val="Heading5"/>
      </w:pPr>
      <w:bookmarkStart w:id="29" w:name="_Toc426101227"/>
      <w:r>
        <w:rPr>
          <w:rStyle w:val="CharSectno"/>
        </w:rPr>
        <w:t>13D</w:t>
      </w:r>
      <w:r>
        <w:t>.</w:t>
      </w:r>
      <w:r>
        <w:tab/>
        <w:t>Competency area requirements</w:t>
      </w:r>
      <w:bookmarkEnd w:id="29"/>
    </w:p>
    <w:p>
      <w:pPr>
        <w:pStyle w:val="Subsection"/>
      </w:pPr>
      <w:r>
        <w:tab/>
        <w:t>(1)</w:t>
      </w:r>
      <w:r>
        <w:tab/>
        <w:t xml:space="preserve">The CPD points earned to satisfy the CPD condition for a CPD period must include — </w:t>
      </w:r>
    </w:p>
    <w:p>
      <w:pPr>
        <w:pStyle w:val="Indenta"/>
      </w:pPr>
      <w:r>
        <w:tab/>
        <w:t>(a)</w:t>
      </w:r>
      <w:r>
        <w:tab/>
        <w:t>at least one CPD point earned by completing approved CPD activities that are within competency area 1; and</w:t>
      </w:r>
    </w:p>
    <w:p>
      <w:pPr>
        <w:pStyle w:val="Indenta"/>
      </w:pPr>
      <w:r>
        <w:tab/>
        <w:t>(b)</w:t>
      </w:r>
      <w:r>
        <w:tab/>
        <w:t>at least one CPD point earned by completing approved CPD activities that are within competency area 2; and</w:t>
      </w:r>
    </w:p>
    <w:p>
      <w:pPr>
        <w:pStyle w:val="Indenta"/>
      </w:pPr>
      <w:r>
        <w:tab/>
        <w:t>(c)</w:t>
      </w:r>
      <w:r>
        <w:tab/>
        <w:t>at least one CPD point earned by completing approved CPD activities that are within competency area 3; and</w:t>
      </w:r>
    </w:p>
    <w:p>
      <w:pPr>
        <w:pStyle w:val="Indenta"/>
      </w:pPr>
      <w:r>
        <w:tab/>
        <w:t>(d)</w:t>
      </w:r>
      <w:r>
        <w:tab/>
        <w:t>at least one CPD point earned by completing approved CPD activities that are within competency area 4.</w:t>
      </w:r>
    </w:p>
    <w:p>
      <w:pPr>
        <w:pStyle w:val="Subsection"/>
      </w:pPr>
      <w:r>
        <w:tab/>
        <w:t>(2)</w:t>
      </w:r>
      <w:r>
        <w:tab/>
        <w:t xml:space="preserve">An approved CPD activity is within </w:t>
      </w:r>
      <w:r>
        <w:rPr>
          <w:rStyle w:val="CharDefText"/>
        </w:rPr>
        <w:t>competency area 1</w:t>
      </w:r>
      <w:r>
        <w:t xml:space="preserve"> if it involves professional development in an area of practice management.</w:t>
      </w:r>
    </w:p>
    <w:p>
      <w:pPr>
        <w:pStyle w:val="Subsection"/>
      </w:pPr>
      <w:r>
        <w:tab/>
        <w:t>(3)</w:t>
      </w:r>
      <w:r>
        <w:tab/>
        <w:t xml:space="preserve">An approved CPD activity is within </w:t>
      </w:r>
      <w:r>
        <w:rPr>
          <w:rStyle w:val="CharDefText"/>
        </w:rPr>
        <w:t>competency area 2</w:t>
      </w:r>
      <w:r>
        <w:t xml:space="preserve"> if it involves professional development in an area of professional skills.</w:t>
      </w:r>
    </w:p>
    <w:p>
      <w:pPr>
        <w:pStyle w:val="Subsection"/>
      </w:pPr>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p>
    <w:p>
      <w:pPr>
        <w:pStyle w:val="Subsection"/>
      </w:pPr>
      <w:r>
        <w:tab/>
        <w:t>(5)</w:t>
      </w:r>
      <w:r>
        <w:tab/>
        <w:t xml:space="preserve">An approved CPD activity is within </w:t>
      </w:r>
      <w:r>
        <w:rPr>
          <w:rStyle w:val="CharDefText"/>
        </w:rPr>
        <w:t>competency area 4</w:t>
      </w:r>
      <w:r>
        <w:t xml:space="preserve"> if it involves professional development in an area of substantive law.</w:t>
      </w:r>
    </w:p>
    <w:p>
      <w:pPr>
        <w:pStyle w:val="Subsection"/>
      </w:pPr>
      <w:r>
        <w:tab/>
        <w:t>(6)</w:t>
      </w:r>
      <w:r>
        <w:tab/>
        <w:t xml:space="preserve">An approved CPD activity is to be taken to be in the competency area determined — </w:t>
      </w:r>
    </w:p>
    <w:p>
      <w:pPr>
        <w:pStyle w:val="Indenta"/>
      </w:pPr>
      <w:r>
        <w:tab/>
        <w:t>(a)</w:t>
      </w:r>
      <w:r>
        <w:tab/>
        <w:t>if the activity is provided by a QA provider — by the provider; or</w:t>
      </w:r>
    </w:p>
    <w:p>
      <w:pPr>
        <w:pStyle w:val="Indenta"/>
      </w:pPr>
      <w:r>
        <w:tab/>
        <w:t>(b)</w:t>
      </w:r>
      <w:r>
        <w:tab/>
        <w:t>otherwise — by the Board at the time it approves the activity under rule 15.</w:t>
      </w:r>
    </w:p>
    <w:p>
      <w:pPr>
        <w:pStyle w:val="Footnotesection"/>
      </w:pPr>
      <w:r>
        <w:tab/>
        <w:t>[Rule 13D inserted in Gazette 20 Feb 2015 p. 684.]</w:t>
      </w:r>
    </w:p>
    <w:p>
      <w:pPr>
        <w:pStyle w:val="Heading5"/>
      </w:pPr>
      <w:bookmarkStart w:id="30" w:name="_Toc426101228"/>
      <w:r>
        <w:rPr>
          <w:rStyle w:val="CharSectno"/>
        </w:rPr>
        <w:t>13E</w:t>
      </w:r>
      <w:r>
        <w:t>.</w:t>
      </w:r>
      <w:r>
        <w:tab/>
        <w:t>Requirements for interactive and publication CPD points</w:t>
      </w:r>
      <w:bookmarkEnd w:id="30"/>
    </w:p>
    <w:p>
      <w:pPr>
        <w:pStyle w:val="Subsection"/>
      </w:pPr>
      <w:r>
        <w:tab/>
        <w:t>(1)</w:t>
      </w:r>
      <w:r>
        <w:tab/>
        <w:t xml:space="preserve">The CPD points earned to satisfy the CPD condition for a CPD period must include at least 6 CPD points earned — </w:t>
      </w:r>
    </w:p>
    <w:p>
      <w:pPr>
        <w:pStyle w:val="Indenta"/>
      </w:pPr>
      <w:r>
        <w:tab/>
        <w:t>(a)</w:t>
      </w:r>
      <w:r>
        <w:tab/>
        <w:t>by completing interactive activities; or</w:t>
      </w:r>
    </w:p>
    <w:p>
      <w:pPr>
        <w:pStyle w:val="Indenta"/>
      </w:pPr>
      <w:r>
        <w:tab/>
        <w:t>(b)</w:t>
      </w:r>
      <w:r>
        <w:tab/>
        <w:t>by completing a combination of interactive activities and publication activities.</w:t>
      </w:r>
    </w:p>
    <w:p>
      <w:pPr>
        <w:pStyle w:val="Subsection"/>
      </w:pPr>
      <w:r>
        <w:tab/>
        <w:t>(2)</w:t>
      </w:r>
      <w:r>
        <w:tab/>
        <w:t>The CPD points earned to satisfy the CPD condition for a CPD period cannot include more than 5 CPD points earned by completing publication activities.</w:t>
      </w:r>
    </w:p>
    <w:p>
      <w:pPr>
        <w:pStyle w:val="Footnotesection"/>
      </w:pPr>
      <w:r>
        <w:tab/>
        <w:t>[Rule 13E inserted in Gazette 20 Feb 2015 p. 685.]</w:t>
      </w:r>
    </w:p>
    <w:p>
      <w:pPr>
        <w:pStyle w:val="Heading5"/>
      </w:pPr>
      <w:bookmarkStart w:id="31" w:name="_Toc426101229"/>
      <w:r>
        <w:rPr>
          <w:rStyle w:val="CharSectno"/>
        </w:rPr>
        <w:t>13F</w:t>
      </w:r>
      <w:r>
        <w:t>.</w:t>
      </w:r>
      <w:r>
        <w:tab/>
        <w:t>CPD points for particular approved CPD activities</w:t>
      </w:r>
      <w:bookmarkEnd w:id="31"/>
    </w:p>
    <w:p>
      <w:pPr>
        <w:pStyle w:val="Subsection"/>
      </w:pPr>
      <w:r>
        <w:tab/>
        <w:t>(1)</w:t>
      </w:r>
      <w:r>
        <w:tab/>
        <w:t>The CPD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rPr>
            </w:pPr>
            <w:r>
              <w:rPr>
                <w:b/>
              </w:rPr>
              <w:t>1.</w:t>
            </w:r>
            <w:r>
              <w:rPr>
                <w:b/>
              </w:rPr>
              <w:tab/>
              <w:t>Interactive activity</w:t>
            </w:r>
          </w:p>
        </w:tc>
      </w:tr>
      <w:tr>
        <w:tc>
          <w:tcPr>
            <w:tcW w:w="1815" w:type="dxa"/>
          </w:tcPr>
          <w:p>
            <w:pPr>
              <w:pStyle w:val="TableNAm"/>
            </w:pPr>
            <w:r>
              <w:t>Participant</w:t>
            </w:r>
          </w:p>
        </w:tc>
        <w:tc>
          <w:tcPr>
            <w:tcW w:w="4252" w:type="dxa"/>
          </w:tcPr>
          <w:p>
            <w:pPr>
              <w:pStyle w:val="TableNAm"/>
            </w:pPr>
            <w:r>
              <w:t>0.5 points for each complete 30 minutes</w:t>
            </w:r>
          </w:p>
        </w:tc>
      </w:tr>
      <w:tr>
        <w:tc>
          <w:tcPr>
            <w:tcW w:w="1815" w:type="dxa"/>
          </w:tcPr>
          <w:p>
            <w:pPr>
              <w:pStyle w:val="TableNAm"/>
            </w:pPr>
            <w:r>
              <w:t>Presenter who prepared the material used in the activity</w:t>
            </w:r>
          </w:p>
        </w:tc>
        <w:tc>
          <w:tcPr>
            <w:tcW w:w="4252" w:type="dxa"/>
          </w:tcPr>
          <w:p>
            <w:pPr>
              <w:pStyle w:val="TableNAm"/>
            </w:pPr>
            <w:r>
              <w:t>1.5 points for each complete 30 minutes</w:t>
            </w:r>
          </w:p>
        </w:tc>
      </w:tr>
      <w:tr>
        <w:tc>
          <w:tcPr>
            <w:tcW w:w="1815" w:type="dxa"/>
          </w:tcPr>
          <w:p>
            <w:pPr>
              <w:pStyle w:val="TableNAm"/>
            </w:pPr>
            <w:r>
              <w:t>Presenter who presents material prepared by someone else</w:t>
            </w:r>
          </w:p>
        </w:tc>
        <w:tc>
          <w:tcPr>
            <w:tcW w:w="4252" w:type="dxa"/>
          </w:tcPr>
          <w:p>
            <w:pPr>
              <w:pStyle w:val="TableNAm"/>
            </w:pPr>
            <w:r>
              <w:t>1 point for each complete 30 minutes</w:t>
            </w:r>
          </w:p>
        </w:tc>
      </w:tr>
      <w:tr>
        <w:tc>
          <w:tcPr>
            <w:tcW w:w="1815" w:type="dxa"/>
          </w:tcPr>
          <w:p>
            <w:pPr>
              <w:pStyle w:val="TableNAm"/>
              <w:rPr>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rPr>
            </w:pPr>
            <w:r>
              <w:rPr>
                <w:b/>
              </w:rPr>
              <w:t>2.</w:t>
            </w:r>
            <w:r>
              <w:rPr>
                <w:b/>
              </w:rPr>
              <w:tab/>
              <w:t>Publication activity</w:t>
            </w:r>
          </w:p>
        </w:tc>
      </w:tr>
      <w:tr>
        <w:tc>
          <w:tcPr>
            <w:tcW w:w="1815" w:type="dxa"/>
          </w:tcPr>
          <w:p>
            <w:pPr>
              <w:pStyle w:val="TableNAm"/>
            </w:pPr>
            <w:r>
              <w:t>All publication activities</w:t>
            </w:r>
          </w:p>
        </w:tc>
        <w:tc>
          <w:tcPr>
            <w:tcW w:w="4252" w:type="dxa"/>
          </w:tcPr>
          <w:p>
            <w:pPr>
              <w:pStyle w:val="TableNAm"/>
            </w:pPr>
            <w:r>
              <w:t>0.5 points for each set of 500 words to a maximum of 5 points for a single article</w:t>
            </w:r>
          </w:p>
        </w:tc>
      </w:tr>
      <w:tr>
        <w:tc>
          <w:tcPr>
            <w:tcW w:w="1815" w:type="dxa"/>
          </w:tcPr>
          <w:p>
            <w:pPr>
              <w:pStyle w:val="TableNAm"/>
            </w:pPr>
            <w:r>
              <w:t>As editor, as an alternative to the previous item</w:t>
            </w:r>
          </w:p>
        </w:tc>
        <w:tc>
          <w:tcPr>
            <w:tcW w:w="4252" w:type="dxa"/>
          </w:tcPr>
          <w:p>
            <w:pPr>
              <w:pStyle w:val="TableNAm"/>
            </w:pPr>
            <w:r>
              <w:t>1 point for each edition to a maximum of 5 editions</w:t>
            </w:r>
          </w:p>
        </w:tc>
      </w:tr>
      <w:tr>
        <w:trPr>
          <w:cantSplit/>
        </w:trPr>
        <w:tc>
          <w:tcPr>
            <w:tcW w:w="6067" w:type="dxa"/>
            <w:gridSpan w:val="2"/>
            <w:shd w:val="clear" w:color="auto" w:fill="E0E0E0"/>
          </w:tcPr>
          <w:p>
            <w:pPr>
              <w:pStyle w:val="TableNAm"/>
              <w:ind w:left="573" w:hanging="573"/>
              <w:rPr>
                <w:b/>
              </w:rPr>
            </w:pPr>
            <w:r>
              <w:rPr>
                <w:b/>
              </w:rPr>
              <w:t>3.</w:t>
            </w:r>
            <w:r>
              <w:rPr>
                <w:b/>
              </w:rPr>
              <w:tab/>
              <w:t>Electronic activity that is not an interactive activity or a publication activity</w:t>
            </w:r>
          </w:p>
        </w:tc>
      </w:tr>
      <w:tr>
        <w:tc>
          <w:tcPr>
            <w:tcW w:w="1815" w:type="dxa"/>
          </w:tcPr>
          <w:p>
            <w:pPr>
              <w:pStyle w:val="TableNAm"/>
            </w:pPr>
            <w:r>
              <w:t>As participant</w:t>
            </w:r>
          </w:p>
        </w:tc>
        <w:tc>
          <w:tcPr>
            <w:tcW w:w="4252" w:type="dxa"/>
          </w:tcPr>
          <w:p>
            <w:pPr>
              <w:pStyle w:val="TableNAm"/>
            </w:pPr>
            <w:r>
              <w:t>1 point for each complete 60 minutes to a maximum of 4 points for a conference, course or other event comprising one or more approved CPD activities</w:t>
            </w:r>
          </w:p>
        </w:tc>
      </w:tr>
    </w:tbl>
    <w:p>
      <w:pPr>
        <w:pStyle w:val="Subsection"/>
      </w:pPr>
      <w:r>
        <w:tab/>
        <w:t>(2)</w:t>
      </w:r>
      <w:r>
        <w:tab/>
        <w:t>The maximum number of CPD points that can be earned from attending a conference, course or other event comprising one or more interactive activities is 6.</w:t>
      </w:r>
    </w:p>
    <w:p>
      <w:pPr>
        <w:pStyle w:val="Subsection"/>
      </w:pPr>
      <w:r>
        <w:tab/>
        <w:t>(3)</w:t>
      </w:r>
      <w:r>
        <w:tab/>
        <w:t xml:space="preserve">CPD points cannot be earned by completing an electronic activity, whether interactive or not, unless the material for the activity — </w:t>
      </w:r>
    </w:p>
    <w:p>
      <w:pPr>
        <w:pStyle w:val="Indenta"/>
      </w:pPr>
      <w:r>
        <w:tab/>
        <w:t>(a)</w:t>
      </w:r>
      <w:r>
        <w:tab/>
        <w:t>was prepared in the period of 12 months before completion of the electronic activity; or</w:t>
      </w:r>
    </w:p>
    <w:p>
      <w:pPr>
        <w:pStyle w:val="Indenta"/>
      </w:pPr>
      <w:r>
        <w:tab/>
        <w:t>(b)</w:t>
      </w:r>
      <w:r>
        <w:tab/>
        <w:t>has been reviewed and, if necessary, updated in that period.</w:t>
      </w:r>
    </w:p>
    <w:p>
      <w:pPr>
        <w:pStyle w:val="Footnotesection"/>
      </w:pPr>
      <w:r>
        <w:tab/>
        <w:t>[Rule 13F inserted in Gazette 20 Feb 2015 p. 685</w:t>
      </w:r>
      <w:r>
        <w:noBreakHyphen/>
        <w:t>6.]</w:t>
      </w:r>
    </w:p>
    <w:p>
      <w:pPr>
        <w:pStyle w:val="Heading4"/>
      </w:pPr>
      <w:bookmarkStart w:id="32" w:name="_Toc426101230"/>
      <w:r>
        <w:t>Subdivision 4 — Other matters about continuing professional development</w:t>
      </w:r>
      <w:bookmarkEnd w:id="32"/>
    </w:p>
    <w:p>
      <w:pPr>
        <w:pStyle w:val="Footnoteheading"/>
      </w:pPr>
      <w:r>
        <w:tab/>
        <w:t>[Heading inserted in Gazette 20 Feb 2015 p. 686.]</w:t>
      </w:r>
    </w:p>
    <w:p>
      <w:pPr>
        <w:pStyle w:val="Heading5"/>
      </w:pPr>
      <w:bookmarkStart w:id="33" w:name="_Toc426101231"/>
      <w:r>
        <w:rPr>
          <w:rStyle w:val="CharSectno"/>
        </w:rPr>
        <w:t>13</w:t>
      </w:r>
      <w:r>
        <w:t>.</w:t>
      </w:r>
      <w:r>
        <w:tab/>
        <w:t>Points for repeated activities</w:t>
      </w:r>
      <w:bookmarkEnd w:id="33"/>
    </w:p>
    <w:p>
      <w:pPr>
        <w:pStyle w:val="Subsection"/>
      </w:pPr>
      <w:r>
        <w:tab/>
        <w:t>(1A)</w:t>
      </w:r>
      <w:r>
        <w:tab/>
        <w:t xml:space="preserve">In this rule — </w:t>
      </w:r>
    </w:p>
    <w:p>
      <w:pPr>
        <w:pStyle w:val="Defstart"/>
      </w:pPr>
      <w:r>
        <w:tab/>
      </w:r>
      <w:r>
        <w:rPr>
          <w:rStyle w:val="CharDefText"/>
        </w:rPr>
        <w:t>CPD points</w:t>
      </w:r>
      <w:r>
        <w:t xml:space="preserve"> means points earned in accordance with rule 9 or 13C, as is relevant to the case.</w:t>
      </w:r>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pPr>
      <w:r>
        <w:tab/>
        <w:t>[Rule 13 amended in Gazette 20 Feb 2015 p. 686.]</w:t>
      </w:r>
    </w:p>
    <w:p>
      <w:pPr>
        <w:pStyle w:val="Heading5"/>
      </w:pPr>
      <w:bookmarkStart w:id="34" w:name="_Toc426101232"/>
      <w:r>
        <w:rPr>
          <w:rStyle w:val="CharSectno"/>
        </w:rPr>
        <w:t>14</w:t>
      </w:r>
      <w:r>
        <w:t>.</w:t>
      </w:r>
      <w:r>
        <w:tab/>
        <w:t>QA providers</w:t>
      </w:r>
      <w:bookmarkEnd w:id="34"/>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Subsection"/>
      </w:pPr>
      <w:r>
        <w:tab/>
        <w:t>(2)</w:t>
      </w:r>
      <w:r>
        <w:tab/>
        <w:t>The Board may approve any other person, body or group of persons as a QA provider.</w:t>
      </w:r>
    </w:p>
    <w:p>
      <w:pPr>
        <w:pStyle w:val="Subsection"/>
      </w:pPr>
      <w:r>
        <w:tab/>
        <w:t>(3)</w:t>
      </w:r>
      <w:r>
        <w:tab/>
        <w:t>The Board may audit, or cause to be audited, a person, body or group of persons approved as a QA provider under subrule (2) in relation to the provision by the QA provider of professional development activities.</w:t>
      </w:r>
    </w:p>
    <w:p>
      <w:pPr>
        <w:pStyle w:val="Footnotesection"/>
      </w:pPr>
      <w:r>
        <w:tab/>
        <w:t>[Rule 14 amended in Gazette 26 Oct 2010 p. 5290; 20 Feb 2015 p. 686.]</w:t>
      </w:r>
    </w:p>
    <w:p>
      <w:pPr>
        <w:pStyle w:val="Heading5"/>
      </w:pPr>
      <w:bookmarkStart w:id="35" w:name="_Toc426101233"/>
      <w:r>
        <w:rPr>
          <w:rStyle w:val="CharSectno"/>
        </w:rPr>
        <w:t>15</w:t>
      </w:r>
      <w:r>
        <w:t>.</w:t>
      </w:r>
      <w:r>
        <w:tab/>
        <w:t>Approval of professional development activities</w:t>
      </w:r>
      <w:bookmarkEnd w:id="35"/>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 or 13D.</w:t>
      </w:r>
    </w:p>
    <w:p>
      <w:pPr>
        <w:pStyle w:val="Subsection"/>
      </w:pPr>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p>
    <w:p>
      <w:pPr>
        <w:pStyle w:val="Footnotesection"/>
      </w:pPr>
      <w:r>
        <w:tab/>
        <w:t>[Rule 15 amended in Gazette 20 Feb 2015 p. 686</w:t>
      </w:r>
      <w:r>
        <w:noBreakHyphen/>
        <w:t>7.]</w:t>
      </w:r>
    </w:p>
    <w:p>
      <w:pPr>
        <w:pStyle w:val="Heading5"/>
      </w:pPr>
      <w:bookmarkStart w:id="36" w:name="_Toc426101234"/>
      <w:r>
        <w:rPr>
          <w:rStyle w:val="CharSectno"/>
        </w:rPr>
        <w:t>16</w:t>
      </w:r>
      <w:r>
        <w:t>.</w:t>
      </w:r>
      <w:r>
        <w:tab/>
        <w:t>Approvals generally</w:t>
      </w:r>
      <w:bookmarkEnd w:id="36"/>
    </w:p>
    <w:p>
      <w:pPr>
        <w:pStyle w:val="Subsection"/>
      </w:pPr>
      <w:r>
        <w:tab/>
      </w:r>
      <w:r>
        <w:tab/>
        <w:t xml:space="preserve">An approval under rule 14(2)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pPr>
      <w:r>
        <w:tab/>
        <w:t>[Rule 16 amended in Gazette 20 Feb 2015 p. 687.]</w:t>
      </w:r>
    </w:p>
    <w:p>
      <w:pPr>
        <w:pStyle w:val="Heading5"/>
      </w:pPr>
      <w:bookmarkStart w:id="37" w:name="_Toc426101235"/>
      <w:r>
        <w:rPr>
          <w:rStyle w:val="CharSectno"/>
        </w:rPr>
        <w:t>17</w:t>
      </w:r>
      <w:r>
        <w:t>.</w:t>
      </w:r>
      <w:r>
        <w:tab/>
        <w:t>Variations</w:t>
      </w:r>
      <w:bookmarkEnd w:id="37"/>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condition imposed on a practising certificate by rule 8(1) or 13B(1) or (2) by doing either or both of the following — </w:t>
      </w:r>
    </w:p>
    <w:p>
      <w:pPr>
        <w:pStyle w:val="Indenta"/>
      </w:pPr>
      <w:r>
        <w:tab/>
        <w:t>(a)</w:t>
      </w:r>
      <w:r>
        <w:tab/>
        <w:t>reducing the number of CPD points the local legal practitioner is required to earn;</w:t>
      </w:r>
    </w:p>
    <w:p>
      <w:pPr>
        <w:pStyle w:val="Indenta"/>
      </w:pPr>
      <w:r>
        <w:tab/>
        <w:t>(b)</w:t>
      </w:r>
      <w:r>
        <w:tab/>
        <w:t>reducing the minimum points requirements imposed by rules 10 and 11 or 13D and 13E, as is relevant to the case.</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the time when, or length of the period during which, the certificate is in force;</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any period of absence from legal practice (whether on leave or otherwise) by the practitioner during the period during which the certificate is in force;</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Footnotesection"/>
      </w:pPr>
      <w:r>
        <w:tab/>
        <w:t>[Rule 17 amended in Gazette 20 Feb 2015 p. 687.]</w:t>
      </w:r>
    </w:p>
    <w:p>
      <w:pPr>
        <w:pStyle w:val="Heading5"/>
      </w:pPr>
      <w:bookmarkStart w:id="38" w:name="_Toc426101236"/>
      <w:r>
        <w:rPr>
          <w:rStyle w:val="CharSectno"/>
        </w:rPr>
        <w:t>18</w:t>
      </w:r>
      <w:r>
        <w:t>.</w:t>
      </w:r>
      <w:r>
        <w:tab/>
        <w:t>Electronic activities to be reviewed yearly</w:t>
      </w:r>
      <w:bookmarkEnd w:id="38"/>
    </w:p>
    <w:p>
      <w:pPr>
        <w:pStyle w:val="Subsection"/>
      </w:pPr>
      <w:r>
        <w:tab/>
        <w:t>(1)</w:t>
      </w:r>
      <w:r>
        <w:tab/>
        <w:t xml:space="preserve">In this rule — </w:t>
      </w:r>
    </w:p>
    <w:p>
      <w:pPr>
        <w:pStyle w:val="Defstart"/>
      </w:pPr>
      <w:r>
        <w:tab/>
      </w:r>
      <w:r>
        <w:rPr>
          <w:rStyle w:val="CharDefText"/>
        </w:rPr>
        <w:t>provider</w:t>
      </w:r>
      <w:r>
        <w:t xml:space="preserve"> means — </w:t>
      </w:r>
    </w:p>
    <w:p>
      <w:pPr>
        <w:pStyle w:val="Defpara"/>
      </w:pPr>
      <w:r>
        <w:tab/>
        <w:t>(a)</w:t>
      </w:r>
      <w:r>
        <w:tab/>
        <w:t>a QA provider; or</w:t>
      </w:r>
    </w:p>
    <w:p>
      <w:pPr>
        <w:pStyle w:val="Defpara"/>
      </w:pPr>
      <w:r>
        <w:tab/>
        <w:t>(b)</w:t>
      </w:r>
      <w:r>
        <w:tab/>
        <w:t>a person, body or group of persons providing a professional development activity approved under rule 15.</w:t>
      </w:r>
    </w:p>
    <w:p>
      <w:pPr>
        <w:pStyle w:val="Subsection"/>
      </w:pPr>
      <w:r>
        <w:tab/>
        <w:t>(2)</w:t>
      </w:r>
      <w:r>
        <w:tab/>
        <w:t>The provider of an electronic activity, whether interactive or not, must review and, if necessary, update the material for the activity at least every 12 months.</w:t>
      </w:r>
    </w:p>
    <w:p>
      <w:pPr>
        <w:pStyle w:val="Footnotesection"/>
      </w:pPr>
      <w:r>
        <w:tab/>
        <w:t>[Rule 18 inserted in Gazette 20 Feb 2015 p. 687</w:t>
      </w:r>
      <w:r>
        <w:noBreakHyphen/>
        <w:t>8.]</w:t>
      </w:r>
    </w:p>
    <w:p>
      <w:pPr>
        <w:pStyle w:val="Heading3"/>
      </w:pPr>
      <w:bookmarkStart w:id="39" w:name="_Toc426101237"/>
      <w:r>
        <w:rPr>
          <w:rStyle w:val="CharDivNo"/>
        </w:rPr>
        <w:t>Division 3</w:t>
      </w:r>
      <w:r>
        <w:t> — </w:t>
      </w:r>
      <w:r>
        <w:rPr>
          <w:rStyle w:val="CharDivText"/>
        </w:rPr>
        <w:t>Other conditions on local practising certificates</w:t>
      </w:r>
      <w:bookmarkEnd w:id="39"/>
    </w:p>
    <w:p>
      <w:pPr>
        <w:pStyle w:val="Heading5"/>
      </w:pPr>
      <w:bookmarkStart w:id="40" w:name="_Toc426101238"/>
      <w:r>
        <w:rPr>
          <w:rStyle w:val="CharSectno"/>
        </w:rPr>
        <w:t>19</w:t>
      </w:r>
      <w:r>
        <w:t>.</w:t>
      </w:r>
      <w:r>
        <w:tab/>
        <w:t>Restricted legal practice (s. 50)</w:t>
      </w:r>
      <w:bookmarkEnd w:id="40"/>
    </w:p>
    <w:p>
      <w:pPr>
        <w:pStyle w:val="Subsection"/>
      </w:pPr>
      <w:r>
        <w:tab/>
      </w:r>
      <w:r>
        <w:tab/>
        <w:t xml:space="preserve">For the purposes of paragraph (f) of the definition of </w:t>
      </w:r>
      <w:r>
        <w:rPr>
          <w:b/>
          <w:i/>
        </w:rPr>
        <w:t>restricted legal practice</w:t>
      </w:r>
      <w:r>
        <w:t xml:space="preserve"> in section 50(1) of the Act, legal practice by a person who is an Australian legal practitioner in a capacity mentioned in an item of the Table is approved if it is engaged in under the required supervision mentioned in the item.</w:t>
      </w:r>
    </w:p>
    <w:p>
      <w:pPr>
        <w:pStyle w:val="zTHeadingNAm"/>
        <w:ind w:left="851"/>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2835"/>
      </w:tblGrid>
      <w:tr>
        <w:trPr>
          <w:cantSplit/>
          <w:tblHeader/>
        </w:trPr>
        <w:tc>
          <w:tcPr>
            <w:tcW w:w="709" w:type="dxa"/>
          </w:tcPr>
          <w:p>
            <w:pPr>
              <w:pStyle w:val="TableNAm"/>
              <w:jc w:val="center"/>
            </w:pPr>
            <w:r>
              <w:rPr>
                <w:b/>
                <w:bCs/>
              </w:rPr>
              <w:t>Item</w:t>
            </w:r>
          </w:p>
        </w:tc>
        <w:tc>
          <w:tcPr>
            <w:tcW w:w="2835" w:type="dxa"/>
          </w:tcPr>
          <w:p>
            <w:pPr>
              <w:pStyle w:val="TableNAm"/>
              <w:jc w:val="center"/>
            </w:pPr>
            <w:r>
              <w:rPr>
                <w:b/>
                <w:bCs/>
              </w:rPr>
              <w:t>Capacity of legal practice</w:t>
            </w:r>
          </w:p>
        </w:tc>
        <w:tc>
          <w:tcPr>
            <w:tcW w:w="2835" w:type="dxa"/>
          </w:tcPr>
          <w:p>
            <w:pPr>
              <w:pStyle w:val="TableNAm"/>
              <w:jc w:val="center"/>
            </w:pPr>
            <w:r>
              <w:rPr>
                <w:b/>
                <w:bCs/>
              </w:rPr>
              <w:t>Required supervision</w:t>
            </w:r>
          </w:p>
        </w:tc>
      </w:tr>
      <w:tr>
        <w:trPr>
          <w:cantSplit/>
        </w:trPr>
        <w:tc>
          <w:tcPr>
            <w:tcW w:w="709" w:type="dxa"/>
          </w:tcPr>
          <w:p>
            <w:pPr>
              <w:pStyle w:val="TableNAm"/>
            </w:pPr>
            <w:r>
              <w:t>1.</w:t>
            </w:r>
          </w:p>
        </w:tc>
        <w:tc>
          <w:tcPr>
            <w:tcW w:w="2835" w:type="dxa"/>
          </w:tcPr>
          <w:p>
            <w:pPr>
              <w:pStyle w:val="TableNAm"/>
            </w:pPr>
            <w:r>
              <w:t>As an employee of a law practice, being an employee who is seconded to work for a body that carries on a business other than the practice of law</w:t>
            </w:r>
          </w:p>
        </w:tc>
        <w:tc>
          <w:tcPr>
            <w:tcW w:w="2835"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835"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835"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835" w:type="dxa"/>
          </w:tcPr>
          <w:p>
            <w:pPr>
              <w:pStyle w:val="TableNAm"/>
            </w:pPr>
            <w:r>
              <w:t xml:space="preserve">As an employee or other member of staff of the Aboriginal Legal Service of Western Australia (Inc.) (the </w:t>
            </w:r>
            <w:r>
              <w:rPr>
                <w:rStyle w:val="CharDefText"/>
              </w:rPr>
              <w:t>ALS</w:t>
            </w:r>
            <w:r>
              <w:t>)</w:t>
            </w:r>
          </w:p>
        </w:tc>
        <w:tc>
          <w:tcPr>
            <w:tcW w:w="2835"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835"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835"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835" w:type="dxa"/>
          </w:tcPr>
          <w:p>
            <w:pPr>
              <w:pStyle w:val="TableNAm"/>
            </w:pPr>
            <w:r>
              <w:t>As an employee or other member of staff of a community legal centre as defined in section 388(1) of the Act</w:t>
            </w:r>
          </w:p>
        </w:tc>
        <w:tc>
          <w:tcPr>
            <w:tcW w:w="2835"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835" w:type="dxa"/>
          </w:tcPr>
          <w:p>
            <w:pPr>
              <w:pStyle w:val="TableNAm"/>
            </w:pPr>
            <w:r>
              <w:t>As a volunteer for a local charitable or not</w:t>
            </w:r>
            <w:r>
              <w:noBreakHyphen/>
              <w:t>for</w:t>
            </w:r>
            <w:r>
              <w:noBreakHyphen/>
              <w:t>profit body if approved by the Board to do so</w:t>
            </w:r>
          </w:p>
        </w:tc>
        <w:tc>
          <w:tcPr>
            <w:tcW w:w="2835"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19 inserted in Gazette 17 Jul 2015 p. 2884</w:t>
      </w:r>
      <w:r>
        <w:noBreakHyphen/>
        <w:t>6.]</w:t>
      </w:r>
    </w:p>
    <w:p>
      <w:pPr>
        <w:pStyle w:val="Heading3"/>
      </w:pPr>
      <w:bookmarkStart w:id="41" w:name="_Toc426101239"/>
      <w:r>
        <w:rPr>
          <w:rStyle w:val="CharDivNo"/>
        </w:rPr>
        <w:t>Division 4</w:t>
      </w:r>
      <w:r>
        <w:t> — </w:t>
      </w:r>
      <w:r>
        <w:rPr>
          <w:rStyle w:val="CharDivText"/>
        </w:rPr>
        <w:t>Local legal practitioner with articled clerk</w:t>
      </w:r>
      <w:bookmarkEnd w:id="41"/>
    </w:p>
    <w:p>
      <w:pPr>
        <w:pStyle w:val="Heading5"/>
      </w:pPr>
      <w:bookmarkStart w:id="42" w:name="_Toc426101240"/>
      <w:r>
        <w:rPr>
          <w:rStyle w:val="CharSectno"/>
        </w:rPr>
        <w:t>20</w:t>
      </w:r>
      <w:r>
        <w:t>.</w:t>
      </w:r>
      <w:r>
        <w:tab/>
        <w:t>Terms used</w:t>
      </w:r>
      <w:bookmarkEnd w:id="42"/>
    </w:p>
    <w:p>
      <w:pPr>
        <w:pStyle w:val="Subsection"/>
      </w:pPr>
      <w:r>
        <w:tab/>
      </w:r>
      <w:r>
        <w:tab/>
        <w:t xml:space="preserve">A term has the same meaning in this Division as it has in the </w:t>
      </w:r>
      <w:r>
        <w:rPr>
          <w:i/>
          <w:iCs/>
        </w:rPr>
        <w:t>Legal Profession (Admission) Rules </w:t>
      </w:r>
      <w:r>
        <w:rPr>
          <w:i/>
        </w:rPr>
        <w:t>2009</w:t>
      </w:r>
      <w:r>
        <w:t xml:space="preserve"> Part 3. </w:t>
      </w:r>
    </w:p>
    <w:p>
      <w:pPr>
        <w:pStyle w:val="Heading5"/>
      </w:pPr>
      <w:bookmarkStart w:id="43" w:name="_Toc426101241"/>
      <w:r>
        <w:rPr>
          <w:rStyle w:val="CharSectno"/>
        </w:rPr>
        <w:t>21</w:t>
      </w:r>
      <w:r>
        <w:t>.</w:t>
      </w:r>
      <w:r>
        <w:tab/>
        <w:t>Supervision of articled clerks</w:t>
      </w:r>
      <w:bookmarkEnd w:id="43"/>
    </w:p>
    <w:p>
      <w:pPr>
        <w:pStyle w:val="Subsection"/>
      </w:pPr>
      <w:r>
        <w:rPr>
          <w:snapToGrid w:val="0"/>
        </w:rPr>
        <w:tab/>
      </w:r>
      <w:r>
        <w:rPr>
          <w:snapToGrid w:val="0"/>
        </w:rPr>
        <w:tab/>
      </w:r>
      <w:r>
        <w:t xml:space="preserve">For the purposes of the </w:t>
      </w:r>
      <w:r>
        <w:rPr>
          <w:i/>
          <w:iCs/>
        </w:rPr>
        <w:t>Legal Profession (Admission) Rules </w:t>
      </w:r>
      <w:r>
        <w:rPr>
          <w:i/>
        </w:rPr>
        <w:t>2009</w:t>
      </w:r>
      <w:r>
        <w:t xml:space="preserve">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44" w:name="_Toc426101242"/>
      <w:r>
        <w:rPr>
          <w:rStyle w:val="CharSectno"/>
        </w:rPr>
        <w:t>22</w:t>
      </w:r>
      <w:r>
        <w:t>.</w:t>
      </w:r>
      <w:r>
        <w:tab/>
        <w:t>Conduct of principal for articled clerk</w:t>
      </w:r>
      <w:bookmarkEnd w:id="44"/>
    </w:p>
    <w:p>
      <w:pPr>
        <w:pStyle w:val="Subsection"/>
      </w:pPr>
      <w:r>
        <w:tab/>
      </w:r>
      <w:r>
        <w:tab/>
        <w:t>A local legal practitioner who is the principal for an articled clerk under articles of clerkship must comply with that deed.</w:t>
      </w:r>
    </w:p>
    <w:p>
      <w:pPr>
        <w:pStyle w:val="Heading3"/>
      </w:pPr>
      <w:bookmarkStart w:id="45" w:name="_Toc426101243"/>
      <w:r>
        <w:rPr>
          <w:rStyle w:val="CharDivNo"/>
        </w:rPr>
        <w:t>Division 5</w:t>
      </w:r>
      <w:r>
        <w:t> — </w:t>
      </w:r>
      <w:r>
        <w:rPr>
          <w:rStyle w:val="CharDivText"/>
        </w:rPr>
        <w:t>Interstate legal practitioners</w:t>
      </w:r>
      <w:bookmarkEnd w:id="45"/>
    </w:p>
    <w:p>
      <w:pPr>
        <w:pStyle w:val="Heading5"/>
      </w:pPr>
      <w:bookmarkStart w:id="46" w:name="_Toc426101244"/>
      <w:r>
        <w:rPr>
          <w:rStyle w:val="CharSectno"/>
        </w:rPr>
        <w:t>23</w:t>
      </w:r>
      <w:r>
        <w:t>.</w:t>
      </w:r>
      <w:r>
        <w:tab/>
        <w:t>Notification requirements for interstate legal practitioners (s. 71)</w:t>
      </w:r>
      <w:bookmarkEnd w:id="46"/>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47" w:name="_Toc426101245"/>
      <w:r>
        <w:rPr>
          <w:rStyle w:val="CharSectno"/>
        </w:rPr>
        <w:t>24</w:t>
      </w:r>
      <w:r>
        <w:t>.</w:t>
      </w:r>
      <w:r>
        <w:tab/>
        <w:t>Restricted legal practice by interstate legal practitioner (s. 72)</w:t>
      </w:r>
      <w:bookmarkEnd w:id="47"/>
    </w:p>
    <w:p>
      <w:pPr>
        <w:pStyle w:val="Subsection"/>
      </w:pPr>
      <w:r>
        <w:tab/>
      </w:r>
      <w:r>
        <w:tab/>
        <w:t xml:space="preserve">For the purposes of paragraph (f) of the definition of </w:t>
      </w:r>
      <w:r>
        <w:rPr>
          <w:b/>
          <w:i/>
        </w:rPr>
        <w:t>restricted legal practice</w:t>
      </w:r>
      <w:r>
        <w:t xml:space="preserve"> in section 72(1) of the Act, legal practice by a person who is an Australian legal practitioner in a capacity mentioned in an item of the Table is approved if it is engaged in under the required supervision mentioned in the item.</w:t>
      </w:r>
    </w:p>
    <w:p>
      <w:pPr>
        <w:pStyle w:val="zTHeadingNAm"/>
        <w:keepLines/>
        <w:widowControl w:val="0"/>
        <w:ind w:left="709"/>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06"/>
        <w:gridCol w:w="2906"/>
      </w:tblGrid>
      <w:tr>
        <w:trPr>
          <w:cantSplit/>
          <w:tblHeader/>
        </w:trPr>
        <w:tc>
          <w:tcPr>
            <w:tcW w:w="709" w:type="dxa"/>
          </w:tcPr>
          <w:p>
            <w:pPr>
              <w:pStyle w:val="TableNAm"/>
              <w:jc w:val="center"/>
            </w:pPr>
            <w:r>
              <w:rPr>
                <w:b/>
                <w:bCs/>
              </w:rPr>
              <w:t>Item</w:t>
            </w:r>
          </w:p>
        </w:tc>
        <w:tc>
          <w:tcPr>
            <w:tcW w:w="2906" w:type="dxa"/>
          </w:tcPr>
          <w:p>
            <w:pPr>
              <w:pStyle w:val="TableNAm"/>
              <w:jc w:val="center"/>
            </w:pPr>
            <w:r>
              <w:rPr>
                <w:b/>
                <w:bCs/>
              </w:rPr>
              <w:t>Capacity of legal practice</w:t>
            </w:r>
          </w:p>
        </w:tc>
        <w:tc>
          <w:tcPr>
            <w:tcW w:w="2906" w:type="dxa"/>
          </w:tcPr>
          <w:p>
            <w:pPr>
              <w:pStyle w:val="TableNAm"/>
              <w:jc w:val="center"/>
            </w:pPr>
            <w:r>
              <w:rPr>
                <w:b/>
                <w:bCs/>
              </w:rPr>
              <w:t>Required supervision</w:t>
            </w:r>
          </w:p>
        </w:tc>
      </w:tr>
      <w:tr>
        <w:trPr>
          <w:cantSplit/>
        </w:trPr>
        <w:tc>
          <w:tcPr>
            <w:tcW w:w="709" w:type="dxa"/>
          </w:tcPr>
          <w:p>
            <w:pPr>
              <w:pStyle w:val="TableNAm"/>
            </w:pPr>
            <w:r>
              <w:t>1.</w:t>
            </w:r>
          </w:p>
        </w:tc>
        <w:tc>
          <w:tcPr>
            <w:tcW w:w="2906" w:type="dxa"/>
          </w:tcPr>
          <w:p>
            <w:pPr>
              <w:pStyle w:val="TableNAm"/>
            </w:pPr>
            <w:r>
              <w:t>As an employee of a law practice, being an employee and who is seconded to work for a body that carries on a business other than the practice of law</w:t>
            </w:r>
          </w:p>
        </w:tc>
        <w:tc>
          <w:tcPr>
            <w:tcW w:w="2906" w:type="dxa"/>
          </w:tcPr>
          <w:p>
            <w:pPr>
              <w:pStyle w:val="TableNAm"/>
            </w:pPr>
            <w:r>
              <w:t>The supervision of an Australian legal practitioner who holds an unrestricted practising certificate and who is a partner, director or employee of the body</w:t>
            </w:r>
          </w:p>
        </w:tc>
      </w:tr>
      <w:tr>
        <w:trPr>
          <w:cantSplit/>
        </w:trPr>
        <w:tc>
          <w:tcPr>
            <w:tcW w:w="709" w:type="dxa"/>
          </w:tcPr>
          <w:p>
            <w:pPr>
              <w:pStyle w:val="TableNAm"/>
            </w:pPr>
            <w:r>
              <w:t>2.</w:t>
            </w:r>
          </w:p>
        </w:tc>
        <w:tc>
          <w:tcPr>
            <w:tcW w:w="2906" w:type="dxa"/>
          </w:tcPr>
          <w:p>
            <w:pPr>
              <w:pStyle w:val="TableNAm"/>
            </w:pPr>
            <w:r>
              <w:t xml:space="preserve">As an employee of a law practice at which there is only one Australian legal practitioner who holds an unrestricted practising certificate (the </w:t>
            </w:r>
            <w:r>
              <w:rPr>
                <w:rStyle w:val="CharDefText"/>
              </w:rPr>
              <w:t>sole practitioner</w:t>
            </w:r>
            <w:r>
              <w:t>)</w:t>
            </w:r>
          </w:p>
        </w:tc>
        <w:tc>
          <w:tcPr>
            <w:tcW w:w="2906" w:type="dxa"/>
          </w:tcPr>
          <w:p>
            <w:pPr>
              <w:pStyle w:val="TableNAm"/>
            </w:pPr>
            <w:r>
              <w:t>During periods of the sole practitioner’s absence and with the Board’s approval, the supervision of another Australian legal practitioner who holds an unrestricted practising certificate</w:t>
            </w:r>
          </w:p>
        </w:tc>
      </w:tr>
      <w:tr>
        <w:trPr>
          <w:cantSplit/>
        </w:trPr>
        <w:tc>
          <w:tcPr>
            <w:tcW w:w="709" w:type="dxa"/>
          </w:tcPr>
          <w:p>
            <w:pPr>
              <w:pStyle w:val="TableNAm"/>
            </w:pPr>
            <w:r>
              <w:t>3.</w:t>
            </w:r>
          </w:p>
        </w:tc>
        <w:tc>
          <w:tcPr>
            <w:tcW w:w="2906" w:type="dxa"/>
          </w:tcPr>
          <w:p>
            <w:pPr>
              <w:pStyle w:val="TableNAm"/>
            </w:pPr>
            <w:r>
              <w:t xml:space="preserve">As an employee or other member of staff of the Aboriginal Legal Service of Western Australia (Inc.) (the </w:t>
            </w:r>
            <w:r>
              <w:rPr>
                <w:rStyle w:val="CharDefText"/>
              </w:rPr>
              <w:t>ALS</w:t>
            </w:r>
            <w:r>
              <w:t>)</w:t>
            </w:r>
          </w:p>
        </w:tc>
        <w:tc>
          <w:tcPr>
            <w:tcW w:w="2906" w:type="dxa"/>
          </w:tcPr>
          <w:p>
            <w:pPr>
              <w:pStyle w:val="TableNAm"/>
            </w:pPr>
            <w:r>
              <w:t>The supervision of an Australian legal practitioner who holds an unrestricted practising certificate and who is an employee of the ALS</w:t>
            </w:r>
          </w:p>
        </w:tc>
      </w:tr>
      <w:tr>
        <w:trPr>
          <w:cantSplit/>
        </w:trPr>
        <w:tc>
          <w:tcPr>
            <w:tcW w:w="709" w:type="dxa"/>
          </w:tcPr>
          <w:p>
            <w:pPr>
              <w:pStyle w:val="TableNAm"/>
            </w:pPr>
            <w:r>
              <w:t>4.</w:t>
            </w:r>
          </w:p>
        </w:tc>
        <w:tc>
          <w:tcPr>
            <w:tcW w:w="2906" w:type="dxa"/>
          </w:tcPr>
          <w:p>
            <w:pPr>
              <w:pStyle w:val="TableNAm"/>
            </w:pPr>
            <w:r>
              <w:t xml:space="preserve">As an employee or other member of staff of the Legal Aid Commission of Western Australia established by the </w:t>
            </w:r>
            <w:r>
              <w:rPr>
                <w:i/>
              </w:rPr>
              <w:t>Legal Aid Commission Act 1976</w:t>
            </w:r>
            <w:r>
              <w:t xml:space="preserve"> (the </w:t>
            </w:r>
            <w:r>
              <w:rPr>
                <w:rStyle w:val="CharDefText"/>
              </w:rPr>
              <w:t>LAC</w:t>
            </w:r>
            <w:r>
              <w:t>)</w:t>
            </w:r>
          </w:p>
        </w:tc>
        <w:tc>
          <w:tcPr>
            <w:tcW w:w="2906" w:type="dxa"/>
          </w:tcPr>
          <w:p>
            <w:pPr>
              <w:pStyle w:val="TableNAm"/>
            </w:pPr>
            <w:r>
              <w:t>The supervision of an Australian legal practitioner who holds an unrestricted practising certificate and who is an employee of the LAC</w:t>
            </w:r>
          </w:p>
        </w:tc>
      </w:tr>
      <w:tr>
        <w:trPr>
          <w:cantSplit/>
        </w:trPr>
        <w:tc>
          <w:tcPr>
            <w:tcW w:w="709" w:type="dxa"/>
          </w:tcPr>
          <w:p>
            <w:pPr>
              <w:pStyle w:val="TableNAm"/>
            </w:pPr>
            <w:r>
              <w:t>5.</w:t>
            </w:r>
          </w:p>
        </w:tc>
        <w:tc>
          <w:tcPr>
            <w:tcW w:w="2906" w:type="dxa"/>
          </w:tcPr>
          <w:p>
            <w:pPr>
              <w:pStyle w:val="TableNAm"/>
            </w:pPr>
            <w:r>
              <w:t>As an employee or other member of staff of a community legal centre as defined in section 388(1) of the Act</w:t>
            </w:r>
          </w:p>
        </w:tc>
        <w:tc>
          <w:tcPr>
            <w:tcW w:w="2906" w:type="dxa"/>
          </w:tcPr>
          <w:p>
            <w:pPr>
              <w:pStyle w:val="TableNAm"/>
            </w:pPr>
            <w:r>
              <w:t>The supervision of an Australian legal practitioner who holds an unrestricted practising certificate and who provides (whether or not for remuneration) legal services to, or on behalf of, the centre</w:t>
            </w:r>
          </w:p>
        </w:tc>
      </w:tr>
      <w:tr>
        <w:trPr>
          <w:cantSplit/>
        </w:trPr>
        <w:tc>
          <w:tcPr>
            <w:tcW w:w="709" w:type="dxa"/>
          </w:tcPr>
          <w:p>
            <w:pPr>
              <w:pStyle w:val="TableNAm"/>
            </w:pPr>
            <w:r>
              <w:t>6.</w:t>
            </w:r>
          </w:p>
        </w:tc>
        <w:tc>
          <w:tcPr>
            <w:tcW w:w="2906" w:type="dxa"/>
          </w:tcPr>
          <w:p>
            <w:pPr>
              <w:pStyle w:val="TableNAm"/>
            </w:pPr>
            <w:r>
              <w:t>As a volunteer for a local charitable or not</w:t>
            </w:r>
            <w:r>
              <w:noBreakHyphen/>
              <w:t>for</w:t>
            </w:r>
            <w:r>
              <w:noBreakHyphen/>
              <w:t>profit body if approved by the Board to do so</w:t>
            </w:r>
          </w:p>
        </w:tc>
        <w:tc>
          <w:tcPr>
            <w:tcW w:w="2906" w:type="dxa"/>
          </w:tcPr>
          <w:p>
            <w:pPr>
              <w:pStyle w:val="TableNAm"/>
            </w:pPr>
            <w:r>
              <w:t>The supervision of an Australian legal practitioner who holds an unrestricted practising certificate and who provides (whether or not for remuneration) legal services to, or on behalf of, the body</w:t>
            </w:r>
          </w:p>
        </w:tc>
      </w:tr>
    </w:tbl>
    <w:p>
      <w:pPr>
        <w:pStyle w:val="Footnotesection"/>
      </w:pPr>
      <w:r>
        <w:tab/>
        <w:t>[Rule 24 inserted in Gazette 17 Jul 2015 p. 2886</w:t>
      </w:r>
      <w:r>
        <w:noBreakHyphen/>
        <w:t>7.]</w:t>
      </w:r>
    </w:p>
    <w:p>
      <w:pPr>
        <w:pStyle w:val="Heading2"/>
      </w:pPr>
      <w:bookmarkStart w:id="48" w:name="_Toc426101246"/>
      <w:r>
        <w:rPr>
          <w:rStyle w:val="CharPartNo"/>
        </w:rPr>
        <w:t>Part 3</w:t>
      </w:r>
      <w:r>
        <w:rPr>
          <w:rStyle w:val="CharDivNo"/>
        </w:rPr>
        <w:t> </w:t>
      </w:r>
      <w:r>
        <w:t>—</w:t>
      </w:r>
      <w:r>
        <w:rPr>
          <w:rStyle w:val="CharDivText"/>
        </w:rPr>
        <w:t> </w:t>
      </w:r>
      <w:r>
        <w:rPr>
          <w:rStyle w:val="CharPartText"/>
        </w:rPr>
        <w:t>Foreign lawyers</w:t>
      </w:r>
      <w:bookmarkEnd w:id="48"/>
    </w:p>
    <w:p>
      <w:pPr>
        <w:pStyle w:val="Heading5"/>
      </w:pPr>
      <w:bookmarkStart w:id="49" w:name="_Toc426101247"/>
      <w:r>
        <w:rPr>
          <w:rStyle w:val="CharSectno"/>
        </w:rPr>
        <w:t>25</w:t>
      </w:r>
      <w:r>
        <w:t>.</w:t>
      </w:r>
      <w:r>
        <w:tab/>
        <w:t>Fee for application for grant or renewal of registration (s. 168)</w:t>
      </w:r>
      <w:bookmarkEnd w:id="49"/>
    </w:p>
    <w:p>
      <w:pPr>
        <w:pStyle w:val="Subsection"/>
      </w:pPr>
      <w:r>
        <w:tab/>
      </w:r>
      <w:r>
        <w:tab/>
        <w:t>The fee payable for an application for the grant or renewal of registration as a foreign lawyer is the relevant fee specified in Schedule 1.</w:t>
      </w:r>
    </w:p>
    <w:p>
      <w:pPr>
        <w:pStyle w:val="Heading5"/>
      </w:pPr>
      <w:bookmarkStart w:id="50" w:name="_Toc426101248"/>
      <w:r>
        <w:rPr>
          <w:rStyle w:val="CharSectno"/>
        </w:rPr>
        <w:t>26</w:t>
      </w:r>
      <w:r>
        <w:t>.</w:t>
      </w:r>
      <w:r>
        <w:tab/>
        <w:t>Conditions regarding notification of offence (s. 191)</w:t>
      </w:r>
      <w:bookmarkEnd w:id="50"/>
    </w:p>
    <w:p>
      <w:pPr>
        <w:pStyle w:val="Subsection"/>
      </w:pPr>
      <w:r>
        <w:tab/>
      </w:r>
      <w:r>
        <w:tab/>
        <w:t>A notice under section 191 of the Act must be in an approved form.</w:t>
      </w:r>
    </w:p>
    <w:p>
      <w:pPr>
        <w:pStyle w:val="Heading5"/>
      </w:pPr>
      <w:bookmarkStart w:id="51" w:name="_Toc426101249"/>
      <w:r>
        <w:rPr>
          <w:rStyle w:val="CharSectno"/>
        </w:rPr>
        <w:t>27</w:t>
      </w:r>
      <w:r>
        <w:t>.</w:t>
      </w:r>
      <w:r>
        <w:tab/>
        <w:t>Notification requirements for interstate</w:t>
      </w:r>
      <w:r>
        <w:noBreakHyphen/>
        <w:t>registered foreign lawyers (s. 196)</w:t>
      </w:r>
      <w:bookmarkEnd w:id="51"/>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52" w:name="_Toc426101250"/>
      <w:r>
        <w:rPr>
          <w:rStyle w:val="CharPartNo"/>
        </w:rPr>
        <w:t>Part 4</w:t>
      </w:r>
      <w:r>
        <w:t> — </w:t>
      </w:r>
      <w:r>
        <w:rPr>
          <w:rStyle w:val="CharPartText"/>
        </w:rPr>
        <w:t>Legal Practice Board</w:t>
      </w:r>
      <w:bookmarkEnd w:id="52"/>
    </w:p>
    <w:p>
      <w:pPr>
        <w:pStyle w:val="Heading3"/>
      </w:pPr>
      <w:bookmarkStart w:id="53" w:name="_Toc426101251"/>
      <w:r>
        <w:rPr>
          <w:rStyle w:val="CharDivNo"/>
        </w:rPr>
        <w:t>Division 1</w:t>
      </w:r>
      <w:r>
        <w:t> — </w:t>
      </w:r>
      <w:r>
        <w:rPr>
          <w:rStyle w:val="CharDivText"/>
        </w:rPr>
        <w:t>Preliminary matters</w:t>
      </w:r>
      <w:bookmarkEnd w:id="53"/>
    </w:p>
    <w:p>
      <w:pPr>
        <w:pStyle w:val="Heading5"/>
      </w:pPr>
      <w:bookmarkStart w:id="54" w:name="_Toc426101252"/>
      <w:r>
        <w:rPr>
          <w:rStyle w:val="CharSectno"/>
        </w:rPr>
        <w:t>28</w:t>
      </w:r>
      <w:r>
        <w:t>.</w:t>
      </w:r>
      <w:r>
        <w:tab/>
        <w:t>Term used: secretary</w:t>
      </w:r>
      <w:bookmarkEnd w:id="54"/>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5" w:name="_Toc426101253"/>
      <w:r>
        <w:rPr>
          <w:rStyle w:val="CharDivNo"/>
        </w:rPr>
        <w:t>Division 2</w:t>
      </w:r>
      <w:r>
        <w:t> — </w:t>
      </w:r>
      <w:r>
        <w:rPr>
          <w:rStyle w:val="CharDivText"/>
        </w:rPr>
        <w:t>Election of members of the Board</w:t>
      </w:r>
      <w:bookmarkEnd w:id="55"/>
    </w:p>
    <w:p>
      <w:pPr>
        <w:pStyle w:val="Heading5"/>
      </w:pPr>
      <w:bookmarkStart w:id="56" w:name="_Toc426101254"/>
      <w:r>
        <w:rPr>
          <w:rStyle w:val="CharSectno"/>
        </w:rPr>
        <w:t>29</w:t>
      </w:r>
      <w:r>
        <w:t>.</w:t>
      </w:r>
      <w:r>
        <w:tab/>
        <w:t>Annual election date</w:t>
      </w:r>
      <w:bookmarkEnd w:id="56"/>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57" w:name="_Toc426101255"/>
      <w:r>
        <w:rPr>
          <w:rStyle w:val="CharSectno"/>
        </w:rPr>
        <w:t>30</w:t>
      </w:r>
      <w:r>
        <w:t>.</w:t>
      </w:r>
      <w:r>
        <w:tab/>
        <w:t>Returning officers</w:t>
      </w:r>
      <w:bookmarkEnd w:id="57"/>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58" w:name="_Toc426101256"/>
      <w:r>
        <w:rPr>
          <w:rStyle w:val="CharSectno"/>
        </w:rPr>
        <w:t>31</w:t>
      </w:r>
      <w:r>
        <w:t>.</w:t>
      </w:r>
      <w:r>
        <w:tab/>
        <w:t>Nomination of candidates</w:t>
      </w:r>
      <w:bookmarkEnd w:id="58"/>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59" w:name="_Toc426101257"/>
      <w:r>
        <w:rPr>
          <w:rStyle w:val="CharSectno"/>
        </w:rPr>
        <w:t>32</w:t>
      </w:r>
      <w:r>
        <w:t>.</w:t>
      </w:r>
      <w:r>
        <w:tab/>
        <w:t>Candidates elected when nominations equal vacancies</w:t>
      </w:r>
      <w:bookmarkEnd w:id="59"/>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60" w:name="_Toc426101258"/>
      <w:r>
        <w:rPr>
          <w:rStyle w:val="CharSectno"/>
        </w:rPr>
        <w:t>33</w:t>
      </w:r>
      <w:r>
        <w:t>.</w:t>
      </w:r>
      <w:r>
        <w:tab/>
        <w:t>Ballot papers</w:t>
      </w:r>
      <w:bookmarkEnd w:id="60"/>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61" w:name="_Toc426101259"/>
      <w:r>
        <w:rPr>
          <w:rStyle w:val="CharSectno"/>
        </w:rPr>
        <w:t>34</w:t>
      </w:r>
      <w:r>
        <w:t>.</w:t>
      </w:r>
      <w:r>
        <w:tab/>
        <w:t>Voting</w:t>
      </w:r>
      <w:bookmarkEnd w:id="61"/>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spacing w:before="70"/>
        <w:rPr>
          <w:snapToGrid w:val="0"/>
        </w:rPr>
      </w:pPr>
      <w:r>
        <w:tab/>
        <w:t>(a)</w:t>
      </w:r>
      <w:r>
        <w:tab/>
      </w:r>
      <w:r>
        <w:rPr>
          <w:snapToGrid w:val="0"/>
        </w:rPr>
        <w:t>the secretary is to give to the returning officer, unopened, all the ballot paper envelopes returned under subrule (1)(c); and</w:t>
      </w:r>
    </w:p>
    <w:p>
      <w:pPr>
        <w:pStyle w:val="Indenta"/>
        <w:spacing w:before="70"/>
        <w:rPr>
          <w:snapToGrid w:val="0"/>
        </w:rPr>
      </w:pPr>
      <w:r>
        <w:rPr>
          <w:snapToGrid w:val="0"/>
        </w:rPr>
        <w:tab/>
        <w:t>(b)</w:t>
      </w:r>
      <w:r>
        <w:rPr>
          <w:snapToGrid w:val="0"/>
        </w:rPr>
        <w:tab/>
        <w:t xml:space="preserve">the returning officer, assisted by the assistant returning officer, is to — </w:t>
      </w:r>
    </w:p>
    <w:p>
      <w:pPr>
        <w:pStyle w:val="Indenti"/>
        <w:spacing w:before="70"/>
        <w:rPr>
          <w:snapToGrid w:val="0"/>
        </w:rPr>
      </w:pPr>
      <w:r>
        <w:rPr>
          <w:snapToGrid w:val="0"/>
        </w:rPr>
        <w:tab/>
        <w:t>(i)</w:t>
      </w:r>
      <w:r>
        <w:rPr>
          <w:snapToGrid w:val="0"/>
        </w:rPr>
        <w:tab/>
        <w:t>open the ballot paper envelopes; and</w:t>
      </w:r>
    </w:p>
    <w:p>
      <w:pPr>
        <w:pStyle w:val="Indenti"/>
        <w:spacing w:before="70"/>
        <w:rPr>
          <w:snapToGrid w:val="0"/>
        </w:rPr>
      </w:pPr>
      <w:r>
        <w:rPr>
          <w:snapToGrid w:val="0"/>
        </w:rPr>
        <w:tab/>
        <w:t>(ii)</w:t>
      </w:r>
      <w:r>
        <w:rPr>
          <w:snapToGrid w:val="0"/>
        </w:rPr>
        <w:tab/>
        <w:t>decide on the validity of each ballot paper; and</w:t>
      </w:r>
    </w:p>
    <w:p>
      <w:pPr>
        <w:pStyle w:val="Indenti"/>
        <w:spacing w:before="70"/>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spacing w:before="70"/>
        <w:rPr>
          <w:snapToGrid w:val="0"/>
        </w:rPr>
      </w:pPr>
      <w:r>
        <w:rPr>
          <w:snapToGrid w:val="0"/>
        </w:rPr>
        <w:tab/>
        <w:t>(a)</w:t>
      </w:r>
      <w:r>
        <w:rPr>
          <w:snapToGrid w:val="0"/>
        </w:rPr>
        <w:tab/>
        <w:t>the record of votes signed by the returning officer and the assistant returning officer; and</w:t>
      </w:r>
    </w:p>
    <w:p>
      <w:pPr>
        <w:pStyle w:val="Indenta"/>
        <w:spacing w:before="70"/>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spacing w:before="70"/>
      </w:pPr>
      <w:r>
        <w:tab/>
        <w:t>(a)</w:t>
      </w:r>
      <w:r>
        <w:tab/>
        <w:t xml:space="preserve">2 or more candidates receive the same number of votes; and </w:t>
      </w:r>
    </w:p>
    <w:p>
      <w:pPr>
        <w:pStyle w:val="Indenta"/>
        <w:spacing w:before="70"/>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62" w:name="_Toc426101260"/>
      <w:r>
        <w:rPr>
          <w:rStyle w:val="CharSectno"/>
        </w:rPr>
        <w:t>35</w:t>
      </w:r>
      <w:r>
        <w:t>.</w:t>
      </w:r>
      <w:r>
        <w:tab/>
        <w:t>Commencement of term of office</w:t>
      </w:r>
      <w:bookmarkEnd w:id="62"/>
    </w:p>
    <w:p>
      <w:pPr>
        <w:pStyle w:val="Subsection"/>
      </w:pPr>
      <w:r>
        <w:tab/>
      </w:r>
      <w:r>
        <w:tab/>
        <w:t>A person elected under rule 32 or 34 takes office on the Thursday after the election date.</w:t>
      </w:r>
    </w:p>
    <w:p>
      <w:pPr>
        <w:pStyle w:val="Heading5"/>
      </w:pPr>
      <w:bookmarkStart w:id="63" w:name="_Toc426101261"/>
      <w:r>
        <w:rPr>
          <w:rStyle w:val="CharSectno"/>
        </w:rPr>
        <w:t>36</w:t>
      </w:r>
      <w:r>
        <w:t>.</w:t>
      </w:r>
      <w:r>
        <w:tab/>
        <w:t xml:space="preserve">Results to be published in </w:t>
      </w:r>
      <w:r>
        <w:rPr>
          <w:i/>
          <w:iCs/>
        </w:rPr>
        <w:t>Gazette</w:t>
      </w:r>
      <w:bookmarkEnd w:id="63"/>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spacing w:before="240"/>
      </w:pPr>
      <w:bookmarkStart w:id="64" w:name="_Toc426101262"/>
      <w:r>
        <w:rPr>
          <w:rStyle w:val="CharSectno"/>
        </w:rPr>
        <w:t>37</w:t>
      </w:r>
      <w:r>
        <w:t>.</w:t>
      </w:r>
      <w:r>
        <w:tab/>
        <w:t>Non-receipt of ballot papers</w:t>
      </w:r>
      <w:bookmarkEnd w:id="64"/>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spacing w:before="300"/>
      </w:pPr>
      <w:bookmarkStart w:id="65" w:name="_Toc426101263"/>
      <w:r>
        <w:rPr>
          <w:rStyle w:val="CharDivNo"/>
        </w:rPr>
        <w:t>Division 3</w:t>
      </w:r>
      <w:r>
        <w:t> — </w:t>
      </w:r>
      <w:r>
        <w:rPr>
          <w:rStyle w:val="CharDivText"/>
        </w:rPr>
        <w:t>Board meetings</w:t>
      </w:r>
      <w:bookmarkEnd w:id="65"/>
    </w:p>
    <w:p>
      <w:pPr>
        <w:pStyle w:val="Heading5"/>
        <w:spacing w:before="240"/>
      </w:pPr>
      <w:bookmarkStart w:id="66" w:name="_Toc426101264"/>
      <w:r>
        <w:rPr>
          <w:rStyle w:val="CharSectno"/>
        </w:rPr>
        <w:t>38</w:t>
      </w:r>
      <w:r>
        <w:t>.</w:t>
      </w:r>
      <w:r>
        <w:tab/>
        <w:t>Board meetings</w:t>
      </w:r>
      <w:bookmarkEnd w:id="66"/>
    </w:p>
    <w:p>
      <w:pPr>
        <w:pStyle w:val="Subsection"/>
      </w:pPr>
      <w:r>
        <w:tab/>
        <w:t>(1)</w:t>
      </w:r>
      <w:r>
        <w:tab/>
        <w:t xml:space="preserve">Board meetings are to be held — </w:t>
      </w:r>
    </w:p>
    <w:p>
      <w:pPr>
        <w:pStyle w:val="Indenta"/>
        <w:spacing w:before="90"/>
      </w:pPr>
      <w:r>
        <w:tab/>
        <w:t>(a)</w:t>
      </w:r>
      <w:r>
        <w:tab/>
        <w:t>at the times and places determined by the Board; and</w:t>
      </w:r>
    </w:p>
    <w:p>
      <w:pPr>
        <w:pStyle w:val="Indenta"/>
        <w:spacing w:before="90"/>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 before the time requested for the meeting.</w:t>
      </w:r>
    </w:p>
    <w:p>
      <w:pPr>
        <w:pStyle w:val="Heading5"/>
        <w:spacing w:before="240"/>
      </w:pPr>
      <w:bookmarkStart w:id="67" w:name="_Toc426101265"/>
      <w:r>
        <w:rPr>
          <w:rStyle w:val="CharSectno"/>
        </w:rPr>
        <w:t>39</w:t>
      </w:r>
      <w:r>
        <w:t>.</w:t>
      </w:r>
      <w:r>
        <w:tab/>
        <w:t>Holding meetings remotely</w:t>
      </w:r>
      <w:bookmarkEnd w:id="67"/>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spacing w:before="240"/>
      </w:pPr>
      <w:bookmarkStart w:id="68" w:name="_Toc426101266"/>
      <w:r>
        <w:rPr>
          <w:rStyle w:val="CharSectno"/>
        </w:rPr>
        <w:t>40</w:t>
      </w:r>
      <w:r>
        <w:t>.</w:t>
      </w:r>
      <w:r>
        <w:tab/>
        <w:t>Urgent meetings</w:t>
      </w:r>
      <w:bookmarkEnd w:id="68"/>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69" w:name="_Toc426101267"/>
      <w:r>
        <w:rPr>
          <w:rStyle w:val="CharSectno"/>
        </w:rPr>
        <w:t>41</w:t>
      </w:r>
      <w:r>
        <w:t>.</w:t>
      </w:r>
      <w:r>
        <w:tab/>
        <w:t>Resolution without meeting</w:t>
      </w:r>
      <w:bookmarkEnd w:id="69"/>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70" w:name="_Toc426101268"/>
      <w:r>
        <w:rPr>
          <w:rStyle w:val="CharSectno"/>
        </w:rPr>
        <w:t>42</w:t>
      </w:r>
      <w:r>
        <w:t>.</w:t>
      </w:r>
      <w:r>
        <w:tab/>
        <w:t>Rescission or amendment</w:t>
      </w:r>
      <w:bookmarkEnd w:id="70"/>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71" w:name="_Toc426101269"/>
      <w:r>
        <w:rPr>
          <w:rStyle w:val="CharSectno"/>
        </w:rPr>
        <w:t>43</w:t>
      </w:r>
      <w:r>
        <w:t>.</w:t>
      </w:r>
      <w:r>
        <w:tab/>
        <w:t>Minutes</w:t>
      </w:r>
      <w:bookmarkEnd w:id="71"/>
    </w:p>
    <w:p>
      <w:pPr>
        <w:pStyle w:val="Subsection"/>
        <w:spacing w:before="140"/>
        <w:rPr>
          <w:snapToGrid w:val="0"/>
        </w:rPr>
      </w:pPr>
      <w:r>
        <w:rPr>
          <w:snapToGrid w:val="0"/>
        </w:rPr>
        <w:tab/>
        <w:t>(1)</w:t>
      </w:r>
      <w:r>
        <w:rPr>
          <w:snapToGrid w:val="0"/>
        </w:rPr>
        <w:tab/>
        <w:t>The secretary is to keep minutes of every Board meeting.</w:t>
      </w:r>
    </w:p>
    <w:p>
      <w:pPr>
        <w:pStyle w:val="Subsection"/>
        <w:spacing w:before="140"/>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72" w:name="_Toc426101270"/>
      <w:r>
        <w:rPr>
          <w:rStyle w:val="CharDivNo"/>
        </w:rPr>
        <w:t>Division 4</w:t>
      </w:r>
      <w:r>
        <w:t> — </w:t>
      </w:r>
      <w:r>
        <w:rPr>
          <w:rStyle w:val="CharDivText"/>
        </w:rPr>
        <w:t>Committees</w:t>
      </w:r>
      <w:bookmarkEnd w:id="72"/>
    </w:p>
    <w:p>
      <w:pPr>
        <w:pStyle w:val="Heading5"/>
        <w:spacing w:before="200"/>
      </w:pPr>
      <w:bookmarkStart w:id="73" w:name="_Toc426101271"/>
      <w:r>
        <w:rPr>
          <w:rStyle w:val="CharSectno"/>
        </w:rPr>
        <w:t>44</w:t>
      </w:r>
      <w:r>
        <w:t>.</w:t>
      </w:r>
      <w:r>
        <w:tab/>
        <w:t>Convenor and deputy convenor</w:t>
      </w:r>
      <w:bookmarkEnd w:id="73"/>
    </w:p>
    <w:p>
      <w:pPr>
        <w:pStyle w:val="Subsection"/>
        <w:spacing w:before="140"/>
      </w:pPr>
      <w:r>
        <w:tab/>
        <w:t>(1)</w:t>
      </w:r>
      <w:r>
        <w:tab/>
        <w:t>The Board is to appoint a convenor and deputy convenor for each committee.</w:t>
      </w:r>
    </w:p>
    <w:p>
      <w:pPr>
        <w:pStyle w:val="Subsection"/>
        <w:spacing w:before="140"/>
      </w:pPr>
      <w:r>
        <w:tab/>
        <w:t>(2)</w:t>
      </w:r>
      <w:r>
        <w:tab/>
        <w:t xml:space="preserve">Section 541(2) to (6) of the Act apply to a convenor and deputy convenor of a committee. </w:t>
      </w:r>
    </w:p>
    <w:p>
      <w:pPr>
        <w:pStyle w:val="Heading5"/>
      </w:pPr>
      <w:bookmarkStart w:id="74" w:name="_Toc426101272"/>
      <w:r>
        <w:rPr>
          <w:rStyle w:val="CharSectno"/>
        </w:rPr>
        <w:t>45</w:t>
      </w:r>
      <w:r>
        <w:t>.</w:t>
      </w:r>
      <w:r>
        <w:tab/>
        <w:t>Committee meetings</w:t>
      </w:r>
      <w:bookmarkEnd w:id="74"/>
    </w:p>
    <w:p>
      <w:pPr>
        <w:pStyle w:val="Subsection"/>
        <w:spacing w:before="140"/>
      </w:pPr>
      <w:r>
        <w:tab/>
        <w:t>(1)</w:t>
      </w:r>
      <w:r>
        <w:tab/>
        <w:t>Sections 543, 544 and 545 of the Act and rules 38, 39, 41, 42 and 43(1) apply to committee meetings.</w:t>
      </w:r>
    </w:p>
    <w:p>
      <w:pPr>
        <w:pStyle w:val="Subsection"/>
        <w:spacing w:before="140"/>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75" w:name="_Toc426101273"/>
      <w:r>
        <w:rPr>
          <w:rStyle w:val="CharSectno"/>
        </w:rPr>
        <w:t>46</w:t>
      </w:r>
      <w:r>
        <w:t>.</w:t>
      </w:r>
      <w:r>
        <w:tab/>
        <w:t>Application of applied provisions</w:t>
      </w:r>
      <w:bookmarkEnd w:id="75"/>
    </w:p>
    <w:p>
      <w:pPr>
        <w:pStyle w:val="Subsection"/>
        <w:spacing w:before="140"/>
      </w:pPr>
      <w:r>
        <w:tab/>
      </w:r>
      <w:r>
        <w:tab/>
        <w:t>For the purpose of applying the provisions referred to in rules 44(2) and 45(1) —</w:t>
      </w:r>
    </w:p>
    <w:p>
      <w:pPr>
        <w:pStyle w:val="Indenta"/>
        <w:spacing w:before="60"/>
      </w:pPr>
      <w:r>
        <w:tab/>
        <w:t>(a)</w:t>
      </w:r>
      <w:r>
        <w:tab/>
        <w:t>a reference in those provisions to the Board, is to be read as a reference to the committee; and</w:t>
      </w:r>
    </w:p>
    <w:p>
      <w:pPr>
        <w:pStyle w:val="Indenta"/>
        <w:spacing w:before="60"/>
      </w:pPr>
      <w:r>
        <w:tab/>
        <w:t>(b)</w:t>
      </w:r>
      <w:r>
        <w:tab/>
        <w:t>a reference in those provisions to the chairperson, is to be read as a reference to the convenor; and</w:t>
      </w:r>
    </w:p>
    <w:p>
      <w:pPr>
        <w:pStyle w:val="Indenta"/>
        <w:spacing w:before="60"/>
      </w:pPr>
      <w:r>
        <w:tab/>
        <w:t>(c)</w:t>
      </w:r>
      <w:r>
        <w:tab/>
        <w:t>a reference in those provisions to the deputy chairperson, is to be read as a reference to the deputy convenor; and</w:t>
      </w:r>
    </w:p>
    <w:p>
      <w:pPr>
        <w:pStyle w:val="Indenta"/>
        <w:spacing w:before="60"/>
      </w:pPr>
      <w:r>
        <w:tab/>
        <w:t>(d)</w:t>
      </w:r>
      <w:r>
        <w:tab/>
        <w:t>a reference in those provisions to a member of the Board, is to be read as a reference to a member of the committee.</w:t>
      </w:r>
    </w:p>
    <w:p>
      <w:pPr>
        <w:pStyle w:val="Heading2"/>
      </w:pPr>
      <w:bookmarkStart w:id="76" w:name="_Toc426101274"/>
      <w:r>
        <w:rPr>
          <w:rStyle w:val="CharPartNo"/>
        </w:rPr>
        <w:t>Part 5</w:t>
      </w:r>
      <w:r>
        <w:rPr>
          <w:rStyle w:val="CharDivNo"/>
        </w:rPr>
        <w:t> </w:t>
      </w:r>
      <w:r>
        <w:t>—</w:t>
      </w:r>
      <w:r>
        <w:rPr>
          <w:rStyle w:val="CharDivText"/>
        </w:rPr>
        <w:t> </w:t>
      </w:r>
      <w:r>
        <w:rPr>
          <w:rStyle w:val="CharPartText"/>
        </w:rPr>
        <w:t>Law Library at Supreme Court</w:t>
      </w:r>
      <w:bookmarkEnd w:id="76"/>
    </w:p>
    <w:p>
      <w:pPr>
        <w:pStyle w:val="Heading5"/>
      </w:pPr>
      <w:bookmarkStart w:id="77" w:name="_Toc426101275"/>
      <w:r>
        <w:rPr>
          <w:rStyle w:val="CharSectno"/>
        </w:rPr>
        <w:t>47</w:t>
      </w:r>
      <w:r>
        <w:t>.</w:t>
      </w:r>
      <w:r>
        <w:tab/>
        <w:t>Terms used</w:t>
      </w:r>
      <w:bookmarkEnd w:id="77"/>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 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78" w:name="_Toc426101276"/>
      <w:r>
        <w:rPr>
          <w:rStyle w:val="CharSectno"/>
        </w:rPr>
        <w:t>48</w:t>
      </w:r>
      <w:r>
        <w:t>.</w:t>
      </w:r>
      <w:r>
        <w:tab/>
        <w:t>People entitled to use library</w:t>
      </w:r>
      <w:bookmarkEnd w:id="78"/>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79" w:name="_Toc426101277"/>
      <w:r>
        <w:rPr>
          <w:rStyle w:val="CharSectno"/>
        </w:rPr>
        <w:t>49</w:t>
      </w:r>
      <w:r>
        <w:t>.</w:t>
      </w:r>
      <w:r>
        <w:tab/>
        <w:t>Librarian may suspend or restrict entitlement to use library</w:t>
      </w:r>
      <w:bookmarkEnd w:id="79"/>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80" w:name="_Toc426101278"/>
      <w:r>
        <w:rPr>
          <w:rStyle w:val="CharSectno"/>
        </w:rPr>
        <w:t>50</w:t>
      </w:r>
      <w:r>
        <w:t>.</w:t>
      </w:r>
      <w:r>
        <w:tab/>
        <w:t>Board may suspend or restrict entitlement to use library</w:t>
      </w:r>
      <w:bookmarkEnd w:id="80"/>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81" w:name="_Toc426101279"/>
      <w:r>
        <w:rPr>
          <w:rStyle w:val="CharSectno"/>
        </w:rPr>
        <w:t>51</w:t>
      </w:r>
      <w:r>
        <w:t>.</w:t>
      </w:r>
      <w:r>
        <w:tab/>
        <w:t>Use of library and books</w:t>
      </w:r>
      <w:bookmarkEnd w:id="81"/>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82" w:name="_Toc426101280"/>
      <w:r>
        <w:rPr>
          <w:rStyle w:val="CharSectno"/>
        </w:rPr>
        <w:t>52</w:t>
      </w:r>
      <w:r>
        <w:t>.</w:t>
      </w:r>
      <w:r>
        <w:tab/>
        <w:t>Borrowing books</w:t>
      </w:r>
      <w:bookmarkEnd w:id="82"/>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83" w:name="_Toc426101281"/>
      <w:r>
        <w:rPr>
          <w:rStyle w:val="CharSectno"/>
        </w:rPr>
        <w:t>53</w:t>
      </w:r>
      <w:r>
        <w:t>.</w:t>
      </w:r>
      <w:r>
        <w:tab/>
        <w:t>Removal of unauthorised people and retrieval of books</w:t>
      </w:r>
      <w:bookmarkEnd w:id="83"/>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84" w:name="_Toc426101282"/>
      <w:r>
        <w:rPr>
          <w:rStyle w:val="CharPartNo"/>
        </w:rPr>
        <w:t>Part 6</w:t>
      </w:r>
      <w:r>
        <w:rPr>
          <w:rStyle w:val="CharDivNo"/>
        </w:rPr>
        <w:t> </w:t>
      </w:r>
      <w:r>
        <w:t>—</w:t>
      </w:r>
      <w:r>
        <w:rPr>
          <w:rStyle w:val="CharDivText"/>
        </w:rPr>
        <w:t> </w:t>
      </w:r>
      <w:r>
        <w:rPr>
          <w:rStyle w:val="CharPartText"/>
        </w:rPr>
        <w:t>General matters</w:t>
      </w:r>
      <w:bookmarkEnd w:id="84"/>
    </w:p>
    <w:p>
      <w:pPr>
        <w:pStyle w:val="Heading5"/>
      </w:pPr>
      <w:bookmarkStart w:id="85" w:name="_Toc426101283"/>
      <w:r>
        <w:rPr>
          <w:rStyle w:val="CharSectno"/>
        </w:rPr>
        <w:t>54</w:t>
      </w:r>
      <w:r>
        <w:t>.</w:t>
      </w:r>
      <w:r>
        <w:tab/>
        <w:t>Documents given to or by Board</w:t>
      </w:r>
      <w:bookmarkEnd w:id="85"/>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86" w:name="_Toc426101284"/>
      <w:r>
        <w:rPr>
          <w:rStyle w:val="CharSectno"/>
        </w:rPr>
        <w:t>55</w:t>
      </w:r>
      <w:r>
        <w:t>.</w:t>
      </w:r>
      <w:r>
        <w:tab/>
        <w:t>Board may excuse non-compliance</w:t>
      </w:r>
      <w:bookmarkEnd w:id="8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Ednotesection"/>
      </w:pPr>
      <w:r>
        <w:t>[</w:t>
      </w:r>
      <w:r>
        <w:rPr>
          <w:b/>
        </w:rPr>
        <w:t>56.</w:t>
      </w:r>
      <w:r>
        <w:tab/>
        <w:t>Omitted under the Reprints Act 1984 s. 7(4)(f).]</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7" w:name="_Toc426101285"/>
      <w:r>
        <w:rPr>
          <w:rStyle w:val="CharSchNo"/>
        </w:rPr>
        <w:t>Schedule 1</w:t>
      </w:r>
      <w:r>
        <w:rPr>
          <w:rStyle w:val="CharSDivNo"/>
        </w:rPr>
        <w:t> </w:t>
      </w:r>
      <w:r>
        <w:t>—</w:t>
      </w:r>
      <w:r>
        <w:rPr>
          <w:rStyle w:val="CharSDivText"/>
        </w:rPr>
        <w:t> </w:t>
      </w:r>
      <w:r>
        <w:rPr>
          <w:rStyle w:val="CharSchText"/>
        </w:rPr>
        <w:t>Fees</w:t>
      </w:r>
      <w:bookmarkEnd w:id="87"/>
    </w:p>
    <w:p>
      <w:pPr>
        <w:pStyle w:val="yShoulderClause"/>
        <w:spacing w:after="60"/>
      </w:pPr>
      <w:r>
        <w:t>[r. 4 and 25]</w:t>
      </w:r>
    </w:p>
    <w:p>
      <w:pPr>
        <w:pStyle w:val="yHeading5"/>
      </w:pPr>
      <w:bookmarkStart w:id="88" w:name="_Toc426101286"/>
      <w:r>
        <w:rPr>
          <w:rStyle w:val="CharSClsNo"/>
        </w:rPr>
        <w:t>1</w:t>
      </w:r>
      <w:r>
        <w:t>.</w:t>
      </w:r>
      <w:r>
        <w:tab/>
        <w:t>Terms used</w:t>
      </w:r>
      <w:bookmarkEnd w:id="88"/>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89" w:name="_Toc426101287"/>
      <w:r>
        <w:rPr>
          <w:rStyle w:val="CharSClsNo"/>
        </w:rPr>
        <w:t>2</w:t>
      </w:r>
      <w:r>
        <w:t>.</w:t>
      </w:r>
      <w:r>
        <w:tab/>
        <w:t>Fees</w:t>
      </w:r>
      <w:bookmarkEnd w:id="89"/>
    </w:p>
    <w:p>
      <w:pPr>
        <w:pStyle w:val="ySubsection"/>
      </w:pPr>
      <w:r>
        <w:tab/>
      </w:r>
      <w:r>
        <w:tab/>
        <w:t>The fees payable in respect of the matters listed in the Table are the fees specified in the Table.</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111"/>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4111"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4111"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45% of standard fee</w:t>
            </w:r>
          </w:p>
        </w:tc>
      </w:tr>
      <w:tr>
        <w:tc>
          <w:tcPr>
            <w:tcW w:w="709" w:type="dxa"/>
            <w:tcBorders>
              <w:top w:val="nil"/>
              <w:left w:val="nil"/>
              <w:bottom w:val="nil"/>
              <w:right w:val="nil"/>
            </w:tcBorders>
          </w:tcPr>
          <w:p>
            <w:pPr>
              <w:pStyle w:val="yTableNAm"/>
              <w:keepNext/>
              <w:keepLines/>
            </w:pPr>
          </w:p>
        </w:tc>
        <w:tc>
          <w:tcPr>
            <w:tcW w:w="4111" w:type="dxa"/>
            <w:tcBorders>
              <w:top w:val="nil"/>
              <w:left w:val="nil"/>
              <w:bottom w:val="nil"/>
              <w:right w:val="nil"/>
            </w:tcBorders>
          </w:tcPr>
          <w:p>
            <w:pPr>
              <w:pStyle w:val="yTableNAm"/>
              <w:keepNext/>
              <w:keepLines/>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keepNext/>
              <w:keepLines/>
            </w:pPr>
            <w:r>
              <w:br/>
            </w:r>
            <w:r>
              <w:br/>
            </w:r>
            <w:r>
              <w:br/>
              <w:t>50%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4111"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t>95% of 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t>standard fee</w:t>
            </w:r>
          </w:p>
        </w:tc>
      </w:tr>
      <w:tr>
        <w:tc>
          <w:tcPr>
            <w:tcW w:w="709" w:type="dxa"/>
            <w:tcBorders>
              <w:top w:val="nil"/>
              <w:left w:val="nil"/>
              <w:bottom w:val="nil"/>
              <w:right w:val="nil"/>
            </w:tcBorders>
          </w:tcPr>
          <w:p>
            <w:pPr>
              <w:pStyle w:val="yTableNAm"/>
              <w:rPr>
                <w:sz w:val="24"/>
              </w:rPr>
            </w:pPr>
          </w:p>
        </w:tc>
        <w:tc>
          <w:tcPr>
            <w:tcW w:w="4111" w:type="dxa"/>
            <w:tcBorders>
              <w:top w:val="nil"/>
              <w:left w:val="nil"/>
              <w:bottom w:val="nil"/>
              <w:right w:val="nil"/>
            </w:tcBorders>
          </w:tcPr>
          <w:p>
            <w:pPr>
              <w:pStyle w:val="yTableNAm"/>
              <w:tabs>
                <w:tab w:val="clear" w:pos="567"/>
                <w:tab w:val="left" w:pos="398"/>
                <w:tab w:val="left" w:pos="849"/>
                <w:tab w:val="right" w:leader="dot" w:pos="3861"/>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4111"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4111" w:type="dxa"/>
            <w:tcBorders>
              <w:top w:val="nil"/>
              <w:left w:val="nil"/>
              <w:bottom w:val="nil"/>
              <w:right w:val="nil"/>
            </w:tcBorders>
          </w:tcPr>
          <w:p>
            <w:pPr>
              <w:pStyle w:val="yTableNAm"/>
              <w:keepNext/>
              <w:tabs>
                <w:tab w:val="clear" w:pos="567"/>
                <w:tab w:val="left" w:pos="459"/>
                <w:tab w:val="right" w:leader="dot" w:pos="3861"/>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4111"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4111" w:type="dxa"/>
            <w:tcBorders>
              <w:top w:val="nil"/>
              <w:left w:val="nil"/>
              <w:bottom w:val="nil"/>
              <w:right w:val="nil"/>
            </w:tcBorders>
          </w:tcPr>
          <w:p>
            <w:pPr>
              <w:pStyle w:val="yTableNAm"/>
              <w:tabs>
                <w:tab w:val="clear" w:pos="567"/>
                <w:tab w:val="left" w:pos="459"/>
                <w:tab w:val="right" w:leader="dot" w:pos="3861"/>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4111" w:type="dxa"/>
            <w:tcBorders>
              <w:top w:val="nil"/>
              <w:left w:val="nil"/>
              <w:bottom w:val="single" w:sz="4" w:space="0" w:color="auto"/>
              <w:right w:val="nil"/>
            </w:tcBorders>
          </w:tcPr>
          <w:p>
            <w:pPr>
              <w:pStyle w:val="yTableNAm"/>
              <w:tabs>
                <w:tab w:val="clear" w:pos="567"/>
                <w:tab w:val="left" w:pos="459"/>
                <w:tab w:val="right" w:leader="dot" w:pos="3861"/>
              </w:tabs>
              <w:ind w:left="459" w:hanging="459"/>
            </w:pPr>
            <w:r>
              <w:t>(b)</w:t>
            </w:r>
            <w:r>
              <w:tab/>
              <w:t>application made on or after 1 June in the year in which the registration is due to expire</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426101288"/>
      <w:r>
        <w:t>Notes</w:t>
      </w:r>
      <w:bookmarkEnd w:id="91"/>
    </w:p>
    <w:p>
      <w:pPr>
        <w:pStyle w:val="nSubsection"/>
      </w:pPr>
      <w:r>
        <w:rPr>
          <w:vertAlign w:val="superscript"/>
        </w:rPr>
        <w:t>1</w:t>
      </w:r>
      <w:r>
        <w:tab/>
        <w:t xml:space="preserve">This reprint is a compilation as at 14 August 2015 of the </w:t>
      </w:r>
      <w:r>
        <w:rPr>
          <w:i/>
          <w:noProof/>
        </w:rPr>
        <w:t>Legal Profession Rules 2009</w:t>
      </w:r>
      <w:r>
        <w:t xml:space="preserve"> and includes the amendments made by the other written laws referred to in the following table.  The table also contains information about any reprint.</w:t>
      </w:r>
    </w:p>
    <w:p>
      <w:pPr>
        <w:pStyle w:val="nHeading3"/>
      </w:pPr>
      <w:bookmarkStart w:id="92" w:name="_Toc426101289"/>
      <w:r>
        <w:t>Compilation table</w:t>
      </w:r>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Rules 2009</w:t>
            </w:r>
          </w:p>
        </w:tc>
        <w:tc>
          <w:tcPr>
            <w:tcW w:w="1276" w:type="dxa"/>
            <w:tcBorders>
              <w:top w:val="single" w:sz="8" w:space="0" w:color="auto"/>
              <w:bottom w:val="nil"/>
            </w:tcBorders>
          </w:tcPr>
          <w:p>
            <w:pPr>
              <w:pStyle w:val="nTable"/>
              <w:spacing w:after="40"/>
            </w:pPr>
            <w:r>
              <w:t>24 Feb 2009 p. 411</w:t>
            </w:r>
            <w:r>
              <w:noBreakHyphen/>
              <w:t>47</w:t>
            </w:r>
          </w:p>
        </w:tc>
        <w:tc>
          <w:tcPr>
            <w:tcW w:w="2694"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Gazette</w:t>
            </w:r>
            <w:r>
              <w:rPr>
                <w:snapToGrid w:val="0"/>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4" w:type="dxa"/>
            <w:tcBorders>
              <w:top w:val="nil"/>
              <w:bottom w:val="nil"/>
            </w:tcBorders>
          </w:tcPr>
          <w:p>
            <w:pPr>
              <w:pStyle w:val="nTable"/>
              <w:spacing w:after="40"/>
              <w:rPr>
                <w:snapToGrid w:val="0"/>
              </w:rPr>
            </w:pPr>
            <w:r>
              <w:rPr>
                <w:snapToGrid w:val="0"/>
              </w:rPr>
              <w:t>r. 1 and 2: 7 Apr 2009 (see r. 2(a));</w:t>
            </w:r>
            <w:r>
              <w:rPr>
                <w:snapToGrid w:val="0"/>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4" w:type="dxa"/>
            <w:tcBorders>
              <w:top w:val="nil"/>
              <w:bottom w:val="nil"/>
            </w:tcBorders>
          </w:tcPr>
          <w:p>
            <w:pPr>
              <w:pStyle w:val="nTable"/>
              <w:spacing w:after="40"/>
              <w:rPr>
                <w:snapToGrid w:val="0"/>
              </w:rPr>
            </w:pPr>
            <w:r>
              <w:rPr>
                <w:snapToGrid w:val="0"/>
              </w:rPr>
              <w:t>r. 1 and 2: 26 Oct 2010 (see r. 2(a));</w:t>
            </w:r>
            <w:r>
              <w:rPr>
                <w:snapToGrid w:val="0"/>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4" w:type="dxa"/>
            <w:tcBorders>
              <w:top w:val="nil"/>
              <w:bottom w:val="nil"/>
            </w:tcBorders>
          </w:tcPr>
          <w:p>
            <w:pPr>
              <w:pStyle w:val="nTable"/>
              <w:spacing w:after="40"/>
              <w:rPr>
                <w:snapToGrid w:val="0"/>
              </w:rPr>
            </w:pPr>
            <w:r>
              <w:rPr>
                <w:snapToGrid w:val="0"/>
              </w:rPr>
              <w:t>r. 1 and 2: 12 Apr 2011 (see r. 2(a));</w:t>
            </w:r>
            <w:r>
              <w:rPr>
                <w:snapToGrid w:val="0"/>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Rules other than r. 1 and 2: 13 Dec 2014 (see r. 2(b))</w:t>
            </w:r>
          </w:p>
        </w:tc>
      </w:tr>
      <w:tr>
        <w:tc>
          <w:tcPr>
            <w:tcW w:w="3118" w:type="dxa"/>
            <w:tcBorders>
              <w:top w:val="nil"/>
              <w:bottom w:val="nil"/>
            </w:tcBorders>
            <w:shd w:val="clear" w:color="auto" w:fill="auto"/>
          </w:tcPr>
          <w:p>
            <w:pPr>
              <w:pStyle w:val="nTable"/>
              <w:spacing w:after="40"/>
              <w:rPr>
                <w:i/>
              </w:rPr>
            </w:pPr>
            <w:r>
              <w:rPr>
                <w:i/>
              </w:rPr>
              <w:t>Legal Profession Amendment Rules 2015</w:t>
            </w:r>
          </w:p>
        </w:tc>
        <w:tc>
          <w:tcPr>
            <w:tcW w:w="1276" w:type="dxa"/>
            <w:tcBorders>
              <w:top w:val="nil"/>
              <w:bottom w:val="nil"/>
            </w:tcBorders>
            <w:shd w:val="clear" w:color="auto" w:fill="auto"/>
          </w:tcPr>
          <w:p>
            <w:pPr>
              <w:pStyle w:val="nTable"/>
              <w:spacing w:after="40"/>
            </w:pPr>
            <w:r>
              <w:t>20 Feb 2015 p. 680</w:t>
            </w:r>
            <w:r>
              <w:noBreakHyphen/>
              <w:t>8</w:t>
            </w:r>
          </w:p>
        </w:tc>
        <w:tc>
          <w:tcPr>
            <w:tcW w:w="2694" w:type="dxa"/>
            <w:tcBorders>
              <w:top w:val="nil"/>
              <w:bottom w:val="nil"/>
            </w:tcBorders>
            <w:shd w:val="clear" w:color="auto" w:fill="auto"/>
          </w:tcPr>
          <w:p>
            <w:pPr>
              <w:pStyle w:val="nTable"/>
              <w:spacing w:after="40"/>
              <w:rPr>
                <w:bCs/>
                <w:snapToGrid w:val="0"/>
              </w:rPr>
            </w:pPr>
            <w:r>
              <w:rPr>
                <w:bCs/>
                <w:snapToGrid w:val="0"/>
              </w:rPr>
              <w:t>r. 1 and 2: 20 Feb 2015 (see r. 2(a));</w:t>
            </w:r>
            <w:r>
              <w:rPr>
                <w:bCs/>
                <w:snapToGrid w:val="0"/>
              </w:rPr>
              <w:br/>
              <w:t>Rules other than r. 1 and 2: 21 Feb 2015 (see r. 2(b))</w:t>
            </w:r>
          </w:p>
        </w:tc>
      </w:tr>
      <w:tr>
        <w:tc>
          <w:tcPr>
            <w:tcW w:w="3118" w:type="dxa"/>
            <w:tcBorders>
              <w:top w:val="nil"/>
              <w:bottom w:val="nil"/>
            </w:tcBorders>
            <w:shd w:val="clear" w:color="auto" w:fill="auto"/>
          </w:tcPr>
          <w:p>
            <w:pPr>
              <w:pStyle w:val="nTable"/>
              <w:spacing w:after="40"/>
              <w:rPr>
                <w:i/>
              </w:rPr>
            </w:pPr>
            <w:r>
              <w:rPr>
                <w:i/>
              </w:rPr>
              <w:t>Legal Profession Amendment Rules (No. 2) 2015</w:t>
            </w:r>
          </w:p>
        </w:tc>
        <w:tc>
          <w:tcPr>
            <w:tcW w:w="1276" w:type="dxa"/>
            <w:tcBorders>
              <w:top w:val="nil"/>
              <w:bottom w:val="nil"/>
            </w:tcBorders>
            <w:shd w:val="clear" w:color="auto" w:fill="auto"/>
          </w:tcPr>
          <w:p>
            <w:pPr>
              <w:pStyle w:val="nTable"/>
              <w:spacing w:after="40"/>
            </w:pPr>
            <w:r>
              <w:t>17 Jul 2015 p. 2884</w:t>
            </w:r>
            <w:r>
              <w:noBreakHyphen/>
              <w:t>7</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17 Jul 2015</w:t>
            </w:r>
            <w:r>
              <w:rPr>
                <w:bCs/>
                <w:snapToGrid w:val="0"/>
              </w:rPr>
              <w:t xml:space="preserve"> (see r. 2(a));</w:t>
            </w:r>
            <w:r>
              <w:rPr>
                <w:bCs/>
                <w:snapToGrid w:val="0"/>
              </w:rPr>
              <w:br/>
              <w:t xml:space="preserve">Rules other than r. 1 and 2: </w:t>
            </w:r>
            <w:r>
              <w:t>18 Jul 2015</w:t>
            </w:r>
            <w:r>
              <w:rPr>
                <w:bCs/>
                <w:snapToGrid w:val="0"/>
              </w:rPr>
              <w:t xml:space="preserve"> (see r. 2(b))</w:t>
            </w:r>
          </w:p>
        </w:tc>
      </w:tr>
      <w:tr>
        <w:tc>
          <w:tcPr>
            <w:tcW w:w="7088" w:type="dxa"/>
            <w:gridSpan w:val="3"/>
            <w:tcBorders>
              <w:top w:val="nil"/>
              <w:bottom w:val="single" w:sz="8" w:space="0" w:color="auto"/>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Legal Profession Rules 2009</w:t>
            </w:r>
            <w:r>
              <w:rPr>
                <w:b/>
                <w:bCs/>
                <w:snapToGrid w:val="0"/>
              </w:rPr>
              <w:t xml:space="preserve"> as at </w:t>
            </w:r>
            <w:r>
              <w:rPr>
                <w:b/>
                <w:bCs/>
                <w:snapToGrid w:val="0"/>
                <w:spacing w:val="-2"/>
              </w:rPr>
              <w:t>14 Aug 2015</w:t>
            </w:r>
            <w:r>
              <w:rPr>
                <w:bCs/>
                <w:snapToGrid w:val="0"/>
              </w:rPr>
              <w:t xml:space="preserve"> (includes amendments listed above)</w:t>
            </w:r>
          </w:p>
        </w:tc>
      </w:tr>
    </w:tbl>
    <w:p>
      <w:pPr>
        <w:rPr>
          <w:iCs/>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4" w:name="_Toc426101290"/>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after the overdue period</w:t>
      </w:r>
      <w:r>
        <w:tab/>
        <w:t>Sch. 1 cl. 1</w:t>
      </w:r>
    </w:p>
    <w:p>
      <w:pPr>
        <w:pStyle w:val="DefinedTerms"/>
      </w:pPr>
      <w:r>
        <w:t>ALS</w:t>
      </w:r>
      <w:r>
        <w:tab/>
        <w:t>19, 24</w:t>
      </w:r>
    </w:p>
    <w:p>
      <w:pPr>
        <w:pStyle w:val="DefinedTerms"/>
      </w:pPr>
      <w:r>
        <w:t>approved CPD activity</w:t>
      </w:r>
      <w:r>
        <w:tab/>
        <w:t>7</w:t>
      </w:r>
    </w:p>
    <w:p>
      <w:pPr>
        <w:pStyle w:val="DefinedTerms"/>
      </w:pPr>
      <w:r>
        <w:t>book</w:t>
      </w:r>
      <w:r>
        <w:tab/>
        <w:t>47</w:t>
      </w:r>
    </w:p>
    <w:p>
      <w:pPr>
        <w:pStyle w:val="DefinedTerms"/>
      </w:pPr>
      <w:r>
        <w:t>certificate year</w:t>
      </w:r>
      <w:r>
        <w:tab/>
        <w:t>8A</w:t>
      </w:r>
    </w:p>
    <w:p>
      <w:pPr>
        <w:pStyle w:val="DefinedTerms"/>
      </w:pPr>
      <w:r>
        <w:t>chair</w:t>
      </w:r>
      <w:r>
        <w:tab/>
        <w:t>7</w:t>
      </w:r>
    </w:p>
    <w:p>
      <w:pPr>
        <w:pStyle w:val="DefinedTerms"/>
      </w:pPr>
      <w:r>
        <w:t>commentator</w:t>
      </w:r>
      <w:r>
        <w:tab/>
        <w:t>7</w:t>
      </w:r>
    </w:p>
    <w:p>
      <w:pPr>
        <w:pStyle w:val="DefinedTerms"/>
      </w:pPr>
      <w:r>
        <w:t>committee</w:t>
      </w:r>
      <w:r>
        <w:tab/>
        <w:t>47</w:t>
      </w:r>
    </w:p>
    <w:p>
      <w:pPr>
        <w:pStyle w:val="DefinedTerms"/>
      </w:pPr>
      <w:r>
        <w:t>competency area 1</w:t>
      </w:r>
      <w:r>
        <w:tab/>
        <w:t>10(2), 13D(2)</w:t>
      </w:r>
    </w:p>
    <w:p>
      <w:pPr>
        <w:pStyle w:val="DefinedTerms"/>
      </w:pPr>
      <w:r>
        <w:t>competency area 2</w:t>
      </w:r>
      <w:r>
        <w:tab/>
        <w:t>10(3), 13D(3)</w:t>
      </w:r>
    </w:p>
    <w:p>
      <w:pPr>
        <w:pStyle w:val="DefinedTerms"/>
      </w:pPr>
      <w:r>
        <w:t>competency area 3</w:t>
      </w:r>
      <w:r>
        <w:tab/>
        <w:t>10(4), 13D(4)</w:t>
      </w:r>
    </w:p>
    <w:p>
      <w:pPr>
        <w:pStyle w:val="DefinedTerms"/>
      </w:pPr>
      <w:r>
        <w:t>competency area 4</w:t>
      </w:r>
      <w:r>
        <w:tab/>
        <w:t>13D(5)</w:t>
      </w:r>
    </w:p>
    <w:p>
      <w:pPr>
        <w:pStyle w:val="DefinedTerms"/>
      </w:pPr>
      <w:r>
        <w:t>CPD condition</w:t>
      </w:r>
      <w:r>
        <w:tab/>
        <w:t>8A, 13A</w:t>
      </w:r>
    </w:p>
    <w:p>
      <w:pPr>
        <w:pStyle w:val="DefinedTerms"/>
      </w:pPr>
      <w:r>
        <w:t>CPD period</w:t>
      </w:r>
      <w:r>
        <w:tab/>
        <w:t>13A</w:t>
      </w:r>
    </w:p>
    <w:p>
      <w:pPr>
        <w:pStyle w:val="DefinedTerms"/>
      </w:pPr>
      <w:r>
        <w:t>CPD point</w:t>
      </w:r>
      <w:r>
        <w:tab/>
        <w:t>8A, 13A</w:t>
      </w:r>
    </w:p>
    <w:p>
      <w:pPr>
        <w:pStyle w:val="DefinedTerms"/>
      </w:pPr>
      <w:r>
        <w:t>CPD points</w:t>
      </w:r>
      <w:r>
        <w:tab/>
        <w:t>13(1A)</w:t>
      </w:r>
    </w:p>
    <w:p>
      <w:pPr>
        <w:pStyle w:val="DefinedTerms"/>
      </w:pPr>
      <w:r>
        <w:t>electronic activity</w:t>
      </w:r>
      <w:r>
        <w:tab/>
        <w:t>13A</w:t>
      </w:r>
    </w:p>
    <w:p>
      <w:pPr>
        <w:pStyle w:val="DefinedTerms"/>
      </w:pPr>
      <w:r>
        <w:t>experienced practitioner</w:t>
      </w:r>
      <w:r>
        <w:tab/>
        <w:t>10(1)</w:t>
      </w:r>
    </w:p>
    <w:p>
      <w:pPr>
        <w:pStyle w:val="DefinedTerms"/>
      </w:pPr>
      <w:r>
        <w:t>expiry day</w:t>
      </w:r>
      <w:r>
        <w:tab/>
        <w:t>5(1)</w:t>
      </w:r>
    </w:p>
    <w:p>
      <w:pPr>
        <w:pStyle w:val="DefinedTerms"/>
      </w:pPr>
      <w:r>
        <w:t>individual activity</w:t>
      </w:r>
      <w:r>
        <w:tab/>
        <w:t>8A</w:t>
      </w:r>
    </w:p>
    <w:p>
      <w:pPr>
        <w:pStyle w:val="DefinedTerms"/>
      </w:pPr>
      <w:r>
        <w:t>interactive activity</w:t>
      </w:r>
      <w:r>
        <w:tab/>
        <w:t>7</w:t>
      </w:r>
    </w:p>
    <w:p>
      <w:pPr>
        <w:pStyle w:val="DefinedTerms"/>
      </w:pPr>
      <w:r>
        <w:t>LAC</w:t>
      </w:r>
      <w:r>
        <w:tab/>
        <w:t>19, 24</w:t>
      </w:r>
    </w:p>
    <w:p>
      <w:pPr>
        <w:pStyle w:val="DefinedTerms"/>
      </w:pPr>
      <w:r>
        <w:t>late fee period</w:t>
      </w:r>
      <w:r>
        <w:tab/>
        <w:t>Sch. 1 cl. 1</w:t>
      </w:r>
    </w:p>
    <w:p>
      <w:pPr>
        <w:pStyle w:val="DefinedTerms"/>
      </w:pPr>
      <w:r>
        <w:t>librarian</w:t>
      </w:r>
      <w:r>
        <w:tab/>
        <w:t>47</w:t>
      </w:r>
    </w:p>
    <w:p>
      <w:pPr>
        <w:pStyle w:val="DefinedTerms"/>
      </w:pPr>
      <w:r>
        <w:t>library</w:t>
      </w:r>
      <w:r>
        <w:tab/>
        <w:t>47</w:t>
      </w:r>
    </w:p>
    <w:p>
      <w:pPr>
        <w:pStyle w:val="DefinedTerms"/>
      </w:pPr>
      <w:r>
        <w:t>overdue period</w:t>
      </w:r>
      <w:r>
        <w:tab/>
        <w:t>Sch. 1 cl. 1</w:t>
      </w:r>
    </w:p>
    <w:p>
      <w:pPr>
        <w:pStyle w:val="DefinedTerms"/>
      </w:pPr>
      <w:r>
        <w:t>presenter</w:t>
      </w:r>
      <w:r>
        <w:tab/>
        <w:t>7</w:t>
      </w:r>
    </w:p>
    <w:p>
      <w:pPr>
        <w:pStyle w:val="DefinedTerms"/>
      </w:pPr>
      <w:r>
        <w:t>professional development activity</w:t>
      </w:r>
      <w:r>
        <w:tab/>
        <w:t>7</w:t>
      </w:r>
    </w:p>
    <w:p>
      <w:pPr>
        <w:pStyle w:val="DefinedTerms"/>
      </w:pPr>
      <w:r>
        <w:t>provider</w:t>
      </w:r>
      <w:r>
        <w:tab/>
        <w:t>18(1)</w:t>
      </w:r>
    </w:p>
    <w:p>
      <w:pPr>
        <w:pStyle w:val="DefinedTerms"/>
      </w:pPr>
      <w:r>
        <w:t>publication activity</w:t>
      </w:r>
      <w:r>
        <w:tab/>
        <w:t>7</w:t>
      </w:r>
    </w:p>
    <w:p>
      <w:pPr>
        <w:pStyle w:val="DefinedTerms"/>
      </w:pPr>
      <w:r>
        <w:t>QA provider</w:t>
      </w:r>
      <w:r>
        <w:tab/>
        <w:t>7</w:t>
      </w:r>
    </w:p>
    <w:p>
      <w:pPr>
        <w:pStyle w:val="DefinedTerms"/>
      </w:pPr>
      <w:r>
        <w:t>reduce</w:t>
      </w:r>
      <w:r>
        <w:tab/>
        <w:t>17(1)</w:t>
      </w:r>
    </w:p>
    <w:p>
      <w:pPr>
        <w:pStyle w:val="DefinedTerms"/>
      </w:pPr>
      <w:r>
        <w:t>remote communication</w:t>
      </w:r>
      <w:r>
        <w:tab/>
        <w:t>7</w:t>
      </w:r>
    </w:p>
    <w:p>
      <w:pPr>
        <w:pStyle w:val="DefinedTerms"/>
      </w:pPr>
      <w:r>
        <w:t>response time</w:t>
      </w:r>
      <w:r>
        <w:tab/>
        <w:t>41(2)(a)(ii)</w:t>
      </w:r>
    </w:p>
    <w:p>
      <w:pPr>
        <w:pStyle w:val="DefinedTerms"/>
      </w:pPr>
      <w:r>
        <w:t>secretary</w:t>
      </w:r>
      <w:r>
        <w:tab/>
        <w:t>28</w:t>
      </w:r>
    </w:p>
    <w:p>
      <w:pPr>
        <w:pStyle w:val="DefinedTerms"/>
      </w:pPr>
      <w:r>
        <w:t>sole practitioner</w:t>
      </w:r>
      <w:r>
        <w:tab/>
        <w:t>19, 24</w:t>
      </w:r>
    </w:p>
    <w:p>
      <w:pPr>
        <w:pStyle w:val="DefinedTerms"/>
      </w:pPr>
      <w:r>
        <w:t>standard fee</w:t>
      </w:r>
      <w:r>
        <w:tab/>
        <w:t>Sch. 1 cl. 1</w:t>
      </w:r>
    </w:p>
    <w:p>
      <w:pPr>
        <w:pStyle w:val="DefinedTerms"/>
      </w:pPr>
      <w:r>
        <w:t>standard renewal period</w:t>
      </w:r>
      <w:r>
        <w:tab/>
        <w:t>Sch. 1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Rules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24"/>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407161302" w:val="ResetPageSize,UpdateArrangement,UpdateNTable"/>
    <w:docVar w:name="WAFER_20150407161302_GUID" w:val="78124a77-e201-41a7-aad6-2ab48df84bbe"/>
    <w:docVar w:name="WAFER_20150731101722" w:val="RemoveTocBookmarks,RemoveLanguageTags,RemoveTrackChanges,RunningHeaders"/>
    <w:docVar w:name="WAFER_20150731101722_GUID" w:val="66740fcd-fda3-47fe-a784-f2dbd08e3585"/>
    <w:docVar w:name="WAFER_20150731101733" w:val="RemoveTocBookmarks,RemoveLanguageTags,RemoveTrackChanges,RunningHeaders"/>
    <w:docVar w:name="WAFER_20150731101733_GUID" w:val="5640a3df-b567-4e9c-8e2a-1fc50722e326"/>
    <w:docVar w:name="WAFER_20151125143708" w:val="UpdateStyles"/>
    <w:docVar w:name="WAFER_20151125143708_GUID" w:val="f32f71eb-2319-41eb-9cf1-58cff5444372"/>
    <w:docVar w:name="WAFER_20151125145337" w:val="UsedStyles"/>
    <w:docVar w:name="WAFER_20151125145337_GUID" w:val="75ed02fa-1837-4011-8940-3f8259e70fa8"/>
    <w:docVar w:name="WAFER_20151202103938" w:val="UpdateStyles,UsedStyles"/>
    <w:docVar w:name="WAFER_20151202103938_GUID" w:val="bc1c6765-646b-43d8-9eca-2165b3d72623"/>
    <w:docVar w:name="WAFER_20151202115624" w:val="RemoveTrackChanges"/>
    <w:docVar w:name="WAFER_20151202115624_GUID" w:val="b6756f82-b423-4169-8dff-0ae1e8e4cf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Subsection"/>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9264</Words>
  <Characters>44658</Characters>
  <Application>Microsoft Office Word</Application>
  <DocSecurity>0</DocSecurity>
  <Lines>1539</Lines>
  <Paragraphs>945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2009 - 01-a0-03</dc:title>
  <dc:subject/>
  <dc:creator/>
  <cp:keywords/>
  <dc:description/>
  <cp:lastModifiedBy>svcMRProcess</cp:lastModifiedBy>
  <cp:revision>4</cp:revision>
  <cp:lastPrinted>2015-08-19T03:38:00Z</cp:lastPrinted>
  <dcterms:created xsi:type="dcterms:W3CDTF">2018-09-18T00:46:00Z</dcterms:created>
  <dcterms:modified xsi:type="dcterms:W3CDTF">2018-09-18T00:46:00Z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20150814</vt:lpwstr>
  </property>
  <property fmtid="{D5CDD505-2E9C-101B-9397-08002B2CF9AE}" pid="4" name="OwlsUID">
    <vt:i4>41036</vt:i4>
  </property>
  <property fmtid="{D5CDD505-2E9C-101B-9397-08002B2CF9AE}" pid="5" name="DocumentType">
    <vt:lpwstr>Reg</vt:lpwstr>
  </property>
  <property fmtid="{D5CDD505-2E9C-101B-9397-08002B2CF9AE}" pid="6" name="ReprintedAsAt">
    <vt:filetime>2015-08-13T16:00:00Z</vt:filetime>
  </property>
  <property fmtid="{D5CDD505-2E9C-101B-9397-08002B2CF9AE}" pid="7" name="ReprintNo">
    <vt:lpwstr>1</vt:lpwstr>
  </property>
  <property fmtid="{D5CDD505-2E9C-101B-9397-08002B2CF9AE}" pid="8" name="AsAtDate">
    <vt:lpwstr>14 Aug 2015</vt:lpwstr>
  </property>
  <property fmtid="{D5CDD505-2E9C-101B-9397-08002B2CF9AE}" pid="9" name="Suffix">
    <vt:lpwstr>01-a0-03</vt:lpwstr>
  </property>
</Properties>
</file>