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_Toc32397134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_Toc32397135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_Toc32397136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Establishment of the Western Australian Sports Centre Trust</w:t>
      </w:r>
    </w:p>
    <w:p>
      <w:pPr>
        <w:pStyle w:val="TOC8"/>
        <w:rPr>
          <w:rFonts w:asciiTheme="minorHAnsi" w:eastAsiaTheme="minorEastAsia" w:hAnsiTheme="minorHAnsi" w:cstheme="minorBidi"/>
          <w:szCs w:val="22"/>
        </w:rPr>
      </w:pPr>
      <w:r>
        <w:t>4</w:t>
      </w:r>
      <w:r>
        <w:rPr>
          <w:snapToGrid w:val="0"/>
        </w:rPr>
        <w:t>.</w:t>
      </w:r>
      <w:r>
        <w:rPr>
          <w:snapToGrid w:val="0"/>
        </w:rPr>
        <w:tab/>
        <w:t>Western Australian Sports Centre Trust established</w:t>
      </w:r>
      <w:r>
        <w:tab/>
      </w:r>
      <w:r>
        <w:fldChar w:fldCharType="begin"/>
      </w:r>
      <w:r>
        <w:instrText xml:space="preserve"> PAGEREF _Toc32397138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Trust</w:t>
      </w:r>
      <w:r>
        <w:tab/>
      </w:r>
      <w:r>
        <w:fldChar w:fldCharType="begin"/>
      </w:r>
      <w:r>
        <w:instrText xml:space="preserve"> PAGEREF _Toc32397139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meetings and procedure of board</w:t>
      </w:r>
      <w:r>
        <w:tab/>
      </w:r>
      <w:r>
        <w:fldChar w:fldCharType="begin"/>
      </w:r>
      <w:r>
        <w:instrText xml:space="preserve"> PAGEREF _Toc32397140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w:t>
      </w:r>
      <w:r>
        <w:tab/>
      </w:r>
      <w:r>
        <w:fldChar w:fldCharType="begin"/>
      </w:r>
      <w:r>
        <w:instrText xml:space="preserve"> PAGEREF _Toc32397141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Functions and powers of the Trust</w:t>
      </w:r>
    </w:p>
    <w:p>
      <w:pPr>
        <w:pStyle w:val="TOC8"/>
        <w:rPr>
          <w:rFonts w:asciiTheme="minorHAnsi" w:eastAsiaTheme="minorEastAsia" w:hAnsiTheme="minorHAnsi" w:cstheme="minorBidi"/>
          <w:szCs w:val="22"/>
        </w:rPr>
      </w:pPr>
      <w:r>
        <w:t>8</w:t>
      </w:r>
      <w:r>
        <w:rPr>
          <w:snapToGrid w:val="0"/>
        </w:rPr>
        <w:t>.</w:t>
      </w:r>
      <w:r>
        <w:rPr>
          <w:snapToGrid w:val="0"/>
        </w:rPr>
        <w:tab/>
        <w:t>Functions of Trust</w:t>
      </w:r>
      <w:r>
        <w:tab/>
      </w:r>
      <w:r>
        <w:fldChar w:fldCharType="begin"/>
      </w:r>
      <w:r>
        <w:instrText xml:space="preserve"> PAGEREF _Toc32397143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powers</w:t>
      </w:r>
      <w:r>
        <w:tab/>
      </w:r>
      <w:r>
        <w:fldChar w:fldCharType="begin"/>
      </w:r>
      <w:r>
        <w:instrText xml:space="preserve"> PAGEREF _Toc32397144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establish committees</w:t>
      </w:r>
      <w:r>
        <w:tab/>
      </w:r>
      <w:r>
        <w:fldChar w:fldCharType="begin"/>
      </w:r>
      <w:r>
        <w:instrText xml:space="preserve"> PAGEREF _Toc32397145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or use of staff and facilities</w:t>
      </w:r>
      <w:r>
        <w:tab/>
      </w:r>
      <w:r>
        <w:fldChar w:fldCharType="begin"/>
      </w:r>
      <w:r>
        <w:instrText xml:space="preserve"> PAGEREF _Toc32397146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manager of Western Australian Sports Centre</w:t>
      </w:r>
      <w:r>
        <w:tab/>
      </w:r>
      <w:r>
        <w:fldChar w:fldCharType="begin"/>
      </w:r>
      <w:r>
        <w:instrText xml:space="preserve"> PAGEREF _Toc32397147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_Toc32397148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give directions</w:t>
      </w:r>
      <w:r>
        <w:tab/>
      </w:r>
      <w:r>
        <w:fldChar w:fldCharType="begin"/>
      </w:r>
      <w:r>
        <w:instrText xml:space="preserve"> PAGEREF _Toc32397149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Minister to have access to information</w:t>
      </w:r>
      <w:r>
        <w:tab/>
      </w:r>
      <w:r>
        <w:fldChar w:fldCharType="begin"/>
      </w:r>
      <w:r>
        <w:instrText xml:space="preserve"> PAGEREF _Toc32397150 \h </w:instrText>
      </w:r>
      <w:r>
        <w:fldChar w:fldCharType="separate"/>
      </w:r>
      <w:r>
        <w:t>11</w:t>
      </w:r>
      <w:r>
        <w:fldChar w:fldCharType="end"/>
      </w:r>
    </w:p>
    <w:p>
      <w:pPr>
        <w:pStyle w:val="TOC2"/>
        <w:keepNext/>
        <w:tabs>
          <w:tab w:val="right" w:leader="dot" w:pos="7077"/>
        </w:tabs>
        <w:rPr>
          <w:rFonts w:asciiTheme="minorHAnsi" w:eastAsiaTheme="minorEastAsia" w:hAnsiTheme="minorHAnsi" w:cstheme="minorBidi"/>
          <w:b w:val="0"/>
          <w:noProof/>
          <w:sz w:val="22"/>
          <w:szCs w:val="22"/>
        </w:rPr>
      </w:pPr>
      <w:r>
        <w:rPr>
          <w:noProof/>
        </w:rPr>
        <w:t>Part IV — Financial provisions</w:t>
      </w:r>
    </w:p>
    <w:p>
      <w:pPr>
        <w:pStyle w:val="TOC8"/>
        <w:keepNext/>
        <w:rPr>
          <w:rFonts w:asciiTheme="minorHAnsi" w:eastAsiaTheme="minorEastAsia" w:hAnsiTheme="minorHAnsi" w:cstheme="minorBidi"/>
          <w:szCs w:val="22"/>
        </w:rPr>
      </w:pPr>
      <w:r>
        <w:t>15</w:t>
      </w:r>
      <w:r>
        <w:rPr>
          <w:snapToGrid w:val="0"/>
        </w:rPr>
        <w:t>.</w:t>
      </w:r>
      <w:r>
        <w:rPr>
          <w:snapToGrid w:val="0"/>
        </w:rPr>
        <w:tab/>
        <w:t>Funds of Trust</w:t>
      </w:r>
      <w:r>
        <w:tab/>
      </w:r>
      <w:r>
        <w:fldChar w:fldCharType="begin"/>
      </w:r>
      <w:r>
        <w:instrText xml:space="preserve"> PAGEREF _Toc32397152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property and instruments exempt from rates, taxes and duty</w:t>
      </w:r>
      <w:r>
        <w:tab/>
      </w:r>
      <w:r>
        <w:fldChar w:fldCharType="begin"/>
      </w:r>
      <w:r>
        <w:instrText xml:space="preserve"> PAGEREF _Toc32397153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_Toc32397154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Miscellaneous</w:t>
      </w:r>
    </w:p>
    <w:p>
      <w:pPr>
        <w:pStyle w:val="TOC8"/>
        <w:rPr>
          <w:rFonts w:asciiTheme="minorHAnsi" w:eastAsiaTheme="minorEastAsia" w:hAnsiTheme="minorHAnsi" w:cstheme="minorBidi"/>
          <w:szCs w:val="22"/>
        </w:rPr>
      </w:pPr>
      <w:r>
        <w:t>18</w:t>
      </w:r>
      <w:r>
        <w:rPr>
          <w:snapToGrid w:val="0"/>
        </w:rPr>
        <w:t>.</w:t>
      </w:r>
      <w:r>
        <w:rPr>
          <w:snapToGrid w:val="0"/>
        </w:rPr>
        <w:tab/>
        <w:t>Regulations</w:t>
      </w:r>
      <w:r>
        <w:tab/>
      </w:r>
      <w:r>
        <w:fldChar w:fldCharType="begin"/>
      </w:r>
      <w:r>
        <w:instrText xml:space="preserve"> PAGEREF _Toc32397156 \h </w:instrText>
      </w:r>
      <w:r>
        <w:fldChar w:fldCharType="separate"/>
      </w:r>
      <w:r>
        <w:t>14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Traffic regulations</w:t>
      </w:r>
      <w:r>
        <w:tab/>
      </w:r>
      <w:r>
        <w:fldChar w:fldCharType="begin"/>
      </w:r>
      <w:r>
        <w:instrText xml:space="preserve"> PAGEREF _Toc32397157 \h </w:instrText>
      </w:r>
      <w:r>
        <w:fldChar w:fldCharType="separate"/>
      </w:r>
      <w:r>
        <w:t>15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Penalty for contravention of regulations</w:t>
      </w:r>
      <w:r>
        <w:tab/>
      </w:r>
      <w:r>
        <w:fldChar w:fldCharType="begin"/>
      </w:r>
      <w:r>
        <w:instrText xml:space="preserve"> PAGEREF _Toc32397158 \h </w:instrText>
      </w:r>
      <w:r>
        <w:fldChar w:fldCharType="separate"/>
      </w:r>
      <w:r>
        <w:t>16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Infringement notices</w:t>
      </w:r>
      <w:r>
        <w:tab/>
      </w:r>
      <w:r>
        <w:fldChar w:fldCharType="begin"/>
      </w:r>
      <w:r>
        <w:instrText xml:space="preserve"> PAGEREF _Toc32397159 \h </w:instrText>
      </w:r>
      <w:r>
        <w:fldChar w:fldCharType="separate"/>
      </w:r>
      <w:r>
        <w:t>17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Owner onus in relation to motor vehicles</w:t>
      </w:r>
      <w:r>
        <w:tab/>
      </w:r>
      <w:r>
        <w:fldChar w:fldCharType="begin"/>
      </w:r>
      <w:r>
        <w:instrText xml:space="preserve"> PAGEREF _Toc32397160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Staff transitional provisions</w:t>
      </w:r>
      <w:r>
        <w:tab/>
      </w:r>
      <w:r>
        <w:fldChar w:fldCharType="begin"/>
      </w:r>
      <w:r>
        <w:instrText xml:space="preserve"> PAGEREF _Toc32397161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Act</w:t>
      </w:r>
      <w:r>
        <w:tab/>
      </w:r>
      <w:r>
        <w:fldChar w:fldCharType="begin"/>
      </w:r>
      <w:r>
        <w:instrText xml:space="preserve"> PAGEREF _Toc32397162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Trustees</w:t>
      </w:r>
    </w:p>
    <w:p>
      <w:pPr>
        <w:pStyle w:val="TOC8"/>
        <w:rPr>
          <w:rFonts w:asciiTheme="minorHAnsi" w:eastAsiaTheme="minorEastAsia" w:hAnsiTheme="minorHAnsi" w:cstheme="minorBidi"/>
          <w:szCs w:val="22"/>
        </w:rPr>
      </w:pPr>
      <w:r>
        <w:t>1</w:t>
      </w:r>
      <w:r>
        <w:rPr>
          <w:snapToGrid w:val="0"/>
        </w:rPr>
        <w:t>.</w:t>
      </w:r>
      <w:r>
        <w:rPr>
          <w:snapToGrid w:val="0"/>
        </w:rPr>
        <w:tab/>
        <w:t>Certain persons ineligible for appointment</w:t>
      </w:r>
      <w:r>
        <w:tab/>
      </w:r>
      <w:r>
        <w:fldChar w:fldCharType="begin"/>
      </w:r>
      <w:r>
        <w:instrText xml:space="preserve"> PAGEREF _Toc32397164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for appointment</w:t>
      </w:r>
      <w:r>
        <w:tab/>
      </w:r>
      <w:r>
        <w:fldChar w:fldCharType="begin"/>
      </w:r>
      <w:r>
        <w:instrText xml:space="preserve"> PAGEREF _Toc32397165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_Toc32397166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Extraordinary vacancies</w:t>
      </w:r>
      <w:r>
        <w:tab/>
      </w:r>
      <w:r>
        <w:fldChar w:fldCharType="begin"/>
      </w:r>
      <w:r>
        <w:instrText xml:space="preserve"> PAGEREF _Toc32397167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_Toc32397168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deputy</w:t>
      </w:r>
      <w:r>
        <w:tab/>
      </w:r>
      <w:r>
        <w:fldChar w:fldCharType="begin"/>
      </w:r>
      <w:r>
        <w:instrText xml:space="preserve"> PAGEREF _Toc32397169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pecuniary interests</w:t>
      </w:r>
      <w:r>
        <w:tab/>
      </w:r>
      <w:r>
        <w:fldChar w:fldCharType="begin"/>
      </w:r>
      <w:r>
        <w:instrText xml:space="preserve"> PAGEREF _Toc32397170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_Toc32397171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Meetings and procedures of the board of the Trust</w:t>
      </w:r>
    </w:p>
    <w:p>
      <w:pPr>
        <w:pStyle w:val="TOC8"/>
        <w:rPr>
          <w:rFonts w:asciiTheme="minorHAnsi" w:eastAsiaTheme="minorEastAsia" w:hAnsiTheme="minorHAnsi" w:cstheme="minorBidi"/>
          <w:szCs w:val="22"/>
        </w:rPr>
      </w:pPr>
      <w:r>
        <w:t>1</w:t>
      </w:r>
      <w:r>
        <w:rPr>
          <w:snapToGrid w:val="0"/>
        </w:rPr>
        <w:t>.</w:t>
      </w:r>
      <w:r>
        <w:rPr>
          <w:snapToGrid w:val="0"/>
        </w:rPr>
        <w:tab/>
        <w:t>Procedure and quorum</w:t>
      </w:r>
      <w:r>
        <w:tab/>
      </w:r>
      <w:r>
        <w:fldChar w:fldCharType="begin"/>
      </w:r>
      <w:r>
        <w:instrText xml:space="preserve"> PAGEREF _Toc32397173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Minutes of meetings</w:t>
      </w:r>
      <w:r>
        <w:tab/>
      </w:r>
      <w:r>
        <w:fldChar w:fldCharType="begin"/>
      </w:r>
      <w:r>
        <w:instrText xml:space="preserve"> PAGEREF _Toc32397174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 to preside at meetings if present</w:t>
      </w:r>
      <w:r>
        <w:tab/>
      </w:r>
      <w:r>
        <w:fldChar w:fldCharType="begin"/>
      </w:r>
      <w:r>
        <w:instrText xml:space="preserve"> PAGEREF _Toc32397175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relating to the general manager</w:t>
      </w:r>
    </w:p>
    <w:p>
      <w:pPr>
        <w:pStyle w:val="TOC8"/>
        <w:rPr>
          <w:rFonts w:asciiTheme="minorHAnsi" w:eastAsiaTheme="minorEastAsia" w:hAnsiTheme="minorHAnsi" w:cstheme="minorBidi"/>
          <w:szCs w:val="22"/>
        </w:rPr>
      </w:pPr>
      <w:r>
        <w:t>1</w:t>
      </w:r>
      <w:r>
        <w:rPr>
          <w:snapToGrid w:val="0"/>
        </w:rPr>
        <w:t>.</w:t>
      </w:r>
      <w:r>
        <w:rPr>
          <w:snapToGrid w:val="0"/>
        </w:rPr>
        <w:tab/>
        <w:t>General manager to devote all his time to his duties</w:t>
      </w:r>
      <w:r>
        <w:tab/>
      </w:r>
      <w:r>
        <w:fldChar w:fldCharType="begin"/>
      </w:r>
      <w:r>
        <w:instrText xml:space="preserve"> PAGEREF _Toc32397177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Attendance of general manager at meetings</w:t>
      </w:r>
      <w:r>
        <w:tab/>
      </w:r>
      <w:r>
        <w:fldChar w:fldCharType="begin"/>
      </w:r>
      <w:r>
        <w:instrText xml:space="preserve"> PAGEREF _Toc32397178 \h </w:instrText>
      </w:r>
      <w:r>
        <w:fldChar w:fldCharType="separate"/>
      </w:r>
      <w:r>
        <w:t>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clause 7 to apply to general manager</w:t>
      </w:r>
      <w:r>
        <w:tab/>
      </w:r>
      <w:r>
        <w:fldChar w:fldCharType="begin"/>
      </w:r>
      <w:r>
        <w:instrText xml:space="preserve"> PAGEREF _Toc32397179 \h </w:instrText>
      </w:r>
      <w:r>
        <w:fldChar w:fldCharType="separate"/>
      </w:r>
      <w:r>
        <w:t>27</w:t>
      </w:r>
      <w:r>
        <w:fldChar w:fldCharType="end"/>
      </w:r>
    </w:p>
    <w:p>
      <w:pPr>
        <w:pStyle w:val="TOC2"/>
        <w:keepNext/>
        <w:tabs>
          <w:tab w:val="right" w:leader="dot" w:pos="7077"/>
        </w:tabs>
        <w:rPr>
          <w:rFonts w:asciiTheme="minorHAnsi" w:eastAsiaTheme="minorEastAsia" w:hAnsiTheme="minorHAnsi" w:cstheme="minorBidi"/>
          <w:b w:val="0"/>
          <w:noProof/>
          <w:sz w:val="22"/>
          <w:szCs w:val="22"/>
        </w:rPr>
      </w:pPr>
      <w:r>
        <w:rPr>
          <w:noProof/>
        </w:rP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_Toc32397181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_Toc32397182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_Toc32397183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Sports Centre Trust Act 1986 </w:t>
      </w:r>
    </w:p>
    <w:p>
      <w:pPr>
        <w:pStyle w:val="LongTitle"/>
        <w:spacing w:before="480"/>
        <w:rPr>
          <w:snapToGrid w:val="0"/>
        </w:rPr>
      </w:pPr>
      <w:r>
        <w:rPr>
          <w:snapToGrid w:val="0"/>
        </w:rPr>
        <w:t>An Act to establish the Western Australian Sports Centre Trust, to amend certain other Acts</w:t>
      </w:r>
      <w:r>
        <w:rPr>
          <w:bCs/>
          <w:snapToGrid w:val="0"/>
          <w:vertAlign w:val="superscript"/>
        </w:rPr>
        <w:t> 1</w:t>
      </w:r>
      <w:r>
        <w:rPr>
          <w:snapToGrid w:val="0"/>
          <w:vertAlign w:val="superscript"/>
        </w:rPr>
        <w:t xml:space="preserve"> </w:t>
      </w:r>
      <w:r>
        <w:rPr>
          <w:snapToGrid w:val="0"/>
        </w:rPr>
        <w:t xml:space="preserve">and for incidental and related matters. </w:t>
      </w:r>
    </w:p>
    <w:p>
      <w:pPr>
        <w:pStyle w:val="Heading2"/>
      </w:pPr>
      <w:bookmarkStart w:id="3" w:name="_Toc32397081"/>
      <w:bookmarkStart w:id="4" w:name="_Toc32397133"/>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39713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rPr>
        <w:t>.</w:t>
      </w:r>
    </w:p>
    <w:p>
      <w:pPr>
        <w:pStyle w:val="Heading5"/>
        <w:rPr>
          <w:snapToGrid w:val="0"/>
        </w:rPr>
      </w:pPr>
      <w:bookmarkStart w:id="6" w:name="_Toc3239713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32397136"/>
      <w:r>
        <w:rPr>
          <w:rStyle w:val="CharSectno"/>
        </w:rPr>
        <w:t>3</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8" w:name="_Toc32397085"/>
      <w:bookmarkStart w:id="9" w:name="_Toc32397137"/>
      <w:r>
        <w:rPr>
          <w:rStyle w:val="CharPartNo"/>
        </w:rPr>
        <w:t>Part II</w:t>
      </w:r>
      <w:r>
        <w:rPr>
          <w:rStyle w:val="CharDivNo"/>
        </w:rPr>
        <w:t> </w:t>
      </w:r>
      <w:r>
        <w:t>—</w:t>
      </w:r>
      <w:r>
        <w:rPr>
          <w:rStyle w:val="CharDivText"/>
        </w:rPr>
        <w:t> </w:t>
      </w:r>
      <w:r>
        <w:rPr>
          <w:rStyle w:val="CharPartText"/>
        </w:rPr>
        <w:t>Establishment of the Western Australian Sports Centre Trust</w:t>
      </w:r>
      <w:bookmarkEnd w:id="8"/>
      <w:bookmarkEnd w:id="9"/>
      <w:r>
        <w:rPr>
          <w:rStyle w:val="CharPartText"/>
        </w:rPr>
        <w:t xml:space="preserve"> </w:t>
      </w:r>
    </w:p>
    <w:p>
      <w:pPr>
        <w:pStyle w:val="Heading5"/>
        <w:rPr>
          <w:snapToGrid w:val="0"/>
        </w:rPr>
      </w:pPr>
      <w:bookmarkStart w:id="10" w:name="_Toc32397138"/>
      <w:r>
        <w:rPr>
          <w:rStyle w:val="CharSectno"/>
        </w:rPr>
        <w:t>4</w:t>
      </w:r>
      <w:r>
        <w:rPr>
          <w:snapToGrid w:val="0"/>
        </w:rPr>
        <w:t>.</w:t>
      </w:r>
      <w:r>
        <w:rPr>
          <w:snapToGrid w:val="0"/>
        </w:rPr>
        <w:tab/>
        <w:t>Western Australian Sports Centre Trust established</w:t>
      </w:r>
      <w:bookmarkEnd w:id="10"/>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11" w:name="_Toc32397139"/>
      <w:r>
        <w:rPr>
          <w:rStyle w:val="CharSectno"/>
        </w:rPr>
        <w:t>5</w:t>
      </w:r>
      <w:r>
        <w:rPr>
          <w:snapToGrid w:val="0"/>
        </w:rPr>
        <w:t>.</w:t>
      </w:r>
      <w:r>
        <w:rPr>
          <w:snapToGrid w:val="0"/>
        </w:rPr>
        <w:tab/>
        <w:t>Board of Trust</w:t>
      </w:r>
      <w:bookmarkEnd w:id="1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 and</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12" w:name="_Toc32397140"/>
      <w:r>
        <w:rPr>
          <w:rStyle w:val="CharSectno"/>
        </w:rPr>
        <w:t>6</w:t>
      </w:r>
      <w:r>
        <w:rPr>
          <w:snapToGrid w:val="0"/>
        </w:rPr>
        <w:t>.</w:t>
      </w:r>
      <w:r>
        <w:rPr>
          <w:snapToGrid w:val="0"/>
        </w:rPr>
        <w:tab/>
        <w:t>Constitution, meetings and procedure of board</w:t>
      </w:r>
      <w:bookmarkEnd w:id="12"/>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13" w:name="_Toc32397141"/>
      <w:r>
        <w:rPr>
          <w:rStyle w:val="CharSectno"/>
        </w:rPr>
        <w:t>7</w:t>
      </w:r>
      <w:r>
        <w:rPr>
          <w:snapToGrid w:val="0"/>
        </w:rPr>
        <w:t>.</w:t>
      </w:r>
      <w:r>
        <w:rPr>
          <w:snapToGrid w:val="0"/>
        </w:rPr>
        <w:tab/>
        <w:t>Remuneration and allowances</w:t>
      </w:r>
      <w:bookmarkEnd w:id="13"/>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No. 39 of 2010 s. 89.]</w:t>
      </w:r>
    </w:p>
    <w:p>
      <w:pPr>
        <w:pStyle w:val="Heading2"/>
        <w:tabs>
          <w:tab w:val="left" w:pos="4962"/>
        </w:tabs>
      </w:pPr>
      <w:bookmarkStart w:id="14" w:name="_Toc32397090"/>
      <w:bookmarkStart w:id="15" w:name="_Toc32397142"/>
      <w:r>
        <w:rPr>
          <w:rStyle w:val="CharPartNo"/>
        </w:rPr>
        <w:t>Part III</w:t>
      </w:r>
      <w:r>
        <w:rPr>
          <w:rStyle w:val="CharDivNo"/>
        </w:rPr>
        <w:t> </w:t>
      </w:r>
      <w:r>
        <w:t>—</w:t>
      </w:r>
      <w:r>
        <w:rPr>
          <w:rStyle w:val="CharDivText"/>
        </w:rPr>
        <w:t> </w:t>
      </w:r>
      <w:r>
        <w:rPr>
          <w:rStyle w:val="CharPartText"/>
        </w:rPr>
        <w:t>Functions and powers of the Trust</w:t>
      </w:r>
      <w:bookmarkEnd w:id="14"/>
      <w:bookmarkEnd w:id="15"/>
      <w:r>
        <w:rPr>
          <w:rStyle w:val="CharPartText"/>
        </w:rPr>
        <w:t xml:space="preserve"> </w:t>
      </w:r>
    </w:p>
    <w:p>
      <w:pPr>
        <w:pStyle w:val="Heading5"/>
        <w:rPr>
          <w:snapToGrid w:val="0"/>
        </w:rPr>
      </w:pPr>
      <w:bookmarkStart w:id="16" w:name="_Toc32397143"/>
      <w:r>
        <w:rPr>
          <w:rStyle w:val="CharSectno"/>
        </w:rPr>
        <w:t>8</w:t>
      </w:r>
      <w:r>
        <w:rPr>
          <w:snapToGrid w:val="0"/>
        </w:rPr>
        <w:t>.</w:t>
      </w:r>
      <w:r>
        <w:rPr>
          <w:snapToGrid w:val="0"/>
        </w:rPr>
        <w:tab/>
        <w:t>Functions of Trust</w:t>
      </w:r>
      <w:bookmarkEnd w:id="16"/>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 and</w:t>
      </w:r>
    </w:p>
    <w:p>
      <w:pPr>
        <w:pStyle w:val="Indenti"/>
        <w:rPr>
          <w:snapToGrid w:val="0"/>
        </w:rPr>
      </w:pPr>
      <w:r>
        <w:rPr>
          <w:snapToGrid w:val="0"/>
        </w:rPr>
        <w:tab/>
        <w:t>(ii)</w:t>
      </w:r>
      <w:r>
        <w:rPr>
          <w:snapToGrid w:val="0"/>
        </w:rPr>
        <w:tab/>
        <w:t>training facilities for training sportspersons who are seeking to improve their sporting standards, performances and skills; and</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17" w:name="_Toc32397144"/>
      <w:r>
        <w:rPr>
          <w:rStyle w:val="CharSectno"/>
        </w:rPr>
        <w:t>9</w:t>
      </w:r>
      <w:r>
        <w:rPr>
          <w:snapToGrid w:val="0"/>
        </w:rPr>
        <w:t>.</w:t>
      </w:r>
      <w:r>
        <w:rPr>
          <w:snapToGrid w:val="0"/>
        </w:rPr>
        <w:tab/>
        <w:t>General powers</w:t>
      </w:r>
      <w:bookmarkEnd w:id="17"/>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 and</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 and</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 and</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 and</w:t>
      </w:r>
    </w:p>
    <w:p>
      <w:pPr>
        <w:pStyle w:val="Indenta"/>
        <w:rPr>
          <w:snapToGrid w:val="0"/>
        </w:rPr>
      </w:pPr>
      <w:r>
        <w:rPr>
          <w:snapToGrid w:val="0"/>
        </w:rPr>
        <w:tab/>
        <w:t>(e)</w:t>
      </w:r>
      <w:r>
        <w:rPr>
          <w:snapToGrid w:val="0"/>
        </w:rPr>
        <w:tab/>
        <w:t>to provide tuition and instruction for the purpose mentioned in section 8(1)(a)(iii); and</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 and</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 or</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to enter into any contract or arrangement with any person including a partnership or arrangement for the sharing of profits; and</w:t>
      </w:r>
    </w:p>
    <w:p>
      <w:pPr>
        <w:pStyle w:val="Indenta"/>
        <w:rPr>
          <w:snapToGrid w:val="0"/>
        </w:rPr>
      </w:pPr>
      <w:r>
        <w:rPr>
          <w:snapToGrid w:val="0"/>
        </w:rPr>
        <w:tab/>
        <w:t>(i)</w:t>
      </w:r>
      <w:r>
        <w:rPr>
          <w:snapToGrid w:val="0"/>
        </w:rPr>
        <w:tab/>
        <w:t>to appoint or engage agents or attorneys; and</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 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No. 4 of 1997 s. 4; No. 31 of 1997 s. 141.]</w:t>
      </w:r>
    </w:p>
    <w:p>
      <w:pPr>
        <w:pStyle w:val="Heading5"/>
        <w:rPr>
          <w:snapToGrid w:val="0"/>
        </w:rPr>
      </w:pPr>
      <w:bookmarkStart w:id="18" w:name="_Toc32397145"/>
      <w:r>
        <w:rPr>
          <w:rStyle w:val="CharSectno"/>
        </w:rPr>
        <w:t>10</w:t>
      </w:r>
      <w:r>
        <w:rPr>
          <w:snapToGrid w:val="0"/>
        </w:rPr>
        <w:t>.</w:t>
      </w:r>
      <w:r>
        <w:rPr>
          <w:snapToGrid w:val="0"/>
        </w:rPr>
        <w:tab/>
        <w:t>Power to establish committees</w:t>
      </w:r>
      <w:bookmarkEnd w:id="18"/>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9" w:name="_Toc32397146"/>
      <w:r>
        <w:rPr>
          <w:rStyle w:val="CharSectno"/>
        </w:rPr>
        <w:t>11</w:t>
      </w:r>
      <w:r>
        <w:rPr>
          <w:snapToGrid w:val="0"/>
        </w:rPr>
        <w:t>.</w:t>
      </w:r>
      <w:r>
        <w:rPr>
          <w:snapToGrid w:val="0"/>
        </w:rPr>
        <w:tab/>
        <w:t>Appointment or use of staff and facilities</w:t>
      </w:r>
      <w:bookmarkEnd w:id="19"/>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No. 32 of 1994 s. 19; No. 39 of 2010 s. 89.] </w:t>
      </w:r>
    </w:p>
    <w:p>
      <w:pPr>
        <w:pStyle w:val="Heading5"/>
        <w:rPr>
          <w:snapToGrid w:val="0"/>
        </w:rPr>
      </w:pPr>
      <w:bookmarkStart w:id="20" w:name="_Toc32397147"/>
      <w:r>
        <w:rPr>
          <w:rStyle w:val="CharSectno"/>
        </w:rPr>
        <w:t>12</w:t>
      </w:r>
      <w:r>
        <w:rPr>
          <w:snapToGrid w:val="0"/>
        </w:rPr>
        <w:t>.</w:t>
      </w:r>
      <w:r>
        <w:rPr>
          <w:snapToGrid w:val="0"/>
        </w:rPr>
        <w:tab/>
        <w:t>General manager of Western Australian Sports Centre</w:t>
      </w:r>
      <w:bookmarkEnd w:id="20"/>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21" w:name="_Toc32397148"/>
      <w:r>
        <w:rPr>
          <w:rStyle w:val="CharSectno"/>
        </w:rPr>
        <w:t>13</w:t>
      </w:r>
      <w:r>
        <w:rPr>
          <w:snapToGrid w:val="0"/>
        </w:rPr>
        <w:t>.</w:t>
      </w:r>
      <w:r>
        <w:rPr>
          <w:snapToGrid w:val="0"/>
        </w:rPr>
        <w:tab/>
        <w:t>Delegation</w:t>
      </w:r>
      <w:bookmarkEnd w:id="21"/>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 or</w:t>
      </w:r>
    </w:p>
    <w:p>
      <w:pPr>
        <w:pStyle w:val="Indenta"/>
        <w:rPr>
          <w:snapToGrid w:val="0"/>
        </w:rPr>
      </w:pPr>
      <w:r>
        <w:rPr>
          <w:snapToGrid w:val="0"/>
        </w:rPr>
        <w:tab/>
        <w:t>(b)</w:t>
      </w:r>
      <w:r>
        <w:rPr>
          <w:snapToGrid w:val="0"/>
        </w:rPr>
        <w:tab/>
        <w:t>a committee established under section 10; or</w:t>
      </w:r>
    </w:p>
    <w:p>
      <w:pPr>
        <w:pStyle w:val="Indenta"/>
        <w:rPr>
          <w:snapToGrid w:val="0"/>
        </w:rPr>
      </w:pPr>
      <w:r>
        <w:rPr>
          <w:snapToGrid w:val="0"/>
        </w:rPr>
        <w:tab/>
        <w:t>(c)</w:t>
      </w:r>
      <w:r>
        <w:rPr>
          <w:snapToGrid w:val="0"/>
        </w:rPr>
        <w:tab/>
        <w:t>the general manager; or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22" w:name="_Toc32397149"/>
      <w:r>
        <w:rPr>
          <w:rStyle w:val="CharSectno"/>
        </w:rPr>
        <w:t>14</w:t>
      </w:r>
      <w:r>
        <w:rPr>
          <w:snapToGrid w:val="0"/>
        </w:rPr>
        <w:t>.</w:t>
      </w:r>
      <w:r>
        <w:rPr>
          <w:snapToGrid w:val="0"/>
        </w:rPr>
        <w:tab/>
        <w:t>Minister may give directions</w:t>
      </w:r>
      <w:bookmarkEnd w:id="22"/>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No. 4 of 1997 s. 5; amended: No. 77 of 2006 Sch. 1 cl. 184(1).]</w:t>
      </w:r>
    </w:p>
    <w:p>
      <w:pPr>
        <w:pStyle w:val="Heading5"/>
        <w:rPr>
          <w:snapToGrid w:val="0"/>
        </w:rPr>
      </w:pPr>
      <w:bookmarkStart w:id="23" w:name="_Toc32397150"/>
      <w:r>
        <w:rPr>
          <w:rStyle w:val="CharSectno"/>
        </w:rPr>
        <w:t>14A</w:t>
      </w:r>
      <w:r>
        <w:rPr>
          <w:snapToGrid w:val="0"/>
        </w:rPr>
        <w:t>.</w:t>
      </w:r>
      <w:r>
        <w:rPr>
          <w:snapToGrid w:val="0"/>
        </w:rPr>
        <w:tab/>
        <w:t>Minister to have access to information</w:t>
      </w:r>
      <w:bookmarkEnd w:id="2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No. 4 of 1997 s. 5.]</w:t>
      </w:r>
    </w:p>
    <w:p>
      <w:pPr>
        <w:pStyle w:val="Heading2"/>
      </w:pPr>
      <w:bookmarkStart w:id="24" w:name="_Toc32397099"/>
      <w:bookmarkStart w:id="25" w:name="_Toc32397151"/>
      <w:r>
        <w:rPr>
          <w:rStyle w:val="CharPartNo"/>
        </w:rPr>
        <w:t>Part IV</w:t>
      </w:r>
      <w:r>
        <w:rPr>
          <w:rStyle w:val="CharDivNo"/>
        </w:rPr>
        <w:t> </w:t>
      </w:r>
      <w:r>
        <w:t>—</w:t>
      </w:r>
      <w:r>
        <w:rPr>
          <w:rStyle w:val="CharDivText"/>
        </w:rPr>
        <w:t> </w:t>
      </w:r>
      <w:r>
        <w:rPr>
          <w:rStyle w:val="CharPartText"/>
        </w:rPr>
        <w:t>Financial provisions</w:t>
      </w:r>
      <w:bookmarkEnd w:id="24"/>
      <w:bookmarkEnd w:id="25"/>
      <w:r>
        <w:rPr>
          <w:rStyle w:val="CharPartText"/>
        </w:rPr>
        <w:t xml:space="preserve"> </w:t>
      </w:r>
    </w:p>
    <w:p>
      <w:pPr>
        <w:pStyle w:val="Heading5"/>
        <w:rPr>
          <w:snapToGrid w:val="0"/>
        </w:rPr>
      </w:pPr>
      <w:bookmarkStart w:id="26" w:name="_Toc32397152"/>
      <w:r>
        <w:rPr>
          <w:rStyle w:val="CharSectno"/>
        </w:rPr>
        <w:t>15</w:t>
      </w:r>
      <w:r>
        <w:rPr>
          <w:snapToGrid w:val="0"/>
        </w:rPr>
        <w:t>.</w:t>
      </w:r>
      <w:r>
        <w:rPr>
          <w:snapToGrid w:val="0"/>
        </w:rPr>
        <w:tab/>
        <w:t>Funds of Trust</w:t>
      </w:r>
      <w:bookmarkEnd w:id="2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 and</w:t>
      </w:r>
    </w:p>
    <w:p>
      <w:pPr>
        <w:pStyle w:val="Indenta"/>
        <w:rPr>
          <w:snapToGrid w:val="0"/>
        </w:rPr>
      </w:pPr>
      <w:r>
        <w:rPr>
          <w:snapToGrid w:val="0"/>
        </w:rPr>
        <w:tab/>
        <w:t>(b)</w:t>
      </w:r>
      <w:r>
        <w:rPr>
          <w:snapToGrid w:val="0"/>
        </w:rPr>
        <w:tab/>
        <w:t>all money derived by the Trust from fees and other sums mentioned in section 9(2)(g); and</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No. 49 of 1996 s. 64; No. 28 of 2006 s. 162; No. 77 of 2006 Sch. 1 cl. 184(2)-(3).] </w:t>
      </w:r>
    </w:p>
    <w:p>
      <w:pPr>
        <w:pStyle w:val="Heading5"/>
        <w:rPr>
          <w:snapToGrid w:val="0"/>
        </w:rPr>
      </w:pPr>
      <w:bookmarkStart w:id="27" w:name="_Toc32397153"/>
      <w:r>
        <w:rPr>
          <w:rStyle w:val="CharSectno"/>
        </w:rPr>
        <w:t>16</w:t>
      </w:r>
      <w:r>
        <w:rPr>
          <w:snapToGrid w:val="0"/>
        </w:rPr>
        <w:t>.</w:t>
      </w:r>
      <w:r>
        <w:rPr>
          <w:snapToGrid w:val="0"/>
        </w:rPr>
        <w:tab/>
        <w:t>Certain property and instruments exempt from rates, taxes and duty</w:t>
      </w:r>
      <w:bookmarkEnd w:id="2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No. 12 of 2008 Sch. 1 cl. 41.]</w:t>
      </w:r>
    </w:p>
    <w:p>
      <w:pPr>
        <w:pStyle w:val="Heading5"/>
        <w:rPr>
          <w:snapToGrid w:val="0"/>
        </w:rPr>
      </w:pPr>
      <w:bookmarkStart w:id="28" w:name="_Toc32397154"/>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2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No. 77 of 2006 Sch. 1 cl. 184(4).]</w:t>
      </w:r>
    </w:p>
    <w:p>
      <w:pPr>
        <w:pStyle w:val="Heading2"/>
      </w:pPr>
      <w:bookmarkStart w:id="29" w:name="_Toc32397103"/>
      <w:bookmarkStart w:id="30" w:name="_Toc32397155"/>
      <w:r>
        <w:rPr>
          <w:rStyle w:val="CharPartNo"/>
        </w:rPr>
        <w:t>Part V</w:t>
      </w:r>
      <w:r>
        <w:rPr>
          <w:rStyle w:val="CharDivNo"/>
        </w:rPr>
        <w:t> </w:t>
      </w:r>
      <w:r>
        <w:t>—</w:t>
      </w:r>
      <w:r>
        <w:rPr>
          <w:rStyle w:val="CharDivText"/>
        </w:rPr>
        <w:t> </w:t>
      </w:r>
      <w:r>
        <w:rPr>
          <w:rStyle w:val="CharPartText"/>
        </w:rPr>
        <w:t>Miscellaneous</w:t>
      </w:r>
      <w:bookmarkEnd w:id="29"/>
      <w:bookmarkEnd w:id="30"/>
      <w:r>
        <w:rPr>
          <w:rStyle w:val="CharPartText"/>
        </w:rPr>
        <w:t xml:space="preserve"> </w:t>
      </w:r>
    </w:p>
    <w:p>
      <w:pPr>
        <w:pStyle w:val="Heading5"/>
        <w:rPr>
          <w:snapToGrid w:val="0"/>
        </w:rPr>
      </w:pPr>
      <w:bookmarkStart w:id="31" w:name="_Toc32397156"/>
      <w:r>
        <w:rPr>
          <w:rStyle w:val="CharSectno"/>
        </w:rPr>
        <w:t>18</w:t>
      </w:r>
      <w:r>
        <w:rPr>
          <w:snapToGrid w:val="0"/>
        </w:rPr>
        <w:t>.</w:t>
      </w:r>
      <w:r>
        <w:rPr>
          <w:snapToGrid w:val="0"/>
        </w:rPr>
        <w:tab/>
        <w:t>Regulations</w:t>
      </w:r>
      <w:bookmarkEnd w:id="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 and</w:t>
      </w:r>
    </w:p>
    <w:p>
      <w:pPr>
        <w:pStyle w:val="Indenta"/>
        <w:rPr>
          <w:snapToGrid w:val="0"/>
        </w:rPr>
      </w:pPr>
      <w:r>
        <w:rPr>
          <w:snapToGrid w:val="0"/>
        </w:rPr>
        <w:tab/>
        <w:t>(b)</w:t>
      </w:r>
      <w:r>
        <w:rPr>
          <w:snapToGrid w:val="0"/>
        </w:rPr>
        <w:tab/>
        <w:t>the use of the Centre or any specified part of it, and the regulation of its use and enjoyment or any specified part of it; and</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 and</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 and</w:t>
      </w:r>
    </w:p>
    <w:p>
      <w:pPr>
        <w:pStyle w:val="Indenta"/>
        <w:rPr>
          <w:snapToGrid w:val="0"/>
        </w:rPr>
      </w:pPr>
      <w:r>
        <w:rPr>
          <w:snapToGrid w:val="0"/>
        </w:rPr>
        <w:tab/>
        <w:t>(e)</w:t>
      </w:r>
      <w:r>
        <w:rPr>
          <w:snapToGrid w:val="0"/>
        </w:rPr>
        <w:tab/>
        <w:t>the maintenance of order at the Centre and the appointment and removal of honorary stewards for that purpose; and</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 and</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 and</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 and</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 and</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 and</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No. 4 of 1997 s. 6.]</w:t>
      </w:r>
    </w:p>
    <w:p>
      <w:pPr>
        <w:pStyle w:val="Heading5"/>
        <w:rPr>
          <w:snapToGrid w:val="0"/>
        </w:rPr>
      </w:pPr>
      <w:bookmarkStart w:id="32" w:name="_Toc32397157"/>
      <w:r>
        <w:rPr>
          <w:rStyle w:val="CharSectno"/>
        </w:rPr>
        <w:t>18A</w:t>
      </w:r>
      <w:r>
        <w:rPr>
          <w:snapToGrid w:val="0"/>
        </w:rPr>
        <w:t>.</w:t>
      </w:r>
      <w:r>
        <w:rPr>
          <w:snapToGrid w:val="0"/>
        </w:rPr>
        <w:tab/>
        <w:t>Traffic regulations</w:t>
      </w:r>
      <w:bookmarkEnd w:id="32"/>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 and</w:t>
      </w:r>
    </w:p>
    <w:p>
      <w:pPr>
        <w:pStyle w:val="Indenta"/>
        <w:rPr>
          <w:snapToGrid w:val="0"/>
        </w:rPr>
      </w:pPr>
      <w:r>
        <w:rPr>
          <w:snapToGrid w:val="0"/>
        </w:rPr>
        <w:tab/>
        <w:t>(b)</w:t>
      </w:r>
      <w:r>
        <w:rPr>
          <w:snapToGrid w:val="0"/>
        </w:rPr>
        <w:tab/>
        <w:t>prescribing conditions under which and the period or periods of time during which a vehicle may be parked at the Centre; and</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 and</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 and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No. 4 of 1997 s. 7.] </w:t>
      </w:r>
    </w:p>
    <w:p>
      <w:pPr>
        <w:pStyle w:val="Heading5"/>
        <w:rPr>
          <w:snapToGrid w:val="0"/>
        </w:rPr>
      </w:pPr>
      <w:bookmarkStart w:id="33" w:name="_Toc32397158"/>
      <w:r>
        <w:rPr>
          <w:rStyle w:val="CharSectno"/>
        </w:rPr>
        <w:t>18B</w:t>
      </w:r>
      <w:r>
        <w:rPr>
          <w:snapToGrid w:val="0"/>
        </w:rPr>
        <w:t>.</w:t>
      </w:r>
      <w:r>
        <w:rPr>
          <w:snapToGrid w:val="0"/>
        </w:rPr>
        <w:tab/>
        <w:t>Penalty for contravention of regulations</w:t>
      </w:r>
      <w:bookmarkEnd w:id="33"/>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No. 4 of 1997 s. 7.]</w:t>
      </w:r>
    </w:p>
    <w:p>
      <w:pPr>
        <w:pStyle w:val="Heading5"/>
        <w:rPr>
          <w:snapToGrid w:val="0"/>
        </w:rPr>
      </w:pPr>
      <w:bookmarkStart w:id="34" w:name="_Toc32397159"/>
      <w:r>
        <w:rPr>
          <w:rStyle w:val="CharSectno"/>
        </w:rPr>
        <w:t>18C</w:t>
      </w:r>
      <w:r>
        <w:rPr>
          <w:snapToGrid w:val="0"/>
        </w:rPr>
        <w:t>.</w:t>
      </w:r>
      <w:r>
        <w:rPr>
          <w:snapToGrid w:val="0"/>
        </w:rPr>
        <w:tab/>
        <w:t>Infringement notices</w:t>
      </w:r>
      <w:bookmarkEnd w:id="3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 and</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No. 4 of 1997 s. 7; amended: No. 84 of 2004 s. 80.]</w:t>
      </w:r>
    </w:p>
    <w:p>
      <w:pPr>
        <w:pStyle w:val="Heading5"/>
        <w:rPr>
          <w:snapToGrid w:val="0"/>
        </w:rPr>
      </w:pPr>
      <w:bookmarkStart w:id="35" w:name="_Toc32397160"/>
      <w:r>
        <w:rPr>
          <w:rStyle w:val="CharSectno"/>
        </w:rPr>
        <w:t>18D</w:t>
      </w:r>
      <w:r>
        <w:rPr>
          <w:snapToGrid w:val="0"/>
        </w:rPr>
        <w:t>.</w:t>
      </w:r>
      <w:r>
        <w:rPr>
          <w:snapToGrid w:val="0"/>
        </w:rPr>
        <w:tab/>
        <w:t>Owner onus in relation to motor vehicles</w:t>
      </w:r>
      <w:bookmarkEnd w:id="35"/>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Footnotesection"/>
      </w:pPr>
      <w:r>
        <w:tab/>
        <w:t xml:space="preserve">[Section 18D inserted: No. 4 of 1997 s. 7; amended: No. 8 of 2012 s. 199.] </w:t>
      </w:r>
    </w:p>
    <w:p>
      <w:pPr>
        <w:pStyle w:val="Heading5"/>
        <w:rPr>
          <w:snapToGrid w:val="0"/>
        </w:rPr>
      </w:pPr>
      <w:bookmarkStart w:id="36" w:name="_Toc32397161"/>
      <w:r>
        <w:rPr>
          <w:rStyle w:val="CharSectno"/>
        </w:rPr>
        <w:t>19</w:t>
      </w:r>
      <w:r>
        <w:rPr>
          <w:snapToGrid w:val="0"/>
        </w:rPr>
        <w:t>.</w:t>
      </w:r>
      <w:r>
        <w:rPr>
          <w:snapToGrid w:val="0"/>
        </w:rPr>
        <w:tab/>
        <w:t>Staff transitional provisions</w:t>
      </w:r>
      <w:bookmarkEnd w:id="3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p>
    <w:p>
      <w:pPr>
        <w:pStyle w:val="Heading5"/>
        <w:rPr>
          <w:snapToGrid w:val="0"/>
        </w:rPr>
      </w:pPr>
      <w:bookmarkStart w:id="37" w:name="_Toc32397162"/>
      <w:r>
        <w:rPr>
          <w:rStyle w:val="CharSectno"/>
        </w:rPr>
        <w:t>20</w:t>
      </w:r>
      <w:r>
        <w:rPr>
          <w:snapToGrid w:val="0"/>
        </w:rPr>
        <w:t>.</w:t>
      </w:r>
      <w:r>
        <w:rPr>
          <w:snapToGrid w:val="0"/>
        </w:rPr>
        <w:tab/>
        <w:t>Review of Act</w:t>
      </w:r>
      <w:bookmarkEnd w:id="3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8" w:name="_Toc32397111"/>
      <w:bookmarkStart w:id="39" w:name="_Toc32397163"/>
      <w:r>
        <w:rPr>
          <w:rStyle w:val="CharSchNo"/>
        </w:rPr>
        <w:t>Schedule 1</w:t>
      </w:r>
      <w:r>
        <w:t> — </w:t>
      </w:r>
      <w:r>
        <w:rPr>
          <w:rStyle w:val="CharSchText"/>
        </w:rPr>
        <w:t>Provisions relating to the Trustees</w:t>
      </w:r>
      <w:bookmarkEnd w:id="38"/>
      <w:bookmarkEnd w:id="39"/>
    </w:p>
    <w:p>
      <w:pPr>
        <w:pStyle w:val="yShoulderClause"/>
        <w:rPr>
          <w:snapToGrid w:val="0"/>
        </w:rPr>
      </w:pPr>
      <w:r>
        <w:rPr>
          <w:snapToGrid w:val="0"/>
        </w:rPr>
        <w:t>[s. 6(1)]</w:t>
      </w:r>
    </w:p>
    <w:p>
      <w:pPr>
        <w:pStyle w:val="yFootnoteheading"/>
      </w:pPr>
      <w:r>
        <w:tab/>
        <w:t>[Heading amended: No. 19 of 2010 s. 4.]</w:t>
      </w:r>
    </w:p>
    <w:p>
      <w:pPr>
        <w:pStyle w:val="yHeading5"/>
        <w:ind w:left="890" w:hanging="890"/>
        <w:outlineLvl w:val="9"/>
        <w:rPr>
          <w:snapToGrid w:val="0"/>
        </w:rPr>
      </w:pPr>
      <w:bookmarkStart w:id="40" w:name="_Toc32397164"/>
      <w:r>
        <w:rPr>
          <w:rStyle w:val="CharSClsNo"/>
        </w:rPr>
        <w:t>1</w:t>
      </w:r>
      <w:r>
        <w:rPr>
          <w:snapToGrid w:val="0"/>
        </w:rPr>
        <w:t>.</w:t>
      </w:r>
      <w:r>
        <w:rPr>
          <w:snapToGrid w:val="0"/>
        </w:rPr>
        <w:tab/>
        <w:t>Certain persons ineligible for appointment</w:t>
      </w:r>
      <w:bookmarkEnd w:id="40"/>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No. 42 of 1997 s. 8; amended: No. 18 of 2009 s. 92(2).]</w:t>
      </w:r>
    </w:p>
    <w:p>
      <w:pPr>
        <w:pStyle w:val="yHeading5"/>
        <w:ind w:left="890" w:hanging="890"/>
        <w:outlineLvl w:val="9"/>
        <w:rPr>
          <w:snapToGrid w:val="0"/>
        </w:rPr>
      </w:pPr>
      <w:bookmarkStart w:id="41" w:name="_Toc32397165"/>
      <w:r>
        <w:rPr>
          <w:rStyle w:val="CharSClsNo"/>
        </w:rPr>
        <w:t>2</w:t>
      </w:r>
      <w:r>
        <w:rPr>
          <w:snapToGrid w:val="0"/>
        </w:rPr>
        <w:t>.</w:t>
      </w:r>
      <w:r>
        <w:rPr>
          <w:snapToGrid w:val="0"/>
        </w:rPr>
        <w:tab/>
        <w:t>Nomination for appointment</w:t>
      </w:r>
      <w:bookmarkEnd w:id="41"/>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42" w:name="_Toc32397166"/>
      <w:r>
        <w:rPr>
          <w:rStyle w:val="CharSClsNo"/>
        </w:rPr>
        <w:t>3</w:t>
      </w:r>
      <w:r>
        <w:rPr>
          <w:snapToGrid w:val="0"/>
        </w:rPr>
        <w:t>.</w:t>
      </w:r>
      <w:r>
        <w:rPr>
          <w:snapToGrid w:val="0"/>
        </w:rPr>
        <w:tab/>
        <w:t>Term of office</w:t>
      </w:r>
      <w:bookmarkEnd w:id="42"/>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43" w:name="_Toc32397167"/>
      <w:r>
        <w:rPr>
          <w:rStyle w:val="CharSClsNo"/>
        </w:rPr>
        <w:t>4</w:t>
      </w:r>
      <w:r>
        <w:rPr>
          <w:snapToGrid w:val="0"/>
        </w:rPr>
        <w:t>.</w:t>
      </w:r>
      <w:r>
        <w:rPr>
          <w:snapToGrid w:val="0"/>
        </w:rPr>
        <w:tab/>
        <w:t>Extraordinary vacancies</w:t>
      </w:r>
      <w:bookmarkEnd w:id="43"/>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No. 18 of 2009 s. 92(3).] </w:t>
      </w:r>
    </w:p>
    <w:p>
      <w:pPr>
        <w:pStyle w:val="yHeading5"/>
        <w:ind w:left="890" w:hanging="890"/>
        <w:outlineLvl w:val="9"/>
        <w:rPr>
          <w:snapToGrid w:val="0"/>
        </w:rPr>
      </w:pPr>
      <w:bookmarkStart w:id="44" w:name="_Toc32397168"/>
      <w:r>
        <w:rPr>
          <w:rStyle w:val="CharSClsNo"/>
        </w:rPr>
        <w:t>5</w:t>
      </w:r>
      <w:r>
        <w:rPr>
          <w:snapToGrid w:val="0"/>
        </w:rPr>
        <w:t>.</w:t>
      </w:r>
      <w:r>
        <w:rPr>
          <w:snapToGrid w:val="0"/>
        </w:rPr>
        <w:tab/>
        <w:t>Chairman</w:t>
      </w:r>
      <w:bookmarkEnd w:id="44"/>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spacing w:before="180"/>
        <w:ind w:left="890" w:hanging="890"/>
        <w:outlineLvl w:val="9"/>
        <w:rPr>
          <w:snapToGrid w:val="0"/>
        </w:rPr>
      </w:pPr>
      <w:bookmarkStart w:id="45" w:name="_Toc32397169"/>
      <w:r>
        <w:rPr>
          <w:rStyle w:val="CharSClsNo"/>
        </w:rPr>
        <w:t>6</w:t>
      </w:r>
      <w:r>
        <w:rPr>
          <w:snapToGrid w:val="0"/>
        </w:rPr>
        <w:t>.</w:t>
      </w:r>
      <w:r>
        <w:rPr>
          <w:snapToGrid w:val="0"/>
        </w:rPr>
        <w:tab/>
        <w:t>Appointment of deputy</w:t>
      </w:r>
      <w:bookmarkEnd w:id="45"/>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keepNext w:val="0"/>
        <w:keepLines w:val="0"/>
        <w:spacing w:before="180"/>
        <w:ind w:left="890" w:hanging="890"/>
        <w:outlineLvl w:val="9"/>
        <w:rPr>
          <w:snapToGrid w:val="0"/>
        </w:rPr>
      </w:pPr>
      <w:bookmarkStart w:id="46" w:name="_Toc32397170"/>
      <w:r>
        <w:rPr>
          <w:rStyle w:val="CharSClsNo"/>
        </w:rPr>
        <w:t>7</w:t>
      </w:r>
      <w:r>
        <w:rPr>
          <w:snapToGrid w:val="0"/>
        </w:rPr>
        <w:t>.</w:t>
      </w:r>
      <w:r>
        <w:rPr>
          <w:snapToGrid w:val="0"/>
        </w:rPr>
        <w:tab/>
        <w:t>Disclosure of pecuniary interests</w:t>
      </w:r>
      <w:bookmarkEnd w:id="46"/>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spacing w:before="180"/>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spacing w:before="180"/>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 or</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spacing w:before="180"/>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spacing w:before="180"/>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spacing w:before="180"/>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spacing w:before="180"/>
        <w:rPr>
          <w:snapToGrid w:val="0"/>
        </w:rPr>
      </w:pPr>
      <w:r>
        <w:rPr>
          <w:snapToGrid w:val="0"/>
        </w:rPr>
        <w:tab/>
      </w:r>
      <w:r>
        <w:rPr>
          <w:snapToGrid w:val="0"/>
        </w:rPr>
        <w:tab/>
        <w:t>as the case may require.</w:t>
      </w:r>
    </w:p>
    <w:p>
      <w:pPr>
        <w:pStyle w:val="ySubsection"/>
        <w:spacing w:before="180"/>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spacing w:before="180"/>
        <w:rPr>
          <w:snapToGrid w:val="0"/>
        </w:rPr>
      </w:pPr>
      <w:r>
        <w:rPr>
          <w:snapToGrid w:val="0"/>
        </w:rPr>
        <w:tab/>
        <w:t>(6)</w:t>
      </w:r>
      <w:r>
        <w:rPr>
          <w:snapToGrid w:val="0"/>
        </w:rPr>
        <w:tab/>
        <w:t>A reference in this clause to a meeting of the board includes a reference to a meeting of a committee of the Trust.</w:t>
      </w:r>
    </w:p>
    <w:p>
      <w:pPr>
        <w:pStyle w:val="ySubsection"/>
        <w:keepNext/>
        <w:spacing w:before="180"/>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47" w:name="_Toc32397171"/>
      <w:r>
        <w:rPr>
          <w:rStyle w:val="CharSClsNo"/>
        </w:rPr>
        <w:t>8</w:t>
      </w:r>
      <w:r>
        <w:rPr>
          <w:snapToGrid w:val="0"/>
        </w:rPr>
        <w:t>.</w:t>
      </w:r>
      <w:r>
        <w:rPr>
          <w:snapToGrid w:val="0"/>
        </w:rPr>
        <w:tab/>
        <w:t>Common seal</w:t>
      </w:r>
      <w:bookmarkEnd w:id="47"/>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48" w:name="_Toc32397120"/>
      <w:bookmarkStart w:id="49" w:name="_Toc32397172"/>
      <w:r>
        <w:rPr>
          <w:rStyle w:val="CharSchNo"/>
        </w:rPr>
        <w:t>Schedule 2</w:t>
      </w:r>
      <w:r>
        <w:t> — </w:t>
      </w:r>
      <w:r>
        <w:rPr>
          <w:rStyle w:val="CharSchText"/>
        </w:rPr>
        <w:t>Meetings and procedures of the board of the Trust</w:t>
      </w:r>
      <w:bookmarkEnd w:id="48"/>
      <w:bookmarkEnd w:id="49"/>
    </w:p>
    <w:p>
      <w:pPr>
        <w:pStyle w:val="yShoulderClause"/>
        <w:rPr>
          <w:snapToGrid w:val="0"/>
        </w:rPr>
      </w:pPr>
      <w:r>
        <w:rPr>
          <w:snapToGrid w:val="0"/>
        </w:rPr>
        <w:t>[s. 6(2)]</w:t>
      </w:r>
    </w:p>
    <w:p>
      <w:pPr>
        <w:pStyle w:val="yFootnoteheading"/>
        <w:rPr>
          <w:b/>
          <w:snapToGrid w:val="0"/>
        </w:rPr>
      </w:pPr>
      <w:r>
        <w:tab/>
        <w:t>[Heading amended: No. 19 of 2010 s. 4.]</w:t>
      </w:r>
    </w:p>
    <w:p>
      <w:pPr>
        <w:pStyle w:val="yHeading5"/>
        <w:ind w:left="890" w:hanging="890"/>
        <w:outlineLvl w:val="9"/>
        <w:rPr>
          <w:snapToGrid w:val="0"/>
        </w:rPr>
      </w:pPr>
      <w:bookmarkStart w:id="50" w:name="_Toc32397173"/>
      <w:r>
        <w:rPr>
          <w:rStyle w:val="CharSClsNo"/>
        </w:rPr>
        <w:t>1</w:t>
      </w:r>
      <w:r>
        <w:rPr>
          <w:snapToGrid w:val="0"/>
        </w:rPr>
        <w:t>.</w:t>
      </w:r>
      <w:r>
        <w:rPr>
          <w:snapToGrid w:val="0"/>
        </w:rPr>
        <w:tab/>
        <w:t>Procedure and quorum</w:t>
      </w:r>
      <w:bookmarkEnd w:id="50"/>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51" w:name="_Toc32397174"/>
      <w:r>
        <w:rPr>
          <w:rStyle w:val="CharSClsNo"/>
        </w:rPr>
        <w:t>2</w:t>
      </w:r>
      <w:r>
        <w:rPr>
          <w:snapToGrid w:val="0"/>
        </w:rPr>
        <w:t>.</w:t>
      </w:r>
      <w:r>
        <w:rPr>
          <w:snapToGrid w:val="0"/>
        </w:rPr>
        <w:tab/>
        <w:t>Minutes of meetings</w:t>
      </w:r>
      <w:bookmarkEnd w:id="51"/>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52" w:name="_Toc32397175"/>
      <w:r>
        <w:rPr>
          <w:rStyle w:val="CharSClsNo"/>
        </w:rPr>
        <w:t>3</w:t>
      </w:r>
      <w:r>
        <w:rPr>
          <w:snapToGrid w:val="0"/>
        </w:rPr>
        <w:t>.</w:t>
      </w:r>
      <w:r>
        <w:rPr>
          <w:snapToGrid w:val="0"/>
        </w:rPr>
        <w:tab/>
        <w:t>Chairman to preside at meetings if present</w:t>
      </w:r>
      <w:bookmarkEnd w:id="52"/>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53" w:name="_Toc32397124"/>
      <w:bookmarkStart w:id="54" w:name="_Toc32397176"/>
      <w:r>
        <w:rPr>
          <w:rStyle w:val="CharSchNo"/>
        </w:rPr>
        <w:t>Schedule 3</w:t>
      </w:r>
      <w:r>
        <w:t> — </w:t>
      </w:r>
      <w:r>
        <w:rPr>
          <w:rStyle w:val="CharSchText"/>
        </w:rPr>
        <w:t>Provisions relating to the general manager</w:t>
      </w:r>
      <w:bookmarkEnd w:id="53"/>
      <w:bookmarkEnd w:id="54"/>
    </w:p>
    <w:p>
      <w:pPr>
        <w:pStyle w:val="yShoulderClause"/>
        <w:rPr>
          <w:snapToGrid w:val="0"/>
        </w:rPr>
      </w:pPr>
      <w:r>
        <w:rPr>
          <w:snapToGrid w:val="0"/>
        </w:rPr>
        <w:t>[s. 12(3)]</w:t>
      </w:r>
    </w:p>
    <w:p>
      <w:pPr>
        <w:pStyle w:val="yFootnoteheading"/>
      </w:pPr>
      <w:r>
        <w:tab/>
        <w:t>[Heading amended: No. 19 of 2010 s. 4.]</w:t>
      </w:r>
    </w:p>
    <w:p>
      <w:pPr>
        <w:pStyle w:val="yHeading5"/>
        <w:ind w:left="890" w:hanging="890"/>
        <w:outlineLvl w:val="9"/>
        <w:rPr>
          <w:snapToGrid w:val="0"/>
        </w:rPr>
      </w:pPr>
      <w:bookmarkStart w:id="55" w:name="_Toc32397177"/>
      <w:r>
        <w:rPr>
          <w:rStyle w:val="CharSClsNo"/>
        </w:rPr>
        <w:t>1</w:t>
      </w:r>
      <w:r>
        <w:rPr>
          <w:snapToGrid w:val="0"/>
        </w:rPr>
        <w:t>.</w:t>
      </w:r>
      <w:r>
        <w:rPr>
          <w:snapToGrid w:val="0"/>
        </w:rPr>
        <w:tab/>
        <w:t>General manager to devote all his time to his duties</w:t>
      </w:r>
      <w:bookmarkEnd w:id="55"/>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56" w:name="_Toc32397178"/>
      <w:r>
        <w:rPr>
          <w:rStyle w:val="CharSClsNo"/>
        </w:rPr>
        <w:t>2</w:t>
      </w:r>
      <w:r>
        <w:rPr>
          <w:snapToGrid w:val="0"/>
        </w:rPr>
        <w:t>.</w:t>
      </w:r>
      <w:r>
        <w:rPr>
          <w:snapToGrid w:val="0"/>
        </w:rPr>
        <w:tab/>
        <w:t>Attendance of general manager at meetings</w:t>
      </w:r>
      <w:bookmarkEnd w:id="56"/>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57" w:name="_Toc32397179"/>
      <w:r>
        <w:rPr>
          <w:rStyle w:val="CharSClsNo"/>
        </w:rPr>
        <w:t>3</w:t>
      </w:r>
      <w:r>
        <w:rPr>
          <w:snapToGrid w:val="0"/>
        </w:rPr>
        <w:t>.</w:t>
      </w:r>
      <w:r>
        <w:rPr>
          <w:snapToGrid w:val="0"/>
        </w:rPr>
        <w:tab/>
        <w:t>Schedule 1 clause 7 to apply to general manager</w:t>
      </w:r>
      <w:bookmarkEnd w:id="57"/>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9" w:name="_Toc32397128"/>
      <w:bookmarkStart w:id="60" w:name="_Toc32397180"/>
      <w:r>
        <w:t>Notes</w:t>
      </w:r>
      <w:bookmarkEnd w:id="59"/>
      <w:bookmarkEnd w:id="60"/>
    </w:p>
    <w:p>
      <w:pPr>
        <w:pStyle w:val="nStatement"/>
      </w:pPr>
      <w:r>
        <w:t xml:space="preserve">This is a compilation of the </w:t>
      </w:r>
      <w:r>
        <w:rPr>
          <w:i/>
          <w:noProof/>
        </w:rPr>
        <w:t>Western Australian Sports Centre Trust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32397181"/>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Western Australian Sports Centre Trust Act 1986</w:t>
            </w:r>
          </w:p>
        </w:tc>
        <w:tc>
          <w:tcPr>
            <w:tcW w:w="1134" w:type="dxa"/>
          </w:tcPr>
          <w:p>
            <w:pPr>
              <w:pStyle w:val="nTable"/>
              <w:spacing w:after="40"/>
            </w:pPr>
            <w:r>
              <w:t>101 of 1986</w:t>
            </w:r>
          </w:p>
        </w:tc>
        <w:tc>
          <w:tcPr>
            <w:tcW w:w="1136" w:type="dxa"/>
          </w:tcPr>
          <w:p>
            <w:pPr>
              <w:pStyle w:val="nTable"/>
              <w:spacing w:after="40"/>
            </w:pPr>
            <w:r>
              <w:t>12 Dec 1986</w:t>
            </w:r>
          </w:p>
        </w:tc>
        <w:tc>
          <w:tcPr>
            <w:tcW w:w="2551"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Western Australian Sports Centre Trust Amendment Act 1997</w:t>
            </w:r>
          </w:p>
        </w:tc>
        <w:tc>
          <w:tcPr>
            <w:tcW w:w="1134" w:type="dxa"/>
          </w:tcPr>
          <w:p>
            <w:pPr>
              <w:pStyle w:val="nTable"/>
              <w:spacing w:after="40"/>
            </w:pPr>
            <w:r>
              <w:t>4 of 1997</w:t>
            </w:r>
          </w:p>
        </w:tc>
        <w:tc>
          <w:tcPr>
            <w:tcW w:w="1136" w:type="dxa"/>
          </w:tcPr>
          <w:p>
            <w:pPr>
              <w:pStyle w:val="nTable"/>
              <w:spacing w:after="40"/>
            </w:pPr>
            <w:r>
              <w:t>10 Jun 1997</w:t>
            </w:r>
          </w:p>
        </w:tc>
        <w:tc>
          <w:tcPr>
            <w:tcW w:w="2551" w:type="dxa"/>
          </w:tcPr>
          <w:p>
            <w:pPr>
              <w:pStyle w:val="nTable"/>
              <w:spacing w:after="40"/>
            </w:pPr>
            <w:r>
              <w:t>10 Jun 1997 (see s. 2)</w:t>
            </w:r>
          </w:p>
        </w:tc>
      </w:tr>
      <w:tr>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2(1))</w:t>
            </w:r>
          </w:p>
        </w:tc>
      </w:tr>
      <w:tr>
        <w:trPr>
          <w:cantSplit/>
        </w:trPr>
        <w:tc>
          <w:tcPr>
            <w:tcW w:w="7089"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6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4"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551" w:type="dxa"/>
          </w:tcPr>
          <w:p>
            <w:pPr>
              <w:pStyle w:val="nTable"/>
              <w:keepNext/>
              <w:spacing w:after="40"/>
            </w:pPr>
            <w:r>
              <w:t xml:space="preserve">1 Feb 2007 (see s. 2(1) and </w:t>
            </w:r>
            <w:r>
              <w:rPr>
                <w:i/>
                <w:iCs/>
              </w:rPr>
              <w:t>Gazette</w:t>
            </w:r>
            <w: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41</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92</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7089"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 xml:space="preserve">Road Traffic Legislation Amendment Act 2012 </w:t>
            </w:r>
            <w:r>
              <w:rPr>
                <w:snapToGrid w:val="0"/>
              </w:rPr>
              <w:t>Pt. 4 Div. 53</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Western Australian Sports Centre Trust Act 1986</w:t>
            </w:r>
            <w:r>
              <w:rPr>
                <w:b/>
                <w:snapToGrid w:val="0"/>
              </w:rPr>
              <w:t xml:space="preserve"> as at 4 Sep 2015</w:t>
            </w:r>
            <w:r>
              <w:rPr>
                <w:snapToGrid w:val="0"/>
              </w:rPr>
              <w:t xml:space="preserve"> (includes amendments listed above)</w:t>
            </w:r>
          </w:p>
        </w:tc>
      </w:tr>
    </w:tbl>
    <w:p>
      <w:pPr>
        <w:pStyle w:val="nHeading3"/>
      </w:pPr>
      <w:bookmarkStart w:id="62" w:name="_Toc32397182"/>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2"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Heading3"/>
      </w:pPr>
      <w:bookmarkStart w:id="63" w:name="_Toc32397183"/>
      <w:r>
        <w:t>Other notes</w:t>
      </w:r>
      <w:bookmarkEnd w:id="63"/>
    </w:p>
    <w:p>
      <w:pPr>
        <w:pStyle w:val="nNote"/>
        <w:spacing w:before="240"/>
        <w:rPr>
          <w:snapToGrid w:val="0"/>
        </w:rPr>
      </w:pPr>
      <w:r>
        <w:rPr>
          <w:snapToGrid w:val="0"/>
          <w:vertAlign w:val="superscript"/>
        </w:rPr>
        <w:t>1</w:t>
      </w:r>
      <w:r>
        <w:rPr>
          <w:snapToGrid w:val="0"/>
        </w:rPr>
        <w:tab/>
        <w:t xml:space="preserve">The provision of this Act amending these Acts has been omitted under the </w:t>
      </w:r>
      <w:r>
        <w:rPr>
          <w:i/>
          <w:iCs/>
          <w:snapToGrid w:val="0"/>
        </w:rPr>
        <w:t>Reprints Act 1984</w:t>
      </w:r>
      <w:r>
        <w:rPr>
          <w:snapToGrid w:val="0"/>
        </w:rPr>
        <w:t xml:space="preserve"> s. 7(4)(e). </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5" w:name="_Toc32397132"/>
      <w:bookmarkStart w:id="66" w:name="_Toc32397184"/>
      <w:r>
        <w:rPr>
          <w:sz w:val="28"/>
        </w:rPr>
        <w:t>Defined terms</w:t>
      </w:r>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18A(2), 18C(1), 18D(3)</w:t>
      </w:r>
    </w:p>
    <w:p>
      <w:pPr>
        <w:pStyle w:val="DefinedTerms"/>
      </w:pPr>
      <w:r>
        <w:t>board</w:t>
      </w:r>
      <w:r>
        <w:tab/>
        <w:t>3</w:t>
      </w:r>
    </w:p>
    <w:p>
      <w:pPr>
        <w:pStyle w:val="DefinedTerms"/>
      </w:pPr>
      <w:r>
        <w:t>Centre</w:t>
      </w:r>
      <w:r>
        <w:tab/>
        <w:t>3</w:t>
      </w:r>
    </w:p>
    <w:p>
      <w:pPr>
        <w:pStyle w:val="DefinedTerms"/>
      </w:pPr>
      <w:r>
        <w:t>document</w:t>
      </w:r>
      <w:r>
        <w:tab/>
        <w:t>14A(5)</w:t>
      </w:r>
    </w:p>
    <w:p>
      <w:pPr>
        <w:pStyle w:val="DefinedTerms"/>
      </w:pPr>
      <w:r>
        <w:t>general manager</w:t>
      </w:r>
      <w:r>
        <w:tab/>
        <w:t>3</w:t>
      </w:r>
    </w:p>
    <w:p>
      <w:pPr>
        <w:pStyle w:val="DefinedTerms"/>
      </w:pPr>
      <w:r>
        <w:t>information</w:t>
      </w:r>
      <w:r>
        <w:tab/>
        <w:t>14A(5)</w:t>
      </w:r>
    </w:p>
    <w:p>
      <w:pPr>
        <w:pStyle w:val="DefinedTerms"/>
      </w:pPr>
      <w:r>
        <w:t>motor vehicle</w:t>
      </w:r>
      <w:r>
        <w:tab/>
        <w:t>18D(3)</w:t>
      </w:r>
    </w:p>
    <w:p>
      <w:pPr>
        <w:pStyle w:val="DefinedTerms"/>
      </w:pPr>
      <w:r>
        <w:t>owner</w:t>
      </w:r>
      <w:r>
        <w:tab/>
        <w:t>18D(3)</w:t>
      </w:r>
    </w:p>
    <w:p>
      <w:pPr>
        <w:pStyle w:val="DefinedTerms"/>
      </w:pPr>
      <w:r>
        <w:t>specified</w:t>
      </w:r>
      <w:r>
        <w:tab/>
        <w:t>18(3)</w:t>
      </w:r>
    </w:p>
    <w:p>
      <w:pPr>
        <w:pStyle w:val="DefinedTerms"/>
      </w:pPr>
      <w:r>
        <w:t>Trust</w:t>
      </w:r>
      <w:r>
        <w:tab/>
        <w:t>3</w:t>
      </w:r>
    </w:p>
    <w:p>
      <w:pPr>
        <w:pStyle w:val="DefinedTerms"/>
      </w:pPr>
      <w:r>
        <w:t>Trust property</w:t>
      </w:r>
      <w:r>
        <w:tab/>
        <w:t>3</w:t>
      </w:r>
    </w:p>
    <w:p>
      <w:pPr>
        <w:pStyle w:val="DefinedTerms"/>
      </w:pPr>
      <w:r>
        <w:t>trustee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677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4329"/>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 w:name="WAFER_20151110122111" w:val="UpdateStyles,UsedStyles"/>
    <w:docVar w:name="WAFER_20151110122111_GUID" w:val="3910fb67-3beb-476e-95f3-312239261a7e"/>
    <w:docVar w:name="WAFER_202002121043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29_GUID" w:val="c4a866c3-ceb3-47f6-974d-499e3f72f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D8528-89C9-4A76-98DE-56DD9FA0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7462</Words>
  <Characters>35076</Characters>
  <Application>Microsoft Office Word</Application>
  <DocSecurity>0</DocSecurity>
  <Lines>1002</Lines>
  <Paragraphs>590</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41948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1986 - 03-a0-05</dc:title>
  <dc:subject/>
  <dc:creator/>
  <cp:keywords/>
  <dc:description/>
  <cp:lastModifiedBy>svcMRProcess</cp:lastModifiedBy>
  <cp:revision>4</cp:revision>
  <cp:lastPrinted>2015-08-17T02:35:00Z</cp:lastPrinted>
  <dcterms:created xsi:type="dcterms:W3CDTF">2020-02-25T06:38:00Z</dcterms:created>
  <dcterms:modified xsi:type="dcterms:W3CDTF">2020-02-25T06:38:00Z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894</vt:i4>
  </property>
  <property fmtid="{D5CDD505-2E9C-101B-9397-08002B2CF9AE}" pid="6" name="ReprintedAsAt">
    <vt:filetime>2015-09-03T16:00:00Z</vt:filetime>
  </property>
  <property fmtid="{D5CDD505-2E9C-101B-9397-08002B2CF9AE}" pid="7" name="ReprintNo">
    <vt:lpwstr>3</vt:lpwstr>
  </property>
  <property fmtid="{D5CDD505-2E9C-101B-9397-08002B2CF9AE}" pid="8" name="AsAtDate">
    <vt:lpwstr>04 Sep 2015</vt:lpwstr>
  </property>
  <property fmtid="{D5CDD505-2E9C-101B-9397-08002B2CF9AE}" pid="9" name="Suffix">
    <vt:lpwstr>03-a0-05</vt:lpwstr>
  </property>
</Properties>
</file>