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Personal Property Securities (Commonwealth Laws)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_Toc430611164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_Toc430611165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and referral</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_Toc430611167 \h </w:instrText>
      </w:r>
      <w:r>
        <w:fldChar w:fldCharType="separate"/>
      </w:r>
      <w:r>
        <w:t>3</w:t>
      </w:r>
      <w:r>
        <w:fldChar w:fldCharType="end"/>
      </w:r>
    </w:p>
    <w:p>
      <w:pPr>
        <w:pStyle w:val="TOC8"/>
        <w:rPr>
          <w:rFonts w:asciiTheme="minorHAnsi" w:eastAsiaTheme="minorEastAsia" w:hAnsiTheme="minorHAnsi" w:cstheme="minorBidi"/>
          <w:szCs w:val="22"/>
        </w:rPr>
      </w:pPr>
      <w:r>
        <w:t>4.</w:t>
      </w:r>
      <w:r>
        <w:tab/>
        <w:t>Term used: referred PPS matters</w:t>
      </w:r>
      <w:r>
        <w:tab/>
      </w:r>
      <w:r>
        <w:fldChar w:fldCharType="begin"/>
      </w:r>
      <w:r>
        <w:instrText xml:space="preserve"> PAGEREF _Toc430611168 \h </w:instrText>
      </w:r>
      <w:r>
        <w:fldChar w:fldCharType="separate"/>
      </w:r>
      <w:r>
        <w:t>5</w:t>
      </w:r>
      <w:r>
        <w:fldChar w:fldCharType="end"/>
      </w:r>
    </w:p>
    <w:p>
      <w:pPr>
        <w:pStyle w:val="TOC8"/>
        <w:rPr>
          <w:rFonts w:asciiTheme="minorHAnsi" w:eastAsiaTheme="minorEastAsia" w:hAnsiTheme="minorHAnsi" w:cstheme="minorBidi"/>
          <w:szCs w:val="22"/>
        </w:rPr>
      </w:pPr>
      <w:r>
        <w:t>5.</w:t>
      </w:r>
      <w:r>
        <w:tab/>
        <w:t>Term used: security interest</w:t>
      </w:r>
      <w:r>
        <w:tab/>
      </w:r>
      <w:r>
        <w:fldChar w:fldCharType="begin"/>
      </w:r>
      <w:r>
        <w:instrText xml:space="preserve"> PAGEREF _Toc430611169 \h </w:instrText>
      </w:r>
      <w:r>
        <w:fldChar w:fldCharType="separate"/>
      </w:r>
      <w:r>
        <w:t>7</w:t>
      </w:r>
      <w:r>
        <w:fldChar w:fldCharType="end"/>
      </w:r>
    </w:p>
    <w:p>
      <w:pPr>
        <w:pStyle w:val="TOC8"/>
        <w:rPr>
          <w:rFonts w:asciiTheme="minorHAnsi" w:eastAsiaTheme="minorEastAsia" w:hAnsiTheme="minorHAnsi" w:cstheme="minorBidi"/>
          <w:szCs w:val="22"/>
        </w:rPr>
      </w:pPr>
      <w:r>
        <w:t>6.</w:t>
      </w:r>
      <w:r>
        <w:tab/>
        <w:t>Adoption of Commonwealth PPS Act</w:t>
      </w:r>
      <w:r>
        <w:tab/>
      </w:r>
      <w:r>
        <w:fldChar w:fldCharType="begin"/>
      </w:r>
      <w:r>
        <w:instrText xml:space="preserve"> PAGEREF _Toc430611170 \h </w:instrText>
      </w:r>
      <w:r>
        <w:fldChar w:fldCharType="separate"/>
      </w:r>
      <w:r>
        <w:t>7</w:t>
      </w:r>
      <w:r>
        <w:fldChar w:fldCharType="end"/>
      </w:r>
    </w:p>
    <w:p>
      <w:pPr>
        <w:pStyle w:val="TOC8"/>
        <w:rPr>
          <w:rFonts w:asciiTheme="minorHAnsi" w:eastAsiaTheme="minorEastAsia" w:hAnsiTheme="minorHAnsi" w:cstheme="minorBidi"/>
          <w:szCs w:val="22"/>
        </w:rPr>
      </w:pPr>
      <w:r>
        <w:t>7.</w:t>
      </w:r>
      <w:r>
        <w:tab/>
        <w:t>Termination of adoption</w:t>
      </w:r>
      <w:r>
        <w:tab/>
      </w:r>
      <w:r>
        <w:fldChar w:fldCharType="begin"/>
      </w:r>
      <w:r>
        <w:instrText xml:space="preserve"> PAGEREF _Toc430611171 \h </w:instrText>
      </w:r>
      <w:r>
        <w:fldChar w:fldCharType="separate"/>
      </w:r>
      <w:r>
        <w:t>8</w:t>
      </w:r>
      <w:r>
        <w:fldChar w:fldCharType="end"/>
      </w:r>
    </w:p>
    <w:p>
      <w:pPr>
        <w:pStyle w:val="TOC8"/>
        <w:rPr>
          <w:rFonts w:asciiTheme="minorHAnsi" w:eastAsiaTheme="minorEastAsia" w:hAnsiTheme="minorHAnsi" w:cstheme="minorBidi"/>
          <w:szCs w:val="22"/>
        </w:rPr>
      </w:pPr>
      <w:r>
        <w:t>8.</w:t>
      </w:r>
      <w:r>
        <w:tab/>
        <w:t>References of matters</w:t>
      </w:r>
      <w:r>
        <w:tab/>
      </w:r>
      <w:r>
        <w:fldChar w:fldCharType="begin"/>
      </w:r>
      <w:r>
        <w:instrText xml:space="preserve"> PAGEREF _Toc430611172 \h </w:instrText>
      </w:r>
      <w:r>
        <w:fldChar w:fldCharType="separate"/>
      </w:r>
      <w:r>
        <w:t>8</w:t>
      </w:r>
      <w:r>
        <w:fldChar w:fldCharType="end"/>
      </w:r>
    </w:p>
    <w:p>
      <w:pPr>
        <w:pStyle w:val="TOC8"/>
        <w:rPr>
          <w:rFonts w:asciiTheme="minorHAnsi" w:eastAsiaTheme="minorEastAsia" w:hAnsiTheme="minorHAnsi" w:cstheme="minorBidi"/>
          <w:szCs w:val="22"/>
        </w:rPr>
      </w:pPr>
      <w:r>
        <w:t>9.</w:t>
      </w:r>
      <w:r>
        <w:tab/>
        <w:t>Termination of references</w:t>
      </w:r>
      <w:r>
        <w:tab/>
      </w:r>
      <w:r>
        <w:fldChar w:fldCharType="begin"/>
      </w:r>
      <w:r>
        <w:instrText xml:space="preserve"> PAGEREF _Toc430611173 \h </w:instrText>
      </w:r>
      <w:r>
        <w:fldChar w:fldCharType="separate"/>
      </w:r>
      <w:r>
        <w:t>9</w:t>
      </w:r>
      <w:r>
        <w:fldChar w:fldCharType="end"/>
      </w:r>
    </w:p>
    <w:p>
      <w:pPr>
        <w:pStyle w:val="TOC8"/>
        <w:rPr>
          <w:rFonts w:asciiTheme="minorHAnsi" w:eastAsiaTheme="minorEastAsia" w:hAnsiTheme="minorHAnsi" w:cstheme="minorBidi"/>
          <w:szCs w:val="22"/>
        </w:rPr>
      </w:pPr>
      <w:r>
        <w:t>10.</w:t>
      </w:r>
      <w:r>
        <w:tab/>
        <w:t>Amendment of Commonwealth law</w:t>
      </w:r>
      <w:r>
        <w:tab/>
      </w:r>
      <w:r>
        <w:fldChar w:fldCharType="begin"/>
      </w:r>
      <w:r>
        <w:instrText xml:space="preserve"> PAGEREF _Toc430611174 \h </w:instrText>
      </w:r>
      <w:r>
        <w:fldChar w:fldCharType="separate"/>
      </w:r>
      <w:r>
        <w:t>10</w:t>
      </w:r>
      <w:r>
        <w:fldChar w:fldCharType="end"/>
      </w:r>
    </w:p>
    <w:p>
      <w:pPr>
        <w:pStyle w:val="TOC8"/>
        <w:rPr>
          <w:rFonts w:asciiTheme="minorHAnsi" w:eastAsiaTheme="minorEastAsia" w:hAnsiTheme="minorHAnsi" w:cstheme="minorBidi"/>
          <w:szCs w:val="22"/>
        </w:rPr>
      </w:pPr>
      <w:r>
        <w:t>11.</w:t>
      </w:r>
      <w:r>
        <w:tab/>
        <w:t>Effect of termination of amendment references before termination of adoption of Commonwealth PPS Act</w:t>
      </w:r>
      <w:r>
        <w:tab/>
      </w:r>
      <w:r>
        <w:fldChar w:fldCharType="begin"/>
      </w:r>
      <w:r>
        <w:instrText xml:space="preserve"> PAGEREF _Toc430611175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provisions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_Toc430611177 \h </w:instrText>
      </w:r>
      <w:r>
        <w:fldChar w:fldCharType="separate"/>
      </w:r>
      <w:r>
        <w:t>13</w:t>
      </w:r>
      <w:r>
        <w:fldChar w:fldCharType="end"/>
      </w:r>
    </w:p>
    <w:p>
      <w:pPr>
        <w:pStyle w:val="TOC8"/>
        <w:rPr>
          <w:rFonts w:asciiTheme="minorHAnsi" w:eastAsiaTheme="minorEastAsia" w:hAnsiTheme="minorHAnsi" w:cstheme="minorBidi"/>
          <w:szCs w:val="22"/>
        </w:rPr>
      </w:pPr>
      <w:r>
        <w:t>13.</w:t>
      </w:r>
      <w:r>
        <w:tab/>
        <w:t>Provision of information to the Commonwealth</w:t>
      </w:r>
      <w:r>
        <w:tab/>
      </w:r>
      <w:r>
        <w:fldChar w:fldCharType="begin"/>
      </w:r>
      <w:r>
        <w:instrText xml:space="preserve"> PAGEREF _Toc430611178 \h </w:instrText>
      </w:r>
      <w:r>
        <w:fldChar w:fldCharType="separate"/>
      </w:r>
      <w:r>
        <w:t>14</w:t>
      </w:r>
      <w:r>
        <w:fldChar w:fldCharType="end"/>
      </w:r>
    </w:p>
    <w:p>
      <w:pPr>
        <w:pStyle w:val="TOC8"/>
        <w:rPr>
          <w:rFonts w:asciiTheme="minorHAnsi" w:eastAsiaTheme="minorEastAsia" w:hAnsiTheme="minorHAnsi" w:cstheme="minorBidi"/>
          <w:szCs w:val="22"/>
        </w:rPr>
      </w:pPr>
      <w:r>
        <w:t>14.</w:t>
      </w:r>
      <w:r>
        <w:tab/>
        <w:t>Compensation not payable in respect of PPS transitional matters</w:t>
      </w:r>
      <w:r>
        <w:tab/>
      </w:r>
      <w:r>
        <w:fldChar w:fldCharType="begin"/>
      </w:r>
      <w:r>
        <w:instrText xml:space="preserve"> PAGEREF _Toc430611179 \h </w:instrText>
      </w:r>
      <w:r>
        <w:fldChar w:fldCharType="separate"/>
      </w:r>
      <w:r>
        <w:t>14</w:t>
      </w:r>
      <w:r>
        <w:fldChar w:fldCharType="end"/>
      </w:r>
    </w:p>
    <w:p>
      <w:pPr>
        <w:pStyle w:val="TOC8"/>
        <w:rPr>
          <w:rFonts w:asciiTheme="minorHAnsi" w:eastAsiaTheme="minorEastAsia" w:hAnsiTheme="minorHAnsi" w:cstheme="minorBidi"/>
          <w:szCs w:val="22"/>
        </w:rPr>
      </w:pPr>
      <w:r>
        <w:t>15.</w:t>
      </w:r>
      <w:r>
        <w:tab/>
        <w:t>Implied power to make declaration that licence etc. not personal property</w:t>
      </w:r>
      <w:r>
        <w:tab/>
      </w:r>
      <w:r>
        <w:fldChar w:fldCharType="begin"/>
      </w:r>
      <w:r>
        <w:instrText xml:space="preserve"> PAGEREF _Toc430611180 \h </w:instrText>
      </w:r>
      <w:r>
        <w:fldChar w:fldCharType="separate"/>
      </w:r>
      <w:r>
        <w:t>15</w:t>
      </w:r>
      <w:r>
        <w:fldChar w:fldCharType="end"/>
      </w:r>
    </w:p>
    <w:p>
      <w:pPr>
        <w:pStyle w:val="TOC8"/>
        <w:rPr>
          <w:rFonts w:asciiTheme="minorHAnsi" w:eastAsiaTheme="minorEastAsia" w:hAnsiTheme="minorHAnsi" w:cstheme="minorBidi"/>
          <w:szCs w:val="22"/>
        </w:rPr>
      </w:pPr>
      <w:r>
        <w:t>16.</w:t>
      </w:r>
      <w:r>
        <w:tab/>
        <w:t>References to charges and fixed and floating charges</w:t>
      </w:r>
      <w:r>
        <w:tab/>
      </w:r>
      <w:r>
        <w:fldChar w:fldCharType="begin"/>
      </w:r>
      <w:r>
        <w:instrText xml:space="preserve"> PAGEREF _Toc430611181 \h </w:instrText>
      </w:r>
      <w:r>
        <w:fldChar w:fldCharType="separate"/>
      </w:r>
      <w:r>
        <w:t>15</w:t>
      </w:r>
      <w:r>
        <w:fldChar w:fldCharType="end"/>
      </w:r>
    </w:p>
    <w:p>
      <w:pPr>
        <w:pStyle w:val="TOC8"/>
        <w:rPr>
          <w:rFonts w:asciiTheme="minorHAnsi" w:eastAsiaTheme="minorEastAsia" w:hAnsiTheme="minorHAnsi" w:cstheme="minorBidi"/>
          <w:szCs w:val="22"/>
        </w:rPr>
      </w:pPr>
      <w:r>
        <w:t>17.</w:t>
      </w:r>
      <w:r>
        <w:tab/>
        <w:t>Enforcement of and other dealings with PPS security interests restricted in certain circumstances</w:t>
      </w:r>
      <w:r>
        <w:tab/>
      </w:r>
      <w:r>
        <w:fldChar w:fldCharType="begin"/>
      </w:r>
      <w:r>
        <w:instrText xml:space="preserve"> PAGEREF _Toc430611182 \h </w:instrText>
      </w:r>
      <w:r>
        <w:fldChar w:fldCharType="separate"/>
      </w:r>
      <w:r>
        <w:t>16</w:t>
      </w:r>
      <w:r>
        <w:fldChar w:fldCharType="end"/>
      </w:r>
    </w:p>
    <w:p>
      <w:pPr>
        <w:pStyle w:val="TOC8"/>
        <w:rPr>
          <w:rFonts w:asciiTheme="minorHAnsi" w:eastAsiaTheme="minorEastAsia" w:hAnsiTheme="minorHAnsi" w:cstheme="minorBidi"/>
          <w:szCs w:val="22"/>
        </w:rPr>
      </w:pPr>
      <w:r>
        <w:t>18.</w:t>
      </w:r>
      <w:r>
        <w:tab/>
        <w:t>Bills of sale records</w:t>
      </w:r>
      <w:r>
        <w:tab/>
      </w:r>
      <w:r>
        <w:fldChar w:fldCharType="begin"/>
      </w:r>
      <w:r>
        <w:instrText xml:space="preserve"> PAGEREF _Toc430611183 \h </w:instrText>
      </w:r>
      <w:r>
        <w:fldChar w:fldCharType="separate"/>
      </w:r>
      <w:r>
        <w:t>18</w:t>
      </w:r>
      <w:r>
        <w:fldChar w:fldCharType="end"/>
      </w:r>
    </w:p>
    <w:p>
      <w:pPr>
        <w:pStyle w:val="TOC8"/>
        <w:rPr>
          <w:rFonts w:asciiTheme="minorHAnsi" w:eastAsiaTheme="minorEastAsia" w:hAnsiTheme="minorHAnsi" w:cstheme="minorBidi"/>
          <w:szCs w:val="22"/>
        </w:rPr>
      </w:pPr>
      <w:r>
        <w:t>19.</w:t>
      </w:r>
      <w:r>
        <w:tab/>
        <w:t>Regulations for transitional matters</w:t>
      </w:r>
      <w:r>
        <w:tab/>
      </w:r>
      <w:r>
        <w:fldChar w:fldCharType="begin"/>
      </w:r>
      <w:r>
        <w:instrText xml:space="preserve"> PAGEREF _Toc430611184 \h </w:instrText>
      </w:r>
      <w:r>
        <w:fldChar w:fldCharType="separate"/>
      </w:r>
      <w:r>
        <w:t>19</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_Toc430611185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_Toc430611187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_Toc430611188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7728" behindDoc="0" locked="0" layoutInCell="1" allowOverlap="1">
            <wp:simplePos x="0" y="0"/>
            <wp:positionH relativeFrom="page">
              <wp:posOffset>3455670</wp:posOffset>
            </wp:positionH>
            <wp:positionV relativeFrom="page">
              <wp:posOffset>827405</wp:posOffset>
            </wp:positionV>
            <wp:extent cx="647700" cy="473710"/>
            <wp:effectExtent l="0" t="0" r="0" b="254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7700" cy="47371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
        <w:suppressLineNumbers/>
      </w:pPr>
      <w:r>
        <w:t>Personal Property Securities (Commonwealth Laws) Act 2011</w:t>
      </w:r>
    </w:p>
    <w:p>
      <w:pPr>
        <w:pStyle w:val="LongTitle"/>
        <w:suppressLineNumbers/>
        <w:rPr>
          <w:snapToGrid w:val="0"/>
        </w:rPr>
      </w:pPr>
      <w:bookmarkStart w:id="3" w:name="BillCited"/>
      <w:bookmarkEnd w:id="3"/>
      <w:r>
        <w:rPr>
          <w:snapToGrid w:val="0"/>
        </w:rPr>
        <w:t xml:space="preserve">An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22"/>
          <w:headerReference w:type="defaul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24221799"/>
      <w:bookmarkStart w:id="5" w:name="_Toc430611163"/>
      <w:r>
        <w:rPr>
          <w:rStyle w:val="CharPartNo"/>
        </w:rPr>
        <w:t>Part 1</w:t>
      </w:r>
      <w:r>
        <w:rPr>
          <w:rStyle w:val="CharDivNo"/>
        </w:rPr>
        <w:t> </w:t>
      </w:r>
      <w:r>
        <w:t>—</w:t>
      </w:r>
      <w:r>
        <w:rPr>
          <w:rStyle w:val="CharDivText"/>
        </w:rPr>
        <w:t> </w:t>
      </w:r>
      <w:r>
        <w:rPr>
          <w:rStyle w:val="CharPartText"/>
        </w:rPr>
        <w:t>Preliminary</w:t>
      </w:r>
      <w:bookmarkEnd w:id="4"/>
      <w:bookmarkEnd w:id="5"/>
    </w:p>
    <w:p>
      <w:pPr>
        <w:pStyle w:val="Heading5"/>
        <w:rPr>
          <w:snapToGrid w:val="0"/>
        </w:rPr>
      </w:pPr>
      <w:bookmarkStart w:id="6" w:name="_Toc430611164"/>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7" w:name="_Toc430611165"/>
      <w:r>
        <w:rPr>
          <w:rStyle w:val="CharSectno"/>
        </w:rPr>
        <w:t>2</w:t>
      </w:r>
      <w:r>
        <w:rPr>
          <w:snapToGrid w:val="0"/>
        </w:rPr>
        <w:t>.</w:t>
      </w:r>
      <w:r>
        <w:rPr>
          <w:snapToGrid w:val="0"/>
        </w:rPr>
        <w:tab/>
      </w:r>
      <w:r>
        <w:t>Commencement</w:t>
      </w:r>
      <w:bookmarkEnd w:id="7"/>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8" w:name="_Toc424221802"/>
      <w:bookmarkStart w:id="9" w:name="_Toc430611166"/>
      <w:r>
        <w:rPr>
          <w:rStyle w:val="CharPartNo"/>
        </w:rPr>
        <w:t>Part 2</w:t>
      </w:r>
      <w:r>
        <w:rPr>
          <w:rStyle w:val="CharDivNo"/>
        </w:rPr>
        <w:t> </w:t>
      </w:r>
      <w:r>
        <w:t>—</w:t>
      </w:r>
      <w:r>
        <w:rPr>
          <w:rStyle w:val="CharDivText"/>
        </w:rPr>
        <w:t> </w:t>
      </w:r>
      <w:r>
        <w:rPr>
          <w:rStyle w:val="CharPartText"/>
        </w:rPr>
        <w:t>Adoption and referral</w:t>
      </w:r>
      <w:bookmarkEnd w:id="8"/>
      <w:bookmarkEnd w:id="9"/>
    </w:p>
    <w:p>
      <w:pPr>
        <w:pStyle w:val="Heading5"/>
        <w:rPr>
          <w:snapToGrid w:val="0"/>
        </w:rPr>
      </w:pPr>
      <w:bookmarkStart w:id="10" w:name="_Toc430611167"/>
      <w:r>
        <w:rPr>
          <w:rStyle w:val="CharSectno"/>
        </w:rPr>
        <w:t>3</w:t>
      </w:r>
      <w:r>
        <w:rPr>
          <w:snapToGrid w:val="0"/>
        </w:rPr>
        <w:t>.</w:t>
      </w:r>
      <w:r>
        <w:rPr>
          <w:snapToGrid w:val="0"/>
        </w:rPr>
        <w:tab/>
        <w:t>Terms used</w:t>
      </w:r>
      <w:bookmarkEnd w:id="10"/>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11" w:name="_Toc430611168"/>
      <w:r>
        <w:rPr>
          <w:rStyle w:val="CharSectno"/>
        </w:rPr>
        <w:t>4</w:t>
      </w:r>
      <w:r>
        <w:t>.</w:t>
      </w:r>
      <w:r>
        <w:tab/>
        <w:t>Term used: referred PPS matters</w:t>
      </w:r>
      <w:bookmarkEnd w:id="11"/>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pPr>
      <w:r>
        <w:tab/>
        <w:t>(3)</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Heading5"/>
      </w:pPr>
      <w:bookmarkStart w:id="12" w:name="_Toc430611169"/>
      <w:r>
        <w:rPr>
          <w:rStyle w:val="CharSectno"/>
        </w:rPr>
        <w:t>5</w:t>
      </w:r>
      <w:r>
        <w:t>.</w:t>
      </w:r>
      <w:r>
        <w:tab/>
        <w:t>Term used: security interest</w:t>
      </w:r>
      <w:bookmarkEnd w:id="12"/>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13" w:name="_Toc430611170"/>
      <w:r>
        <w:rPr>
          <w:rStyle w:val="CharSectno"/>
        </w:rPr>
        <w:t>6</w:t>
      </w:r>
      <w:r>
        <w:t>.</w:t>
      </w:r>
      <w:r>
        <w:tab/>
        <w:t>Adoption of Commonwealth PPS Act</w:t>
      </w:r>
      <w:bookmarkEnd w:id="13"/>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14" w:name="_Toc430611171"/>
      <w:r>
        <w:rPr>
          <w:rStyle w:val="CharSectno"/>
        </w:rPr>
        <w:t>7</w:t>
      </w:r>
      <w:r>
        <w:t>.</w:t>
      </w:r>
      <w:r>
        <w:tab/>
        <w:t>Termination of adoption</w:t>
      </w:r>
      <w:bookmarkEnd w:id="14"/>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15" w:name="_Toc430611172"/>
      <w:r>
        <w:rPr>
          <w:rStyle w:val="CharSectno"/>
        </w:rPr>
        <w:t>8</w:t>
      </w:r>
      <w:r>
        <w:t>.</w:t>
      </w:r>
      <w:r>
        <w:tab/>
        <w:t>References of matters</w:t>
      </w:r>
      <w:bookmarkEnd w:id="15"/>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r>
        <w:rPr>
          <w:vertAlign w:val="superscript"/>
        </w:rPr>
        <w:t> 2</w:t>
      </w:r>
      <w:r>
        <w:t>.]</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16" w:name="_Toc430611173"/>
      <w:r>
        <w:rPr>
          <w:rStyle w:val="CharSectno"/>
        </w:rPr>
        <w:t>9</w:t>
      </w:r>
      <w:r>
        <w:t>.</w:t>
      </w:r>
      <w:r>
        <w:tab/>
        <w:t>Termination of references</w:t>
      </w:r>
      <w:bookmarkEnd w:id="16"/>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17" w:name="_Toc430611174"/>
      <w:r>
        <w:rPr>
          <w:rStyle w:val="CharSectno"/>
        </w:rPr>
        <w:t>10</w:t>
      </w:r>
      <w:r>
        <w:t>.</w:t>
      </w:r>
      <w:r>
        <w:tab/>
        <w:t>Amendment of Commonwealth law</w:t>
      </w:r>
      <w:bookmarkEnd w:id="17"/>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18" w:name="_Toc430611175"/>
      <w:r>
        <w:rPr>
          <w:rStyle w:val="CharSectno"/>
        </w:rPr>
        <w:t>11</w:t>
      </w:r>
      <w:r>
        <w:t>.</w:t>
      </w:r>
      <w:r>
        <w:tab/>
        <w:t>Effect of termination of amendment references before termination of adoption of Commonwealth PPS Act</w:t>
      </w:r>
      <w:bookmarkEnd w:id="18"/>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19" w:name="_Toc424221812"/>
      <w:bookmarkStart w:id="20" w:name="_Toc430611176"/>
      <w:r>
        <w:rPr>
          <w:rStyle w:val="CharPartNo"/>
        </w:rPr>
        <w:t>Part 3</w:t>
      </w:r>
      <w:r>
        <w:t> — </w:t>
      </w:r>
      <w:r>
        <w:rPr>
          <w:rStyle w:val="CharPartText"/>
        </w:rPr>
        <w:t>Consequential provisions</w:t>
      </w:r>
      <w:bookmarkEnd w:id="19"/>
      <w:bookmarkEnd w:id="20"/>
    </w:p>
    <w:p>
      <w:pPr>
        <w:pStyle w:val="Heading5"/>
      </w:pPr>
      <w:bookmarkStart w:id="21" w:name="_Toc430611177"/>
      <w:r>
        <w:rPr>
          <w:rStyle w:val="CharSectno"/>
        </w:rPr>
        <w:t>12</w:t>
      </w:r>
      <w:r>
        <w:t>.</w:t>
      </w:r>
      <w:r>
        <w:tab/>
        <w:t>Terms used</w:t>
      </w:r>
      <w:bookmarkEnd w:id="21"/>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pPr>
      <w:r>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22" w:name="_Toc430611178"/>
      <w:r>
        <w:rPr>
          <w:rStyle w:val="CharSectno"/>
        </w:rPr>
        <w:t>13</w:t>
      </w:r>
      <w:r>
        <w:t>.</w:t>
      </w:r>
      <w:r>
        <w:tab/>
        <w:t>Provision of information to the Commonwealth</w:t>
      </w:r>
      <w:bookmarkEnd w:id="22"/>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23" w:name="_Toc430611179"/>
      <w:r>
        <w:rPr>
          <w:rStyle w:val="CharSectno"/>
        </w:rPr>
        <w:t>14</w:t>
      </w:r>
      <w:r>
        <w:t>.</w:t>
      </w:r>
      <w:r>
        <w:tab/>
        <w:t>Compensation not payable in respect of PPS transitional matters</w:t>
      </w:r>
      <w:bookmarkEnd w:id="23"/>
    </w:p>
    <w:p>
      <w:pPr>
        <w:pStyle w:val="Subsection"/>
      </w:pPr>
      <w:r>
        <w:tab/>
        <w:t>(1)</w:t>
      </w:r>
      <w:r>
        <w:tab/>
        <w:t xml:space="preserve">Compensation is not payable by or on behalf of — </w:t>
      </w:r>
    </w:p>
    <w:p>
      <w:pPr>
        <w:pStyle w:val="Indenta"/>
      </w:pPr>
      <w:r>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24" w:name="_Toc430611180"/>
      <w:r>
        <w:rPr>
          <w:rStyle w:val="CharSectno"/>
        </w:rPr>
        <w:t>15</w:t>
      </w:r>
      <w:r>
        <w:t>.</w:t>
      </w:r>
      <w:r>
        <w:tab/>
        <w:t>Implied power to make declaration that licence etc. not personal property</w:t>
      </w:r>
      <w:bookmarkEnd w:id="24"/>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pPr>
      <w:bookmarkStart w:id="25" w:name="_Toc430611181"/>
      <w:r>
        <w:rPr>
          <w:rStyle w:val="CharSectno"/>
        </w:rPr>
        <w:t>16</w:t>
      </w:r>
      <w:r>
        <w:t>.</w:t>
      </w:r>
      <w:r>
        <w:tab/>
        <w:t>References to charges and fixed and floating charges</w:t>
      </w:r>
      <w:bookmarkEnd w:id="25"/>
    </w:p>
    <w:p>
      <w:pPr>
        <w:pStyle w:val="Subsection"/>
      </w:pPr>
      <w:r>
        <w:tab/>
        <w:t>(1)</w:t>
      </w:r>
      <w:r>
        <w:tab/>
        <w:t xml:space="preserve">This section applies in relation to a reference to a charge, a fixed charge, or a floating charge, over property in a law of this State, or in a security agreement, but only to the extent that — </w:t>
      </w:r>
    </w:p>
    <w:p>
      <w:pPr>
        <w:pStyle w:val="Indenta"/>
      </w:pPr>
      <w:r>
        <w:tab/>
        <w:t>(a)</w:t>
      </w:r>
      <w:r>
        <w:tab/>
        <w:t>the charge referred to has attached to personal property; and</w:t>
      </w:r>
    </w:p>
    <w:p>
      <w:pPr>
        <w:pStyle w:val="Indenta"/>
      </w:pPr>
      <w:r>
        <w:tab/>
        <w:t>(b)</w:t>
      </w:r>
      <w:r>
        <w:tab/>
        <w:t>the title to the personal property to which the charge has attached is in the grantor.</w:t>
      </w:r>
    </w:p>
    <w:p>
      <w:pPr>
        <w:pStyle w:val="Subsection"/>
      </w:pPr>
      <w:r>
        <w:tab/>
        <w:t>(2)</w:t>
      </w:r>
      <w:r>
        <w:tab/>
        <w:t xml:space="preserve">This section does not apply in relation to — </w:t>
      </w:r>
    </w:p>
    <w:p>
      <w:pPr>
        <w:pStyle w:val="Indenta"/>
      </w:pPr>
      <w:r>
        <w:tab/>
        <w:t>(a)</w:t>
      </w:r>
      <w:r>
        <w:tab/>
        <w:t xml:space="preserve">the </w:t>
      </w:r>
      <w:r>
        <w:rPr>
          <w:i/>
          <w:iCs/>
        </w:rPr>
        <w:t>Personal Property Securities Act 2009</w:t>
      </w:r>
      <w:r>
        <w:t xml:space="preserve"> (Commonwealth) section 12(2)(a) and (b) or 19(4); or</w:t>
      </w:r>
    </w:p>
    <w:p>
      <w:pPr>
        <w:pStyle w:val="Indenta"/>
      </w:pPr>
      <w:r>
        <w:tab/>
        <w:t>(b)</w:t>
      </w:r>
      <w:r>
        <w:tab/>
        <w:t>a reference to a charge, a fixed charge or a floating charge, if the charge referred to is a perfected security interest that is provided for by a transfer of an account or chattel paper.</w:t>
      </w:r>
    </w:p>
    <w:p>
      <w:pPr>
        <w:pStyle w:val="Subsection"/>
      </w:pPr>
      <w:r>
        <w:tab/>
        <w:t>(3)</w:t>
      </w:r>
      <w:r>
        <w:tab/>
        <w:t xml:space="preserve">A reference to a charge over property is taken to be a reference to a security interest that has attached to — </w:t>
      </w:r>
    </w:p>
    <w:p>
      <w:pPr>
        <w:pStyle w:val="Indenta"/>
      </w:pPr>
      <w:r>
        <w:tab/>
        <w:t>(a)</w:t>
      </w:r>
      <w:r>
        <w:tab/>
        <w:t>a circulating asset; or</w:t>
      </w:r>
    </w:p>
    <w:p>
      <w:pPr>
        <w:pStyle w:val="Indenta"/>
      </w:pPr>
      <w:r>
        <w:tab/>
        <w:t>(b)</w:t>
      </w:r>
      <w:r>
        <w:tab/>
        <w:t>personal property that is not a circulating asset.</w:t>
      </w:r>
    </w:p>
    <w:p>
      <w:pPr>
        <w:pStyle w:val="Subsection"/>
      </w:pPr>
      <w:r>
        <w:tab/>
        <w:t>(4)</w:t>
      </w:r>
      <w:r>
        <w:tab/>
        <w:t>A reference to a fixed charge over property is taken to be a reference to a security interest that has attached to personal property that is not a circulating asset.</w:t>
      </w:r>
    </w:p>
    <w:p>
      <w:pPr>
        <w:pStyle w:val="Subsection"/>
      </w:pPr>
      <w:r>
        <w:tab/>
        <w:t>(5)</w:t>
      </w:r>
      <w:r>
        <w:tab/>
        <w:t>A reference to a floating charge over property is taken to be a reference to a security interest that has attached to a circulating asset.</w:t>
      </w:r>
    </w:p>
    <w:p>
      <w:pPr>
        <w:pStyle w:val="Heading5"/>
      </w:pPr>
      <w:bookmarkStart w:id="26" w:name="_Toc430611182"/>
      <w:r>
        <w:rPr>
          <w:rStyle w:val="CharSectno"/>
        </w:rPr>
        <w:t>17</w:t>
      </w:r>
      <w:r>
        <w:t>.</w:t>
      </w:r>
      <w:r>
        <w:tab/>
        <w:t>Enforcement of and other dealings with PPS security interests restricted in certain circumstances</w:t>
      </w:r>
      <w:bookmarkEnd w:id="26"/>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Rail Safety Act 2010</w:t>
      </w:r>
      <w:r>
        <w:t>;</w:t>
      </w:r>
    </w:p>
    <w:p>
      <w:pPr>
        <w:pStyle w:val="Defpara"/>
      </w:pPr>
      <w:r>
        <w:tab/>
        <w:t>(e)</w:t>
      </w:r>
      <w:r>
        <w:tab/>
        <w:t xml:space="preserve">the </w:t>
      </w:r>
      <w:r>
        <w:rPr>
          <w:i/>
        </w:rPr>
        <w:t>Residential Parks (Long</w:t>
      </w:r>
      <w:r>
        <w:rPr>
          <w:i/>
        </w:rPr>
        <w:noBreakHyphen/>
        <w:t>stay Tenants) Act 2006</w:t>
      </w:r>
      <w:r>
        <w:t>;</w:t>
      </w:r>
    </w:p>
    <w:p>
      <w:pPr>
        <w:pStyle w:val="Defpara"/>
      </w:pPr>
      <w:r>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tab/>
        <w:t>(i)</w:t>
      </w:r>
      <w:r>
        <w:tab/>
        <w:t xml:space="preserve">the </w:t>
      </w:r>
      <w:r>
        <w:rPr>
          <w:i/>
        </w:rPr>
        <w:t>Western Australian Marine Act 1982</w:t>
      </w:r>
      <w:r>
        <w:rPr>
          <w:iCs/>
        </w:rPr>
        <w:t xml:space="preserve"> section 62</w:t>
      </w:r>
      <w:r>
        <w:t>;</w:t>
      </w:r>
    </w:p>
    <w:p>
      <w:pPr>
        <w:pStyle w:val="Defpara"/>
      </w:pPr>
      <w:r>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pPr>
      <w:r>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tab/>
        <w:t>(b)</w:t>
      </w:r>
      <w:r>
        <w:tab/>
        <w:t xml:space="preserve">affect the meaning or operation of a relevant State property law to the extent that the law would (even if 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Heading5"/>
      </w:pPr>
      <w:bookmarkStart w:id="27" w:name="_Toc430611183"/>
      <w:r>
        <w:rPr>
          <w:rStyle w:val="CharSectno"/>
        </w:rPr>
        <w:t>18</w:t>
      </w:r>
      <w:r>
        <w:t>.</w:t>
      </w:r>
      <w:r>
        <w:tab/>
        <w:t>Bills of sale records</w:t>
      </w:r>
      <w:bookmarkEnd w:id="27"/>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pPr>
      <w:r>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tab/>
      </w:r>
      <w:r>
        <w:tab/>
        <w:t>on payment of the prescribed fee, if any.</w:t>
      </w:r>
    </w:p>
    <w:p>
      <w:pPr>
        <w:pStyle w:val="Subsection"/>
      </w:pPr>
      <w:r>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28" w:name="_Toc430611184"/>
      <w:r>
        <w:rPr>
          <w:rStyle w:val="CharSectno"/>
        </w:rPr>
        <w:t>19</w:t>
      </w:r>
      <w:r>
        <w:t>.</w:t>
      </w:r>
      <w:r>
        <w:tab/>
        <w:t>Regulations for transitional matters</w:t>
      </w:r>
      <w:bookmarkEnd w:id="28"/>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Heading5"/>
      </w:pPr>
      <w:bookmarkStart w:id="29" w:name="_Toc430611185"/>
      <w:r>
        <w:rPr>
          <w:rStyle w:val="CharSectno"/>
        </w:rPr>
        <w:t>20</w:t>
      </w:r>
      <w:r>
        <w:t>.</w:t>
      </w:r>
      <w:r>
        <w:tab/>
        <w:t>Regulations</w:t>
      </w:r>
      <w:bookmarkEnd w:id="2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30" w:name="_Toc424221822"/>
      <w:bookmarkStart w:id="31" w:name="_Toc430611186"/>
      <w:r>
        <w:t>Notes</w:t>
      </w:r>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Personal Property Securities (Commonwealth Laws) Act 2011</w:t>
      </w:r>
      <w:r>
        <w:rPr>
          <w:noProof/>
          <w:snapToGrid w:val="0"/>
        </w:rPr>
        <w:t xml:space="preserve">. </w:t>
      </w:r>
      <w:r>
        <w:rPr>
          <w:snapToGrid w:val="0"/>
        </w:rPr>
        <w:t xml:space="preserve"> The following table contains information about that Act</w:t>
      </w:r>
      <w:r>
        <w:rPr>
          <w:snapToGrid w:val="0"/>
          <w:vertAlign w:val="superscript"/>
        </w:rPr>
        <w:t> 1a</w:t>
      </w:r>
      <w:r>
        <w:rPr>
          <w:snapToGrid w:val="0"/>
        </w:rPr>
        <w:t>.</w:t>
      </w:r>
    </w:p>
    <w:p>
      <w:pPr>
        <w:pStyle w:val="nHeading3"/>
      </w:pPr>
      <w:bookmarkStart w:id="32" w:name="_Toc430611187"/>
      <w: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bottom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bottom w:val="single" w:sz="8" w:space="0" w:color="auto"/>
            </w:tcBorders>
          </w:tcPr>
          <w:p>
            <w:pPr>
              <w:pStyle w:val="nTable"/>
              <w:spacing w:after="40"/>
            </w:pPr>
            <w:r>
              <w:t>41 of 2011</w:t>
            </w:r>
          </w:p>
        </w:tc>
        <w:tc>
          <w:tcPr>
            <w:tcW w:w="1134" w:type="dxa"/>
            <w:tcBorders>
              <w:top w:val="single" w:sz="8" w:space="0" w:color="auto"/>
              <w:bottom w:val="single" w:sz="8" w:space="0" w:color="auto"/>
            </w:tcBorders>
          </w:tcPr>
          <w:p>
            <w:pPr>
              <w:pStyle w:val="nTable"/>
              <w:spacing w:after="40"/>
            </w:pPr>
            <w:r>
              <w:t>4 Oct 2011</w:t>
            </w:r>
          </w:p>
        </w:tc>
        <w:tc>
          <w:tcPr>
            <w:tcW w:w="2552" w:type="dxa"/>
            <w:tcBorders>
              <w:top w:val="single" w:sz="8" w:space="0" w:color="auto"/>
              <w:bottom w:val="single" w:sz="8" w:space="0" w:color="auto"/>
            </w:tcBorders>
          </w:tcPr>
          <w:p>
            <w:pPr>
              <w:pStyle w:val="nTable"/>
              <w:spacing w:after="40"/>
            </w:pPr>
            <w:r>
              <w:t>Pt. 1: 4 Oct 2011 (see s. 2(1)(a));</w:t>
            </w:r>
            <w:r>
              <w:br/>
              <w:t>Act other than s. 1, 2, 8(2) and (3) and 16: 5 Oct 2011 (see s. 2(1)(b))</w:t>
            </w:r>
            <w:r>
              <w:br/>
              <w:t>s. 16: 30 Jan 2012 (see s. 2(1)(c) and Cwlth Legislative Instrument No. F2011L02397 cl. 5 registered 21 Nov 2011)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 w:name="_Toc430611188"/>
      <w:r>
        <w:rPr>
          <w:snapToGrid w:val="0"/>
        </w:rPr>
        <w:t>Provisions that have not come into operation</w:t>
      </w:r>
      <w:bookmarkEnd w:id="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rPr>
            </w:pPr>
            <w:r>
              <w:rPr>
                <w:i/>
              </w:rPr>
              <w:t>Personal Property Securities (Commonwealth Laws) Act 2011</w:t>
            </w:r>
            <w:r>
              <w:t xml:space="preserve"> s. 8(2) and (3)</w:t>
            </w:r>
            <w:r>
              <w:rPr>
                <w:vertAlign w:val="superscript"/>
              </w:rPr>
              <w:t> 2</w:t>
            </w:r>
          </w:p>
        </w:tc>
        <w:tc>
          <w:tcPr>
            <w:tcW w:w="1118" w:type="dxa"/>
            <w:tcBorders>
              <w:bottom w:val="nil"/>
            </w:tcBorders>
          </w:tcPr>
          <w:p>
            <w:pPr>
              <w:pStyle w:val="nTable"/>
              <w:spacing w:after="40"/>
              <w:rPr>
                <w:snapToGrid w:val="0"/>
              </w:rPr>
            </w:pPr>
            <w:r>
              <w:rPr>
                <w:snapToGrid w:val="0"/>
              </w:rPr>
              <w:t>41 of 2011</w:t>
            </w:r>
          </w:p>
        </w:tc>
        <w:tc>
          <w:tcPr>
            <w:tcW w:w="1134" w:type="dxa"/>
            <w:tcBorders>
              <w:bottom w:val="nil"/>
            </w:tcBorders>
          </w:tcPr>
          <w:p>
            <w:pPr>
              <w:pStyle w:val="nTable"/>
              <w:spacing w:after="40"/>
              <w:rPr>
                <w:snapToGrid w:val="0"/>
              </w:rPr>
            </w:pPr>
            <w:r>
              <w:t>4 Oct 2011</w:t>
            </w:r>
          </w:p>
        </w:tc>
        <w:tc>
          <w:tcPr>
            <w:tcW w:w="2552" w:type="dxa"/>
            <w:tcBorders>
              <w:bottom w:val="nil"/>
            </w:tcBorders>
          </w:tcPr>
          <w:p>
            <w:pPr>
              <w:pStyle w:val="nTable"/>
              <w:spacing w:after="40"/>
              <w:rPr>
                <w:snapToGrid w:val="0"/>
              </w:rPr>
            </w:pPr>
            <w:r>
              <w:rPr>
                <w:snapToGrid w:val="0"/>
              </w:rPr>
              <w:t>s. 8(2) and (3): to be proclaimed (see s. 2(1)(d) and 2(2))</w:t>
            </w:r>
          </w:p>
        </w:tc>
      </w:tr>
      <w:tr>
        <w:tc>
          <w:tcPr>
            <w:tcW w:w="2268" w:type="dxa"/>
            <w:tcBorders>
              <w:top w:val="nil"/>
              <w:bottom w:val="single" w:sz="4" w:space="0" w:color="auto"/>
            </w:tcBorders>
          </w:tcPr>
          <w:p>
            <w:pPr>
              <w:pStyle w:val="nTable"/>
              <w:spacing w:after="40"/>
              <w:rPr>
                <w:i/>
              </w:rPr>
            </w:pPr>
            <w:r>
              <w:rPr>
                <w:i/>
              </w:rPr>
              <w:t>Rail Safety National Law (WA) Act 2015</w:t>
            </w:r>
            <w:r>
              <w:t xml:space="preserve"> Pt. 5 </w:t>
            </w:r>
            <w:r>
              <w:rPr>
                <w:vertAlign w:val="superscript"/>
              </w:rPr>
              <w:t>3</w:t>
            </w:r>
          </w:p>
        </w:tc>
        <w:tc>
          <w:tcPr>
            <w:tcW w:w="1118" w:type="dxa"/>
            <w:tcBorders>
              <w:top w:val="nil"/>
              <w:bottom w:val="single" w:sz="4" w:space="0" w:color="auto"/>
            </w:tcBorders>
          </w:tcPr>
          <w:p>
            <w:pPr>
              <w:pStyle w:val="nTable"/>
              <w:spacing w:after="40"/>
              <w:rPr>
                <w:snapToGrid w:val="0"/>
              </w:rPr>
            </w:pPr>
            <w:r>
              <w:t>21 of 2015</w:t>
            </w:r>
          </w:p>
        </w:tc>
        <w:tc>
          <w:tcPr>
            <w:tcW w:w="1134" w:type="dxa"/>
            <w:tcBorders>
              <w:top w:val="nil"/>
              <w:bottom w:val="single" w:sz="4" w:space="0" w:color="auto"/>
            </w:tcBorders>
          </w:tcPr>
          <w:p>
            <w:pPr>
              <w:pStyle w:val="nTable"/>
              <w:spacing w:after="40"/>
            </w:pPr>
            <w:r>
              <w:t>17 Sep 2015</w:t>
            </w:r>
          </w:p>
        </w:tc>
        <w:tc>
          <w:tcPr>
            <w:tcW w:w="2552" w:type="dxa"/>
            <w:tcBorders>
              <w:top w:val="nil"/>
              <w:bottom w:val="single" w:sz="4" w:space="0" w:color="auto"/>
            </w:tcBorders>
          </w:tcPr>
          <w:p>
            <w:pPr>
              <w:pStyle w:val="nTable"/>
              <w:spacing w:after="40"/>
              <w:rPr>
                <w:snapToGrid w:val="0"/>
              </w:rPr>
            </w:pPr>
            <w: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Personal Property Securities (Commonwealth Laws) Act 2011</w:t>
      </w:r>
      <w:r>
        <w:rPr>
          <w:snapToGrid w:val="0"/>
        </w:rPr>
        <w:t xml:space="preserve"> s. 8(2) and (3) had not come into operation.  They read as follows:</w:t>
      </w:r>
    </w:p>
    <w:p>
      <w:pPr>
        <w:pStyle w:val="BlankOpen"/>
      </w:pPr>
    </w:p>
    <w:p>
      <w:pPr>
        <w:pStyle w:val="nzHeading5"/>
      </w:pPr>
      <w:r>
        <w:rPr>
          <w:rStyle w:val="CharSectno"/>
        </w:rPr>
        <w:t>8</w:t>
      </w:r>
      <w:r>
        <w:t>.</w:t>
      </w:r>
      <w:r>
        <w:tab/>
        <w:t>References of matters</w:t>
      </w:r>
    </w:p>
    <w:p>
      <w:pPr>
        <w:pStyle w:val="nzSubsection"/>
      </w:pPr>
      <w:r>
        <w:tab/>
        <w:t>(2)</w:t>
      </w:r>
      <w:r>
        <w:tab/>
        <w:t>The referred PPS matters in relation to fixtures are referred to the Parliament of the Commonwealth on the day on which this subsection commences, but only to the extent of the making of laws with respect to those matters in relation to fixtures by making express amendments of the Commonwealth PPS Act.</w:t>
      </w:r>
    </w:p>
    <w:p>
      <w:pPr>
        <w:pStyle w:val="nzSubsection"/>
      </w:pPr>
      <w:r>
        <w:tab/>
        <w:t>(3)</w:t>
      </w:r>
      <w:r>
        <w:tab/>
        <w:t>The referred PPS matters in relation to transferable water rights are referred to the Parliament of the Commonwealth on the day on which this subsection commences, but only to the extent of the making of laws with respect to those matters in relation to such water rights by making express amendments of the Commonwealth PPS Act.</w:t>
      </w:r>
    </w:p>
    <w:p>
      <w:pPr>
        <w:pStyle w:val="BlankClose"/>
      </w:pPr>
    </w:p>
    <w:p>
      <w:pPr>
        <w:pStyle w:val="nSubsection"/>
      </w:pPr>
      <w:r>
        <w:rPr>
          <w:vertAlign w:val="superscript"/>
        </w:rPr>
        <w:t>3</w:t>
      </w:r>
      <w:r>
        <w:tab/>
        <w:t xml:space="preserve">On the date as at which this compilation was prepared, the </w:t>
      </w:r>
      <w:r>
        <w:rPr>
          <w:i/>
        </w:rPr>
        <w:t>Rail Safety National Law (WA) Act 2015</w:t>
      </w:r>
      <w:r>
        <w:t xml:space="preserve"> Pt. 5 had not come into operation.  It reads as follows:</w:t>
      </w:r>
    </w:p>
    <w:p>
      <w:pPr>
        <w:pStyle w:val="BlankOpen"/>
      </w:pPr>
    </w:p>
    <w:p>
      <w:pPr>
        <w:pStyle w:val="nzHeading2"/>
      </w:pPr>
      <w:bookmarkStart w:id="34" w:name="_Toc391301407"/>
      <w:bookmarkStart w:id="35" w:name="_Toc391301841"/>
      <w:bookmarkStart w:id="36" w:name="_Toc391302275"/>
      <w:bookmarkStart w:id="37" w:name="_Toc391302709"/>
      <w:bookmarkStart w:id="38" w:name="_Toc391306941"/>
      <w:bookmarkStart w:id="39" w:name="_Toc391366211"/>
      <w:bookmarkStart w:id="40" w:name="_Toc391994425"/>
      <w:bookmarkStart w:id="41" w:name="_Toc391995620"/>
      <w:bookmarkStart w:id="42" w:name="_Toc395025433"/>
      <w:bookmarkStart w:id="43" w:name="_Toc395090974"/>
      <w:bookmarkStart w:id="44" w:name="_Toc395102452"/>
      <w:bookmarkStart w:id="45" w:name="_Toc427845828"/>
      <w:bookmarkStart w:id="46" w:name="_Toc427846262"/>
      <w:bookmarkStart w:id="47" w:name="_Toc427846696"/>
      <w:bookmarkStart w:id="48" w:name="_Toc427847327"/>
      <w:bookmarkStart w:id="49" w:name="_Toc427847822"/>
      <w:bookmarkStart w:id="50" w:name="_Toc427849396"/>
      <w:bookmarkStart w:id="51" w:name="_Toc428521026"/>
      <w:bookmarkStart w:id="52" w:name="_Toc428522176"/>
      <w:bookmarkStart w:id="53" w:name="_Toc429561046"/>
      <w:bookmarkStart w:id="54" w:name="_Toc430343931"/>
      <w:bookmarkStart w:id="55" w:name="_Toc430351985"/>
      <w:r>
        <w:rPr>
          <w:rStyle w:val="CharPartNo"/>
        </w:rPr>
        <w:t>Part 5</w:t>
      </w:r>
      <w:r>
        <w:rPr>
          <w:rStyle w:val="CharDivNo"/>
        </w:rPr>
        <w:t> </w:t>
      </w:r>
      <w:r>
        <w:t>—</w:t>
      </w:r>
      <w:r>
        <w:rPr>
          <w:rStyle w:val="CharDivText"/>
        </w:rPr>
        <w:t> </w:t>
      </w:r>
      <w:r>
        <w:rPr>
          <w:rStyle w:val="CharPartText"/>
        </w:rPr>
        <w:t>Consequential amendments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nzHeading5"/>
      </w:pPr>
      <w:bookmarkStart w:id="56" w:name="_Toc430343932"/>
      <w:bookmarkStart w:id="57" w:name="_Toc430351986"/>
      <w:r>
        <w:rPr>
          <w:rStyle w:val="CharSectno"/>
        </w:rPr>
        <w:t>50</w:t>
      </w:r>
      <w:r>
        <w:t>.</w:t>
      </w:r>
      <w:r>
        <w:tab/>
        <w:t>Various references to “</w:t>
      </w:r>
      <w:r>
        <w:rPr>
          <w:i/>
        </w:rPr>
        <w:t>Rail Safety Act 2010</w:t>
      </w:r>
      <w:r>
        <w:t>” amended</w:t>
      </w:r>
      <w:bookmarkEnd w:id="56"/>
      <w:bookmarkEnd w:id="57"/>
    </w:p>
    <w:p>
      <w:pPr>
        <w:pStyle w:val="nzSubsection"/>
      </w:pPr>
      <w:r>
        <w:tab/>
        <w:t>(1)</w:t>
      </w:r>
      <w:r>
        <w:tab/>
        <w:t>This section amends the Acts listed in the Table.</w:t>
      </w:r>
    </w:p>
    <w:p>
      <w:pPr>
        <w:pStyle w:val="nzSubsection"/>
      </w:pPr>
      <w:r>
        <w:tab/>
        <w:t>(2)</w:t>
      </w:r>
      <w:r>
        <w:tab/>
        <w:t>In the provisions listed in the Table delete “</w:t>
      </w:r>
      <w:r>
        <w:rPr>
          <w:i/>
        </w:rPr>
        <w:t>Rail Safety Act 2010</w:t>
      </w:r>
      <w:r>
        <w:t>” and insert:</w:t>
      </w:r>
    </w:p>
    <w:p>
      <w:pPr>
        <w:pStyle w:val="BlankOpen"/>
      </w:pPr>
    </w:p>
    <w:p>
      <w:pPr>
        <w:pStyle w:val="nzSubsection"/>
      </w:pPr>
      <w:r>
        <w:tab/>
      </w:r>
      <w:r>
        <w:tab/>
      </w:r>
      <w:r>
        <w:rPr>
          <w:i/>
        </w:rPr>
        <w:t>Rail Safety National Law (WA) Act 2015</w:t>
      </w:r>
    </w:p>
    <w:p>
      <w:pPr>
        <w:pStyle w:val="BlankClose"/>
      </w:pPr>
    </w:p>
    <w:p>
      <w:pPr>
        <w:pStyle w:val="THeading"/>
      </w:pPr>
      <w:r>
        <w:t>Table</w:t>
      </w:r>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trPr>
        <w:tc>
          <w:tcPr>
            <w:tcW w:w="2555" w:type="dxa"/>
          </w:tcPr>
          <w:p>
            <w:pPr>
              <w:pStyle w:val="TableAm"/>
              <w:rPr>
                <w:i/>
                <w:iCs/>
              </w:rPr>
            </w:pPr>
            <w:r>
              <w:rPr>
                <w:i/>
                <w:iCs/>
              </w:rPr>
              <w:t>Personal Property Securities (Commonwealth Laws) Act 2011</w:t>
            </w:r>
          </w:p>
        </w:tc>
        <w:tc>
          <w:tcPr>
            <w:tcW w:w="2545" w:type="dxa"/>
          </w:tcPr>
          <w:p>
            <w:pPr>
              <w:pStyle w:val="BlankClose"/>
              <w:keepLines w:val="0"/>
              <w:tabs>
                <w:tab w:val="left" w:pos="567"/>
              </w:tabs>
              <w:spacing w:before="120"/>
              <w:jc w:val="left"/>
            </w:pPr>
            <w:r>
              <w:t xml:space="preserve">s. 17(1) def. of </w:t>
            </w:r>
            <w:r>
              <w:rPr>
                <w:b/>
                <w:i/>
              </w:rPr>
              <w:t>relevant State property law</w:t>
            </w:r>
            <w:r>
              <w:t xml:space="preserve"> par. (d)</w:t>
            </w:r>
          </w:p>
        </w:tc>
      </w:tr>
    </w:tbl>
    <w:p>
      <w:pPr>
        <w:pStyle w:val="BlankClose"/>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59" w:name="_Toc430611189"/>
      <w:r>
        <w:rPr>
          <w:sz w:val="28"/>
        </w:rPr>
        <w:t>Defined terms</w:t>
      </w:r>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w:t>
      </w:r>
    </w:p>
    <w:p>
      <w:pPr>
        <w:pStyle w:val="DefinedTerms"/>
      </w:pPr>
      <w:r>
        <w:t>amendment reference</w:t>
      </w:r>
      <w:r>
        <w:tab/>
        <w:t>3</w:t>
      </w:r>
    </w:p>
    <w:p>
      <w:pPr>
        <w:pStyle w:val="DefinedTerms"/>
      </w:pPr>
      <w:r>
        <w:t>chattel paper</w:t>
      </w:r>
      <w:r>
        <w:tab/>
        <w:t>5(4)</w:t>
      </w:r>
    </w:p>
    <w:p>
      <w:pPr>
        <w:pStyle w:val="DefinedTerms"/>
      </w:pPr>
      <w:r>
        <w:t>commencement day</w:t>
      </w:r>
      <w:r>
        <w:tab/>
        <w:t>19(1)</w:t>
      </w:r>
    </w:p>
    <w:p>
      <w:pPr>
        <w:pStyle w:val="DefinedTerms"/>
      </w:pPr>
      <w:r>
        <w:t>Commissioner</w:t>
      </w:r>
      <w:r>
        <w:tab/>
        <w:t>12(1)</w:t>
      </w:r>
    </w:p>
    <w:p>
      <w:pPr>
        <w:pStyle w:val="DefinedTerms"/>
      </w:pPr>
      <w:r>
        <w:t>Commonwealth PPS Act</w:t>
      </w:r>
      <w:r>
        <w:tab/>
        <w:t>3, 12(1)</w:t>
      </w:r>
    </w:p>
    <w:p>
      <w:pPr>
        <w:pStyle w:val="DefinedTerms"/>
      </w:pPr>
      <w:r>
        <w:t>Commonwealth PPS instrument</w:t>
      </w:r>
      <w:r>
        <w:tab/>
        <w:t>3</w:t>
      </w:r>
    </w:p>
    <w:p>
      <w:pPr>
        <w:pStyle w:val="DefinedTerms"/>
      </w:pPr>
      <w:r>
        <w:t>compensation</w:t>
      </w:r>
      <w:r>
        <w:tab/>
        <w:t>12(1)</w:t>
      </w:r>
    </w:p>
    <w:p>
      <w:pPr>
        <w:pStyle w:val="DefinedTerms"/>
      </w:pPr>
      <w:r>
        <w:t>crops</w:t>
      </w:r>
      <w:r>
        <w:tab/>
        <w:t>3</w:t>
      </w:r>
    </w:p>
    <w:p>
      <w:pPr>
        <w:pStyle w:val="DefinedTerms"/>
      </w:pPr>
      <w:r>
        <w:t>excluded State statutory right</w:t>
      </w:r>
      <w:r>
        <w:tab/>
        <w:t>3</w:t>
      </w:r>
    </w:p>
    <w:p>
      <w:pPr>
        <w:pStyle w:val="DefinedTerms"/>
      </w:pPr>
      <w:r>
        <w:t>express amendment</w:t>
      </w:r>
      <w:r>
        <w:tab/>
        <w:t>3</w:t>
      </w:r>
    </w:p>
    <w:p>
      <w:pPr>
        <w:pStyle w:val="DefinedTerms"/>
      </w:pPr>
      <w:r>
        <w:t>fixtures</w:t>
      </w:r>
      <w:r>
        <w:tab/>
        <w:t>3</w:t>
      </w:r>
    </w:p>
    <w:p>
      <w:pPr>
        <w:pStyle w:val="DefinedTerms"/>
      </w:pPr>
      <w:r>
        <w:t>forfeiture</w:t>
      </w:r>
      <w:r>
        <w:tab/>
        <w:t>4(3)</w:t>
      </w:r>
    </w:p>
    <w:p>
      <w:pPr>
        <w:pStyle w:val="DefinedTerms"/>
      </w:pPr>
      <w:r>
        <w:t>Gazettal day</w:t>
      </w:r>
      <w:r>
        <w:tab/>
        <w:t>19(1)</w:t>
      </w:r>
    </w:p>
    <w:p>
      <w:pPr>
        <w:pStyle w:val="DefinedTerms"/>
      </w:pPr>
      <w:r>
        <w:t>general law</w:t>
      </w:r>
      <w:r>
        <w:tab/>
        <w:t>3</w:t>
      </w:r>
    </w:p>
    <w:p>
      <w:pPr>
        <w:pStyle w:val="DefinedTerms"/>
      </w:pPr>
      <w:r>
        <w:t>goods</w:t>
      </w:r>
      <w:r>
        <w:tab/>
        <w:t>3</w:t>
      </w:r>
    </w:p>
    <w:p>
      <w:pPr>
        <w:pStyle w:val="DefinedTerms"/>
      </w:pPr>
      <w:r>
        <w:t>interest</w:t>
      </w:r>
      <w:r>
        <w:tab/>
        <w:t>3</w:t>
      </w:r>
    </w:p>
    <w:p>
      <w:pPr>
        <w:pStyle w:val="DefinedTerms"/>
      </w:pPr>
      <w:r>
        <w:t>land</w:t>
      </w:r>
      <w:r>
        <w:tab/>
        <w:t>3</w:t>
      </w:r>
    </w:p>
    <w:p>
      <w:pPr>
        <w:pStyle w:val="DefinedTerms"/>
      </w:pPr>
      <w:r>
        <w:t>law of the State</w:t>
      </w:r>
      <w:r>
        <w:tab/>
        <w:t>3</w:t>
      </w:r>
    </w:p>
    <w:p>
      <w:pPr>
        <w:pStyle w:val="DefinedTerms"/>
      </w:pPr>
      <w:r>
        <w:t>licence</w:t>
      </w:r>
      <w:r>
        <w:tab/>
        <w:t>3</w:t>
      </w:r>
    </w:p>
    <w:p>
      <w:pPr>
        <w:pStyle w:val="DefinedTerms"/>
      </w:pPr>
      <w:r>
        <w:t>operative day</w:t>
      </w:r>
      <w:r>
        <w:tab/>
        <w:t>19(4)</w:t>
      </w:r>
    </w:p>
    <w:p>
      <w:pPr>
        <w:pStyle w:val="DefinedTerms"/>
      </w:pPr>
      <w:r>
        <w:t>order</w:t>
      </w:r>
      <w:r>
        <w:tab/>
        <w:t>17(1)</w:t>
      </w:r>
    </w:p>
    <w:p>
      <w:pPr>
        <w:pStyle w:val="DefinedTerms"/>
      </w:pPr>
      <w:r>
        <w:t>personal property</w:t>
      </w:r>
      <w:r>
        <w:tab/>
        <w:t>3</w:t>
      </w:r>
    </w:p>
    <w:p>
      <w:pPr>
        <w:pStyle w:val="DefinedTerms"/>
      </w:pPr>
      <w:r>
        <w:t>PPS Register</w:t>
      </w:r>
      <w:r>
        <w:tab/>
        <w:t>12(1)</w:t>
      </w:r>
    </w:p>
    <w:p>
      <w:pPr>
        <w:pStyle w:val="DefinedTerms"/>
      </w:pPr>
      <w:r>
        <w:t>PPS Registrar</w:t>
      </w:r>
      <w:r>
        <w:tab/>
        <w:t>12(1)</w:t>
      </w:r>
    </w:p>
    <w:p>
      <w:pPr>
        <w:pStyle w:val="DefinedTerms"/>
      </w:pPr>
      <w:r>
        <w:t>PPS security interest</w:t>
      </w:r>
      <w:r>
        <w:tab/>
        <w:t>17(1)</w:t>
      </w:r>
    </w:p>
    <w:p>
      <w:pPr>
        <w:pStyle w:val="DefinedTerms"/>
      </w:pPr>
      <w:r>
        <w:t>PPS transitional matter</w:t>
      </w:r>
      <w:r>
        <w:tab/>
        <w:t>12(1)</w:t>
      </w:r>
    </w:p>
    <w:p>
      <w:pPr>
        <w:pStyle w:val="DefinedTerms"/>
      </w:pPr>
      <w:r>
        <w:t>record</w:t>
      </w:r>
      <w:r>
        <w:tab/>
        <w:t>18(1)</w:t>
      </w:r>
    </w:p>
    <w:p>
      <w:pPr>
        <w:pStyle w:val="DefinedTerms"/>
      </w:pPr>
      <w:r>
        <w:t>referred PPS matters</w:t>
      </w:r>
      <w:r>
        <w:tab/>
        <w:t>3, 4(1)</w:t>
      </w:r>
    </w:p>
    <w:p>
      <w:pPr>
        <w:pStyle w:val="DefinedTerms"/>
      </w:pPr>
      <w:r>
        <w:t>register</w:t>
      </w:r>
      <w:r>
        <w:tab/>
        <w:t>3</w:t>
      </w:r>
    </w:p>
    <w:p>
      <w:pPr>
        <w:pStyle w:val="DefinedTerms"/>
      </w:pPr>
      <w:r>
        <w:t>Register Book</w:t>
      </w:r>
      <w:r>
        <w:tab/>
        <w:t>12(1)</w:t>
      </w:r>
    </w:p>
    <w:p>
      <w:pPr>
        <w:pStyle w:val="DefinedTerms"/>
      </w:pPr>
      <w:r>
        <w:t>Registrar</w:t>
      </w:r>
      <w:r>
        <w:tab/>
        <w:t>12(1)</w:t>
      </w:r>
    </w:p>
    <w:p>
      <w:pPr>
        <w:pStyle w:val="DefinedTerms"/>
      </w:pPr>
      <w:r>
        <w:t>Registrar of Co</w:t>
      </w:r>
      <w:r>
        <w:noBreakHyphen/>
        <w:t>operatives</w:t>
      </w:r>
      <w:r>
        <w:tab/>
        <w:t>12(1)</w:t>
      </w:r>
    </w:p>
    <w:p>
      <w:pPr>
        <w:pStyle w:val="DefinedTerms"/>
      </w:pPr>
      <w:r>
        <w:t>relevant State property law</w:t>
      </w:r>
      <w:r>
        <w:tab/>
        <w:t>17(1)</w:t>
      </w:r>
    </w:p>
    <w:p>
      <w:pPr>
        <w:pStyle w:val="DefinedTerms"/>
      </w:pPr>
      <w:r>
        <w:t>relevant version of the Commonwealth PPS Act</w:t>
      </w:r>
      <w:r>
        <w:tab/>
        <w:t>3</w:t>
      </w:r>
    </w:p>
    <w:p>
      <w:pPr>
        <w:pStyle w:val="DefinedTerms"/>
      </w:pPr>
      <w:r>
        <w:t>security interest</w:t>
      </w:r>
      <w:r>
        <w:tab/>
        <w:t>3, 5(1)</w:t>
      </w:r>
    </w:p>
    <w:p>
      <w:pPr>
        <w:pStyle w:val="DefinedTerms"/>
      </w:pPr>
      <w:r>
        <w:t>State statutory right</w:t>
      </w:r>
      <w:r>
        <w:tab/>
        <w:t>3</w:t>
      </w:r>
    </w:p>
    <w:p>
      <w:pPr>
        <w:pStyle w:val="DefinedTerms"/>
      </w:pPr>
      <w:r>
        <w:t>transferable</w:t>
      </w:r>
      <w:r>
        <w:tab/>
        <w:t>3</w:t>
      </w:r>
    </w:p>
    <w:p>
      <w:pPr>
        <w:pStyle w:val="DefinedTerms"/>
      </w:pPr>
      <w:r>
        <w:t>transitional matter</w:t>
      </w:r>
      <w:r>
        <w:tab/>
        <w:t>19(1)</w:t>
      </w:r>
    </w:p>
    <w:p>
      <w:pPr>
        <w:pStyle w:val="DefinedTerms"/>
      </w:pPr>
      <w:r>
        <w:t>transitional regulations</w:t>
      </w:r>
      <w:r>
        <w:tab/>
        <w:t>19(1)</w:t>
      </w:r>
    </w:p>
    <w:p>
      <w:pPr>
        <w:pStyle w:val="DefinedTerms"/>
      </w:pPr>
      <w:r>
        <w:t>water right</w:t>
      </w:r>
      <w:r>
        <w:tab/>
        <w:t>3</w:t>
      </w:r>
    </w:p>
    <w:p>
      <w:pPr>
        <w:pStyle w:val="DefinedTerms"/>
      </w:pPr>
      <w:r>
        <w:t>writing</w:t>
      </w:r>
      <w:r>
        <w:tab/>
        <w:t>5(4)</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3"/>
  </w:num>
  <w:num w:numId="3">
    <w:abstractNumId w:val="14"/>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09160920"/>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5337</Words>
  <Characters>26900</Characters>
  <Application>Microsoft Office Word</Application>
  <DocSecurity>0</DocSecurity>
  <Lines>768</Lines>
  <Paragraphs>418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Parliamentary Counsel's Office</Company>
  <LinksUpToDate>false</LinksUpToDate>
  <CharactersWithSpaces>31819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2011 - 00-c0-01</dc:title>
  <dc:subject>Bills and Amendments</dc:subject>
  <dc:creator>svcMRProcess</dc:creator>
  <cp:keywords/>
  <dc:description>V1.1</dc:description>
  <cp:lastModifiedBy>svcMRProcess</cp:lastModifiedBy>
  <cp:revision>4</cp:revision>
  <cp:lastPrinted>2011-08-19T09:01:00Z</cp:lastPrinted>
  <dcterms:created xsi:type="dcterms:W3CDTF">2015-09-22T08:38:00Z</dcterms:created>
  <dcterms:modified xsi:type="dcterms:W3CDTF">2015-09-22T08:38:00Z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20150917</vt:lpwstr>
  </property>
  <property fmtid="{D5CDD505-2E9C-101B-9397-08002B2CF9AE}" pid="3" name="ShortTitle">
    <vt:lpwstr>Personal Property Securities (Commonwealth Laws) Act 2011</vt:lpwstr>
  </property>
  <property fmtid="{D5CDD505-2E9C-101B-9397-08002B2CF9AE}" pid="4" name="DocumentType">
    <vt:lpwstr>Act</vt:lpwstr>
  </property>
  <property fmtid="{D5CDD505-2E9C-101B-9397-08002B2CF9AE}" pid="5" name="AsAtDate">
    <vt:lpwstr>17 Sep 2015</vt:lpwstr>
  </property>
  <property fmtid="{D5CDD505-2E9C-101B-9397-08002B2CF9AE}" pid="6" name="Suffix">
    <vt:lpwstr>00-c0-01</vt:lpwstr>
  </property>
</Properties>
</file>