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Parental Support and Responsibility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Parental Support and Responsibility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Parental Support and Responsibility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_Toc437957053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_Toc437957054 \h </w:instrText>
      </w:r>
      <w:r>
        <w:fldChar w:fldCharType="separate"/>
      </w:r>
      <w:r>
        <w:t>1</w:t>
      </w:r>
      <w:r>
        <w:fldChar w:fldCharType="end"/>
      </w:r>
    </w:p>
    <w:p>
      <w:pPr>
        <w:pStyle w:val="TOC8"/>
        <w:rPr>
          <w:rFonts w:asciiTheme="minorHAnsi" w:eastAsiaTheme="minorEastAsia" w:hAnsiTheme="minorHAnsi" w:cstheme="minorBidi"/>
          <w:szCs w:val="22"/>
        </w:rPr>
      </w:pPr>
      <w:r>
        <w:t>3.</w:t>
      </w:r>
      <w:r>
        <w:tab/>
        <w:t>Information sharing agencies</w:t>
      </w:r>
      <w:r>
        <w:tab/>
      </w:r>
      <w:r>
        <w:fldChar w:fldCharType="begin"/>
      </w:r>
      <w:r>
        <w:instrText xml:space="preserve"> PAGEREF _Toc437957055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Commonwealth agencies</w:t>
      </w:r>
      <w:r>
        <w:tab/>
      </w:r>
      <w:r>
        <w:fldChar w:fldCharType="begin"/>
      </w:r>
      <w:r>
        <w:instrText xml:space="preserve"> PAGEREF _Toc437957056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_Toc437957058 \h </w:instrText>
      </w:r>
      <w:r>
        <w:fldChar w:fldCharType="separate"/>
      </w:r>
      <w:r>
        <w:t>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_Toc437957059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Parental Support and Responsibility Act 2008</w:t>
      </w:r>
    </w:p>
    <w:p>
      <w:pPr>
        <w:pStyle w:val="NameofActReg"/>
        <w:spacing w:before="0" w:after="0"/>
      </w:pPr>
      <w:r>
        <w:t>Parental Support and Responsibility Regulations 2009</w:t>
      </w:r>
    </w:p>
    <w:p>
      <w:pPr>
        <w:pStyle w:val="Heading5"/>
      </w:pPr>
      <w:bookmarkStart w:id="3" w:name="_Toc437957053"/>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r>
        <w:rPr>
          <w:i/>
        </w:rPr>
        <w:t>Parental Support and Responsibility Regulations 2009</w:t>
      </w:r>
      <w:r>
        <w:t>.</w:t>
      </w:r>
    </w:p>
    <w:p>
      <w:pPr>
        <w:pStyle w:val="Heading5"/>
        <w:rPr>
          <w:spacing w:val="-2"/>
        </w:rPr>
      </w:pPr>
      <w:bookmarkStart w:id="4" w:name="_Toc43795705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w:t>
      </w:r>
      <w:r>
        <w:t xml:space="preserve">on the day on which the </w:t>
      </w:r>
      <w:r>
        <w:rPr>
          <w:i/>
        </w:rPr>
        <w:t>Parental Support and Responsibility Act </w:t>
      </w:r>
      <w:r>
        <w:rPr>
          <w:i/>
          <w:iCs/>
        </w:rPr>
        <w:t>2008</w:t>
      </w:r>
      <w:r>
        <w:t xml:space="preserve"> section 42 comes into operation.</w:t>
      </w:r>
    </w:p>
    <w:p>
      <w:pPr>
        <w:pStyle w:val="Heading5"/>
      </w:pPr>
      <w:bookmarkStart w:id="5" w:name="_Toc437957055"/>
      <w:r>
        <w:rPr>
          <w:rStyle w:val="CharSectno"/>
        </w:rPr>
        <w:t>3</w:t>
      </w:r>
      <w:r>
        <w:t>.</w:t>
      </w:r>
      <w:r>
        <w:tab/>
        <w:t>Information sharing agencies</w:t>
      </w:r>
      <w:bookmarkEnd w:id="5"/>
    </w:p>
    <w:p>
      <w:pPr>
        <w:pStyle w:val="Subsection"/>
      </w:pPr>
      <w:r>
        <w:tab/>
      </w:r>
      <w:r>
        <w:tab/>
        <w:t xml:space="preserve">For the purposes of the definition of </w:t>
      </w:r>
      <w:r>
        <w:rPr>
          <w:b/>
          <w:bCs/>
          <w:i/>
          <w:iCs/>
        </w:rPr>
        <w:t>information sharing agency</w:t>
      </w:r>
      <w:r>
        <w:t xml:space="preserve"> in section 3 of the Act, the following are prescribed — </w:t>
      </w:r>
    </w:p>
    <w:p>
      <w:pPr>
        <w:pStyle w:val="Indenta"/>
      </w:pPr>
      <w:r>
        <w:tab/>
        <w:t>(a)</w:t>
      </w:r>
      <w:r>
        <w:tab/>
        <w:t xml:space="preserve">the department principally assisting in the administration of the </w:t>
      </w:r>
      <w:r>
        <w:rPr>
          <w:i/>
        </w:rPr>
        <w:t>School Education Act 1999</w:t>
      </w:r>
      <w:r>
        <w:rPr>
          <w:iCs/>
        </w:rPr>
        <w:t xml:space="preserve"> Part 4 </w:t>
      </w:r>
      <w:r>
        <w:t>and known as the Department of Education Services at the time that these regulations came into operation;</w:t>
      </w:r>
    </w:p>
    <w:p>
      <w:pPr>
        <w:pStyle w:val="Indenta"/>
      </w:pPr>
      <w:r>
        <w:tab/>
        <w:t>(b)</w:t>
      </w:r>
      <w:r>
        <w:tab/>
        <w:t xml:space="preserve">each hospital board under the </w:t>
      </w:r>
      <w:r>
        <w:rPr>
          <w:i/>
        </w:rPr>
        <w:t>Hospitals and Health Services Act</w:t>
      </w:r>
      <w:r>
        <w:rPr>
          <w:i/>
          <w:iCs/>
        </w:rPr>
        <w:t> 1927</w:t>
      </w:r>
      <w:r>
        <w:t xml:space="preserve"> (including a board constituted by the Minister administering that Act);</w:t>
      </w:r>
    </w:p>
    <w:p>
      <w:pPr>
        <w:pStyle w:val="Indenta"/>
      </w:pPr>
      <w:r>
        <w:tab/>
        <w:t>(c)</w:t>
      </w:r>
      <w:r>
        <w:tab/>
        <w:t xml:space="preserve">the department principally assisting in the administration of the </w:t>
      </w:r>
      <w:r>
        <w:rPr>
          <w:i/>
        </w:rPr>
        <w:t>Alcohol and Other Drugs Act 1974</w:t>
      </w:r>
      <w:r>
        <w:t>.</w:t>
      </w:r>
    </w:p>
    <w:p>
      <w:pPr>
        <w:pStyle w:val="Footnotesection"/>
      </w:pPr>
      <w:r>
        <w:tab/>
        <w:t>[Regulation 3 amended in Gazette 10 Apr 2015 p. 1250.]</w:t>
      </w:r>
    </w:p>
    <w:p>
      <w:pPr>
        <w:pStyle w:val="Heading5"/>
      </w:pPr>
      <w:bookmarkStart w:id="6" w:name="_Toc437957056"/>
      <w:r>
        <w:rPr>
          <w:rStyle w:val="CharSectno"/>
        </w:rPr>
        <w:t>4</w:t>
      </w:r>
      <w:r>
        <w:t>.</w:t>
      </w:r>
      <w:r>
        <w:tab/>
        <w:t>Prescribed Commonwealth agencies</w:t>
      </w:r>
      <w:bookmarkEnd w:id="6"/>
    </w:p>
    <w:p>
      <w:pPr>
        <w:pStyle w:val="Subsection"/>
      </w:pPr>
      <w:r>
        <w:tab/>
      </w:r>
      <w:r>
        <w:tab/>
        <w:t xml:space="preserve">For the purposes of section 10(1)(c) of the Act, the following are prescribed — </w:t>
      </w:r>
    </w:p>
    <w:p>
      <w:pPr>
        <w:pStyle w:val="Indenta"/>
      </w:pPr>
      <w:r>
        <w:tab/>
        <w:t>(a)</w:t>
      </w:r>
      <w:r>
        <w:tab/>
        <w:t xml:space="preserve">the Commonwealth Services Delivery Agency established by the </w:t>
      </w:r>
      <w:r>
        <w:rPr>
          <w:i/>
          <w:iCs/>
        </w:rPr>
        <w:t>Commonwealth Services Delivery Agency Act 1997</w:t>
      </w:r>
      <w:r>
        <w:t xml:space="preserve"> (Commonwealth) section 6 and known as Centrelink at the time that these regulations came into operation;</w:t>
      </w:r>
    </w:p>
    <w:p>
      <w:pPr>
        <w:pStyle w:val="Indenta"/>
      </w:pPr>
      <w:r>
        <w:tab/>
        <w:t>(b)</w:t>
      </w:r>
      <w:r>
        <w:tab/>
        <w:t xml:space="preserve">the department of the Commonwealth public service principally assisting in the administration of the </w:t>
      </w:r>
      <w:r>
        <w:rPr>
          <w:i/>
          <w:iCs/>
        </w:rPr>
        <w:t>Social Security Act 1991</w:t>
      </w:r>
      <w:r>
        <w:t xml:space="preserve"> (Commonwealth) and known as the Department of Families, Housing, Community Services and Indigenous Affairs at the time that these regulations came into operation;</w:t>
      </w:r>
    </w:p>
    <w:p>
      <w:pPr>
        <w:pStyle w:val="Indenta"/>
      </w:pPr>
      <w:r>
        <w:tab/>
        <w:t>(c)</w:t>
      </w:r>
      <w:r>
        <w:tab/>
        <w:t xml:space="preserve">the department of the Commonwealth public service principally assisting in the administration of the </w:t>
      </w:r>
      <w:r>
        <w:rPr>
          <w:i/>
          <w:iCs/>
        </w:rPr>
        <w:t>Commonwealth Services Delivery Agency Act 1997</w:t>
      </w:r>
      <w:r>
        <w:t xml:space="preserve"> (Commonwealth) and known as the Department of Human Services at the time that these regulations came into operation;</w:t>
      </w:r>
    </w:p>
    <w:p>
      <w:pPr>
        <w:pStyle w:val="Indenta"/>
      </w:pPr>
      <w:r>
        <w:tab/>
        <w:t>(d)</w:t>
      </w:r>
      <w:r>
        <w:tab/>
        <w:t xml:space="preserve">the department of the Commonwealth public service principally assisting in the administration of the </w:t>
      </w:r>
      <w:r>
        <w:rPr>
          <w:i/>
          <w:iCs/>
        </w:rPr>
        <w:t>Migration Act 1958</w:t>
      </w:r>
      <w:r>
        <w:t xml:space="preserve"> (Commonwealth) and known as the Department of Immigration and Citizenship at the time that these regulations came into operation;</w:t>
      </w:r>
    </w:p>
    <w:p>
      <w:pPr>
        <w:pStyle w:val="Indenta"/>
      </w:pPr>
      <w:r>
        <w:tab/>
        <w:t>(e)</w:t>
      </w:r>
      <w:r>
        <w:tab/>
        <w:t xml:space="preserve">Medicare Australia established by the </w:t>
      </w:r>
      <w:r>
        <w:rPr>
          <w:i/>
          <w:iCs/>
        </w:rPr>
        <w:t>Medicare Australia Act 1973</w:t>
      </w:r>
      <w:r>
        <w:t xml:space="preserve"> (Commonwealth) section 4.</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7" w:name="_Toc437957057"/>
      <w:r>
        <w:t>Notes</w:t>
      </w:r>
      <w:bookmarkEnd w:id="7"/>
    </w:p>
    <w:p>
      <w:pPr>
        <w:pStyle w:val="nSubsection"/>
      </w:pPr>
      <w:r>
        <w:rPr>
          <w:vertAlign w:val="superscript"/>
        </w:rPr>
        <w:t>1</w:t>
      </w:r>
      <w:r>
        <w:tab/>
        <w:t xml:space="preserve">This is a compilation of the </w:t>
      </w:r>
      <w:r>
        <w:rPr>
          <w:i/>
          <w:noProof/>
        </w:rPr>
        <w:t>Parental Support and Responsibility Regulations 2009</w:t>
      </w:r>
      <w:r>
        <w:t xml:space="preserve"> and includes the amendments made by the other written laws referred to in the following table </w:t>
      </w:r>
      <w:r>
        <w:rPr>
          <w:vertAlign w:val="superscript"/>
        </w:rPr>
        <w:t>1a</w:t>
      </w:r>
      <w:r>
        <w:t>.</w:t>
      </w:r>
    </w:p>
    <w:p>
      <w:pPr>
        <w:pStyle w:val="nHeading3"/>
      </w:pPr>
      <w:bookmarkStart w:id="8" w:name="_Toc437957058"/>
      <w:r>
        <w:t>Compilation table</w:t>
      </w:r>
      <w:bookmarkEnd w:id="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Parental Support and Responsibility Regulations 2009</w:t>
            </w:r>
          </w:p>
        </w:tc>
        <w:tc>
          <w:tcPr>
            <w:tcW w:w="1276" w:type="dxa"/>
            <w:tcBorders>
              <w:bottom w:val="nil"/>
            </w:tcBorders>
          </w:tcPr>
          <w:p>
            <w:pPr>
              <w:pStyle w:val="nTable"/>
              <w:spacing w:after="40"/>
            </w:pPr>
            <w:r>
              <w:t>27 Mar 2009 p. 918-19</w:t>
            </w:r>
          </w:p>
        </w:tc>
        <w:tc>
          <w:tcPr>
            <w:tcW w:w="2693" w:type="dxa"/>
            <w:tcBorders>
              <w:bottom w:val="nil"/>
            </w:tcBorders>
          </w:tcPr>
          <w:p>
            <w:pPr>
              <w:pStyle w:val="nTable"/>
              <w:spacing w:after="40"/>
            </w:pPr>
            <w:r>
              <w:t xml:space="preserve">28 Mar 2009 (see r. 2 and </w:t>
            </w:r>
            <w:r>
              <w:rPr>
                <w:i/>
                <w:iCs/>
              </w:rPr>
              <w:t>Gazette</w:t>
            </w:r>
            <w:r>
              <w:t xml:space="preserve"> 27 Mar 2009 p. 917)</w:t>
            </w:r>
          </w:p>
        </w:tc>
      </w:tr>
      <w:tr>
        <w:tc>
          <w:tcPr>
            <w:tcW w:w="3118" w:type="dxa"/>
            <w:tcBorders>
              <w:top w:val="nil"/>
              <w:bottom w:val="single" w:sz="4" w:space="0" w:color="auto"/>
            </w:tcBorders>
          </w:tcPr>
          <w:p>
            <w:pPr>
              <w:pStyle w:val="nTable"/>
              <w:spacing w:after="40"/>
              <w:rPr>
                <w:i/>
              </w:rPr>
            </w:pPr>
            <w:r>
              <w:rPr>
                <w:i/>
              </w:rPr>
              <w:t>Parental Support and Responsibility Amendment Regulations 2015</w:t>
            </w:r>
          </w:p>
        </w:tc>
        <w:tc>
          <w:tcPr>
            <w:tcW w:w="1276" w:type="dxa"/>
            <w:tcBorders>
              <w:top w:val="nil"/>
              <w:bottom w:val="single" w:sz="4" w:space="0" w:color="auto"/>
            </w:tcBorders>
          </w:tcPr>
          <w:p>
            <w:pPr>
              <w:pStyle w:val="nTable"/>
              <w:spacing w:after="40"/>
            </w:pPr>
            <w:r>
              <w:t>10 Apr 2015 p. 1250</w:t>
            </w:r>
          </w:p>
        </w:tc>
        <w:tc>
          <w:tcPr>
            <w:tcW w:w="2693" w:type="dxa"/>
            <w:tcBorders>
              <w:top w:val="nil"/>
              <w:bottom w:val="single" w:sz="4" w:space="0" w:color="auto"/>
            </w:tcBorders>
          </w:tcPr>
          <w:p>
            <w:pPr>
              <w:pStyle w:val="nTable"/>
              <w:spacing w:after="40"/>
            </w:pPr>
            <w:r>
              <w:t>r. 1 and 2: 10 Apr 2015 (see r. 2(a));</w:t>
            </w:r>
            <w:r>
              <w:br/>
              <w:t xml:space="preserve">Regulations other than r. 1 and 2: 1 Jul 2015 (see r. 2(b)(ii) and </w:t>
            </w:r>
            <w:r>
              <w:rPr>
                <w:i/>
              </w:rPr>
              <w:t>Gazette</w:t>
            </w:r>
            <w:r>
              <w:t xml:space="preserve"> 10 Apr 2015 p. 1249)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 w:name="_Toc7405065"/>
      <w:bookmarkStart w:id="10" w:name="_Toc437957059"/>
      <w:r>
        <w:t>Provisions that have not come into operation</w:t>
      </w:r>
      <w:bookmarkEnd w:id="9"/>
      <w:bookmarkEnd w:id="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lang w:val="en-US"/>
              </w:rPr>
            </w:pPr>
            <w:r>
              <w:rPr>
                <w:b/>
                <w:snapToGrid w:val="0"/>
                <w:lang w:val="en-US"/>
              </w:rPr>
              <w:t>Short title</w:t>
            </w:r>
          </w:p>
        </w:tc>
        <w:tc>
          <w:tcPr>
            <w:tcW w:w="1118" w:type="dxa"/>
            <w:tcBorders>
              <w:bottom w:val="single" w:sz="8" w:space="0" w:color="auto"/>
            </w:tcBorders>
          </w:tcPr>
          <w:p>
            <w:pPr>
              <w:pStyle w:val="nTable"/>
              <w:spacing w:after="40"/>
              <w:rPr>
                <w:b/>
                <w:snapToGrid w:val="0"/>
                <w:lang w:val="en-US"/>
              </w:rPr>
            </w:pPr>
            <w:r>
              <w:rPr>
                <w:b/>
                <w:snapToGrid w:val="0"/>
                <w:lang w:val="en-US"/>
              </w:rPr>
              <w:t>Number and year</w:t>
            </w:r>
          </w:p>
        </w:tc>
        <w:tc>
          <w:tcPr>
            <w:tcW w:w="1134" w:type="dxa"/>
            <w:tcBorders>
              <w:bottom w:val="single" w:sz="8" w:space="0" w:color="auto"/>
            </w:tcBorders>
          </w:tcPr>
          <w:p>
            <w:pPr>
              <w:pStyle w:val="nTable"/>
              <w:spacing w:after="40"/>
              <w:rPr>
                <w:b/>
                <w:snapToGrid w:val="0"/>
                <w:lang w:val="en-US"/>
              </w:rPr>
            </w:pPr>
            <w:r>
              <w:rPr>
                <w:b/>
                <w:snapToGrid w:val="0"/>
                <w:lang w:val="en-US"/>
              </w:rPr>
              <w:t>Assent</w:t>
            </w:r>
          </w:p>
        </w:tc>
        <w:tc>
          <w:tcPr>
            <w:tcW w:w="2552" w:type="dxa"/>
            <w:tcBorders>
              <w:bottom w:val="single" w:sz="8" w:space="0" w:color="auto"/>
            </w:tcBorders>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vertAlign w:val="superscript"/>
                <w:lang w:val="en-US"/>
              </w:rPr>
            </w:pPr>
            <w:r>
              <w:rPr>
                <w:i/>
                <w:snapToGrid w:val="0"/>
                <w:lang w:val="en-US"/>
              </w:rPr>
              <w:t>Children and Community Services Legislation Amendment and Repeal Act 2015</w:t>
            </w:r>
            <w:r>
              <w:rPr>
                <w:snapToGrid w:val="0"/>
                <w:lang w:val="en-US"/>
              </w:rPr>
              <w:t> s. 11</w:t>
            </w:r>
            <w:r>
              <w:rPr>
                <w:i/>
                <w:snapToGrid w:val="0"/>
                <w:lang w:val="en-US"/>
              </w:rPr>
              <w:t> </w:t>
            </w:r>
            <w:r>
              <w:rPr>
                <w:snapToGrid w:val="0"/>
                <w:vertAlign w:val="superscript"/>
                <w:lang w:val="en-US"/>
              </w:rPr>
              <w:t>2</w:t>
            </w:r>
          </w:p>
        </w:tc>
        <w:tc>
          <w:tcPr>
            <w:tcW w:w="1118" w:type="dxa"/>
          </w:tcPr>
          <w:p>
            <w:pPr>
              <w:pStyle w:val="nTable"/>
              <w:spacing w:after="40"/>
              <w:rPr>
                <w:snapToGrid w:val="0"/>
                <w:lang w:val="en-US"/>
              </w:rPr>
            </w:pPr>
            <w:r>
              <w:rPr>
                <w:snapToGrid w:val="0"/>
                <w:lang w:val="en-US"/>
              </w:rPr>
              <w:t>23 of 2015</w:t>
            </w:r>
          </w:p>
        </w:tc>
        <w:tc>
          <w:tcPr>
            <w:tcW w:w="1134" w:type="dxa"/>
          </w:tcPr>
          <w:p>
            <w:pPr>
              <w:pStyle w:val="nTable"/>
              <w:spacing w:after="40"/>
              <w:rPr>
                <w:snapToGrid w:val="0"/>
                <w:lang w:val="en-US"/>
              </w:rPr>
            </w:pPr>
            <w:r>
              <w:t>17 Sep 2015</w:t>
            </w:r>
          </w:p>
        </w:tc>
        <w:tc>
          <w:tcPr>
            <w:tcW w:w="2552" w:type="dxa"/>
          </w:tcPr>
          <w:p>
            <w:pPr>
              <w:pStyle w:val="nTable"/>
              <w:spacing w:after="40"/>
              <w:rPr>
                <w:snapToGrid w:val="0"/>
                <w:lang w:val="en-US"/>
              </w:rPr>
            </w:pPr>
            <w:r>
              <w:rPr>
                <w:snapToGrid w:val="0"/>
                <w:lang w:val="en-US"/>
              </w:rPr>
              <w:t xml:space="preserve">1 Jan 2016 (see s. 2(b) and </w:t>
            </w:r>
            <w:r>
              <w:rPr>
                <w:i/>
                <w:snapToGrid w:val="0"/>
                <w:lang w:val="en-US"/>
              </w:rPr>
              <w:t>Gazette</w:t>
            </w:r>
            <w:r>
              <w:rPr>
                <w:snapToGrid w:val="0"/>
                <w:lang w:val="en-US"/>
              </w:rPr>
              <w:t xml:space="preserve"> 15 Dec 2015 p. 5027)</w:t>
            </w:r>
          </w:p>
        </w:tc>
      </w:tr>
    </w:tbl>
    <w:p>
      <w:pPr>
        <w:pStyle w:val="nSubsection"/>
        <w:spacing w:before="120"/>
        <w:rPr>
          <w:snapToGrid w:val="0"/>
        </w:rPr>
      </w:pPr>
      <w:r>
        <w:rPr>
          <w:snapToGrid w:val="0"/>
          <w:vertAlign w:val="superscript"/>
        </w:rPr>
        <w:t>2</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s. 11</w:t>
      </w:r>
      <w:r>
        <w:rPr>
          <w:snapToGrid w:val="0"/>
        </w:rPr>
        <w:t xml:space="preserve"> had not come into operation.  It reads as follows:</w:t>
      </w:r>
    </w:p>
    <w:p>
      <w:pPr>
        <w:pStyle w:val="BlankOpen"/>
        <w:rPr>
          <w:snapToGrid w:val="0"/>
        </w:rPr>
      </w:pPr>
    </w:p>
    <w:p>
      <w:pPr>
        <w:pStyle w:val="nzHeading5"/>
      </w:pPr>
      <w:bookmarkStart w:id="11" w:name="_Toc430341331"/>
      <w:bookmarkStart w:id="12" w:name="_Toc430352926"/>
      <w:bookmarkStart w:id="13" w:name="_Toc430594117"/>
      <w:r>
        <w:rPr>
          <w:rStyle w:val="CharSectno"/>
        </w:rPr>
        <w:t>11</w:t>
      </w:r>
      <w:r>
        <w:t>.</w:t>
      </w:r>
      <w:r>
        <w:tab/>
      </w:r>
      <w:r>
        <w:rPr>
          <w:i/>
        </w:rPr>
        <w:t xml:space="preserve">Parental Support and Responsibility Regulations 2009 </w:t>
      </w:r>
      <w:r>
        <w:t>repealed</w:t>
      </w:r>
      <w:bookmarkEnd w:id="11"/>
      <w:bookmarkEnd w:id="12"/>
      <w:bookmarkEnd w:id="13"/>
    </w:p>
    <w:p>
      <w:pPr>
        <w:pStyle w:val="nzSubsection"/>
      </w:pPr>
      <w:r>
        <w:tab/>
      </w:r>
      <w:r>
        <w:tab/>
        <w:t xml:space="preserve">The </w:t>
      </w:r>
      <w:r>
        <w:rPr>
          <w:i/>
        </w:rPr>
        <w:t>Parental Support and Responsibility Regulations 2009</w:t>
      </w:r>
      <w:r>
        <w:t xml:space="preserve"> are repealed.</w:t>
      </w:r>
    </w:p>
    <w:p>
      <w:pPr>
        <w:pStyle w:val="BlankClose"/>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Parental Support and Responsibility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21"/>
    <w:docVar w:name="WAFER_20150409113303" w:val="ResetPageSize,UpdateArrangement,UpdateNTable"/>
    <w:docVar w:name="WAFER_20150409113303_GUID" w:val="1655fd24-d0ec-44a4-809e-3b1a964a32a7"/>
    <w:docVar w:name="WAFER_20150921151841" w:val="RemoveTocBookmarks,RemoveUnusedBookmarks,RemoveLanguageTags,UsedStyles,ResetPageSize"/>
    <w:docVar w:name="WAFER_20150921151841_GUID" w:val="fb0adcb9-956a-44a5-8bc5-3a864f637b92"/>
    <w:docVar w:name="WAFER_20150921151857" w:val="RemoveTocBookmarks,RemoveUnusedBookmarks,RemoveLanguageTags,UsedStyles,ResetPageSize"/>
    <w:docVar w:name="WAFER_20150921151857_GUID" w:val="7b3cce23-9f72-4a79-81a4-3fec149670dc"/>
    <w:docVar w:name="WAFER_20151109113221" w:val="UpdateStyles,UsedStyles"/>
    <w:docVar w:name="WAFER_20151109113221_GUID" w:val="f7ac1797-1bc1-4e73-819a-e9d1b5ef8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725</Words>
  <Characters>3984</Characters>
  <Application>Microsoft Office Word</Application>
  <DocSecurity>0</DocSecurity>
  <Lines>142</Lines>
  <Paragraphs>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Regulations 2009 - 00-d0-02</dc:title>
  <dc:subject/>
  <dc:creator/>
  <cp:keywords/>
  <dc:description/>
  <cp:lastModifiedBy>svcMRProcess</cp:lastModifiedBy>
  <cp:revision>4</cp:revision>
  <cp:lastPrinted>2009-03-17T08:21:00Z</cp:lastPrinted>
  <dcterms:created xsi:type="dcterms:W3CDTF">2015-12-15T07:35:00Z</dcterms:created>
  <dcterms:modified xsi:type="dcterms:W3CDTF">2015-12-15T07:35:00Z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2009 p 918-19</vt:lpwstr>
  </property>
  <property fmtid="{D5CDD505-2E9C-101B-9397-08002B2CF9AE}" pid="3" name="OwlsUID">
    <vt:i4>41188</vt:i4>
  </property>
  <property fmtid="{D5CDD505-2E9C-101B-9397-08002B2CF9AE}" pid="4" name="AsAtDate">
    <vt:lpwstr>17 Sep 2015</vt:lpwstr>
  </property>
  <property fmtid="{D5CDD505-2E9C-101B-9397-08002B2CF9AE}" pid="5" name="Suffix">
    <vt:lpwstr>00-d0-02</vt:lpwstr>
  </property>
  <property fmtid="{D5CDD505-2E9C-101B-9397-08002B2CF9AE}" pid="6" name="DocumentType">
    <vt:lpwstr>Reg</vt:lpwstr>
  </property>
  <property fmtid="{D5CDD505-2E9C-101B-9397-08002B2CF9AE}" pid="7" name="CommencementDate">
    <vt:lpwstr>20150917</vt:lpwstr>
  </property>
</Properties>
</file>