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Spent Convictions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Spent Convictions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Spent Convictions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_Toc430699115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_Toc430699116 \h </w:instrText>
      </w:r>
      <w:r>
        <w:fldChar w:fldCharType="separate"/>
      </w:r>
      <w:r>
        <w:t>1</w:t>
      </w:r>
      <w:r>
        <w:fldChar w:fldCharType="end"/>
      </w:r>
    </w:p>
    <w:p>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_Toc430699117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form prescribed (Act s. 7(1))</w:t>
      </w:r>
      <w:r>
        <w:tab/>
      </w:r>
      <w:r>
        <w:fldChar w:fldCharType="begin"/>
      </w:r>
      <w:r>
        <w:instrText xml:space="preserve"> PAGEREF _Toc430699118 \h </w:instrText>
      </w:r>
      <w:r>
        <w:fldChar w:fldCharType="separate"/>
      </w:r>
      <w:r>
        <w:t>1</w:t>
      </w:r>
      <w:r>
        <w:fldChar w:fldCharType="end"/>
      </w:r>
    </w:p>
    <w:p>
      <w:pPr>
        <w:pStyle w:val="TOC8"/>
        <w:rPr>
          <w:rFonts w:asciiTheme="minorHAnsi" w:eastAsiaTheme="minorEastAsia" w:hAnsiTheme="minorHAnsi" w:cstheme="minorBidi"/>
          <w:szCs w:val="22"/>
        </w:rPr>
      </w:pPr>
      <w:r>
        <w:t>6A.</w:t>
      </w:r>
      <w:r>
        <w:tab/>
        <w:t>Persons and laws prescribed (Act s. 28(2))</w:t>
      </w:r>
      <w:r>
        <w:tab/>
      </w:r>
      <w:r>
        <w:fldChar w:fldCharType="begin"/>
      </w:r>
      <w:r>
        <w:instrText xml:space="preserve"> PAGEREF _Toc430699119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notice (Act s. 33(2))</w:t>
      </w:r>
      <w:r>
        <w:tab/>
      </w:r>
      <w:r>
        <w:fldChar w:fldCharType="begin"/>
      </w:r>
      <w:r>
        <w:instrText xml:space="preserve"> PAGEREF _Toc430699120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rPr>
          <w:snapToGrid w:val="0"/>
        </w:rPr>
        <w:t>1.</w:t>
      </w:r>
      <w:r>
        <w:rPr>
          <w:snapToGrid w:val="0"/>
        </w:rPr>
        <w:tab/>
        <w:t>Use of this form</w:t>
      </w:r>
      <w:r>
        <w:tab/>
      </w:r>
      <w:r>
        <w:fldChar w:fldCharType="begin"/>
      </w:r>
      <w:r>
        <w:instrText xml:space="preserve"> PAGEREF _Toc430699122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2.</w:t>
      </w:r>
      <w:r>
        <w:rPr>
          <w:snapToGrid w:val="0"/>
        </w:rPr>
        <w:tab/>
        <w:t>When application can be made</w:t>
      </w:r>
      <w:r>
        <w:tab/>
      </w:r>
      <w:r>
        <w:fldChar w:fldCharType="begin"/>
      </w:r>
      <w:r>
        <w:instrText xml:space="preserve"> PAGEREF _Toc430699123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3.</w:t>
      </w:r>
      <w:r>
        <w:rPr>
          <w:snapToGrid w:val="0"/>
        </w:rPr>
        <w:tab/>
        <w:t>Witnessing the signature of applicant</w:t>
      </w:r>
      <w:r>
        <w:tab/>
      </w:r>
      <w:r>
        <w:fldChar w:fldCharType="begin"/>
      </w:r>
      <w:r>
        <w:instrText xml:space="preserve"> PAGEREF _Toc430699124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4.</w:t>
      </w:r>
      <w:r>
        <w:rPr>
          <w:snapToGrid w:val="0"/>
        </w:rPr>
        <w:tab/>
        <w:t>Evidence of identity</w:t>
      </w:r>
      <w:r>
        <w:tab/>
      </w:r>
      <w:r>
        <w:fldChar w:fldCharType="begin"/>
      </w:r>
      <w:r>
        <w:instrText xml:space="preserve"> PAGEREF _Toc430699125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5.</w:t>
      </w:r>
      <w:r>
        <w:rPr>
          <w:snapToGrid w:val="0"/>
        </w:rPr>
        <w:tab/>
        <w:t>Issue of certificate</w:t>
      </w:r>
      <w:r>
        <w:tab/>
      </w:r>
      <w:r>
        <w:fldChar w:fldCharType="begin"/>
      </w:r>
      <w:r>
        <w:instrText xml:space="preserve"> PAGEREF _Toc430699126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_Toc430699129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PrincipalActReg"/>
        <w:rPr>
          <w:snapToGrid w:val="0"/>
        </w:rPr>
      </w:pPr>
      <w:r>
        <w:rPr>
          <w:snapToGrid w:val="0"/>
        </w:rPr>
        <w:t>Spent Convictions Act 1988</w:t>
      </w:r>
    </w:p>
    <w:p>
      <w:pPr>
        <w:pStyle w:val="NameofActReg"/>
        <w:spacing w:before="600" w:after="720"/>
      </w:pPr>
      <w:r>
        <w:t>Spent Convictions Regulations 1992</w:t>
      </w:r>
    </w:p>
    <w:p>
      <w:pPr>
        <w:pStyle w:val="Heading5"/>
        <w:rPr>
          <w:snapToGrid w:val="0"/>
        </w:rPr>
      </w:pPr>
      <w:bookmarkStart w:id="3" w:name="_Toc43069911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4" w:name="_Toc43069911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5" w:name="_Toc430699117"/>
      <w:r>
        <w:rPr>
          <w:rStyle w:val="CharSectno"/>
        </w:rPr>
        <w:t>3</w:t>
      </w:r>
      <w:r>
        <w:t>.</w:t>
      </w:r>
      <w:r>
        <w:tab/>
        <w:t>Minor punishment, amount prescribed (Act s. 3)</w:t>
      </w:r>
      <w:bookmarkEnd w:id="5"/>
    </w:p>
    <w:p>
      <w:pPr>
        <w:pStyle w:val="Subsection"/>
      </w:pPr>
      <w:r>
        <w:tab/>
      </w:r>
      <w:r>
        <w:tab/>
        <w:t>For the purposes of the definition of “minor punishment” in section 3 of the Act, the amount of $500 is prescribed.</w:t>
      </w:r>
    </w:p>
    <w:p>
      <w:pPr>
        <w:pStyle w:val="Footnotesection"/>
      </w:pPr>
      <w:r>
        <w:tab/>
        <w:t>[Regulation 3 inserted: Gazette 4 Nov 2005 p. 5318.]</w:t>
      </w:r>
    </w:p>
    <w:p>
      <w:pPr>
        <w:pStyle w:val="Ednotesection"/>
        <w:tabs>
          <w:tab w:val="clear" w:pos="893"/>
          <w:tab w:val="left" w:pos="0"/>
        </w:tabs>
      </w:pPr>
      <w:r>
        <w:t>[</w:t>
      </w:r>
      <w:r>
        <w:rPr>
          <w:b/>
          <w:bCs/>
        </w:rPr>
        <w:t>4.</w:t>
      </w:r>
      <w:r>
        <w:tab/>
        <w:t>Deleted: Gazette 4 Nov 2005 p. 5318.]</w:t>
      </w:r>
    </w:p>
    <w:p>
      <w:pPr>
        <w:pStyle w:val="Heading5"/>
        <w:rPr>
          <w:snapToGrid w:val="0"/>
        </w:rPr>
      </w:pPr>
      <w:bookmarkStart w:id="6" w:name="_Toc430699118"/>
      <w:r>
        <w:rPr>
          <w:rStyle w:val="CharSectno"/>
        </w:rPr>
        <w:t>5</w:t>
      </w:r>
      <w:r>
        <w:rPr>
          <w:snapToGrid w:val="0"/>
        </w:rPr>
        <w:t>.</w:t>
      </w:r>
      <w:r>
        <w:rPr>
          <w:snapToGrid w:val="0"/>
        </w:rPr>
        <w:tab/>
        <w:t>Application form prescribed (Act s. 7(1))</w:t>
      </w:r>
      <w:bookmarkEnd w:id="6"/>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keepNext w:val="0"/>
        <w:keepLines w:val="0"/>
        <w:pageBreakBefore/>
        <w:spacing w:before="0"/>
      </w:pPr>
      <w:bookmarkStart w:id="7" w:name="_Toc430699119"/>
      <w:r>
        <w:rPr>
          <w:rStyle w:val="CharSectno"/>
        </w:rPr>
        <w:t>6A</w:t>
      </w:r>
      <w:r>
        <w:t>.</w:t>
      </w:r>
      <w:r>
        <w:tab/>
        <w:t>Persons and laws prescribed (Act s. 28(2))</w:t>
      </w:r>
      <w:bookmarkEnd w:id="7"/>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Children’s Guardian</w:t>
            </w:r>
          </w:p>
        </w:tc>
        <w:tc>
          <w:tcPr>
            <w:tcW w:w="2268" w:type="dxa"/>
          </w:tcPr>
          <w:p>
            <w:pPr>
              <w:pStyle w:val="TableNAm"/>
            </w:pPr>
            <w:r>
              <w:rPr>
                <w:i/>
              </w:rPr>
              <w:t>Child Protection (Working with Children) Act 2012</w:t>
            </w:r>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5A.</w:t>
            </w:r>
          </w:p>
        </w:tc>
        <w:tc>
          <w:tcPr>
            <w:tcW w:w="2551" w:type="dxa"/>
          </w:tcPr>
          <w:p>
            <w:pPr>
              <w:pStyle w:val="TableNAm"/>
            </w:pPr>
            <w:r>
              <w:t>Chief executive officer of the Public Safety Business Agency</w:t>
            </w:r>
          </w:p>
        </w:tc>
        <w:tc>
          <w:tcPr>
            <w:tcW w:w="2268" w:type="dxa"/>
          </w:tcPr>
          <w:p>
            <w:pPr>
              <w:pStyle w:val="TableNAm"/>
              <w:rPr>
                <w:i/>
                <w:iCs/>
              </w:rPr>
            </w:pPr>
            <w:r>
              <w:rPr>
                <w:i/>
              </w:rPr>
              <w:t>Working with Children (Risk Management Screening) Act 2000</w:t>
            </w:r>
            <w:r>
              <w:t xml:space="preserve"> (Queensland)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r>
        <w:trPr>
          <w:cantSplit/>
        </w:trPr>
        <w:tc>
          <w:tcPr>
            <w:tcW w:w="709" w:type="dxa"/>
          </w:tcPr>
          <w:p>
            <w:pPr>
              <w:pStyle w:val="TableNAm"/>
            </w:pPr>
            <w:r>
              <w:t>6.</w:t>
            </w:r>
          </w:p>
        </w:tc>
        <w:tc>
          <w:tcPr>
            <w:tcW w:w="2551" w:type="dxa"/>
          </w:tcPr>
          <w:p>
            <w:pPr>
              <w:pStyle w:val="TableNAm"/>
            </w:pPr>
            <w:r>
              <w:t>Commissioner for fair trading</w:t>
            </w:r>
          </w:p>
        </w:tc>
        <w:tc>
          <w:tcPr>
            <w:tcW w:w="2268" w:type="dxa"/>
          </w:tcPr>
          <w:p>
            <w:pPr>
              <w:pStyle w:val="TableNAm"/>
              <w:rPr>
                <w:i/>
                <w:iCs/>
              </w:rPr>
            </w:pPr>
            <w:r>
              <w:rPr>
                <w:i/>
              </w:rPr>
              <w:t xml:space="preserve">Working with Vulnerable People (Background Checking) Act 2011 </w:t>
            </w:r>
            <w:r>
              <w:t>(Australian Capital Territory)</w:t>
            </w:r>
          </w:p>
        </w:tc>
      </w:tr>
      <w:tr>
        <w:trPr>
          <w:cantSplit/>
        </w:trPr>
        <w:tc>
          <w:tcPr>
            <w:tcW w:w="709" w:type="dxa"/>
          </w:tcPr>
          <w:p>
            <w:pPr>
              <w:pStyle w:val="TableNAm"/>
            </w:pPr>
            <w:r>
              <w:t>7.</w:t>
            </w:r>
          </w:p>
        </w:tc>
        <w:tc>
          <w:tcPr>
            <w:tcW w:w="2551" w:type="dxa"/>
          </w:tcPr>
          <w:p>
            <w:pPr>
              <w:pStyle w:val="TableNAm"/>
            </w:pPr>
            <w:r>
              <w:t>Department for Communities and Social Inclusion Screening Unit</w:t>
            </w:r>
          </w:p>
        </w:tc>
        <w:tc>
          <w:tcPr>
            <w:tcW w:w="2268" w:type="dxa"/>
          </w:tcPr>
          <w:p>
            <w:pPr>
              <w:pStyle w:val="TableNAm"/>
              <w:rPr>
                <w:i/>
              </w:rPr>
            </w:pPr>
            <w:r>
              <w:rPr>
                <w:i/>
              </w:rPr>
              <w:t>Children’s Protection Regulations 2010</w:t>
            </w:r>
            <w:r>
              <w:t xml:space="preserve"> (South Australia)</w:t>
            </w:r>
          </w:p>
        </w:tc>
      </w:tr>
      <w:tr>
        <w:trPr>
          <w:cantSplit/>
        </w:trPr>
        <w:tc>
          <w:tcPr>
            <w:tcW w:w="709" w:type="dxa"/>
          </w:tcPr>
          <w:p>
            <w:pPr>
              <w:pStyle w:val="TableNAm"/>
            </w:pPr>
            <w:r>
              <w:t>8.</w:t>
            </w:r>
          </w:p>
        </w:tc>
        <w:tc>
          <w:tcPr>
            <w:tcW w:w="2551" w:type="dxa"/>
          </w:tcPr>
          <w:p>
            <w:pPr>
              <w:pStyle w:val="TableNAm"/>
            </w:pPr>
            <w:r>
              <w:t>Registrar</w:t>
            </w:r>
          </w:p>
        </w:tc>
        <w:tc>
          <w:tcPr>
            <w:tcW w:w="2268" w:type="dxa"/>
          </w:tcPr>
          <w:p>
            <w:pPr>
              <w:pStyle w:val="TableNAm"/>
              <w:rPr>
                <w:i/>
              </w:rPr>
            </w:pPr>
            <w:r>
              <w:rPr>
                <w:i/>
              </w:rPr>
              <w:t>Registration to Work with Vulnerable People Act 2013</w:t>
            </w:r>
            <w:r>
              <w:t xml:space="preserve"> (Tasmania)</w:t>
            </w:r>
          </w:p>
        </w:tc>
      </w:tr>
    </w:tbl>
    <w:p>
      <w:pPr>
        <w:pStyle w:val="Footnotesection"/>
      </w:pPr>
      <w:r>
        <w:tab/>
        <w:t>[Regulation 6A inserted: Gazette 24 Dec 2010 p. 6806-7; amended: Gazette 13 Aug 2013 p. 3737; 13 Jun 2014 p. 1897; 23 Sep 2014 p. 3477.]</w:t>
      </w:r>
    </w:p>
    <w:p>
      <w:pPr>
        <w:pStyle w:val="Heading5"/>
        <w:rPr>
          <w:snapToGrid w:val="0"/>
        </w:rPr>
      </w:pPr>
      <w:bookmarkStart w:id="8" w:name="_Toc430699120"/>
      <w:r>
        <w:rPr>
          <w:rStyle w:val="CharSectno"/>
        </w:rPr>
        <w:t>6</w:t>
      </w:r>
      <w:r>
        <w:rPr>
          <w:snapToGrid w:val="0"/>
        </w:rPr>
        <w:t>.</w:t>
      </w:r>
      <w:r>
        <w:rPr>
          <w:snapToGrid w:val="0"/>
        </w:rPr>
        <w:tab/>
        <w:t>Form of notice (Act s. 33(2))</w:t>
      </w:r>
      <w:bookmarkEnd w:id="8"/>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426103670"/>
      <w:bookmarkStart w:id="10" w:name="_Toc426104045"/>
      <w:bookmarkStart w:id="11" w:name="_Toc430177685"/>
      <w:bookmarkStart w:id="12" w:name="_Toc430699121"/>
      <w:r>
        <w:rPr>
          <w:rStyle w:val="CharSchNo"/>
        </w:rPr>
        <w:t>Schedule 1</w:t>
      </w:r>
      <w:bookmarkEnd w:id="9"/>
      <w:bookmarkEnd w:id="10"/>
      <w:bookmarkEnd w:id="11"/>
      <w:bookmarkEnd w:id="12"/>
    </w:p>
    <w:p>
      <w:pPr>
        <w:pStyle w:val="yShoulderClause"/>
        <w:spacing w:before="80"/>
        <w:rPr>
          <w:snapToGrid w:val="0"/>
        </w:rPr>
      </w:pPr>
      <w:r>
        <w:rPr>
          <w:snapToGrid w:val="0"/>
        </w:rPr>
        <w:t>[r. 5]</w:t>
      </w:r>
    </w:p>
    <w:p>
      <w:pPr>
        <w:pStyle w:val="yFootnoteheading"/>
      </w:pPr>
      <w:r>
        <w:tab/>
        <w:t>[Heading inserted: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13" w:name="_Toc430699122"/>
      <w:r>
        <w:rPr>
          <w:snapToGrid w:val="0"/>
        </w:rPr>
        <w:t>1.</w:t>
      </w:r>
      <w:r>
        <w:rPr>
          <w:snapToGrid w:val="0"/>
        </w:rPr>
        <w:tab/>
        <w:t>Use of this form</w:t>
      </w:r>
      <w:bookmarkEnd w:id="13"/>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14" w:name="_Toc430699123"/>
      <w:r>
        <w:rPr>
          <w:snapToGrid w:val="0"/>
        </w:rPr>
        <w:t>2.</w:t>
      </w:r>
      <w:r>
        <w:rPr>
          <w:snapToGrid w:val="0"/>
        </w:rPr>
        <w:tab/>
        <w:t>When application can be made</w:t>
      </w:r>
      <w:bookmarkEnd w:id="14"/>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15" w:name="_Toc430699124"/>
      <w:r>
        <w:rPr>
          <w:snapToGrid w:val="0"/>
        </w:rPr>
        <w:t>3.</w:t>
      </w:r>
      <w:r>
        <w:rPr>
          <w:snapToGrid w:val="0"/>
        </w:rPr>
        <w:tab/>
        <w:t>Witnessing the signature of applicant</w:t>
      </w:r>
      <w:bookmarkEnd w:id="15"/>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16" w:name="_Toc430699125"/>
      <w:r>
        <w:rPr>
          <w:snapToGrid w:val="0"/>
        </w:rPr>
        <w:t>4.</w:t>
      </w:r>
      <w:r>
        <w:rPr>
          <w:snapToGrid w:val="0"/>
        </w:rPr>
        <w:tab/>
        <w:t>Evidence of identity</w:t>
      </w:r>
      <w:bookmarkEnd w:id="16"/>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Road Traffic (Authorisation to Drive) Act 2008</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Road Traffic (Authorisation to Drive) Act 2008</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17" w:name="_Toc430699126"/>
      <w:r>
        <w:rPr>
          <w:snapToGrid w:val="0"/>
        </w:rPr>
        <w:t>5.</w:t>
      </w:r>
      <w:r>
        <w:rPr>
          <w:snapToGrid w:val="0"/>
        </w:rPr>
        <w:tab/>
        <w:t>Issue of certificate</w:t>
      </w:r>
      <w:bookmarkEnd w:id="17"/>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Gazette 1 Apr 2008 p. 1280-3; amended: Gazette 27 Jun 2014 p. 2351; 10 Feb 2015 p. 621.]</w:t>
      </w:r>
    </w:p>
    <w:p>
      <w:pPr>
        <w:pStyle w:val="yScheduleHeading"/>
      </w:pPr>
      <w:bookmarkStart w:id="18" w:name="_Toc426103676"/>
      <w:bookmarkStart w:id="19" w:name="_Toc426104051"/>
      <w:bookmarkStart w:id="20" w:name="_Toc430177691"/>
      <w:bookmarkStart w:id="21" w:name="_Toc430699127"/>
      <w:r>
        <w:rPr>
          <w:rStyle w:val="CharSchNo"/>
        </w:rPr>
        <w:t>Schedule 2</w:t>
      </w:r>
      <w:bookmarkEnd w:id="18"/>
      <w:bookmarkEnd w:id="19"/>
      <w:bookmarkEnd w:id="20"/>
      <w:bookmarkEnd w:id="21"/>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Gazette 4 Nov 2005 p. 5319; 12 Dec 2014 p. 4720.]</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3" w:name="_Toc426103677"/>
      <w:bookmarkStart w:id="24" w:name="_Toc426104052"/>
      <w:bookmarkStart w:id="25" w:name="_Toc430177692"/>
      <w:bookmarkStart w:id="26" w:name="_Toc430699128"/>
      <w:r>
        <w:t>Notes</w:t>
      </w:r>
      <w:bookmarkEnd w:id="23"/>
      <w:bookmarkEnd w:id="24"/>
      <w:bookmarkEnd w:id="25"/>
      <w:bookmarkEnd w:id="26"/>
    </w:p>
    <w:p>
      <w:pPr>
        <w:pStyle w:val="nSubsection"/>
      </w:pPr>
      <w:r>
        <w:rPr>
          <w:vertAlign w:val="superscript"/>
        </w:rPr>
        <w:t>1</w:t>
      </w:r>
      <w:r>
        <w:tab/>
        <w:t xml:space="preserve">This reprint is a compilation as at 4 September 2015 of the </w:t>
      </w:r>
      <w:r>
        <w:rPr>
          <w:i/>
          <w:noProof/>
        </w:rPr>
        <w:t>Spent Convictions Regulations 1992</w:t>
      </w:r>
      <w:r>
        <w:t xml:space="preserve"> and includes the amendments made by the other written laws referred to in the following table.  The table also contains information about any reprint.</w:t>
      </w:r>
    </w:p>
    <w:p>
      <w:pPr>
        <w:pStyle w:val="nHeading3"/>
        <w:rPr>
          <w:snapToGrid w:val="0"/>
        </w:rPr>
      </w:pPr>
      <w:bookmarkStart w:id="27" w:name="_Toc430699129"/>
      <w:r>
        <w:rPr>
          <w:snapToGrid w:val="0"/>
        </w:rPr>
        <w:t>Compilation table</w:t>
      </w:r>
      <w:bookmarkEnd w:id="2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rPr>
          <w:cantSplit/>
        </w:trPr>
        <w:tc>
          <w:tcPr>
            <w:tcW w:w="7087"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c>
          <w:tcPr>
            <w:tcW w:w="3118"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c>
          <w:tcPr>
            <w:tcW w:w="3118"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rPr>
          <w:cantSplit/>
        </w:trPr>
        <w:tc>
          <w:tcPr>
            <w:tcW w:w="7087"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c>
          <w:tcPr>
            <w:tcW w:w="3118"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c>
          <w:tcPr>
            <w:tcW w:w="3118"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c>
          <w:tcPr>
            <w:tcW w:w="3118"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rFonts w:ascii="Times" w:hAnsi="Times"/>
                <w:bCs/>
                <w:snapToGrid w:val="0"/>
              </w:rPr>
              <w:t>r. 1 and 2: 13 Jun 2014 (see r. 2(a));</w:t>
            </w:r>
            <w:r>
              <w:rPr>
                <w:rFonts w:ascii="Times" w:hAnsi="Times"/>
                <w:bCs/>
                <w:snapToGrid w:val="0"/>
              </w:rPr>
              <w:br/>
              <w:t>Regulations other than r. 1 and 2: 14 Jun 2014 (see r. 2(b))</w:t>
            </w:r>
          </w:p>
        </w:tc>
      </w:tr>
      <w:tr>
        <w:tc>
          <w:tcPr>
            <w:tcW w:w="3118"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 xml:space="preserve">Regulations other than r. 1 and 2: 1 Jul 2014 (see r. 2(b)(i) and </w:t>
            </w:r>
            <w:r>
              <w:rPr>
                <w:rFonts w:ascii="Times" w:hAnsi="Times"/>
                <w:bCs/>
                <w:i/>
                <w:snapToGrid w:val="0"/>
              </w:rPr>
              <w:t xml:space="preserve">Gazette </w:t>
            </w:r>
            <w:r>
              <w:rPr>
                <w:rFonts w:ascii="Times" w:hAnsi="Times"/>
                <w:bCs/>
                <w:snapToGrid w:val="0"/>
              </w:rPr>
              <w:t>17 Jun 2014 p. 1955)</w:t>
            </w:r>
          </w:p>
        </w:tc>
      </w:tr>
      <w:tr>
        <w:tc>
          <w:tcPr>
            <w:tcW w:w="3118"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rFonts w:ascii="Times" w:hAnsi="Times"/>
                <w:bCs/>
                <w:snapToGrid w:val="0"/>
              </w:rPr>
            </w:pPr>
            <w:r>
              <w:rPr>
                <w:rFonts w:ascii="Times" w:hAnsi="Times"/>
                <w:bCs/>
                <w:snapToGrid w:val="0"/>
              </w:rPr>
              <w:t>r. 1 and 2: 23 Sep 2014 (see r. 2(a));</w:t>
            </w:r>
            <w:r>
              <w:rPr>
                <w:rFonts w:ascii="Times" w:hAnsi="Times"/>
                <w:bCs/>
                <w:snapToGrid w:val="0"/>
              </w:rPr>
              <w:br/>
              <w:t>Regulations other than r. 1 and 2: 24 Sep 2014 (see r. 2(b))</w:t>
            </w:r>
          </w:p>
        </w:tc>
      </w:tr>
      <w:tr>
        <w:trPr>
          <w:cantSplit/>
        </w:trPr>
        <w:tc>
          <w:tcPr>
            <w:tcW w:w="3118" w:type="dxa"/>
          </w:tcPr>
          <w:p>
            <w:pPr>
              <w:pStyle w:val="nTable"/>
              <w:spacing w:after="40"/>
              <w:rPr>
                <w:i/>
              </w:rPr>
            </w:pPr>
            <w:r>
              <w:rPr>
                <w:i/>
              </w:rPr>
              <w:t>Spent Convictions Amendment Regulations 2014</w:t>
            </w:r>
          </w:p>
        </w:tc>
        <w:tc>
          <w:tcPr>
            <w:tcW w:w="1276" w:type="dxa"/>
          </w:tcPr>
          <w:p>
            <w:pPr>
              <w:pStyle w:val="nTable"/>
              <w:keepNext/>
              <w:keepLines/>
              <w:spacing w:after="40"/>
            </w:pPr>
            <w:r>
              <w:t>12 Dec 2014 p. 4719</w:t>
            </w:r>
            <w:r>
              <w:noBreakHyphen/>
              <w:t>20</w:t>
            </w:r>
          </w:p>
        </w:tc>
        <w:tc>
          <w:tcPr>
            <w:tcW w:w="2693" w:type="dxa"/>
          </w:tcPr>
          <w:p>
            <w:pPr>
              <w:pStyle w:val="nTable"/>
              <w:keepNext/>
              <w:keepLines/>
              <w:spacing w:after="40"/>
              <w:rPr>
                <w:rFonts w:ascii="Times" w:hAnsi="Times"/>
                <w:bCs/>
                <w:snapToGrid w:val="0"/>
              </w:rPr>
            </w:pPr>
            <w:r>
              <w:rPr>
                <w:rFonts w:ascii="Times" w:hAnsi="Times"/>
                <w:bCs/>
                <w:snapToGrid w:val="0"/>
              </w:rPr>
              <w:t>r. 1 and 2: 12 Dec 2014 (see r. 2(a));</w:t>
            </w:r>
            <w:r>
              <w:rPr>
                <w:rFonts w:ascii="Times" w:hAnsi="Times"/>
                <w:bCs/>
                <w:snapToGrid w:val="0"/>
              </w:rPr>
              <w:br/>
              <w:t>Regulations other than r. 1 and 2: 13 Dec 2014 (see r. 2(b))</w:t>
            </w:r>
          </w:p>
        </w:tc>
      </w:tr>
      <w:tr>
        <w:tc>
          <w:tcPr>
            <w:tcW w:w="3118" w:type="dxa"/>
            <w:shd w:val="clear" w:color="auto" w:fill="auto"/>
          </w:tcPr>
          <w:p>
            <w:pPr>
              <w:pStyle w:val="nTable"/>
              <w:spacing w:after="40"/>
              <w:rPr>
                <w:i/>
              </w:rPr>
            </w:pPr>
            <w:r>
              <w:rPr>
                <w:i/>
              </w:rPr>
              <w:t>Spent Convictions Amendment Regulations 2015</w:t>
            </w:r>
          </w:p>
        </w:tc>
        <w:tc>
          <w:tcPr>
            <w:tcW w:w="1276" w:type="dxa"/>
            <w:shd w:val="clear" w:color="auto" w:fill="auto"/>
          </w:tcPr>
          <w:p>
            <w:pPr>
              <w:pStyle w:val="nTable"/>
              <w:keepNext/>
              <w:keepLines/>
              <w:spacing w:after="40"/>
            </w:pPr>
            <w:r>
              <w:t>10 Feb 2015 p. 621</w:t>
            </w:r>
          </w:p>
        </w:tc>
        <w:tc>
          <w:tcPr>
            <w:tcW w:w="2693" w:type="dxa"/>
            <w:shd w:val="clear" w:color="auto" w:fill="auto"/>
          </w:tcPr>
          <w:p>
            <w:pPr>
              <w:pStyle w:val="nTable"/>
              <w:keepNext/>
              <w:keepLines/>
              <w:spacing w:after="40"/>
              <w:rPr>
                <w:rFonts w:ascii="Times" w:hAnsi="Times"/>
                <w:bCs/>
                <w:snapToGrid w:val="0"/>
              </w:rPr>
            </w:pPr>
            <w:r>
              <w:rPr>
                <w:rFonts w:ascii="Times" w:hAnsi="Times"/>
                <w:bCs/>
                <w:snapToGrid w:val="0"/>
              </w:rPr>
              <w:t>r. 1 and 2: 10 Feb 2015 (see r. 2(a));</w:t>
            </w:r>
            <w:r>
              <w:rPr>
                <w:rFonts w:ascii="Times" w:hAnsi="Times"/>
                <w:bCs/>
                <w:snapToGrid w:val="0"/>
              </w:rPr>
              <w:br/>
              <w:t xml:space="preserve">Regulations other than r. 1 and 2: 27 Apr 2015 (see r. 2(b) and </w:t>
            </w:r>
            <w:r>
              <w:rPr>
                <w:rFonts w:ascii="Times" w:hAnsi="Times"/>
                <w:bCs/>
                <w:i/>
                <w:snapToGrid w:val="0"/>
              </w:rPr>
              <w:t>Gazette</w:t>
            </w:r>
            <w:r>
              <w:rPr>
                <w:rFonts w:ascii="Times" w:hAnsi="Times"/>
                <w:bCs/>
                <w:snapToGrid w:val="0"/>
              </w:rPr>
              <w:t xml:space="preserve"> 17 Apr 2015 p. 1371)</w:t>
            </w:r>
          </w:p>
        </w:tc>
      </w:tr>
      <w:tr>
        <w:tc>
          <w:tcPr>
            <w:tcW w:w="7087" w:type="dxa"/>
            <w:gridSpan w:val="3"/>
            <w:tcBorders>
              <w:bottom w:val="single" w:sz="8" w:space="0" w:color="auto"/>
            </w:tcBorders>
            <w:shd w:val="clear" w:color="auto" w:fill="auto"/>
          </w:tcPr>
          <w:p>
            <w:pPr>
              <w:pStyle w:val="nTable"/>
              <w:keepNext/>
              <w:keepLines/>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Spent Convictions Regulations 1992</w:t>
            </w:r>
            <w:r>
              <w:rPr>
                <w:rFonts w:ascii="Times" w:hAnsi="Times"/>
                <w:b/>
                <w:bCs/>
                <w:snapToGrid w:val="0"/>
              </w:rPr>
              <w:t xml:space="preserve"> as at 4 Sep 2015</w:t>
            </w:r>
            <w:r>
              <w:rPr>
                <w:rFonts w:ascii="Times" w:hAnsi="Times"/>
                <w:bCs/>
                <w:snapToGrid w:val="0"/>
              </w:rPr>
              <w:t xml:space="preserve"> (includes amendments listed above)</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lvlText w:val="%1."/>
      <w:lvlJc w:val="left"/>
      <w:pPr>
        <w:tabs>
          <w:tab w:val="num" w:pos="1492"/>
        </w:tabs>
        <w:ind w:left="1492" w:hanging="360"/>
      </w:pPr>
    </w:lvl>
  </w:abstractNum>
  <w:abstractNum w:abstractNumId="1">
    <w:nsid w:val="FFFFFF7D"/>
    <w:multiLevelType w:val="singleLevel"/>
    <w:tmpl w:val="BBC621FA"/>
    <w:lvl w:ilvl="0">
      <w:start w:val="1"/>
      <w:numFmt w:val="decimal"/>
      <w:lvlText w:val="%1."/>
      <w:lvlJc w:val="left"/>
      <w:pPr>
        <w:tabs>
          <w:tab w:val="num" w:pos="1209"/>
        </w:tabs>
        <w:ind w:left="1209" w:hanging="360"/>
      </w:pPr>
    </w:lvl>
  </w:abstractNum>
  <w:abstractNum w:abstractNumId="2">
    <w:nsid w:val="FFFFFF7E"/>
    <w:multiLevelType w:val="singleLevel"/>
    <w:tmpl w:val="73C83070"/>
    <w:lvl w:ilvl="0">
      <w:start w:val="1"/>
      <w:numFmt w:val="decimal"/>
      <w:lvlText w:val="%1."/>
      <w:lvlJc w:val="left"/>
      <w:pPr>
        <w:tabs>
          <w:tab w:val="num" w:pos="926"/>
        </w:tabs>
        <w:ind w:left="926" w:hanging="360"/>
      </w:pPr>
    </w:lvl>
  </w:abstractNum>
  <w:abstractNum w:abstractNumId="3">
    <w:nsid w:val="FFFFFF7F"/>
    <w:multiLevelType w:val="singleLevel"/>
    <w:tmpl w:val="18AE4C38"/>
    <w:lvl w:ilvl="0">
      <w:start w:val="1"/>
      <w:numFmt w:val="decimal"/>
      <w:lvlText w:val="%1."/>
      <w:lvlJc w:val="left"/>
      <w:pPr>
        <w:tabs>
          <w:tab w:val="num" w:pos="643"/>
        </w:tabs>
        <w:ind w:left="643" w:hanging="360"/>
      </w:pPr>
    </w:lvl>
  </w:abstractNum>
  <w:abstractNum w:abstractNumId="4">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lvlText w:val="%1."/>
      <w:lvlJc w:val="left"/>
      <w:pPr>
        <w:tabs>
          <w:tab w:val="num" w:pos="360"/>
        </w:tabs>
        <w:ind w:left="360" w:hanging="360"/>
      </w:pPr>
    </w:lvl>
  </w:abstractNum>
  <w:abstractNum w:abstractNumId="9">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095351"/>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 w:name="WAFER_20150731105715" w:val="RemoveTocBookmarks,RemoveUnusedBookmarks,RemoveLanguageTags,UsedStyles,RemoveTrackChanges"/>
    <w:docVar w:name="WAFER_20150731105715_GUID" w:val="819fd7f2-4fa9-42e1-baca-48d4e4c82317"/>
    <w:docVar w:name="WAFER_20150731105728" w:val="RemoveTocBookmarks,RemoveLanguageTags,RemoveTrackChanges,RunningHeaders"/>
    <w:docVar w:name="WAFER_20150731105728_GUID" w:val="1e5aa2fa-7343-4889-94f4-f52f02932cd4"/>
    <w:docVar w:name="WAFER_20151111095351" w:val="UpdateStyles,UsedStyles"/>
    <w:docVar w:name="WAFER_20151111095351_GUID" w:val="5de09af1-99c9-4f2b-be99-b0866c5098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2405</Words>
  <Characters>12771</Characters>
  <Application>Microsoft Office Word</Application>
  <DocSecurity>0</DocSecurity>
  <Lines>473</Lines>
  <Paragraphs>316</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14860</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1992 - 03-a0-02</dc:title>
  <dc:subject/>
  <dc:creator/>
  <cp:keywords/>
  <dc:description/>
  <cp:lastModifiedBy>svcMRProcess</cp:lastModifiedBy>
  <cp:revision>4</cp:revision>
  <cp:lastPrinted>2015-08-17T04:08:00Z</cp:lastPrinted>
  <dcterms:created xsi:type="dcterms:W3CDTF">2019-01-18T02:10:00Z</dcterms:created>
  <dcterms:modified xsi:type="dcterms:W3CDTF">2019-01-18T02:10:00Z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20150904</vt:lpwstr>
  </property>
  <property fmtid="{D5CDD505-2E9C-101B-9397-08002B2CF9AE}" pid="8" name="AsAtDate">
    <vt:lpwstr>04 Sep 2015</vt:lpwstr>
  </property>
  <property fmtid="{D5CDD505-2E9C-101B-9397-08002B2CF9AE}" pid="9" name="Suffix">
    <vt:lpwstr>03-a0-02</vt:lpwstr>
  </property>
</Properties>
</file>