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September 2015</w:t>
            </w:r>
          </w:p>
        </w:tc>
      </w:tr>
    </w:tbl>
    <w:p>
      <w:pPr>
        <w:pStyle w:val="WA"/>
        <w:spacing w:before="12"/>
      </w:pPr>
      <w:r>
        <w:t>Western Australia</w:t>
      </w:r>
    </w:p>
    <w:p>
      <w:pPr>
        <w:pStyle w:val="NameofActRegPage1"/>
        <w:ind w:left="397" w:right="397"/>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_Toc434847323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_Toc434847324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canon and rules to be binding</w:t>
      </w:r>
      <w:r>
        <w:tab/>
      </w:r>
      <w:r>
        <w:fldChar w:fldCharType="begin"/>
      </w:r>
      <w:r>
        <w:instrText xml:space="preserve"> PAGEREF _Toc434847325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Canons and rules not to conflict with laws in WA</w:t>
      </w:r>
      <w:r>
        <w:tab/>
      </w:r>
      <w:r>
        <w:fldChar w:fldCharType="begin"/>
      </w:r>
      <w:r>
        <w:instrText xml:space="preserve"> PAGEREF _Toc434847326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certain references changed</w:t>
      </w:r>
      <w:r>
        <w:tab/>
      </w:r>
      <w:r>
        <w:fldChar w:fldCharType="begin"/>
      </w:r>
      <w:r>
        <w:instrText xml:space="preserve"> PAGEREF _Toc434847327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Constitutions of dioceses to continue</w:t>
      </w:r>
      <w:r>
        <w:tab/>
      </w:r>
      <w:r>
        <w:fldChar w:fldCharType="begin"/>
      </w:r>
      <w:r>
        <w:instrText xml:space="preserve"> PAGEREF _Toc434847328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certain references changed</w:t>
      </w:r>
      <w:r>
        <w:tab/>
      </w:r>
      <w:r>
        <w:fldChar w:fldCharType="begin"/>
      </w:r>
      <w:r>
        <w:instrText xml:space="preserve"> PAGEREF _Toc434847329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Anglican Church of Australia Trust Corporation, functions of</w:t>
      </w:r>
      <w:r>
        <w:tab/>
      </w:r>
      <w:r>
        <w:fldChar w:fldCharType="begin"/>
      </w:r>
      <w:r>
        <w:instrText xml:space="preserve"> PAGEREF _Toc434847330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Administration of customary oaths</w:t>
      </w:r>
      <w:r>
        <w:tab/>
      </w:r>
      <w:r>
        <w:fldChar w:fldCharType="begin"/>
      </w:r>
      <w:r>
        <w:instrText xml:space="preserve"> PAGEREF _Toc434847331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tribunal under Chapter IX of Constitution</w:t>
      </w:r>
      <w:r>
        <w:tab/>
      </w:r>
      <w:r>
        <w:fldChar w:fldCharType="begin"/>
      </w:r>
      <w:r>
        <w:instrText xml:space="preserve"> PAGEREF _Toc434847332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Constitution</w:t>
      </w:r>
    </w:p>
    <w:p>
      <w:pPr>
        <w:pStyle w:val="TOC2"/>
        <w:tabs>
          <w:tab w:val="right" w:leader="dot" w:pos="7077"/>
        </w:tabs>
        <w:rPr>
          <w:rFonts w:asciiTheme="minorHAnsi" w:eastAsiaTheme="minorEastAsia" w:hAnsiTheme="minorHAnsi" w:cstheme="minorBidi"/>
          <w:b w:val="0"/>
          <w:sz w:val="22"/>
          <w:szCs w:val="22"/>
        </w:rPr>
      </w:pPr>
      <w:r>
        <w:t>Second Schedule — Acts to be read as amended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_Toc434847336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September 2015</w:t>
            </w:r>
          </w:p>
        </w:tc>
      </w:tr>
    </w:tbl>
    <w:p>
      <w:pPr>
        <w:pStyle w:val="WA"/>
        <w:spacing w:before="12"/>
      </w:pPr>
      <w:r>
        <w:t>Western Australia</w:t>
      </w:r>
    </w:p>
    <w:p>
      <w:pPr>
        <w:pStyle w:val="NameofActReg"/>
        <w:spacing w:before="600" w:after="720"/>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spacing w:before="120"/>
        <w:rPr>
          <w:snapToGrid w:val="0"/>
        </w:rPr>
      </w:pPr>
      <w:r>
        <w:rPr>
          <w:snapToGrid w:val="0"/>
        </w:rPr>
        <w:t xml:space="preserve">An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 No. 121 of 1976 s. 7.]</w:t>
      </w:r>
    </w:p>
    <w:p>
      <w:pPr>
        <w:pStyle w:val="Preamble1"/>
        <w:spacing w:before="240" w:after="120"/>
        <w:rPr>
          <w:snapToGrid w:val="0"/>
        </w:rPr>
      </w:pPr>
      <w:r>
        <w:rPr>
          <w:snapToGrid w:val="0"/>
        </w:rPr>
        <w:t>Preamble</w:t>
      </w:r>
      <w:r>
        <w:rPr>
          <w:snapToGrid w:val="0"/>
          <w:vertAlign w:val="superscript"/>
        </w:rPr>
        <w:t> 2</w:t>
      </w:r>
    </w:p>
    <w:p>
      <w:pPr>
        <w:pStyle w:val="Preamble2"/>
        <w:rPr>
          <w:snapToGrid w:val="0"/>
        </w:rPr>
      </w:pPr>
      <w:r>
        <w:rPr>
          <w:snapToGrid w:val="0"/>
        </w:rPr>
        <w:t>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the</w:t>
      </w:r>
      <w:r>
        <w:rPr>
          <w:b/>
          <w:i/>
          <w:snapToGrid w:val="0"/>
        </w:rPr>
        <w:t xml:space="preserve"> </w:t>
      </w:r>
      <w:r>
        <w:rPr>
          <w:rStyle w:val="CharDefText"/>
        </w:rPr>
        <w:t>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43484732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 xml:space="preserve">[Section 1 amended: No. 121 of 1976 s. 7.] </w:t>
      </w:r>
    </w:p>
    <w:p>
      <w:pPr>
        <w:pStyle w:val="Heading5"/>
        <w:rPr>
          <w:snapToGrid w:val="0"/>
        </w:rPr>
      </w:pPr>
      <w:bookmarkStart w:id="4" w:name="_Toc43484732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5" w:name="_Toc434847325"/>
      <w:r>
        <w:rPr>
          <w:rStyle w:val="CharSectno"/>
        </w:rPr>
        <w:t>3</w:t>
      </w:r>
      <w:r>
        <w:rPr>
          <w:snapToGrid w:val="0"/>
        </w:rPr>
        <w:t>.</w:t>
      </w:r>
      <w:r>
        <w:rPr>
          <w:snapToGrid w:val="0"/>
        </w:rPr>
        <w:tab/>
        <w:t>Constitution, canon and rules to be binding</w:t>
      </w:r>
      <w:bookmarkEnd w:id="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No. 121 of 1976 s. 7.] </w:t>
      </w:r>
    </w:p>
    <w:p>
      <w:pPr>
        <w:pStyle w:val="Heading5"/>
        <w:rPr>
          <w:snapToGrid w:val="0"/>
        </w:rPr>
      </w:pPr>
      <w:bookmarkStart w:id="6" w:name="_Toc434847326"/>
      <w:r>
        <w:rPr>
          <w:rStyle w:val="CharSectno"/>
        </w:rPr>
        <w:t>4</w:t>
      </w:r>
      <w:r>
        <w:rPr>
          <w:snapToGrid w:val="0"/>
        </w:rPr>
        <w:t>.</w:t>
      </w:r>
      <w:r>
        <w:rPr>
          <w:snapToGrid w:val="0"/>
        </w:rPr>
        <w:tab/>
        <w:t>Canons and rules not to conflict with laws in WA</w:t>
      </w:r>
      <w:bookmarkEnd w:id="6"/>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7" w:name="_Toc434847327"/>
      <w:r>
        <w:rPr>
          <w:rStyle w:val="CharSectno"/>
        </w:rPr>
        <w:t>5</w:t>
      </w:r>
      <w:r>
        <w:rPr>
          <w:snapToGrid w:val="0"/>
        </w:rPr>
        <w:t>.</w:t>
      </w:r>
      <w:r>
        <w:rPr>
          <w:snapToGrid w:val="0"/>
        </w:rPr>
        <w:tab/>
        <w:t>Saving; certain references changed</w:t>
      </w:r>
      <w:bookmarkEnd w:id="7"/>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8" w:name="_Toc434847328"/>
      <w:r>
        <w:rPr>
          <w:rStyle w:val="CharSectno"/>
        </w:rPr>
        <w:t>6</w:t>
      </w:r>
      <w:r>
        <w:rPr>
          <w:snapToGrid w:val="0"/>
        </w:rPr>
        <w:t>.</w:t>
      </w:r>
      <w:r>
        <w:rPr>
          <w:snapToGrid w:val="0"/>
        </w:rPr>
        <w:tab/>
        <w:t>Constitutions of dioceses to continue</w:t>
      </w:r>
      <w:bookmarkEnd w:id="8"/>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No. 121 of 1976 s. 7.] </w:t>
      </w:r>
    </w:p>
    <w:p>
      <w:pPr>
        <w:pStyle w:val="Heading5"/>
        <w:rPr>
          <w:snapToGrid w:val="0"/>
        </w:rPr>
      </w:pPr>
      <w:bookmarkStart w:id="9" w:name="_Toc434847329"/>
      <w:r>
        <w:rPr>
          <w:rStyle w:val="CharSectno"/>
        </w:rPr>
        <w:t>7</w:t>
      </w:r>
      <w:r>
        <w:rPr>
          <w:snapToGrid w:val="0"/>
        </w:rPr>
        <w:t>.</w:t>
      </w:r>
      <w:r>
        <w:rPr>
          <w:snapToGrid w:val="0"/>
        </w:rPr>
        <w:tab/>
        <w:t>Saving; certain references changed</w:t>
      </w:r>
      <w:bookmarkEnd w:id="9"/>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r>
        <w:rPr>
          <w:snapToGrid w:val="0"/>
          <w:vertAlign w:val="superscript"/>
        </w:rPr>
        <w:t> 2</w:t>
      </w:r>
      <w:r>
        <w:rPr>
          <w:snapToGrid w:val="0"/>
        </w:rPr>
        <w:t>.</w:t>
      </w:r>
    </w:p>
    <w:p>
      <w:pPr>
        <w:pStyle w:val="Footnotesection"/>
      </w:pPr>
      <w:r>
        <w:tab/>
        <w:t xml:space="preserve">[Section 7 amended: No. 14 of 1996 s. 4.] </w:t>
      </w:r>
    </w:p>
    <w:p>
      <w:pPr>
        <w:pStyle w:val="Heading5"/>
        <w:rPr>
          <w:snapToGrid w:val="0"/>
        </w:rPr>
      </w:pPr>
      <w:bookmarkStart w:id="10" w:name="_Toc434847330"/>
      <w:r>
        <w:rPr>
          <w:rStyle w:val="CharSectno"/>
        </w:rPr>
        <w:t>8</w:t>
      </w:r>
      <w:r>
        <w:rPr>
          <w:snapToGrid w:val="0"/>
        </w:rPr>
        <w:t>.</w:t>
      </w:r>
      <w:r>
        <w:rPr>
          <w:snapToGrid w:val="0"/>
        </w:rPr>
        <w:tab/>
        <w:t>Anglican Church of Australia Trust Corporation, functions of</w:t>
      </w:r>
      <w:bookmarkEnd w:id="10"/>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 and</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No. 121 of 1976 s. 7; No. 19 of 2010 s. 51.] </w:t>
      </w:r>
    </w:p>
    <w:p>
      <w:pPr>
        <w:pStyle w:val="Heading5"/>
        <w:rPr>
          <w:snapToGrid w:val="0"/>
        </w:rPr>
      </w:pPr>
      <w:bookmarkStart w:id="11" w:name="_Toc434847331"/>
      <w:r>
        <w:rPr>
          <w:rStyle w:val="CharSectno"/>
        </w:rPr>
        <w:t>9</w:t>
      </w:r>
      <w:r>
        <w:rPr>
          <w:snapToGrid w:val="0"/>
        </w:rPr>
        <w:t>.</w:t>
      </w:r>
      <w:r>
        <w:rPr>
          <w:snapToGrid w:val="0"/>
        </w:rPr>
        <w:tab/>
        <w:t>Administration of customary oaths</w:t>
      </w:r>
      <w:bookmarkEnd w:id="11"/>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No. 121 of 1976 s. 7.]</w:t>
      </w:r>
    </w:p>
    <w:p>
      <w:pPr>
        <w:pStyle w:val="Heading5"/>
        <w:rPr>
          <w:snapToGrid w:val="0"/>
        </w:rPr>
      </w:pPr>
      <w:bookmarkStart w:id="12" w:name="_Toc434847332"/>
      <w:r>
        <w:rPr>
          <w:rStyle w:val="CharSectno"/>
        </w:rPr>
        <w:t>10</w:t>
      </w:r>
      <w:r>
        <w:rPr>
          <w:snapToGrid w:val="0"/>
        </w:rPr>
        <w:t>.</w:t>
      </w:r>
      <w:r>
        <w:rPr>
          <w:snapToGrid w:val="0"/>
        </w:rPr>
        <w:tab/>
        <w:t>Powers of tribunal under Chapter IX of Constitution</w:t>
      </w:r>
      <w:bookmarkEnd w:id="12"/>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rPr>
        <w:t>Commercial Arbitration Act 2012</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No. 109 of 1985 s. 3; No. 23 of 2012 s. 45.]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 w:name="_Toc426382300"/>
      <w:bookmarkStart w:id="14" w:name="_Toc427657048"/>
      <w:bookmarkStart w:id="15" w:name="_Toc434847333"/>
      <w:r>
        <w:rPr>
          <w:rStyle w:val="CharSchNo"/>
        </w:rPr>
        <w:t>First Schedule</w:t>
      </w:r>
      <w:r>
        <w:t xml:space="preserve"> — </w:t>
      </w:r>
      <w:r>
        <w:rPr>
          <w:rStyle w:val="CharSchText"/>
        </w:rPr>
        <w:t>Constitution</w:t>
      </w:r>
      <w:bookmarkEnd w:id="13"/>
      <w:bookmarkEnd w:id="14"/>
      <w:bookmarkEnd w:id="15"/>
    </w:p>
    <w:p>
      <w:pPr>
        <w:pStyle w:val="yShoulderClause"/>
        <w:rPr>
          <w:snapToGrid w:val="0"/>
        </w:rPr>
      </w:pPr>
      <w:r>
        <w:rPr>
          <w:snapToGrid w:val="0"/>
        </w:rPr>
        <w:t>[Preamble]</w:t>
      </w:r>
    </w:p>
    <w:p>
      <w:pPr>
        <w:pStyle w:val="yFootnotesection"/>
      </w:pPr>
      <w:r>
        <w:tab/>
        <w:t>[Heading amended: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keepLines/>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our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No. 121 of 1976 s. 7.]</w:t>
      </w:r>
    </w:p>
    <w:p>
      <w:pPr>
        <w:pStyle w:val="yScheduleHeading"/>
      </w:pPr>
      <w:bookmarkStart w:id="16" w:name="_Toc426382301"/>
      <w:bookmarkStart w:id="17" w:name="_Toc427657049"/>
      <w:bookmarkStart w:id="18" w:name="_Toc434847334"/>
      <w:r>
        <w:rPr>
          <w:rStyle w:val="CharSchNo"/>
        </w:rPr>
        <w:t>Second Schedule</w:t>
      </w:r>
      <w:r>
        <w:t xml:space="preserve"> — </w:t>
      </w:r>
      <w:r>
        <w:rPr>
          <w:rStyle w:val="CharSchText"/>
        </w:rPr>
        <w:t>Acts to be read as amended</w:t>
      </w:r>
      <w:bookmarkEnd w:id="16"/>
      <w:bookmarkEnd w:id="17"/>
      <w:bookmarkEnd w:id="18"/>
      <w:r>
        <w:t xml:space="preserve"> </w:t>
      </w:r>
    </w:p>
    <w:p>
      <w:pPr>
        <w:pStyle w:val="yShoulderClause"/>
        <w:rPr>
          <w:snapToGrid w:val="0"/>
        </w:rPr>
      </w:pPr>
      <w:r>
        <w:rPr>
          <w:snapToGrid w:val="0"/>
        </w:rPr>
        <w:t>[s. 5]</w:t>
      </w:r>
    </w:p>
    <w:p>
      <w:pPr>
        <w:pStyle w:val="yFootnotesection"/>
      </w:pPr>
      <w:r>
        <w:tab/>
        <w:t>[Heading amended: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r>
        <w:rPr>
          <w:vertAlign w:val="superscript"/>
        </w:rPr>
        <w:t>4</w:t>
      </w:r>
      <w:r>
        <w:t>.</w:t>
      </w:r>
    </w:p>
    <w:p>
      <w:pPr>
        <w:pStyle w:val="yNumberedItem"/>
      </w:pPr>
      <w:r>
        <w:tab/>
        <w:t>Church of England (Diocesan Trustees) Act, Act No. 52 Victoriae No. 2 </w:t>
      </w:r>
      <w:r>
        <w:rPr>
          <w:vertAlign w:val="superscript"/>
        </w:rPr>
        <w:t>5</w:t>
      </w:r>
      <w:r>
        <w:t>.</w:t>
      </w:r>
    </w:p>
    <w:p>
      <w:pPr>
        <w:pStyle w:val="yNumberedItem"/>
      </w:pPr>
      <w:r>
        <w:tab/>
      </w:r>
      <w:r>
        <w:rPr>
          <w:i/>
          <w:iCs/>
        </w:rPr>
        <w:t>Church of England School Lands Act 1896 </w:t>
      </w:r>
      <w:r>
        <w:rPr>
          <w:iCs/>
          <w:vertAlign w:val="superscript"/>
        </w:rPr>
        <w:t>6</w:t>
      </w:r>
      <w:r>
        <w:rPr>
          <w:i/>
          <w:iCs/>
        </w:rPr>
        <w:t>.</w:t>
      </w:r>
    </w:p>
    <w:p>
      <w:pPr>
        <w:pStyle w:val="yNumberedItem"/>
        <w:rPr>
          <w:i/>
          <w:iCs/>
        </w:rPr>
      </w:pPr>
      <w:r>
        <w:rPr>
          <w:i/>
          <w:iCs/>
        </w:rPr>
        <w:tab/>
        <w:t>Church of England Lands Act 1914 </w:t>
      </w:r>
      <w:r>
        <w:rPr>
          <w:iCs/>
          <w:vertAlign w:val="superscript"/>
        </w:rPr>
        <w:t>7</w:t>
      </w:r>
      <w:r>
        <w:rPr>
          <w:i/>
          <w:iCs/>
        </w:rPr>
        <w:t>.</w:t>
      </w:r>
    </w:p>
    <w:p>
      <w:pPr>
        <w:pStyle w:val="yNumberedItem"/>
        <w:rPr>
          <w:i/>
          <w:iCs/>
        </w:rPr>
      </w:pPr>
      <w:r>
        <w:tab/>
      </w:r>
      <w:r>
        <w:rPr>
          <w:i/>
          <w:iCs/>
        </w:rPr>
        <w:t>Church of England Diocesan Trustees and Lands Act 1918</w:t>
      </w:r>
      <w:r>
        <w:rPr>
          <w:iCs/>
          <w:vertAlign w:val="superscript"/>
        </w:rPr>
        <w:t> 8</w:t>
      </w:r>
      <w:r>
        <w:rPr>
          <w:i/>
          <w:iCs/>
        </w:rP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NumberedItem"/>
        <w:rPr>
          <w:i/>
          <w:iCs/>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0" w:name="_Toc426382302"/>
      <w:bookmarkStart w:id="21" w:name="_Toc427657050"/>
      <w:bookmarkStart w:id="22" w:name="_Toc434847335"/>
      <w:r>
        <w:t>Notes</w:t>
      </w:r>
      <w:bookmarkEnd w:id="20"/>
      <w:bookmarkEnd w:id="21"/>
      <w:bookmarkEnd w:id="22"/>
    </w:p>
    <w:p>
      <w:pPr>
        <w:pStyle w:val="nSubsection"/>
      </w:pPr>
      <w:r>
        <w:rPr>
          <w:vertAlign w:val="superscript"/>
        </w:rPr>
        <w:t>1</w:t>
      </w:r>
      <w:r>
        <w:tab/>
        <w:t xml:space="preserve">This reprint is a compilation as at 11 September 2015 of the </w:t>
      </w:r>
      <w:r>
        <w:rPr>
          <w:i/>
          <w:noProof/>
        </w:rPr>
        <w:t>Anglican Church of Australia Constitution Act 1960</w:t>
      </w:r>
      <w:r>
        <w:t xml:space="preserve"> and includes the amendments made by the other written laws referred to in the following table.  The table also contains information about any reprint.</w:t>
      </w:r>
    </w:p>
    <w:p>
      <w:pPr>
        <w:pStyle w:val="nHeading3"/>
        <w:rPr>
          <w:snapToGrid w:val="0"/>
        </w:rPr>
      </w:pPr>
      <w:bookmarkStart w:id="23" w:name="_Toc434847336"/>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vertAlign w:val="superscript"/>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w:t>
            </w:r>
            <w:r>
              <w:rPr>
                <w:i/>
                <w:vertAlign w:val="superscript"/>
              </w:rPr>
              <w:t> </w:t>
            </w:r>
            <w:r>
              <w:rPr>
                <w:vertAlign w:val="superscript"/>
              </w:rPr>
              <w:t>9</w:t>
            </w:r>
          </w:p>
        </w:tc>
        <w:tc>
          <w:tcPr>
            <w:tcW w:w="1134" w:type="dxa"/>
            <w:tcBorders>
              <w:top w:val="single" w:sz="8" w:space="0" w:color="auto"/>
            </w:tcBorders>
          </w:tcPr>
          <w:p>
            <w:pPr>
              <w:pStyle w:val="nTable"/>
              <w:spacing w:after="40"/>
            </w:pPr>
            <w:r>
              <w:t>4 of 1960 (9 Eliz. II No. 4)</w:t>
            </w:r>
          </w:p>
        </w:tc>
        <w:tc>
          <w:tcPr>
            <w:tcW w:w="1136" w:type="dxa"/>
            <w:tcBorders>
              <w:top w:val="single" w:sz="8" w:space="0" w:color="auto"/>
            </w:tcBorders>
          </w:tcPr>
          <w:p>
            <w:pPr>
              <w:pStyle w:val="nTable"/>
              <w:spacing w:after="40"/>
            </w:pPr>
            <w:r>
              <w:t>6 Oct 1960</w:t>
            </w:r>
          </w:p>
        </w:tc>
        <w:tc>
          <w:tcPr>
            <w:tcW w:w="2552" w:type="dxa"/>
            <w:tcBorders>
              <w:top w:val="single" w:sz="8" w:space="0" w:color="auto"/>
            </w:tcBorders>
          </w:tcPr>
          <w:p>
            <w:pPr>
              <w:pStyle w:val="nTable"/>
              <w:spacing w:after="40"/>
            </w:pPr>
            <w:r>
              <w:t xml:space="preserve">1 Jan 1962 (see s. 2(1) and </w:t>
            </w:r>
            <w:r>
              <w:rPr>
                <w:i/>
              </w:rPr>
              <w:t>Gazette</w:t>
            </w:r>
            <w:r>
              <w:t xml:space="preserve"> 24 Nov 1961 p. 3223)</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6"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Commercial Arbitration Act 1985 </w:t>
            </w:r>
            <w:r>
              <w:t>s. 3(1)</w:t>
            </w:r>
          </w:p>
        </w:tc>
        <w:tc>
          <w:tcPr>
            <w:tcW w:w="1134" w:type="dxa"/>
          </w:tcPr>
          <w:p>
            <w:pPr>
              <w:pStyle w:val="nTable"/>
              <w:spacing w:after="40"/>
            </w:pPr>
            <w:r>
              <w:t>109 of 1985</w:t>
            </w:r>
          </w:p>
        </w:tc>
        <w:tc>
          <w:tcPr>
            <w:tcW w:w="1136" w:type="dxa"/>
          </w:tcPr>
          <w:p>
            <w:pPr>
              <w:pStyle w:val="nTable"/>
              <w:spacing w:after="40"/>
            </w:pPr>
            <w:r>
              <w:t>7 Jan 1986</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7090"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Constitution Act 1960</w:t>
            </w:r>
            <w:r>
              <w:rPr>
                <w:b/>
              </w:rPr>
              <w:t xml:space="preserve"> as at 3 May 2002</w:t>
            </w:r>
            <w: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Commercial Arbitration Act 2012</w:t>
            </w:r>
            <w:r>
              <w:rPr>
                <w:snapToGrid w:val="0"/>
              </w:rPr>
              <w:t xml:space="preserve"> s. 45 it. 2</w:t>
            </w:r>
          </w:p>
        </w:tc>
        <w:tc>
          <w:tcPr>
            <w:tcW w:w="1134" w:type="dxa"/>
            <w:shd w:val="clear" w:color="auto" w:fill="auto"/>
          </w:tcPr>
          <w:p>
            <w:pPr>
              <w:pStyle w:val="nTable"/>
              <w:spacing w:after="40"/>
              <w:rPr>
                <w:snapToGrid w:val="0"/>
              </w:rPr>
            </w:pPr>
            <w:r>
              <w:rPr>
                <w:snapToGrid w:val="0"/>
              </w:rPr>
              <w:t>23 of 2012</w:t>
            </w:r>
          </w:p>
        </w:tc>
        <w:tc>
          <w:tcPr>
            <w:tcW w:w="1136"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7090"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Anglican Church of Australia Constitution Act 1960</w:t>
            </w:r>
            <w:r>
              <w:rPr>
                <w:b/>
                <w:snapToGrid w:val="0"/>
              </w:rPr>
              <w:t xml:space="preserve"> as at 11 Sep 2015</w:t>
            </w:r>
            <w:r>
              <w:rPr>
                <w:snapToGrid w:val="0"/>
              </w:rPr>
              <w:t xml:space="preserve"> (includes amendments listed above)</w:t>
            </w:r>
          </w:p>
        </w:tc>
      </w:tr>
    </w:tbl>
    <w:p>
      <w:pPr>
        <w:pStyle w:val="nSubsection"/>
        <w:spacing w:before="160"/>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which subsequently was known as the </w:t>
      </w:r>
      <w:r>
        <w:rPr>
          <w:i/>
          <w:iCs/>
        </w:rPr>
        <w:t>Companies (Co</w:t>
      </w:r>
      <w:r>
        <w:rPr>
          <w:i/>
          <w:iCs/>
        </w:rPr>
        <w:noBreakHyphen/>
        <w:t>operative) Act 1943</w:t>
      </w:r>
      <w:r>
        <w:rPr>
          <w:iCs/>
        </w:rPr>
        <w:t xml:space="preserve">. It was repealed by the </w:t>
      </w:r>
      <w:r>
        <w:rPr>
          <w:i/>
          <w:iCs/>
        </w:rPr>
        <w:t>Co-operatives Act 2009</w:t>
      </w:r>
      <w:r>
        <w:rPr>
          <w:iCs/>
        </w:rPr>
        <w:t>.</w:t>
      </w:r>
    </w:p>
    <w:p>
      <w:pPr>
        <w:pStyle w:val="nSubsection"/>
        <w:rPr>
          <w:iCs/>
        </w:rPr>
      </w:pPr>
      <w:r>
        <w:rPr>
          <w:iCs/>
          <w:vertAlign w:val="superscript"/>
        </w:rPr>
        <w:t>4</w:t>
      </w:r>
      <w:r>
        <w:rPr>
          <w:iCs/>
        </w:rPr>
        <w:tab/>
        <w:t xml:space="preserve">Now known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r>
        <w:rPr>
          <w:iCs/>
          <w:vertAlign w:val="superscript"/>
        </w:rPr>
        <w:t>5</w:t>
      </w:r>
      <w:r>
        <w:rPr>
          <w:iCs/>
        </w:rPr>
        <w:tab/>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 1888</w:t>
      </w:r>
      <w:r>
        <w:rPr>
          <w:iCs/>
        </w:rPr>
        <w:t>.</w:t>
      </w:r>
    </w:p>
    <w:p>
      <w:pPr>
        <w:pStyle w:val="nSubsection"/>
        <w:rPr>
          <w:iCs/>
        </w:rPr>
      </w:pPr>
      <w:r>
        <w:rPr>
          <w:iCs/>
          <w:vertAlign w:val="superscript"/>
        </w:rPr>
        <w:t>6</w:t>
      </w:r>
      <w:r>
        <w:rPr>
          <w:iCs/>
        </w:rPr>
        <w:tab/>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r>
        <w:rPr>
          <w:iCs/>
          <w:vertAlign w:val="superscript"/>
        </w:rPr>
        <w:t>7</w:t>
      </w:r>
      <w:r>
        <w:rPr>
          <w:iCs/>
        </w:rPr>
        <w:tab/>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r>
        <w:rPr>
          <w:iCs/>
          <w:vertAlign w:val="superscript"/>
        </w:rPr>
        <w:t>8</w:t>
      </w:r>
      <w:r>
        <w:rPr>
          <w:iCs/>
        </w:rPr>
        <w:tab/>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pStyle w:val="nSubsection"/>
        <w:rPr>
          <w:iCs/>
        </w:rPr>
      </w:pPr>
      <w:r>
        <w:rPr>
          <w:iCs/>
          <w:vertAlign w:val="superscript"/>
        </w:rPr>
        <w:t>9</w:t>
      </w:r>
      <w:r>
        <w:rPr>
          <w:iCs/>
        </w:rPr>
        <w:tab/>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short title amended by the</w:t>
      </w:r>
      <w:r>
        <w:rPr>
          <w:i/>
        </w:rPr>
        <w:t xml:space="preserve"> 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r>
        <w:rPr>
          <w:iCs/>
        </w:rPr>
        <w:t>.</w:t>
      </w:r>
    </w:p>
    <w:p>
      <w:pPr>
        <w:rPr>
          <w:snapToGrid w:val="0"/>
        </w:rPr>
      </w:pPr>
    </w:p>
    <w:p>
      <w:pPr>
        <w:rPr>
          <w:snapToGrid w:val="0"/>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25" w:name="_Toc426382304"/>
      <w:bookmarkStart w:id="26" w:name="_Toc427657052"/>
      <w:bookmarkStart w:id="27" w:name="_Toc434847337"/>
      <w:r>
        <w:rPr>
          <w:sz w:val="28"/>
        </w:rPr>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Constitution</w:t>
      </w:r>
      <w:r>
        <w:tab/>
        <w:t>Preamble</w:t>
      </w:r>
    </w:p>
    <w:p>
      <w:pPr>
        <w:rPr>
          <w:snapToGrid w:val="0"/>
        </w:rPr>
      </w:pPr>
    </w:p>
    <w:p>
      <w:pPr>
        <w:rPr>
          <w:snapToGrid w:val="0"/>
        </w:rPr>
        <w:sectPr>
          <w:headerReference w:type="even" r:id="rId32"/>
          <w:headerReference w:type="default" r:id="rId33"/>
          <w:pgSz w:w="11907" w:h="16840" w:code="9"/>
          <w:pgMar w:top="2381" w:right="2410" w:bottom="3544" w:left="2410" w:header="720" w:footer="3379"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459" w:type="dxa"/>
          <w:vAlign w:val="bottom"/>
        </w:tcPr>
        <w:p>
          <w:pPr>
            <w:pStyle w:val="Header"/>
            <w:spacing w:before="40"/>
            <w:jc w:val="right"/>
          </w:pPr>
          <w:r>
            <w:fldChar w:fldCharType="begin"/>
          </w:r>
          <w:r>
            <w:instrText>styleref CharSchText</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3071B04"/>
    <w:multiLevelType w:val="multilevel"/>
    <w:tmpl w:val="2F9E2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12"/>
    <w:docVar w:name="WAFER_20140120105759" w:val="RemoveTocBookmarks,RemoveUnusedBookmarks,RemoveLanguageTags,UsedStyles,ResetPageSize,UpdateArrangement"/>
    <w:docVar w:name="WAFER_20140120105759_GUID" w:val="c5942089-67c1-48bd-b168-96725d99d69b"/>
    <w:docVar w:name="WAFER_20140120110228" w:val="RemoveTocBookmarks,RunningHeaders"/>
    <w:docVar w:name="WAFER_20140120110228_GUID" w:val="dbd1a862-ba55-4fcd-83e2-43876566c8fa"/>
    <w:docVar w:name="WAFER_20150225090806" w:val="ResetPageSize,UpdateArrangement,UpdateNTable"/>
    <w:docVar w:name="WAFER_20150225090806_GUID" w:val="06ca9fe2-a015-4ed4-9959-7a9504a7ae8d"/>
    <w:docVar w:name="WAFER_20150730123420" w:val="RemoveTocBookmarks,RemoveUnusedBookmarks,RemoveLanguageTags,UsedStyles,ResetPageSize,RemoveCustomizations"/>
    <w:docVar w:name="WAFER_20150730123420_GUID" w:val="14030e36-3ef5-4803-a3eb-f74fc1c6c25a"/>
    <w:docVar w:name="WAFER_20151102113738" w:val="UpdateStyles,UsedStyles"/>
    <w:docVar w:name="WAFER_20151102113738_GUID" w:val="de0ec70f-a269-476b-93f2-05377b3c8b5e"/>
    <w:docVar w:name="WAFER_20151109150800" w:val="UsedStyles"/>
    <w:docVar w:name="WAFER_20151109150800_GUID" w:val="1894074c-64bc-402c-8d3a-49e86e95d5d8"/>
    <w:docVar w:name="WAFER_20151109154112" w:val="UpdateStyles,UsedStyles"/>
    <w:docVar w:name="WAFER_20151109154112_GUID" w:val="28a8fc6c-02ae-4c5c-ab08-0c24a0a20a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14159</Words>
  <Characters>68531</Characters>
  <Application>Microsoft Office Word</Application>
  <DocSecurity>0</DocSecurity>
  <Lines>1398</Lines>
  <Paragraphs>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1960 - 02-a0-06</dc:title>
  <dc:subject/>
  <dc:creator/>
  <cp:keywords/>
  <dc:description/>
  <cp:lastModifiedBy>svcMRProcess</cp:lastModifiedBy>
  <cp:revision>4</cp:revision>
  <cp:lastPrinted>2015-09-30T02:05:00Z</cp:lastPrinted>
  <dcterms:created xsi:type="dcterms:W3CDTF">2019-01-23T03:38:00Z</dcterms:created>
  <dcterms:modified xsi:type="dcterms:W3CDTF">2019-01-23T03:39:00Z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OWLSUId">
    <vt:i4>38</vt:i4>
  </property>
  <property fmtid="{D5CDD505-2E9C-101B-9397-08002B2CF9AE}" pid="4" name="DocumentType">
    <vt:lpwstr>Act</vt:lpwstr>
  </property>
  <property fmtid="{D5CDD505-2E9C-101B-9397-08002B2CF9AE}" pid="5" name="ReprintedAsAt">
    <vt:filetime>2015-09-10T16:00:00Z</vt:filetime>
  </property>
  <property fmtid="{D5CDD505-2E9C-101B-9397-08002B2CF9AE}" pid="6" name="ReprintNo">
    <vt:lpwstr>2</vt:lpwstr>
  </property>
  <property fmtid="{D5CDD505-2E9C-101B-9397-08002B2CF9AE}" pid="7" name="CommencementDate">
    <vt:lpwstr>20150911</vt:lpwstr>
  </property>
  <property fmtid="{D5CDD505-2E9C-101B-9397-08002B2CF9AE}" pid="8" name="AsAtDate">
    <vt:lpwstr>11 Sep 2015</vt:lpwstr>
  </property>
  <property fmtid="{D5CDD505-2E9C-101B-9397-08002B2CF9AE}" pid="9" name="Suffix">
    <vt:lpwstr>02-a0-06</vt:lpwstr>
  </property>
</Properties>
</file>