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First Home Owner Grant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_Toc431891476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_Toc431891477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_Toc431891478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home</w:t>
      </w:r>
      <w:r>
        <w:tab/>
      </w:r>
      <w:r>
        <w:fldChar w:fldCharType="begin"/>
      </w:r>
      <w:r>
        <w:instrText xml:space="preserve"> PAGEREF _Toc431891479 \h </w:instrText>
      </w:r>
      <w:r>
        <w:fldChar w:fldCharType="separate"/>
      </w:r>
      <w:r>
        <w:t>6</w:t>
      </w:r>
      <w:r>
        <w:fldChar w:fldCharType="end"/>
      </w:r>
    </w:p>
    <w:p>
      <w:pPr>
        <w:pStyle w:val="TOC8"/>
        <w:rPr>
          <w:rFonts w:asciiTheme="minorHAnsi" w:eastAsiaTheme="minorEastAsia" w:hAnsiTheme="minorHAnsi" w:cstheme="minorBidi"/>
          <w:szCs w:val="22"/>
        </w:rPr>
      </w:pPr>
      <w:r>
        <w:t>5.</w:t>
      </w:r>
      <w:r>
        <w:tab/>
        <w:t>Terms used: owner, home owner</w:t>
      </w:r>
      <w:r>
        <w:tab/>
      </w:r>
      <w:r>
        <w:fldChar w:fldCharType="begin"/>
      </w:r>
      <w:r>
        <w:instrText xml:space="preserve"> PAGEREF _Toc431891480 \h </w:instrText>
      </w:r>
      <w:r>
        <w:fldChar w:fldCharType="separate"/>
      </w:r>
      <w:r>
        <w:t>6</w:t>
      </w:r>
      <w:r>
        <w:fldChar w:fldCharType="end"/>
      </w:r>
    </w:p>
    <w:p>
      <w:pPr>
        <w:pStyle w:val="TOC8"/>
        <w:rPr>
          <w:rFonts w:asciiTheme="minorHAnsi" w:eastAsiaTheme="minorEastAsia" w:hAnsiTheme="minorHAnsi" w:cstheme="minorBidi"/>
          <w:szCs w:val="22"/>
        </w:rPr>
      </w:pPr>
      <w:r>
        <w:t>6.</w:t>
      </w:r>
      <w:r>
        <w:tab/>
        <w:t>Term used: relevant interest</w:t>
      </w:r>
      <w:r>
        <w:tab/>
      </w:r>
      <w:r>
        <w:fldChar w:fldCharType="begin"/>
      </w:r>
      <w:r>
        <w:instrText xml:space="preserve"> PAGEREF _Toc431891481 \h </w:instrText>
      </w:r>
      <w:r>
        <w:fldChar w:fldCharType="separate"/>
      </w:r>
      <w:r>
        <w:t>6</w:t>
      </w:r>
      <w:r>
        <w:fldChar w:fldCharType="end"/>
      </w:r>
    </w:p>
    <w:p>
      <w:pPr>
        <w:pStyle w:val="TOC8"/>
        <w:rPr>
          <w:rFonts w:asciiTheme="minorHAnsi" w:eastAsiaTheme="minorEastAsia" w:hAnsiTheme="minorHAnsi" w:cstheme="minorBidi"/>
          <w:szCs w:val="22"/>
        </w:rPr>
      </w:pPr>
      <w:r>
        <w:t>7.</w:t>
      </w:r>
      <w:r>
        <w:tab/>
        <w:t>Term used: spouse</w:t>
      </w:r>
      <w:r>
        <w:tab/>
      </w:r>
      <w:r>
        <w:fldChar w:fldCharType="begin"/>
      </w:r>
      <w:r>
        <w:instrText xml:space="preserve"> PAGEREF _Toc431891482 \h </w:instrText>
      </w:r>
      <w:r>
        <w:fldChar w:fldCharType="separate"/>
      </w:r>
      <w:r>
        <w:t>8</w:t>
      </w:r>
      <w:r>
        <w:fldChar w:fldCharType="end"/>
      </w:r>
    </w:p>
    <w:p>
      <w:pPr>
        <w:pStyle w:val="TOC8"/>
        <w:rPr>
          <w:rFonts w:asciiTheme="minorHAnsi" w:eastAsiaTheme="minorEastAsia" w:hAnsiTheme="minorHAnsi" w:cstheme="minorBidi"/>
          <w:szCs w:val="22"/>
        </w:rPr>
      </w:pPr>
      <w:r>
        <w:t>7A.</w:t>
      </w:r>
      <w:r>
        <w:tab/>
        <w:t>Term used: Australian citizen</w:t>
      </w:r>
      <w:r>
        <w:tab/>
      </w:r>
      <w:r>
        <w:fldChar w:fldCharType="begin"/>
      </w:r>
      <w:r>
        <w:instrText xml:space="preserve"> PAGEREF _Toc431891483 \h </w:instrText>
      </w:r>
      <w:r>
        <w:fldChar w:fldCharType="separate"/>
      </w:r>
      <w:r>
        <w:t>9</w:t>
      </w:r>
      <w:r>
        <w:fldChar w:fldCharType="end"/>
      </w:r>
    </w:p>
    <w:p>
      <w:pPr>
        <w:pStyle w:val="TOC8"/>
        <w:rPr>
          <w:rFonts w:asciiTheme="minorHAnsi" w:eastAsiaTheme="minorEastAsia" w:hAnsiTheme="minorHAnsi" w:cstheme="minorBidi"/>
          <w:szCs w:val="22"/>
        </w:rPr>
      </w:pPr>
      <w:r>
        <w:t>7B.</w:t>
      </w:r>
      <w:r>
        <w:tab/>
        <w:t>Term used: permanent resident</w:t>
      </w:r>
      <w:r>
        <w:tab/>
      </w:r>
      <w:r>
        <w:fldChar w:fldCharType="begin"/>
      </w:r>
      <w:r>
        <w:instrText xml:space="preserve"> PAGEREF _Toc431891484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First home owner grant</w:t>
      </w:r>
    </w:p>
    <w:p>
      <w:pPr>
        <w:pStyle w:val="TOC4"/>
        <w:tabs>
          <w:tab w:val="right" w:leader="dot" w:pos="7077"/>
        </w:tabs>
        <w:rPr>
          <w:rFonts w:asciiTheme="minorHAnsi" w:eastAsiaTheme="minorEastAsia" w:hAnsiTheme="minorHAnsi" w:cstheme="minorBidi"/>
          <w:b w:val="0"/>
          <w:szCs w:val="22"/>
        </w:rPr>
      </w:pPr>
      <w:r>
        <w:t>Division 1 — Entitlement to grant</w:t>
      </w:r>
    </w:p>
    <w:p>
      <w:pPr>
        <w:pStyle w:val="TOC8"/>
        <w:rPr>
          <w:rFonts w:asciiTheme="minorHAnsi" w:eastAsiaTheme="minorEastAsia" w:hAnsiTheme="minorHAnsi" w:cstheme="minorBidi"/>
          <w:szCs w:val="22"/>
        </w:rPr>
      </w:pPr>
      <w:r>
        <w:t>8.</w:t>
      </w:r>
      <w:r>
        <w:tab/>
        <w:t>Entitlement to grant</w:t>
      </w:r>
      <w:r>
        <w:tab/>
      </w:r>
      <w:r>
        <w:fldChar w:fldCharType="begin"/>
      </w:r>
      <w:r>
        <w:instrText xml:space="preserve"> PAGEREF _Toc431891487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Eligibility criteria (applicants)</w:t>
      </w:r>
    </w:p>
    <w:p>
      <w:pPr>
        <w:pStyle w:val="TOC8"/>
        <w:rPr>
          <w:rFonts w:asciiTheme="minorHAnsi" w:eastAsiaTheme="minorEastAsia" w:hAnsiTheme="minorHAnsi" w:cstheme="minorBidi"/>
          <w:szCs w:val="22"/>
        </w:rPr>
      </w:pPr>
      <w:r>
        <w:t>9</w:t>
      </w:r>
      <w:r>
        <w:rPr>
          <w:snapToGrid w:val="0"/>
        </w:rPr>
        <w:t>.</w:t>
      </w:r>
      <w:r>
        <w:rPr>
          <w:snapToGrid w:val="0"/>
        </w:rPr>
        <w:tab/>
        <w:t>Criterion 1 — applicant to be a natural person</w:t>
      </w:r>
      <w:r>
        <w:tab/>
      </w:r>
      <w:r>
        <w:fldChar w:fldCharType="begin"/>
      </w:r>
      <w:r>
        <w:instrText xml:space="preserve"> PAGEREF _Toc431891489 \h </w:instrText>
      </w:r>
      <w:r>
        <w:fldChar w:fldCharType="separate"/>
      </w:r>
      <w:r>
        <w:t>10</w:t>
      </w:r>
      <w:r>
        <w:fldChar w:fldCharType="end"/>
      </w:r>
    </w:p>
    <w:p>
      <w:pPr>
        <w:pStyle w:val="TOC8"/>
        <w:rPr>
          <w:rFonts w:asciiTheme="minorHAnsi" w:eastAsiaTheme="minorEastAsia" w:hAnsiTheme="minorHAnsi" w:cstheme="minorBidi"/>
          <w:szCs w:val="22"/>
        </w:rPr>
      </w:pPr>
      <w:r>
        <w:t>9A.</w:t>
      </w:r>
      <w:r>
        <w:tab/>
        <w:t>Criterion 1A — applicant to be at least 18 years of age</w:t>
      </w:r>
      <w:r>
        <w:tab/>
      </w:r>
      <w:r>
        <w:fldChar w:fldCharType="begin"/>
      </w:r>
      <w:r>
        <w:instrText xml:space="preserve"> PAGEREF _Toc431891490 \h </w:instrText>
      </w:r>
      <w:r>
        <w:fldChar w:fldCharType="separate"/>
      </w:r>
      <w:r>
        <w:t>10</w:t>
      </w:r>
      <w:r>
        <w:fldChar w:fldCharType="end"/>
      </w:r>
    </w:p>
    <w:p>
      <w:pPr>
        <w:pStyle w:val="TOC8"/>
        <w:rPr>
          <w:rFonts w:asciiTheme="minorHAnsi" w:eastAsiaTheme="minorEastAsia" w:hAnsiTheme="minorHAnsi" w:cstheme="minorBidi"/>
          <w:szCs w:val="22"/>
        </w:rPr>
      </w:pPr>
      <w:r>
        <w:t>10.</w:t>
      </w:r>
      <w:r>
        <w:tab/>
        <w:t>Criterion 2 — applicant to be Australian citizen or permanent resident</w:t>
      </w:r>
      <w:r>
        <w:tab/>
      </w:r>
      <w:r>
        <w:fldChar w:fldCharType="begin"/>
      </w:r>
      <w:r>
        <w:instrText xml:space="preserve"> PAGEREF _Toc431891491 \h </w:instrText>
      </w:r>
      <w:r>
        <w:fldChar w:fldCharType="separate"/>
      </w:r>
      <w:r>
        <w:t>11</w:t>
      </w:r>
      <w:r>
        <w:fldChar w:fldCharType="end"/>
      </w:r>
    </w:p>
    <w:p>
      <w:pPr>
        <w:pStyle w:val="TOC8"/>
        <w:rPr>
          <w:rFonts w:asciiTheme="minorHAnsi" w:eastAsiaTheme="minorEastAsia" w:hAnsiTheme="minorHAnsi" w:cstheme="minorBidi"/>
          <w:szCs w:val="22"/>
        </w:rPr>
      </w:pPr>
      <w:r>
        <w:t>11.</w:t>
      </w:r>
      <w:r>
        <w:tab/>
        <w:t>Criterion 3 — except in certain circumstances, applicant or applicant’s spouse or de facto partner must not have received another grant</w:t>
      </w:r>
      <w:r>
        <w:tab/>
      </w:r>
      <w:r>
        <w:fldChar w:fldCharType="begin"/>
      </w:r>
      <w:r>
        <w:instrText xml:space="preserve"> PAGEREF _Toc431891492 \h </w:instrText>
      </w:r>
      <w:r>
        <w:fldChar w:fldCharType="separate"/>
      </w:r>
      <w:r>
        <w:t>11</w:t>
      </w:r>
      <w:r>
        <w:fldChar w:fldCharType="end"/>
      </w:r>
    </w:p>
    <w:p>
      <w:pPr>
        <w:pStyle w:val="TOC8"/>
        <w:rPr>
          <w:rFonts w:asciiTheme="minorHAnsi" w:eastAsiaTheme="minorEastAsia" w:hAnsiTheme="minorHAnsi" w:cstheme="minorBidi"/>
          <w:szCs w:val="22"/>
        </w:rPr>
      </w:pPr>
      <w:r>
        <w:t>12.</w:t>
      </w:r>
      <w:r>
        <w:tab/>
        <w:t>Criterion 4 — applicant or applicant’s spouse or de facto partner must not have had relevant interest in residential property</w:t>
      </w:r>
      <w:r>
        <w:tab/>
      </w:r>
      <w:r>
        <w:fldChar w:fldCharType="begin"/>
      </w:r>
      <w:r>
        <w:instrText xml:space="preserve"> PAGEREF _Toc431891493 \h </w:instrText>
      </w:r>
      <w:r>
        <w:fldChar w:fldCharType="separate"/>
      </w:r>
      <w:r>
        <w:t>12</w:t>
      </w:r>
      <w:r>
        <w:fldChar w:fldCharType="end"/>
      </w:r>
    </w:p>
    <w:p>
      <w:pPr>
        <w:pStyle w:val="TOC8"/>
        <w:rPr>
          <w:rFonts w:asciiTheme="minorHAnsi" w:eastAsiaTheme="minorEastAsia" w:hAnsiTheme="minorHAnsi" w:cstheme="minorBidi"/>
          <w:szCs w:val="22"/>
        </w:rPr>
      </w:pPr>
      <w:r>
        <w:t>13.</w:t>
      </w:r>
      <w:r>
        <w:tab/>
        <w:t>Criterion 5 — residence requirements</w:t>
      </w:r>
      <w:r>
        <w:tab/>
      </w:r>
      <w:r>
        <w:fldChar w:fldCharType="begin"/>
      </w:r>
      <w:r>
        <w:instrText xml:space="preserve"> PAGEREF _Toc431891494 \h </w:instrText>
      </w:r>
      <w:r>
        <w:fldChar w:fldCharType="separate"/>
      </w:r>
      <w:r>
        <w:t>13</w:t>
      </w:r>
      <w:r>
        <w:fldChar w:fldCharType="end"/>
      </w:r>
    </w:p>
    <w:p>
      <w:pPr>
        <w:pStyle w:val="TOC8"/>
        <w:rPr>
          <w:rFonts w:asciiTheme="minorHAnsi" w:eastAsiaTheme="minorEastAsia" w:hAnsiTheme="minorHAnsi" w:cstheme="minorBidi"/>
          <w:szCs w:val="22"/>
        </w:rPr>
      </w:pPr>
      <w:r>
        <w:t>13A.</w:t>
      </w:r>
      <w:r>
        <w:tab/>
        <w:t>Criterion 6 — applicant must not have been convicted of an offence under this Act</w:t>
      </w:r>
      <w:r>
        <w:tab/>
      </w:r>
      <w:r>
        <w:fldChar w:fldCharType="begin"/>
      </w:r>
      <w:r>
        <w:instrText xml:space="preserve"> PAGEREF _Toc431891495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Eligible transactions</w:t>
      </w:r>
    </w:p>
    <w:p>
      <w:pPr>
        <w:pStyle w:val="TOC6"/>
        <w:tabs>
          <w:tab w:val="right" w:leader="dot" w:pos="7077"/>
        </w:tabs>
        <w:rPr>
          <w:rFonts w:asciiTheme="minorHAnsi" w:eastAsiaTheme="minorEastAsia" w:hAnsiTheme="minorHAnsi" w:cstheme="minorBidi"/>
          <w:b w:val="0"/>
          <w:sz w:val="22"/>
          <w:szCs w:val="22"/>
        </w:rPr>
      </w:pPr>
      <w:r>
        <w:t>Subdivision 1 — Eligible transactions</w:t>
      </w:r>
    </w:p>
    <w:p>
      <w:pPr>
        <w:pStyle w:val="TOC8"/>
        <w:rPr>
          <w:rFonts w:asciiTheme="minorHAnsi" w:eastAsiaTheme="minorEastAsia" w:hAnsiTheme="minorHAnsi" w:cstheme="minorBidi"/>
          <w:szCs w:val="22"/>
        </w:rPr>
      </w:pPr>
      <w:r>
        <w:t>14.</w:t>
      </w:r>
      <w:r>
        <w:tab/>
        <w:t>Eligible transaction</w:t>
      </w:r>
      <w:r>
        <w:tab/>
      </w:r>
      <w:r>
        <w:fldChar w:fldCharType="begin"/>
      </w:r>
      <w:r>
        <w:instrText xml:space="preserve"> PAGEREF _Toc431891498 \h </w:instrText>
      </w:r>
      <w:r>
        <w:fldChar w:fldCharType="separate"/>
      </w:r>
      <w:r>
        <w:t>15</w:t>
      </w:r>
      <w:r>
        <w:fldChar w:fldCharType="end"/>
      </w:r>
    </w:p>
    <w:p>
      <w:pPr>
        <w:pStyle w:val="TOC8"/>
        <w:rPr>
          <w:rFonts w:asciiTheme="minorHAnsi" w:eastAsiaTheme="minorEastAsia" w:hAnsiTheme="minorHAnsi" w:cstheme="minorBidi"/>
          <w:szCs w:val="22"/>
        </w:rPr>
      </w:pPr>
      <w:r>
        <w:t>14AA.</w:t>
      </w:r>
      <w:r>
        <w:tab/>
        <w:t>Commencement and completion of transaction</w:t>
      </w:r>
      <w:r>
        <w:tab/>
      </w:r>
      <w:r>
        <w:fldChar w:fldCharType="begin"/>
      </w:r>
      <w:r>
        <w:instrText xml:space="preserve"> PAGEREF _Toc431891499 \h </w:instrText>
      </w:r>
      <w:r>
        <w:fldChar w:fldCharType="separate"/>
      </w:r>
      <w:r>
        <w:t>16</w:t>
      </w:r>
      <w:r>
        <w:fldChar w:fldCharType="end"/>
      </w:r>
    </w:p>
    <w:p>
      <w:pPr>
        <w:pStyle w:val="TOC8"/>
        <w:rPr>
          <w:rFonts w:asciiTheme="minorHAnsi" w:eastAsiaTheme="minorEastAsia" w:hAnsiTheme="minorHAnsi" w:cstheme="minorBidi"/>
          <w:szCs w:val="22"/>
        </w:rPr>
      </w:pPr>
      <w:r>
        <w:t>14AB.</w:t>
      </w:r>
      <w:r>
        <w:tab/>
        <w:t>Term used: consideration</w:t>
      </w:r>
      <w:r>
        <w:tab/>
      </w:r>
      <w:r>
        <w:fldChar w:fldCharType="begin"/>
      </w:r>
      <w:r>
        <w:instrText xml:space="preserve"> PAGEREF _Toc431891500 \h </w:instrText>
      </w:r>
      <w:r>
        <w:fldChar w:fldCharType="separate"/>
      </w:r>
      <w:r>
        <w:t>18</w:t>
      </w:r>
      <w:r>
        <w:fldChar w:fldCharType="end"/>
      </w:r>
    </w:p>
    <w:p>
      <w:pPr>
        <w:pStyle w:val="TOC8"/>
        <w:rPr>
          <w:rFonts w:asciiTheme="minorHAnsi" w:eastAsiaTheme="minorEastAsia" w:hAnsiTheme="minorHAnsi" w:cstheme="minorBidi"/>
          <w:szCs w:val="22"/>
        </w:rPr>
      </w:pPr>
      <w:r>
        <w:t>14AC.</w:t>
      </w:r>
      <w:r>
        <w:tab/>
        <w:t>Term used: total value</w:t>
      </w:r>
      <w:r>
        <w:tab/>
      </w:r>
      <w:r>
        <w:fldChar w:fldCharType="begin"/>
      </w:r>
      <w:r>
        <w:instrText xml:space="preserve"> PAGEREF _Toc431891501 \h </w:instrText>
      </w:r>
      <w:r>
        <w:fldChar w:fldCharType="separate"/>
      </w:r>
      <w:r>
        <w:t>18</w:t>
      </w:r>
      <w:r>
        <w:fldChar w:fldCharType="end"/>
      </w:r>
    </w:p>
    <w:p>
      <w:pPr>
        <w:pStyle w:val="TOC8"/>
        <w:rPr>
          <w:rFonts w:asciiTheme="minorHAnsi" w:eastAsiaTheme="minorEastAsia" w:hAnsiTheme="minorHAnsi" w:cstheme="minorBidi"/>
          <w:szCs w:val="22"/>
        </w:rPr>
      </w:pPr>
      <w:r>
        <w:t>14AD.</w:t>
      </w:r>
      <w:r>
        <w:tab/>
        <w:t>Term used: cap amount</w:t>
      </w:r>
      <w:r>
        <w:tab/>
      </w:r>
      <w:r>
        <w:fldChar w:fldCharType="begin"/>
      </w:r>
      <w:r>
        <w:instrText xml:space="preserve"> PAGEREF _Toc431891502 \h </w:instrText>
      </w:r>
      <w:r>
        <w:fldChar w:fldCharType="separate"/>
      </w:r>
      <w:r>
        <w:t>19</w:t>
      </w:r>
      <w:r>
        <w:fldChar w:fldCharType="end"/>
      </w:r>
    </w:p>
    <w:p>
      <w:pPr>
        <w:pStyle w:val="TOC8"/>
        <w:rPr>
          <w:rFonts w:asciiTheme="minorHAnsi" w:eastAsiaTheme="minorEastAsia" w:hAnsiTheme="minorHAnsi" w:cstheme="minorBidi"/>
          <w:szCs w:val="22"/>
        </w:rPr>
      </w:pPr>
      <w:r>
        <w:t>14AE.</w:t>
      </w:r>
      <w:r>
        <w:tab/>
        <w:t>Term used: unencumbered value</w:t>
      </w:r>
      <w:r>
        <w:tab/>
      </w:r>
      <w:r>
        <w:fldChar w:fldCharType="begin"/>
      </w:r>
      <w:r>
        <w:instrText xml:space="preserve"> PAGEREF _Toc431891503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Special eligible transactions</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_Toc431891505 \h </w:instrText>
      </w:r>
      <w:r>
        <w:fldChar w:fldCharType="separate"/>
      </w:r>
      <w:r>
        <w:t>20</w:t>
      </w:r>
      <w:r>
        <w:fldChar w:fldCharType="end"/>
      </w:r>
    </w:p>
    <w:p>
      <w:pPr>
        <w:pStyle w:val="TOC8"/>
        <w:rPr>
          <w:rFonts w:asciiTheme="minorHAnsi" w:eastAsiaTheme="minorEastAsia" w:hAnsiTheme="minorHAnsi" w:cstheme="minorBidi"/>
          <w:szCs w:val="22"/>
        </w:rPr>
      </w:pPr>
      <w:r>
        <w:t>14B.</w:t>
      </w:r>
      <w:r>
        <w:tab/>
        <w:t>Special eligible transactions</w:t>
      </w:r>
      <w:r>
        <w:tab/>
      </w:r>
      <w:r>
        <w:fldChar w:fldCharType="begin"/>
      </w:r>
      <w:r>
        <w:instrText xml:space="preserve"> PAGEREF _Toc431891506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the grant</w:t>
      </w:r>
    </w:p>
    <w:p>
      <w:pPr>
        <w:pStyle w:val="TOC8"/>
        <w:rPr>
          <w:rFonts w:asciiTheme="minorHAnsi" w:eastAsiaTheme="minorEastAsia" w:hAnsiTheme="minorHAnsi" w:cstheme="minorBidi"/>
          <w:szCs w:val="22"/>
        </w:rPr>
      </w:pPr>
      <w:r>
        <w:t>15.</w:t>
      </w:r>
      <w:r>
        <w:tab/>
        <w:t>Application for grant</w:t>
      </w:r>
      <w:r>
        <w:tab/>
      </w:r>
      <w:r>
        <w:fldChar w:fldCharType="begin"/>
      </w:r>
      <w:r>
        <w:instrText xml:space="preserve"> PAGEREF _Toc431891508 \h </w:instrText>
      </w:r>
      <w:r>
        <w:fldChar w:fldCharType="separate"/>
      </w:r>
      <w:r>
        <w:t>26</w:t>
      </w:r>
      <w:r>
        <w:fldChar w:fldCharType="end"/>
      </w:r>
    </w:p>
    <w:p>
      <w:pPr>
        <w:pStyle w:val="TOC8"/>
        <w:rPr>
          <w:rFonts w:asciiTheme="minorHAnsi" w:eastAsiaTheme="minorEastAsia" w:hAnsiTheme="minorHAnsi" w:cstheme="minorBidi"/>
          <w:szCs w:val="22"/>
        </w:rPr>
      </w:pPr>
      <w:r>
        <w:t>16.</w:t>
      </w:r>
      <w:r>
        <w:tab/>
        <w:t>Interested persons</w:t>
      </w:r>
      <w:r>
        <w:tab/>
      </w:r>
      <w:r>
        <w:fldChar w:fldCharType="begin"/>
      </w:r>
      <w:r>
        <w:instrText xml:space="preserve"> PAGEREF _Toc431891509 \h </w:instrText>
      </w:r>
      <w:r>
        <w:fldChar w:fldCharType="separate"/>
      </w:r>
      <w:r>
        <w:t>26</w:t>
      </w:r>
      <w:r>
        <w:fldChar w:fldCharType="end"/>
      </w:r>
    </w:p>
    <w:p>
      <w:pPr>
        <w:pStyle w:val="TOC8"/>
        <w:rPr>
          <w:rFonts w:asciiTheme="minorHAnsi" w:eastAsiaTheme="minorEastAsia" w:hAnsiTheme="minorHAnsi" w:cstheme="minorBidi"/>
          <w:szCs w:val="22"/>
        </w:rPr>
      </w:pPr>
      <w:r>
        <w:t>17.</w:t>
      </w:r>
      <w:r>
        <w:tab/>
        <w:t>Application on behalf of person under legal disability</w:t>
      </w:r>
      <w:r>
        <w:tab/>
      </w:r>
      <w:r>
        <w:fldChar w:fldCharType="begin"/>
      </w:r>
      <w:r>
        <w:instrText xml:space="preserve"> PAGEREF _Toc431891510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Decision on application</w:t>
      </w:r>
    </w:p>
    <w:p>
      <w:pPr>
        <w:pStyle w:val="TOC8"/>
        <w:rPr>
          <w:rFonts w:asciiTheme="minorHAnsi" w:eastAsiaTheme="minorEastAsia" w:hAnsiTheme="minorHAnsi" w:cstheme="minorBidi"/>
          <w:szCs w:val="22"/>
        </w:rPr>
      </w:pPr>
      <w:r>
        <w:t>18.</w:t>
      </w:r>
      <w:r>
        <w:tab/>
        <w:t>Commissioner to authorise payment of grant</w:t>
      </w:r>
      <w:r>
        <w:tab/>
      </w:r>
      <w:r>
        <w:fldChar w:fldCharType="begin"/>
      </w:r>
      <w:r>
        <w:instrText xml:space="preserve"> PAGEREF _Toc431891512 \h </w:instrText>
      </w:r>
      <w:r>
        <w:fldChar w:fldCharType="separate"/>
      </w:r>
      <w:r>
        <w:t>27</w:t>
      </w:r>
      <w:r>
        <w:fldChar w:fldCharType="end"/>
      </w:r>
    </w:p>
    <w:p>
      <w:pPr>
        <w:pStyle w:val="TOC8"/>
        <w:rPr>
          <w:rFonts w:asciiTheme="minorHAnsi" w:eastAsiaTheme="minorEastAsia" w:hAnsiTheme="minorHAnsi" w:cstheme="minorBidi"/>
          <w:szCs w:val="22"/>
        </w:rPr>
      </w:pPr>
      <w:r>
        <w:t>19.</w:t>
      </w:r>
      <w:r>
        <w:tab/>
        <w:t>Amount of grant</w:t>
      </w:r>
      <w:r>
        <w:tab/>
      </w:r>
      <w:r>
        <w:fldChar w:fldCharType="begin"/>
      </w:r>
      <w:r>
        <w:instrText xml:space="preserve"> PAGEREF _Toc431891513 \h </w:instrText>
      </w:r>
      <w:r>
        <w:fldChar w:fldCharType="separate"/>
      </w:r>
      <w:r>
        <w:t>28</w:t>
      </w:r>
      <w:r>
        <w:fldChar w:fldCharType="end"/>
      </w:r>
    </w:p>
    <w:p>
      <w:pPr>
        <w:pStyle w:val="TOC8"/>
        <w:rPr>
          <w:rFonts w:asciiTheme="minorHAnsi" w:eastAsiaTheme="minorEastAsia" w:hAnsiTheme="minorHAnsi" w:cstheme="minorBidi"/>
          <w:szCs w:val="22"/>
        </w:rPr>
      </w:pPr>
      <w:r>
        <w:t>20.</w:t>
      </w:r>
      <w:r>
        <w:tab/>
        <w:t>Payment of grant</w:t>
      </w:r>
      <w:r>
        <w:tab/>
      </w:r>
      <w:r>
        <w:fldChar w:fldCharType="begin"/>
      </w:r>
      <w:r>
        <w:instrText xml:space="preserve"> PAGEREF _Toc431891514 \h </w:instrText>
      </w:r>
      <w:r>
        <w:fldChar w:fldCharType="separate"/>
      </w:r>
      <w:r>
        <w:t>31</w:t>
      </w:r>
      <w:r>
        <w:fldChar w:fldCharType="end"/>
      </w:r>
    </w:p>
    <w:p>
      <w:pPr>
        <w:pStyle w:val="TOC8"/>
        <w:rPr>
          <w:rFonts w:asciiTheme="minorHAnsi" w:eastAsiaTheme="minorEastAsia" w:hAnsiTheme="minorHAnsi" w:cstheme="minorBidi"/>
          <w:szCs w:val="22"/>
        </w:rPr>
      </w:pPr>
      <w:r>
        <w:t>21.</w:t>
      </w:r>
      <w:r>
        <w:tab/>
        <w:t>Payment in anticipation of compliance with residence requirement</w:t>
      </w:r>
      <w:r>
        <w:tab/>
      </w:r>
      <w:r>
        <w:fldChar w:fldCharType="begin"/>
      </w:r>
      <w:r>
        <w:instrText xml:space="preserve"> PAGEREF _Toc431891515 \h </w:instrText>
      </w:r>
      <w:r>
        <w:fldChar w:fldCharType="separate"/>
      </w:r>
      <w:r>
        <w:t>31</w:t>
      </w:r>
      <w:r>
        <w:fldChar w:fldCharType="end"/>
      </w:r>
    </w:p>
    <w:p>
      <w:pPr>
        <w:pStyle w:val="TOC8"/>
        <w:rPr>
          <w:rFonts w:asciiTheme="minorHAnsi" w:eastAsiaTheme="minorEastAsia" w:hAnsiTheme="minorHAnsi" w:cstheme="minorBidi"/>
          <w:szCs w:val="22"/>
        </w:rPr>
      </w:pPr>
      <w:r>
        <w:t>22.</w:t>
      </w:r>
      <w:r>
        <w:tab/>
        <w:t>Commissioner may impose conditions</w:t>
      </w:r>
      <w:r>
        <w:tab/>
      </w:r>
      <w:r>
        <w:fldChar w:fldCharType="begin"/>
      </w:r>
      <w:r>
        <w:instrText xml:space="preserve"> PAGEREF _Toc431891516 \h </w:instrText>
      </w:r>
      <w:r>
        <w:fldChar w:fldCharType="separate"/>
      </w:r>
      <w:r>
        <w:t>33</w:t>
      </w:r>
      <w:r>
        <w:fldChar w:fldCharType="end"/>
      </w:r>
    </w:p>
    <w:p>
      <w:pPr>
        <w:pStyle w:val="TOC8"/>
        <w:rPr>
          <w:rFonts w:asciiTheme="minorHAnsi" w:eastAsiaTheme="minorEastAsia" w:hAnsiTheme="minorHAnsi" w:cstheme="minorBidi"/>
          <w:szCs w:val="22"/>
        </w:rPr>
      </w:pPr>
      <w:r>
        <w:t>23.</w:t>
      </w:r>
      <w:r>
        <w:tab/>
        <w:t>Death of applicant</w:t>
      </w:r>
      <w:r>
        <w:tab/>
      </w:r>
      <w:r>
        <w:fldChar w:fldCharType="begin"/>
      </w:r>
      <w:r>
        <w:instrText xml:space="preserve"> PAGEREF _Toc431891517 \h </w:instrText>
      </w:r>
      <w:r>
        <w:fldChar w:fldCharType="separate"/>
      </w:r>
      <w:r>
        <w:t>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correct decision</w:t>
      </w:r>
      <w:r>
        <w:tab/>
      </w:r>
      <w:r>
        <w:fldChar w:fldCharType="begin"/>
      </w:r>
      <w:r>
        <w:instrText xml:space="preserve"> PAGEREF _Toc431891518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Notice of decision</w:t>
      </w:r>
      <w:r>
        <w:tab/>
      </w:r>
      <w:r>
        <w:fldChar w:fldCharType="begin"/>
      </w:r>
      <w:r>
        <w:instrText xml:space="preserve"> PAGEREF _Toc431891519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6 — Objections and review</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_Toc431891522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Objections</w:t>
      </w:r>
    </w:p>
    <w:p>
      <w:pPr>
        <w:pStyle w:val="TOC8"/>
        <w:rPr>
          <w:rFonts w:asciiTheme="minorHAnsi" w:eastAsiaTheme="minorEastAsia" w:hAnsiTheme="minorHAnsi" w:cstheme="minorBidi"/>
          <w:szCs w:val="22"/>
        </w:rPr>
      </w:pPr>
      <w:r>
        <w:t>27.</w:t>
      </w:r>
      <w:r>
        <w:tab/>
        <w:t>Right to object and procedure for making objections</w:t>
      </w:r>
      <w:r>
        <w:tab/>
      </w:r>
      <w:r>
        <w:fldChar w:fldCharType="begin"/>
      </w:r>
      <w:r>
        <w:instrText xml:space="preserve"> PAGEREF _Toc431891524 \h </w:instrText>
      </w:r>
      <w:r>
        <w:fldChar w:fldCharType="separate"/>
      </w:r>
      <w:r>
        <w:t>36</w:t>
      </w:r>
      <w:r>
        <w:fldChar w:fldCharType="end"/>
      </w:r>
    </w:p>
    <w:p>
      <w:pPr>
        <w:pStyle w:val="TOC8"/>
        <w:rPr>
          <w:rFonts w:asciiTheme="minorHAnsi" w:eastAsiaTheme="minorEastAsia" w:hAnsiTheme="minorHAnsi" w:cstheme="minorBidi"/>
          <w:szCs w:val="22"/>
        </w:rPr>
      </w:pPr>
      <w:r>
        <w:t>28.</w:t>
      </w:r>
      <w:r>
        <w:tab/>
        <w:t>Time for lodging objection</w:t>
      </w:r>
      <w:r>
        <w:tab/>
      </w:r>
      <w:r>
        <w:fldChar w:fldCharType="begin"/>
      </w:r>
      <w:r>
        <w:instrText xml:space="preserve"> PAGEREF _Toc431891525 \h </w:instrText>
      </w:r>
      <w:r>
        <w:fldChar w:fldCharType="separate"/>
      </w:r>
      <w:r>
        <w:t>36</w:t>
      </w:r>
      <w:r>
        <w:fldChar w:fldCharType="end"/>
      </w:r>
    </w:p>
    <w:p>
      <w:pPr>
        <w:pStyle w:val="TOC8"/>
        <w:rPr>
          <w:rFonts w:asciiTheme="minorHAnsi" w:eastAsiaTheme="minorEastAsia" w:hAnsiTheme="minorHAnsi" w:cstheme="minorBidi"/>
          <w:szCs w:val="22"/>
        </w:rPr>
      </w:pPr>
      <w:r>
        <w:t>29A.</w:t>
      </w:r>
      <w:r>
        <w:tab/>
        <w:t xml:space="preserve">Relationship with </w:t>
      </w:r>
      <w:r>
        <w:rPr>
          <w:i/>
        </w:rPr>
        <w:t>Duties Act 2008</w:t>
      </w:r>
      <w:r>
        <w:t xml:space="preserve"> and </w:t>
      </w:r>
      <w:r>
        <w:rPr>
          <w:i/>
        </w:rPr>
        <w:t>Taxation Administration Act 2003</w:t>
      </w:r>
      <w:r>
        <w:tab/>
      </w:r>
      <w:r>
        <w:fldChar w:fldCharType="begin"/>
      </w:r>
      <w:r>
        <w:instrText xml:space="preserve"> PAGEREF _Toc431891526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Consideration of objection</w:t>
      </w:r>
      <w:r>
        <w:tab/>
      </w:r>
      <w:r>
        <w:fldChar w:fldCharType="begin"/>
      </w:r>
      <w:r>
        <w:instrText xml:space="preserve"> PAGEREF _Toc431891527 \h </w:instrText>
      </w:r>
      <w:r>
        <w:fldChar w:fldCharType="separate"/>
      </w:r>
      <w:r>
        <w:t>40</w:t>
      </w:r>
      <w:r>
        <w:fldChar w:fldCharType="end"/>
      </w:r>
    </w:p>
    <w:p>
      <w:pPr>
        <w:pStyle w:val="TOC8"/>
        <w:rPr>
          <w:rFonts w:asciiTheme="minorHAnsi" w:eastAsiaTheme="minorEastAsia" w:hAnsiTheme="minorHAnsi" w:cstheme="minorBidi"/>
          <w:szCs w:val="22"/>
        </w:rPr>
      </w:pPr>
      <w:r>
        <w:t>30A.</w:t>
      </w:r>
      <w:r>
        <w:tab/>
        <w:t>Time limit for making decision on objection</w:t>
      </w:r>
      <w:r>
        <w:tab/>
      </w:r>
      <w:r>
        <w:fldChar w:fldCharType="begin"/>
      </w:r>
      <w:r>
        <w:instrText xml:space="preserve"> PAGEREF _Toc431891528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Decision on objection</w:t>
      </w:r>
      <w:r>
        <w:tab/>
      </w:r>
      <w:r>
        <w:fldChar w:fldCharType="begin"/>
      </w:r>
      <w:r>
        <w:instrText xml:space="preserve"> PAGEREF _Toc431891529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 xml:space="preserve">Subdivision 3 — </w:t>
      </w:r>
      <w:r>
        <w:t>Review</w:t>
      </w:r>
    </w:p>
    <w:p>
      <w:pPr>
        <w:pStyle w:val="TOC8"/>
        <w:rPr>
          <w:rFonts w:asciiTheme="minorHAnsi" w:eastAsiaTheme="minorEastAsia" w:hAnsiTheme="minorHAnsi" w:cstheme="minorBidi"/>
          <w:szCs w:val="22"/>
        </w:rPr>
      </w:pPr>
      <w:r>
        <w:t>31.</w:t>
      </w:r>
      <w:r>
        <w:tab/>
        <w:t>Right of review</w:t>
      </w:r>
      <w:r>
        <w:tab/>
      </w:r>
      <w:r>
        <w:fldChar w:fldCharType="begin"/>
      </w:r>
      <w:r>
        <w:instrText xml:space="preserve"> PAGEREF _Toc431891531 \h </w:instrText>
      </w:r>
      <w:r>
        <w:fldChar w:fldCharType="separate"/>
      </w:r>
      <w:r>
        <w:t>43</w:t>
      </w:r>
      <w:r>
        <w:fldChar w:fldCharType="end"/>
      </w:r>
    </w:p>
    <w:p>
      <w:pPr>
        <w:pStyle w:val="TOC8"/>
        <w:rPr>
          <w:rFonts w:asciiTheme="minorHAnsi" w:eastAsiaTheme="minorEastAsia" w:hAnsiTheme="minorHAnsi" w:cstheme="minorBidi"/>
          <w:szCs w:val="22"/>
        </w:rPr>
      </w:pPr>
      <w:r>
        <w:t>32.</w:t>
      </w:r>
      <w:r>
        <w:tab/>
        <w:t>Payment following determination of review</w:t>
      </w:r>
      <w:r>
        <w:tab/>
      </w:r>
      <w:r>
        <w:fldChar w:fldCharType="begin"/>
      </w:r>
      <w:r>
        <w:instrText xml:space="preserve"> PAGEREF _Toc431891532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Administration generally</w:t>
      </w:r>
    </w:p>
    <w:p>
      <w:pPr>
        <w:pStyle w:val="TOC8"/>
        <w:rPr>
          <w:rFonts w:asciiTheme="minorHAnsi" w:eastAsiaTheme="minorEastAsia" w:hAnsiTheme="minorHAnsi" w:cstheme="minorBidi"/>
          <w:szCs w:val="22"/>
        </w:rPr>
      </w:pPr>
      <w:r>
        <w:t>34.</w:t>
      </w:r>
      <w:r>
        <w:tab/>
        <w:t>Administration of Act</w:t>
      </w:r>
      <w:r>
        <w:tab/>
      </w:r>
      <w:r>
        <w:fldChar w:fldCharType="begin"/>
      </w:r>
      <w:r>
        <w:instrText xml:space="preserve"> PAGEREF _Toc431891535 \h </w:instrText>
      </w:r>
      <w:r>
        <w:fldChar w:fldCharType="separate"/>
      </w:r>
      <w:r>
        <w:t>46</w:t>
      </w:r>
      <w:r>
        <w:fldChar w:fldCharType="end"/>
      </w:r>
    </w:p>
    <w:p>
      <w:pPr>
        <w:pStyle w:val="TOC8"/>
        <w:rPr>
          <w:rFonts w:asciiTheme="minorHAnsi" w:eastAsiaTheme="minorEastAsia" w:hAnsiTheme="minorHAnsi" w:cstheme="minorBidi"/>
          <w:szCs w:val="22"/>
        </w:rPr>
      </w:pPr>
      <w:r>
        <w:t>35.</w:t>
      </w:r>
      <w:r>
        <w:tab/>
        <w:t>Delegation</w:t>
      </w:r>
      <w:r>
        <w:tab/>
      </w:r>
      <w:r>
        <w:fldChar w:fldCharType="begin"/>
      </w:r>
      <w:r>
        <w:instrText xml:space="preserve"> PAGEREF _Toc431891536 \h </w:instrText>
      </w:r>
      <w:r>
        <w:fldChar w:fldCharType="separate"/>
      </w:r>
      <w:r>
        <w:t>46</w:t>
      </w:r>
      <w:r>
        <w:fldChar w:fldCharType="end"/>
      </w:r>
    </w:p>
    <w:p>
      <w:pPr>
        <w:pStyle w:val="TOC8"/>
        <w:rPr>
          <w:rFonts w:asciiTheme="minorHAnsi" w:eastAsiaTheme="minorEastAsia" w:hAnsiTheme="minorHAnsi" w:cstheme="minorBidi"/>
          <w:szCs w:val="22"/>
        </w:rPr>
      </w:pPr>
      <w:r>
        <w:t>36.</w:t>
      </w:r>
      <w:r>
        <w:tab/>
        <w:t>Authorised investigators</w:t>
      </w:r>
      <w:r>
        <w:tab/>
      </w:r>
      <w:r>
        <w:fldChar w:fldCharType="begin"/>
      </w:r>
      <w:r>
        <w:instrText xml:space="preserve"> PAGEREF _Toc431891537 \h </w:instrText>
      </w:r>
      <w:r>
        <w:fldChar w:fldCharType="separate"/>
      </w:r>
      <w:r>
        <w:t>47</w:t>
      </w:r>
      <w:r>
        <w:fldChar w:fldCharType="end"/>
      </w:r>
    </w:p>
    <w:p>
      <w:pPr>
        <w:pStyle w:val="TOC8"/>
        <w:rPr>
          <w:rFonts w:asciiTheme="minorHAnsi" w:eastAsiaTheme="minorEastAsia" w:hAnsiTheme="minorHAnsi" w:cstheme="minorBidi"/>
          <w:szCs w:val="22"/>
        </w:rPr>
      </w:pPr>
      <w:r>
        <w:t>37.</w:t>
      </w:r>
      <w:r>
        <w:tab/>
        <w:t>Administration agreements</w:t>
      </w:r>
      <w:r>
        <w:tab/>
      </w:r>
      <w:r>
        <w:fldChar w:fldCharType="begin"/>
      </w:r>
      <w:r>
        <w:instrText xml:space="preserve"> PAGEREF _Toc431891538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38.</w:t>
      </w:r>
      <w:r>
        <w:tab/>
        <w:t>Investigations</w:t>
      </w:r>
      <w:r>
        <w:tab/>
      </w:r>
      <w:r>
        <w:fldChar w:fldCharType="begin"/>
      </w:r>
      <w:r>
        <w:instrText xml:space="preserve"> PAGEREF _Toc431891540 \h </w:instrText>
      </w:r>
      <w:r>
        <w:fldChar w:fldCharType="separate"/>
      </w:r>
      <w:r>
        <w:t>48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Cross</w:t>
      </w:r>
      <w:r>
        <w:rPr>
          <w:snapToGrid w:val="0"/>
        </w:rPr>
        <w:noBreakHyphen/>
        <w:t>border investigations</w:t>
      </w:r>
      <w:r>
        <w:tab/>
      </w:r>
      <w:r>
        <w:fldChar w:fldCharType="begin"/>
      </w:r>
      <w:r>
        <w:instrText xml:space="preserve"> PAGEREF _Toc431891541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of investigation</w:t>
      </w:r>
      <w:r>
        <w:tab/>
      </w:r>
      <w:r>
        <w:fldChar w:fldCharType="begin"/>
      </w:r>
      <w:r>
        <w:instrText xml:space="preserve"> PAGEREF _Toc431891542 \h </w:instrText>
      </w:r>
      <w:r>
        <w:fldChar w:fldCharType="separate"/>
      </w:r>
      <w:r>
        <w:t>49</w:t>
      </w:r>
      <w:r>
        <w:fldChar w:fldCharType="end"/>
      </w:r>
    </w:p>
    <w:p>
      <w:pPr>
        <w:pStyle w:val="TOC8"/>
        <w:rPr>
          <w:rFonts w:asciiTheme="minorHAnsi" w:eastAsiaTheme="minorEastAsia" w:hAnsiTheme="minorHAnsi" w:cstheme="minorBidi"/>
          <w:szCs w:val="22"/>
        </w:rPr>
      </w:pPr>
      <w:r>
        <w:t>41A.</w:t>
      </w:r>
      <w:r>
        <w:tab/>
        <w:t>Power to have valuation made</w:t>
      </w:r>
      <w:r>
        <w:tab/>
      </w:r>
      <w:r>
        <w:fldChar w:fldCharType="begin"/>
      </w:r>
      <w:r>
        <w:instrText xml:space="preserve"> PAGEREF _Toc431891543 \h </w:instrText>
      </w:r>
      <w:r>
        <w:fldChar w:fldCharType="separate"/>
      </w:r>
      <w:r>
        <w:t>49</w:t>
      </w:r>
      <w:r>
        <w:fldChar w:fldCharType="end"/>
      </w:r>
    </w:p>
    <w:p>
      <w:pPr>
        <w:pStyle w:val="TOC8"/>
        <w:rPr>
          <w:rFonts w:asciiTheme="minorHAnsi" w:eastAsiaTheme="minorEastAsia" w:hAnsiTheme="minorHAnsi" w:cstheme="minorBidi"/>
          <w:szCs w:val="22"/>
        </w:rPr>
      </w:pPr>
      <w:r>
        <w:t>41.</w:t>
      </w:r>
      <w:r>
        <w:tab/>
        <w:t>Power to require person to attend for examination</w:t>
      </w:r>
      <w:r>
        <w:tab/>
      </w:r>
      <w:r>
        <w:fldChar w:fldCharType="begin"/>
      </w:r>
      <w:r>
        <w:instrText xml:space="preserve"> PAGEREF _Toc431891544 \h </w:instrText>
      </w:r>
      <w:r>
        <w:fldChar w:fldCharType="separate"/>
      </w:r>
      <w:r>
        <w:t>50</w:t>
      </w:r>
      <w:r>
        <w:fldChar w:fldCharType="end"/>
      </w:r>
    </w:p>
    <w:p>
      <w:pPr>
        <w:pStyle w:val="TOC8"/>
        <w:rPr>
          <w:rFonts w:asciiTheme="minorHAnsi" w:eastAsiaTheme="minorEastAsia" w:hAnsiTheme="minorHAnsi" w:cstheme="minorBidi"/>
          <w:szCs w:val="22"/>
        </w:rPr>
      </w:pPr>
      <w:r>
        <w:t>42.</w:t>
      </w:r>
      <w:r>
        <w:tab/>
        <w:t>Entry of premises</w:t>
      </w:r>
      <w:r>
        <w:tab/>
      </w:r>
      <w:r>
        <w:fldChar w:fldCharType="begin"/>
      </w:r>
      <w:r>
        <w:instrText xml:space="preserve"> PAGEREF _Toc431891545 \h </w:instrText>
      </w:r>
      <w:r>
        <w:fldChar w:fldCharType="separate"/>
      </w:r>
      <w:r>
        <w:t>51</w:t>
      </w:r>
      <w:r>
        <w:fldChar w:fldCharType="end"/>
      </w:r>
    </w:p>
    <w:p>
      <w:pPr>
        <w:pStyle w:val="TOC8"/>
        <w:rPr>
          <w:rFonts w:asciiTheme="minorHAnsi" w:eastAsiaTheme="minorEastAsia" w:hAnsiTheme="minorHAnsi" w:cstheme="minorBidi"/>
          <w:szCs w:val="22"/>
        </w:rPr>
      </w:pPr>
      <w:r>
        <w:t>43.</w:t>
      </w:r>
      <w:r>
        <w:tab/>
        <w:t>Powers of authorised investigator on entry of premises</w:t>
      </w:r>
      <w:r>
        <w:tab/>
      </w:r>
      <w:r>
        <w:fldChar w:fldCharType="begin"/>
      </w:r>
      <w:r>
        <w:instrText xml:space="preserve"> PAGEREF _Toc431891546 \h </w:instrText>
      </w:r>
      <w:r>
        <w:fldChar w:fldCharType="separate"/>
      </w:r>
      <w:r>
        <w:t>52</w:t>
      </w:r>
      <w:r>
        <w:fldChar w:fldCharType="end"/>
      </w:r>
    </w:p>
    <w:p>
      <w:pPr>
        <w:pStyle w:val="TOC8"/>
        <w:rPr>
          <w:rFonts w:asciiTheme="minorHAnsi" w:eastAsiaTheme="minorEastAsia" w:hAnsiTheme="minorHAnsi" w:cstheme="minorBidi"/>
          <w:szCs w:val="22"/>
        </w:rPr>
      </w:pPr>
      <w:r>
        <w:t>44.</w:t>
      </w:r>
      <w:r>
        <w:tab/>
        <w:t>Warrants</w:t>
      </w:r>
      <w:r>
        <w:tab/>
      </w:r>
      <w:r>
        <w:fldChar w:fldCharType="begin"/>
      </w:r>
      <w:r>
        <w:instrText xml:space="preserve"> PAGEREF _Toc431891547 \h </w:instrText>
      </w:r>
      <w:r>
        <w:fldChar w:fldCharType="separate"/>
      </w:r>
      <w:r>
        <w:t>54</w:t>
      </w:r>
      <w:r>
        <w:fldChar w:fldCharType="end"/>
      </w:r>
    </w:p>
    <w:p>
      <w:pPr>
        <w:pStyle w:val="TOC8"/>
        <w:rPr>
          <w:rFonts w:asciiTheme="minorHAnsi" w:eastAsiaTheme="minorEastAsia" w:hAnsiTheme="minorHAnsi" w:cstheme="minorBidi"/>
          <w:szCs w:val="22"/>
        </w:rPr>
      </w:pPr>
      <w:r>
        <w:t>45.</w:t>
      </w:r>
      <w:r>
        <w:tab/>
        <w:t>Use of force</w:t>
      </w:r>
      <w:r>
        <w:tab/>
      </w:r>
      <w:r>
        <w:fldChar w:fldCharType="begin"/>
      </w:r>
      <w:r>
        <w:instrText xml:space="preserve"> PAGEREF _Toc431891548 \h </w:instrText>
      </w:r>
      <w:r>
        <w:fldChar w:fldCharType="separate"/>
      </w:r>
      <w:r>
        <w:t>55</w:t>
      </w:r>
      <w:r>
        <w:fldChar w:fldCharType="end"/>
      </w:r>
    </w:p>
    <w:p>
      <w:pPr>
        <w:pStyle w:val="TOC8"/>
        <w:rPr>
          <w:rFonts w:asciiTheme="minorHAnsi" w:eastAsiaTheme="minorEastAsia" w:hAnsiTheme="minorHAnsi" w:cstheme="minorBidi"/>
          <w:szCs w:val="22"/>
        </w:rPr>
      </w:pPr>
      <w:r>
        <w:t>46.</w:t>
      </w:r>
      <w:r>
        <w:tab/>
        <w:t>Self incrimination</w:t>
      </w:r>
      <w:r>
        <w:tab/>
      </w:r>
      <w:r>
        <w:fldChar w:fldCharType="begin"/>
      </w:r>
      <w:r>
        <w:instrText xml:space="preserve"> PAGEREF _Toc431891549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Offences</w:t>
      </w:r>
    </w:p>
    <w:p>
      <w:pPr>
        <w:pStyle w:val="TOC8"/>
        <w:rPr>
          <w:rFonts w:asciiTheme="minorHAnsi" w:eastAsiaTheme="minorEastAsia" w:hAnsiTheme="minorHAnsi" w:cstheme="minorBidi"/>
          <w:szCs w:val="22"/>
        </w:rPr>
      </w:pPr>
      <w:r>
        <w:t>47.</w:t>
      </w:r>
      <w:r>
        <w:tab/>
        <w:t>False or misleading information and documents</w:t>
      </w:r>
      <w:r>
        <w:tab/>
      </w:r>
      <w:r>
        <w:fldChar w:fldCharType="begin"/>
      </w:r>
      <w:r>
        <w:instrText xml:space="preserve"> PAGEREF _Toc431891552 \h </w:instrText>
      </w:r>
      <w:r>
        <w:fldChar w:fldCharType="separate"/>
      </w:r>
      <w:r>
        <w:t>57</w:t>
      </w:r>
      <w:r>
        <w:fldChar w:fldCharType="end"/>
      </w:r>
    </w:p>
    <w:p>
      <w:pPr>
        <w:pStyle w:val="TOC8"/>
        <w:rPr>
          <w:rFonts w:asciiTheme="minorHAnsi" w:eastAsiaTheme="minorEastAsia" w:hAnsiTheme="minorHAnsi" w:cstheme="minorBidi"/>
          <w:szCs w:val="22"/>
        </w:rPr>
      </w:pPr>
      <w:r>
        <w:t>48.</w:t>
      </w:r>
      <w:r>
        <w:tab/>
        <w:t>Obstructing or misleading Commissioner or authorised investigator</w:t>
      </w:r>
      <w:r>
        <w:tab/>
      </w:r>
      <w:r>
        <w:fldChar w:fldCharType="begin"/>
      </w:r>
      <w:r>
        <w:instrText xml:space="preserve"> PAGEREF _Toc431891553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49.</w:t>
      </w:r>
      <w:r>
        <w:tab/>
        <w:t>Evidence</w:t>
      </w:r>
      <w:r>
        <w:tab/>
      </w:r>
      <w:r>
        <w:fldChar w:fldCharType="begin"/>
      </w:r>
      <w:r>
        <w:instrText xml:space="preserve"> PAGEREF _Toc431891555 \h </w:instrText>
      </w:r>
      <w:r>
        <w:fldChar w:fldCharType="separate"/>
      </w:r>
      <w:r>
        <w:t>58</w:t>
      </w:r>
      <w:r>
        <w:fldChar w:fldCharType="end"/>
      </w:r>
    </w:p>
    <w:p>
      <w:pPr>
        <w:pStyle w:val="TOC8"/>
        <w:rPr>
          <w:rFonts w:asciiTheme="minorHAnsi" w:eastAsiaTheme="minorEastAsia" w:hAnsiTheme="minorHAnsi" w:cstheme="minorBidi"/>
          <w:szCs w:val="22"/>
        </w:rPr>
      </w:pPr>
      <w:r>
        <w:t>50.</w:t>
      </w:r>
      <w:r>
        <w:tab/>
        <w:t>Presumption of regularity</w:t>
      </w:r>
      <w:r>
        <w:tab/>
      </w:r>
      <w:r>
        <w:fldChar w:fldCharType="begin"/>
      </w:r>
      <w:r>
        <w:instrText xml:space="preserve"> PAGEREF _Toc431891556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Repayments and penalties</w:t>
      </w:r>
    </w:p>
    <w:p>
      <w:pPr>
        <w:pStyle w:val="TOC8"/>
        <w:rPr>
          <w:rFonts w:asciiTheme="minorHAnsi" w:eastAsiaTheme="minorEastAsia" w:hAnsiTheme="minorHAnsi" w:cstheme="minorBidi"/>
          <w:szCs w:val="22"/>
        </w:rPr>
      </w:pPr>
      <w:r>
        <w:t>51.</w:t>
      </w:r>
      <w:r>
        <w:tab/>
        <w:t>Commissioner may require repayment and impose penalty</w:t>
      </w:r>
      <w:r>
        <w:tab/>
      </w:r>
      <w:r>
        <w:fldChar w:fldCharType="begin"/>
      </w:r>
      <w:r>
        <w:instrText xml:space="preserve"> PAGEREF _Toc431891558 \h </w:instrText>
      </w:r>
      <w:r>
        <w:fldChar w:fldCharType="separate"/>
      </w:r>
      <w:r>
        <w:t>59</w:t>
      </w:r>
      <w:r>
        <w:fldChar w:fldCharType="end"/>
      </w:r>
    </w:p>
    <w:p>
      <w:pPr>
        <w:pStyle w:val="TOC8"/>
        <w:rPr>
          <w:rFonts w:asciiTheme="minorHAnsi" w:eastAsiaTheme="minorEastAsia" w:hAnsiTheme="minorHAnsi" w:cstheme="minorBidi"/>
          <w:szCs w:val="22"/>
        </w:rPr>
      </w:pPr>
      <w:r>
        <w:t>52.</w:t>
      </w:r>
      <w:r>
        <w:tab/>
        <w:t>Arrangements for instalments and extensions of time</w:t>
      </w:r>
      <w:r>
        <w:tab/>
      </w:r>
      <w:r>
        <w:fldChar w:fldCharType="begin"/>
      </w:r>
      <w:r>
        <w:instrText xml:space="preserve"> PAGEREF _Toc431891559 \h </w:instrText>
      </w:r>
      <w:r>
        <w:fldChar w:fldCharType="separate"/>
      </w:r>
      <w:r>
        <w:t>60</w:t>
      </w:r>
      <w:r>
        <w:fldChar w:fldCharType="end"/>
      </w:r>
    </w:p>
    <w:p>
      <w:pPr>
        <w:pStyle w:val="TOC8"/>
        <w:rPr>
          <w:rFonts w:asciiTheme="minorHAnsi" w:eastAsiaTheme="minorEastAsia" w:hAnsiTheme="minorHAnsi" w:cstheme="minorBidi"/>
          <w:szCs w:val="22"/>
        </w:rPr>
      </w:pPr>
      <w:r>
        <w:t>53.</w:t>
      </w:r>
      <w:r>
        <w:tab/>
        <w:t>Recovery of certain amounts</w:t>
      </w:r>
      <w:r>
        <w:tab/>
      </w:r>
      <w:r>
        <w:fldChar w:fldCharType="begin"/>
      </w:r>
      <w:r>
        <w:instrText xml:space="preserve"> PAGEREF _Toc431891560 \h </w:instrText>
      </w:r>
      <w:r>
        <w:fldChar w:fldCharType="separate"/>
      </w:r>
      <w:r>
        <w:t>61</w:t>
      </w:r>
      <w:r>
        <w:fldChar w:fldCharType="end"/>
      </w:r>
    </w:p>
    <w:p>
      <w:pPr>
        <w:pStyle w:val="TOC8"/>
        <w:rPr>
          <w:rFonts w:asciiTheme="minorHAnsi" w:eastAsiaTheme="minorEastAsia" w:hAnsiTheme="minorHAnsi" w:cstheme="minorBidi"/>
          <w:szCs w:val="22"/>
        </w:rPr>
      </w:pPr>
      <w:r>
        <w:t>54A.</w:t>
      </w:r>
      <w:r>
        <w:tab/>
        <w:t>Recovery from garnishee</w:t>
      </w:r>
      <w:r>
        <w:tab/>
      </w:r>
      <w:r>
        <w:fldChar w:fldCharType="begin"/>
      </w:r>
      <w:r>
        <w:instrText xml:space="preserve"> PAGEREF _Toc431891561 \h </w:instrText>
      </w:r>
      <w:r>
        <w:fldChar w:fldCharType="separate"/>
      </w:r>
      <w:r>
        <w:t>62</w:t>
      </w:r>
      <w:r>
        <w:fldChar w:fldCharType="end"/>
      </w:r>
    </w:p>
    <w:p>
      <w:pPr>
        <w:pStyle w:val="TOC8"/>
        <w:rPr>
          <w:rFonts w:asciiTheme="minorHAnsi" w:eastAsiaTheme="minorEastAsia" w:hAnsiTheme="minorHAnsi" w:cstheme="minorBidi"/>
          <w:szCs w:val="22"/>
        </w:rPr>
      </w:pPr>
      <w:r>
        <w:t>54.</w:t>
      </w:r>
      <w:r>
        <w:tab/>
        <w:t>Writing off liability</w:t>
      </w:r>
      <w:r>
        <w:tab/>
      </w:r>
      <w:r>
        <w:fldChar w:fldCharType="begin"/>
      </w:r>
      <w:r>
        <w:instrText xml:space="preserve"> PAGEREF _Toc431891562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Charge on interest in home</w:t>
      </w:r>
    </w:p>
    <w:p>
      <w:pPr>
        <w:pStyle w:val="TOC8"/>
        <w:rPr>
          <w:rFonts w:asciiTheme="minorHAnsi" w:eastAsiaTheme="minorEastAsia" w:hAnsiTheme="minorHAnsi" w:cstheme="minorBidi"/>
          <w:szCs w:val="22"/>
        </w:rPr>
      </w:pPr>
      <w:r>
        <w:t>55.</w:t>
      </w:r>
      <w:r>
        <w:tab/>
        <w:t>Lodgement of memorial and creation of charge</w:t>
      </w:r>
      <w:r>
        <w:tab/>
      </w:r>
      <w:r>
        <w:fldChar w:fldCharType="begin"/>
      </w:r>
      <w:r>
        <w:instrText xml:space="preserve"> PAGEREF _Toc431891564 \h </w:instrText>
      </w:r>
      <w:r>
        <w:fldChar w:fldCharType="separate"/>
      </w:r>
      <w:r>
        <w:t>64</w:t>
      </w:r>
      <w:r>
        <w:fldChar w:fldCharType="end"/>
      </w:r>
    </w:p>
    <w:p>
      <w:pPr>
        <w:pStyle w:val="TOC8"/>
        <w:rPr>
          <w:rFonts w:asciiTheme="minorHAnsi" w:eastAsiaTheme="minorEastAsia" w:hAnsiTheme="minorHAnsi" w:cstheme="minorBidi"/>
          <w:szCs w:val="22"/>
        </w:rPr>
      </w:pPr>
      <w:r>
        <w:t>56.</w:t>
      </w:r>
      <w:r>
        <w:tab/>
        <w:t>Priority of charge</w:t>
      </w:r>
      <w:r>
        <w:tab/>
      </w:r>
      <w:r>
        <w:fldChar w:fldCharType="begin"/>
      </w:r>
      <w:r>
        <w:instrText xml:space="preserve"> PAGEREF _Toc431891565 \h </w:instrText>
      </w:r>
      <w:r>
        <w:fldChar w:fldCharType="separate"/>
      </w:r>
      <w:r>
        <w:t>65</w:t>
      </w:r>
      <w:r>
        <w:fldChar w:fldCharType="end"/>
      </w:r>
    </w:p>
    <w:p>
      <w:pPr>
        <w:pStyle w:val="TOC8"/>
        <w:rPr>
          <w:rFonts w:asciiTheme="minorHAnsi" w:eastAsiaTheme="minorEastAsia" w:hAnsiTheme="minorHAnsi" w:cstheme="minorBidi"/>
          <w:szCs w:val="22"/>
        </w:rPr>
      </w:pPr>
      <w:r>
        <w:t>57.</w:t>
      </w:r>
      <w:r>
        <w:tab/>
        <w:t>Release of relevant interest from charge</w:t>
      </w:r>
      <w:r>
        <w:tab/>
      </w:r>
      <w:r>
        <w:fldChar w:fldCharType="begin"/>
      </w:r>
      <w:r>
        <w:instrText xml:space="preserve"> PAGEREF _Toc431891566 \h </w:instrText>
      </w:r>
      <w:r>
        <w:fldChar w:fldCharType="separate"/>
      </w:r>
      <w:r>
        <w:t>66</w:t>
      </w:r>
      <w:r>
        <w:fldChar w:fldCharType="end"/>
      </w:r>
    </w:p>
    <w:p>
      <w:pPr>
        <w:pStyle w:val="TOC8"/>
        <w:rPr>
          <w:rFonts w:asciiTheme="minorHAnsi" w:eastAsiaTheme="minorEastAsia" w:hAnsiTheme="minorHAnsi" w:cstheme="minorBidi"/>
          <w:szCs w:val="22"/>
        </w:rPr>
      </w:pPr>
      <w:r>
        <w:t>58.</w:t>
      </w:r>
      <w:r>
        <w:tab/>
        <w:t>Order for sale of relevant interest</w:t>
      </w:r>
      <w:r>
        <w:tab/>
      </w:r>
      <w:r>
        <w:fldChar w:fldCharType="begin"/>
      </w:r>
      <w:r>
        <w:instrText xml:space="preserve"> PAGEREF _Toc431891567 \h </w:instrText>
      </w:r>
      <w:r>
        <w:fldChar w:fldCharType="separate"/>
      </w:r>
      <w:r>
        <w:t>66</w:t>
      </w:r>
      <w:r>
        <w:fldChar w:fldCharType="end"/>
      </w:r>
    </w:p>
    <w:p>
      <w:pPr>
        <w:pStyle w:val="TOC8"/>
        <w:rPr>
          <w:rFonts w:asciiTheme="minorHAnsi" w:eastAsiaTheme="minorEastAsia" w:hAnsiTheme="minorHAnsi" w:cstheme="minorBidi"/>
          <w:szCs w:val="22"/>
        </w:rPr>
      </w:pPr>
      <w:r>
        <w:t>59.</w:t>
      </w:r>
      <w:r>
        <w:tab/>
        <w:t>Charge not to limit other means of enforcing payment</w:t>
      </w:r>
      <w:r>
        <w:tab/>
      </w:r>
      <w:r>
        <w:fldChar w:fldCharType="begin"/>
      </w:r>
      <w:r>
        <w:instrText xml:space="preserve"> PAGEREF _Toc431891568 \h </w:instrText>
      </w:r>
      <w:r>
        <w:fldChar w:fldCharType="separate"/>
      </w:r>
      <w:r>
        <w:t>68</w:t>
      </w:r>
      <w:r>
        <w:fldChar w:fldCharType="end"/>
      </w:r>
    </w:p>
    <w:p>
      <w:pPr>
        <w:pStyle w:val="TOC8"/>
        <w:rPr>
          <w:rFonts w:asciiTheme="minorHAnsi" w:eastAsiaTheme="minorEastAsia" w:hAnsiTheme="minorHAnsi" w:cstheme="minorBidi"/>
          <w:szCs w:val="22"/>
        </w:rPr>
      </w:pPr>
      <w:r>
        <w:t>60.</w:t>
      </w:r>
      <w:r>
        <w:tab/>
        <w:t>Commissioner may require fees to be reimbursed</w:t>
      </w:r>
      <w:r>
        <w:tab/>
      </w:r>
      <w:r>
        <w:fldChar w:fldCharType="begin"/>
      </w:r>
      <w:r>
        <w:instrText xml:space="preserve"> PAGEREF _Toc431891569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Service of documents</w:t>
      </w:r>
    </w:p>
    <w:p>
      <w:pPr>
        <w:pStyle w:val="TOC8"/>
        <w:rPr>
          <w:rFonts w:asciiTheme="minorHAnsi" w:eastAsiaTheme="minorEastAsia" w:hAnsiTheme="minorHAnsi" w:cstheme="minorBidi"/>
          <w:szCs w:val="22"/>
        </w:rPr>
      </w:pPr>
      <w:r>
        <w:t>61.</w:t>
      </w:r>
      <w:r>
        <w:tab/>
        <w:t>Service on joint applicants or agent or representative</w:t>
      </w:r>
      <w:r>
        <w:tab/>
      </w:r>
      <w:r>
        <w:fldChar w:fldCharType="begin"/>
      </w:r>
      <w:r>
        <w:instrText xml:space="preserve"> PAGEREF _Toc431891571 \h </w:instrText>
      </w:r>
      <w:r>
        <w:fldChar w:fldCharType="separate"/>
      </w:r>
      <w:r>
        <w:t>68</w:t>
      </w:r>
      <w:r>
        <w:fldChar w:fldCharType="end"/>
      </w:r>
    </w:p>
    <w:p>
      <w:pPr>
        <w:pStyle w:val="TOC8"/>
        <w:rPr>
          <w:rFonts w:asciiTheme="minorHAnsi" w:eastAsiaTheme="minorEastAsia" w:hAnsiTheme="minorHAnsi" w:cstheme="minorBidi"/>
          <w:szCs w:val="22"/>
        </w:rPr>
      </w:pPr>
      <w:r>
        <w:t>62.</w:t>
      </w:r>
      <w:r>
        <w:tab/>
        <w:t>Method of service by Commissioner</w:t>
      </w:r>
      <w:r>
        <w:tab/>
      </w:r>
      <w:r>
        <w:fldChar w:fldCharType="begin"/>
      </w:r>
      <w:r>
        <w:instrText xml:space="preserve"> PAGEREF _Toc431891572 \h </w:instrText>
      </w:r>
      <w:r>
        <w:fldChar w:fldCharType="separate"/>
      </w:r>
      <w:r>
        <w:t>69</w:t>
      </w:r>
      <w:r>
        <w:fldChar w:fldCharType="end"/>
      </w:r>
    </w:p>
    <w:p>
      <w:pPr>
        <w:pStyle w:val="TOC8"/>
        <w:rPr>
          <w:rFonts w:asciiTheme="minorHAnsi" w:eastAsiaTheme="minorEastAsia" w:hAnsiTheme="minorHAnsi" w:cstheme="minorBidi"/>
          <w:szCs w:val="22"/>
        </w:rPr>
      </w:pPr>
      <w:r>
        <w:t>63.</w:t>
      </w:r>
      <w:r>
        <w:tab/>
        <w:t>Service of court process</w:t>
      </w:r>
      <w:r>
        <w:tab/>
      </w:r>
      <w:r>
        <w:fldChar w:fldCharType="begin"/>
      </w:r>
      <w:r>
        <w:instrText xml:space="preserve"> PAGEREF _Toc431891573 \h </w:instrText>
      </w:r>
      <w:r>
        <w:fldChar w:fldCharType="separate"/>
      </w:r>
      <w:r>
        <w:t>70</w:t>
      </w:r>
      <w:r>
        <w:fldChar w:fldCharType="end"/>
      </w:r>
    </w:p>
    <w:p>
      <w:pPr>
        <w:pStyle w:val="TOC8"/>
        <w:rPr>
          <w:rFonts w:asciiTheme="minorHAnsi" w:eastAsiaTheme="minorEastAsia" w:hAnsiTheme="minorHAnsi" w:cstheme="minorBidi"/>
          <w:szCs w:val="22"/>
        </w:rPr>
      </w:pPr>
      <w:r>
        <w:t>64.</w:t>
      </w:r>
      <w:r>
        <w:tab/>
        <w:t>Other enactments not limited</w:t>
      </w:r>
      <w:r>
        <w:tab/>
      </w:r>
      <w:r>
        <w:fldChar w:fldCharType="begin"/>
      </w:r>
      <w:r>
        <w:instrText xml:space="preserve"> PAGEREF _Toc431891574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65.</w:t>
      </w:r>
      <w:r>
        <w:tab/>
        <w:t>Confidentiality</w:t>
      </w:r>
      <w:r>
        <w:tab/>
      </w:r>
      <w:r>
        <w:fldChar w:fldCharType="begin"/>
      </w:r>
      <w:r>
        <w:instrText xml:space="preserve"> PAGEREF _Toc431891576 \h </w:instrText>
      </w:r>
      <w:r>
        <w:fldChar w:fldCharType="separate"/>
      </w:r>
      <w:r>
        <w:t>70</w:t>
      </w:r>
      <w:r>
        <w:fldChar w:fldCharType="end"/>
      </w:r>
    </w:p>
    <w:p>
      <w:pPr>
        <w:pStyle w:val="TOC8"/>
        <w:rPr>
          <w:rFonts w:asciiTheme="minorHAnsi" w:eastAsiaTheme="minorEastAsia" w:hAnsiTheme="minorHAnsi" w:cstheme="minorBidi"/>
          <w:szCs w:val="22"/>
        </w:rPr>
      </w:pPr>
      <w:r>
        <w:t>66.</w:t>
      </w:r>
      <w:r>
        <w:tab/>
        <w:t>Time for commencing prosecutions</w:t>
      </w:r>
      <w:r>
        <w:tab/>
      </w:r>
      <w:r>
        <w:fldChar w:fldCharType="begin"/>
      </w:r>
      <w:r>
        <w:instrText xml:space="preserve"> PAGEREF _Toc431891577 \h </w:instrText>
      </w:r>
      <w:r>
        <w:fldChar w:fldCharType="separate"/>
      </w:r>
      <w:r>
        <w:t>73</w:t>
      </w:r>
      <w:r>
        <w:fldChar w:fldCharType="end"/>
      </w:r>
    </w:p>
    <w:p>
      <w:pPr>
        <w:pStyle w:val="TOC8"/>
        <w:rPr>
          <w:rFonts w:asciiTheme="minorHAnsi" w:eastAsiaTheme="minorEastAsia" w:hAnsiTheme="minorHAnsi" w:cstheme="minorBidi"/>
          <w:szCs w:val="22"/>
        </w:rPr>
      </w:pPr>
      <w:r>
        <w:t>67.</w:t>
      </w:r>
      <w:r>
        <w:tab/>
        <w:t>Protection from liability for wrongdoing</w:t>
      </w:r>
      <w:r>
        <w:tab/>
      </w:r>
      <w:r>
        <w:fldChar w:fldCharType="begin"/>
      </w:r>
      <w:r>
        <w:instrText xml:space="preserve"> PAGEREF _Toc431891578 \h </w:instrText>
      </w:r>
      <w:r>
        <w:fldChar w:fldCharType="separate"/>
      </w:r>
      <w:r>
        <w:t>73</w:t>
      </w:r>
      <w:r>
        <w:fldChar w:fldCharType="end"/>
      </w:r>
    </w:p>
    <w:p>
      <w:pPr>
        <w:pStyle w:val="TOC8"/>
        <w:rPr>
          <w:rFonts w:asciiTheme="minorHAnsi" w:eastAsiaTheme="minorEastAsia" w:hAnsiTheme="minorHAnsi" w:cstheme="minorBidi"/>
          <w:szCs w:val="22"/>
        </w:rPr>
      </w:pPr>
      <w:r>
        <w:t>68.</w:t>
      </w:r>
      <w:r>
        <w:tab/>
        <w:t xml:space="preserve">Appropriation of </w:t>
      </w:r>
      <w:r>
        <w:rPr>
          <w:snapToGrid w:val="0"/>
        </w:rPr>
        <w:t>Consolidated Account</w:t>
      </w:r>
      <w:r>
        <w:tab/>
      </w:r>
      <w:r>
        <w:fldChar w:fldCharType="begin"/>
      </w:r>
      <w:r>
        <w:instrText xml:space="preserve"> PAGEREF _Toc431891579 \h </w:instrText>
      </w:r>
      <w:r>
        <w:fldChar w:fldCharType="separate"/>
      </w:r>
      <w:r>
        <w:t>73</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_Toc431891580 \h </w:instrText>
      </w:r>
      <w:r>
        <w:fldChar w:fldCharType="separate"/>
      </w:r>
      <w:r>
        <w:t>73</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_Toc431891581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_Toc431891583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920" w:after="1400"/>
      </w:pPr>
      <w:r>
        <w:t>First Home Owner Grant Act 2000</w:t>
      </w:r>
    </w:p>
    <w:p>
      <w:pPr>
        <w:pStyle w:val="LongTitle"/>
        <w:suppressLineNumbers/>
      </w:pPr>
      <w:r>
        <w:rPr>
          <w:snapToGrid w:val="0"/>
        </w:rPr>
        <w:t>An Act to encourage and assist home ownership by establishing a scheme for the payment of grants to first home owners</w:t>
      </w:r>
      <w:r>
        <w:t>.</w:t>
      </w:r>
    </w:p>
    <w:p>
      <w:pPr>
        <w:pStyle w:val="Heading2"/>
      </w:pPr>
      <w:bookmarkStart w:id="3" w:name="_Toc377384552"/>
      <w:bookmarkStart w:id="4" w:name="_Toc418675921"/>
      <w:bookmarkStart w:id="5" w:name="_Toc418676030"/>
      <w:bookmarkStart w:id="6" w:name="_Toc43189147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377384553"/>
      <w:bookmarkStart w:id="8" w:name="_Toc431891476"/>
      <w:r>
        <w:rPr>
          <w:rStyle w:val="CharSectno"/>
        </w:rPr>
        <w:t>1</w:t>
      </w:r>
      <w:r>
        <w:rPr>
          <w:snapToGrid w:val="0"/>
        </w:rPr>
        <w:t>.</w:t>
      </w:r>
      <w:r>
        <w:rPr>
          <w:snapToGrid w:val="0"/>
        </w:rPr>
        <w:tab/>
        <w:t>Short title</w:t>
      </w:r>
      <w:bookmarkEnd w:id="7"/>
      <w:bookmarkEnd w:id="8"/>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9" w:name="_Toc377384554"/>
      <w:bookmarkStart w:id="10" w:name="_Toc431891477"/>
      <w:r>
        <w:rPr>
          <w:rStyle w:val="CharSectno"/>
        </w:rPr>
        <w:t>2</w:t>
      </w:r>
      <w:r>
        <w:rPr>
          <w:snapToGrid w:val="0"/>
        </w:rPr>
        <w:t>.</w:t>
      </w:r>
      <w:r>
        <w:rPr>
          <w:snapToGrid w:val="0"/>
        </w:rPr>
        <w:tab/>
        <w:t>Commencement</w:t>
      </w:r>
      <w:bookmarkEnd w:id="9"/>
      <w:bookmarkEnd w:id="10"/>
    </w:p>
    <w:p>
      <w:pPr>
        <w:pStyle w:val="Subsection"/>
      </w:pPr>
      <w:r>
        <w:tab/>
      </w:r>
      <w:r>
        <w:tab/>
        <w:t>This Act comes into operation on 1 July 2000.</w:t>
      </w:r>
    </w:p>
    <w:p>
      <w:pPr>
        <w:pStyle w:val="Heading5"/>
      </w:pPr>
      <w:bookmarkStart w:id="11" w:name="_Toc377384555"/>
      <w:bookmarkStart w:id="12" w:name="_Toc431891478"/>
      <w:r>
        <w:rPr>
          <w:rStyle w:val="CharSectno"/>
        </w:rPr>
        <w:t>3</w:t>
      </w:r>
      <w:r>
        <w:t>.</w:t>
      </w:r>
      <w:r>
        <w:tab/>
        <w:t>Terms used</w:t>
      </w:r>
      <w:bookmarkEnd w:id="11"/>
      <w:bookmarkEnd w:id="12"/>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w:t>
      </w:r>
      <w:smartTag w:uri="urn:schemas-microsoft-com:office:smarttags" w:element="place">
        <w:smartTag w:uri="urn:schemas-microsoft-com:office:smarttags" w:element="country-region">
          <w:r>
            <w:t>Australia</w:t>
          </w:r>
        </w:smartTag>
      </w:smartTag>
      <w:r>
        <w:t xml:space="preserve">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 No. 17 of 2010 s. 18; No. 10 of 2013 s. 41; No. 27 of 2015 s. 4.]</w:t>
      </w:r>
    </w:p>
    <w:p>
      <w:pPr>
        <w:pStyle w:val="Heading5"/>
      </w:pPr>
      <w:bookmarkStart w:id="13" w:name="_Toc377384556"/>
      <w:bookmarkStart w:id="14" w:name="_Toc431891479"/>
      <w:r>
        <w:rPr>
          <w:rStyle w:val="CharSectno"/>
        </w:rPr>
        <w:t>4</w:t>
      </w:r>
      <w:r>
        <w:t>.</w:t>
      </w:r>
      <w:r>
        <w:tab/>
        <w:t>Term used: home</w:t>
      </w:r>
      <w:bookmarkEnd w:id="13"/>
      <w:bookmarkEnd w:id="14"/>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5" w:name="_Toc377384557"/>
      <w:bookmarkStart w:id="16" w:name="_Toc431891480"/>
      <w:r>
        <w:rPr>
          <w:rStyle w:val="CharSectno"/>
        </w:rPr>
        <w:t>5</w:t>
      </w:r>
      <w:r>
        <w:t>.</w:t>
      </w:r>
      <w:r>
        <w:tab/>
        <w:t>Terms used: owner, home owner</w:t>
      </w:r>
      <w:bookmarkEnd w:id="15"/>
      <w:bookmarkEnd w:id="16"/>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7" w:name="_Toc377384558"/>
      <w:bookmarkStart w:id="18" w:name="_Toc431891481"/>
      <w:r>
        <w:rPr>
          <w:rStyle w:val="CharSectno"/>
        </w:rPr>
        <w:t>6</w:t>
      </w:r>
      <w:r>
        <w:t>.</w:t>
      </w:r>
      <w:r>
        <w:tab/>
        <w:t>Term used: relevant interest</w:t>
      </w:r>
      <w:bookmarkEnd w:id="17"/>
      <w:bookmarkEnd w:id="18"/>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rPr>
          <w:snapToGrid w:val="0"/>
        </w:rPr>
      </w:pPr>
      <w:r>
        <w:rPr>
          <w:snapToGrid w:val="0"/>
        </w:rPr>
        <w:tab/>
        <w:t>(b)</w:t>
      </w:r>
      <w:r>
        <w:rPr>
          <w:snapToGrid w:val="0"/>
        </w:rPr>
        <w:tab/>
        <w:t>an interest held by a person is not a relevant interest if the person holds it subject to a trust; and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19" w:name="_Toc377384559"/>
      <w:bookmarkStart w:id="20" w:name="_Toc431891482"/>
      <w:r>
        <w:rPr>
          <w:rStyle w:val="CharSectno"/>
        </w:rPr>
        <w:t>7</w:t>
      </w:r>
      <w:r>
        <w:t>.</w:t>
      </w:r>
      <w:r>
        <w:tab/>
        <w:t>Term used: spouse</w:t>
      </w:r>
      <w:bookmarkEnd w:id="19"/>
      <w:bookmarkEnd w:id="20"/>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by No. 61 of 2000 s. 4; No. 28 of 2003 s. 62; No. 27 of 2009 s. 15.]</w:t>
      </w:r>
    </w:p>
    <w:p>
      <w:pPr>
        <w:pStyle w:val="Heading5"/>
      </w:pPr>
      <w:bookmarkStart w:id="21" w:name="_Toc377384560"/>
      <w:bookmarkStart w:id="22" w:name="_Toc431891483"/>
      <w:r>
        <w:rPr>
          <w:rStyle w:val="CharSectno"/>
        </w:rPr>
        <w:t>7A</w:t>
      </w:r>
      <w:r>
        <w:t>.</w:t>
      </w:r>
      <w:r>
        <w:tab/>
        <w:t>Term used: Australian citizen</w:t>
      </w:r>
      <w:bookmarkEnd w:id="21"/>
      <w:bookmarkEnd w:id="22"/>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by No. 61 of 2000 s. 7(2); amended by No. 27 of 2009 s. 15; No. 32 of 2012 s. 27.]</w:t>
      </w:r>
    </w:p>
    <w:p>
      <w:pPr>
        <w:pStyle w:val="Heading5"/>
      </w:pPr>
      <w:bookmarkStart w:id="23" w:name="_Toc377384561"/>
      <w:bookmarkStart w:id="24" w:name="_Toc431891484"/>
      <w:r>
        <w:rPr>
          <w:rStyle w:val="CharSectno"/>
        </w:rPr>
        <w:t>7B</w:t>
      </w:r>
      <w:r>
        <w:t>.</w:t>
      </w:r>
      <w:r>
        <w:tab/>
        <w:t>Term used: permanent resident</w:t>
      </w:r>
      <w:bookmarkEnd w:id="23"/>
      <w:bookmarkEnd w:id="24"/>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w:t>
      </w:r>
      <w:smartTag w:uri="urn:schemas-microsoft-com:office:smarttags" w:element="place">
        <w:smartTag w:uri="urn:schemas-microsoft-com:office:smarttags" w:element="country-region">
          <w:r>
            <w:t>New Zealand</w:t>
          </w:r>
        </w:smartTag>
      </w:smartTag>
      <w:r>
        <w:t xml:space="preserve">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 xml:space="preserve">the person has satisfied the Commissioner that he or she intends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by No. 61 of 2000 s. 8(2); amended by No. 27 of 2009 s. 15; No. 32 of 2012 s. 28.]</w:t>
      </w:r>
    </w:p>
    <w:p>
      <w:pPr>
        <w:pStyle w:val="Heading2"/>
      </w:pPr>
      <w:bookmarkStart w:id="25" w:name="_Toc377384562"/>
      <w:bookmarkStart w:id="26" w:name="_Toc418675931"/>
      <w:bookmarkStart w:id="27" w:name="_Toc418676040"/>
      <w:bookmarkStart w:id="28" w:name="_Toc431891485"/>
      <w:r>
        <w:rPr>
          <w:rStyle w:val="CharPartNo"/>
        </w:rPr>
        <w:t>Part 2</w:t>
      </w:r>
      <w:r>
        <w:t xml:space="preserve"> — </w:t>
      </w:r>
      <w:r>
        <w:rPr>
          <w:rStyle w:val="CharPartText"/>
        </w:rPr>
        <w:t>First home owner grant</w:t>
      </w:r>
      <w:bookmarkEnd w:id="25"/>
      <w:bookmarkEnd w:id="26"/>
      <w:bookmarkEnd w:id="27"/>
      <w:bookmarkEnd w:id="28"/>
    </w:p>
    <w:p>
      <w:pPr>
        <w:pStyle w:val="Heading3"/>
        <w:spacing w:before="200"/>
      </w:pPr>
      <w:bookmarkStart w:id="29" w:name="_Toc377384563"/>
      <w:bookmarkStart w:id="30" w:name="_Toc418675932"/>
      <w:bookmarkStart w:id="31" w:name="_Toc418676041"/>
      <w:bookmarkStart w:id="32" w:name="_Toc431891486"/>
      <w:r>
        <w:rPr>
          <w:rStyle w:val="CharDivNo"/>
        </w:rPr>
        <w:t>Division 1</w:t>
      </w:r>
      <w:r>
        <w:t xml:space="preserve"> — </w:t>
      </w:r>
      <w:r>
        <w:rPr>
          <w:rStyle w:val="CharDivText"/>
        </w:rPr>
        <w:t>Entitlement to grant</w:t>
      </w:r>
      <w:bookmarkEnd w:id="29"/>
      <w:bookmarkEnd w:id="30"/>
      <w:bookmarkEnd w:id="31"/>
      <w:bookmarkEnd w:id="32"/>
    </w:p>
    <w:p>
      <w:pPr>
        <w:pStyle w:val="Heading5"/>
        <w:spacing w:before="180"/>
      </w:pPr>
      <w:bookmarkStart w:id="33" w:name="_Toc377384564"/>
      <w:bookmarkStart w:id="34" w:name="_Toc431891487"/>
      <w:r>
        <w:rPr>
          <w:rStyle w:val="CharSectno"/>
        </w:rPr>
        <w:t>8</w:t>
      </w:r>
      <w:r>
        <w:t>.</w:t>
      </w:r>
      <w:r>
        <w:tab/>
        <w:t>Entitlement to grant</w:t>
      </w:r>
      <w:bookmarkEnd w:id="33"/>
      <w:bookmarkEnd w:id="34"/>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by No. 52 of 2004 s. 5.]</w:t>
      </w:r>
    </w:p>
    <w:p>
      <w:pPr>
        <w:pStyle w:val="Heading3"/>
      </w:pPr>
      <w:bookmarkStart w:id="35" w:name="_Toc377384565"/>
      <w:bookmarkStart w:id="36" w:name="_Toc418675934"/>
      <w:bookmarkStart w:id="37" w:name="_Toc418676043"/>
      <w:bookmarkStart w:id="38" w:name="_Toc431891488"/>
      <w:r>
        <w:rPr>
          <w:rStyle w:val="CharDivNo"/>
        </w:rPr>
        <w:t>Division 2</w:t>
      </w:r>
      <w:r>
        <w:rPr>
          <w:snapToGrid w:val="0"/>
        </w:rPr>
        <w:t xml:space="preserve"> — </w:t>
      </w:r>
      <w:r>
        <w:rPr>
          <w:rStyle w:val="CharDivText"/>
        </w:rPr>
        <w:t>Eligibility criteria (applicants)</w:t>
      </w:r>
      <w:bookmarkEnd w:id="35"/>
      <w:bookmarkEnd w:id="36"/>
      <w:bookmarkEnd w:id="37"/>
      <w:bookmarkEnd w:id="38"/>
    </w:p>
    <w:p>
      <w:pPr>
        <w:pStyle w:val="Heading5"/>
        <w:spacing w:before="180"/>
      </w:pPr>
      <w:bookmarkStart w:id="39" w:name="_Toc377384566"/>
      <w:bookmarkStart w:id="40" w:name="_Toc431891489"/>
      <w:r>
        <w:rPr>
          <w:rStyle w:val="CharSectno"/>
        </w:rPr>
        <w:t>9</w:t>
      </w:r>
      <w:r>
        <w:rPr>
          <w:snapToGrid w:val="0"/>
        </w:rPr>
        <w:t>.</w:t>
      </w:r>
      <w:r>
        <w:rPr>
          <w:snapToGrid w:val="0"/>
        </w:rPr>
        <w:tab/>
        <w:t>Criterion 1 — applicant to be a natural person</w:t>
      </w:r>
      <w:bookmarkEnd w:id="39"/>
      <w:bookmarkEnd w:id="40"/>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41" w:name="_Toc377384567"/>
      <w:bookmarkStart w:id="42" w:name="_Toc431891490"/>
      <w:r>
        <w:rPr>
          <w:rStyle w:val="CharSectno"/>
        </w:rPr>
        <w:t>9A</w:t>
      </w:r>
      <w:r>
        <w:t>.</w:t>
      </w:r>
      <w:r>
        <w:tab/>
        <w:t>Criterion 1A — applicant to be at least 18 years of age</w:t>
      </w:r>
      <w:bookmarkEnd w:id="41"/>
      <w:bookmarkEnd w:id="42"/>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43" w:name="_Toc377384568"/>
      <w:bookmarkStart w:id="44" w:name="_Toc431891491"/>
      <w:r>
        <w:rPr>
          <w:rStyle w:val="CharSectno"/>
        </w:rPr>
        <w:t>10</w:t>
      </w:r>
      <w:r>
        <w:t>.</w:t>
      </w:r>
      <w:r>
        <w:tab/>
        <w:t>Criterion 2 — applicant to be Australian citizen or permanent resident</w:t>
      </w:r>
      <w:bookmarkEnd w:id="43"/>
      <w:bookmarkEnd w:id="44"/>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45" w:name="_Toc377384569"/>
      <w:bookmarkStart w:id="46" w:name="_Toc431891492"/>
      <w:r>
        <w:rPr>
          <w:rStyle w:val="CharSectno"/>
        </w:rPr>
        <w:t>11</w:t>
      </w:r>
      <w:r>
        <w:t>.</w:t>
      </w:r>
      <w:r>
        <w:tab/>
        <w:t>Criterion 3 — except in certain circumstances, applicant or applicant’s spouse or de facto partner must not have received another grant</w:t>
      </w:r>
      <w:bookmarkEnd w:id="45"/>
      <w:bookmarkEnd w:id="46"/>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47" w:name="_Toc377384570"/>
      <w:bookmarkStart w:id="48" w:name="_Toc431891493"/>
      <w:r>
        <w:rPr>
          <w:rStyle w:val="CharSectno"/>
        </w:rPr>
        <w:t>12</w:t>
      </w:r>
      <w:r>
        <w:t>.</w:t>
      </w:r>
      <w:r>
        <w:tab/>
        <w:t>Criterion 4 — applicant or applicant’s spouse or de facto partner must not have had relevant interest in residential property</w:t>
      </w:r>
      <w:bookmarkEnd w:id="47"/>
      <w:bookmarkEnd w:id="48"/>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w:t>
      </w:r>
    </w:p>
    <w:p>
      <w:pPr>
        <w:pStyle w:val="Heading5"/>
      </w:pPr>
      <w:bookmarkStart w:id="49" w:name="_Toc377384571"/>
      <w:bookmarkStart w:id="50" w:name="_Toc431891494"/>
      <w:r>
        <w:rPr>
          <w:rStyle w:val="CharSectno"/>
        </w:rPr>
        <w:t>13</w:t>
      </w:r>
      <w:r>
        <w:t>.</w:t>
      </w:r>
      <w:r>
        <w:tab/>
        <w:t>Criterion 5 — residence requirements</w:t>
      </w:r>
      <w:bookmarkEnd w:id="49"/>
      <w:bookmarkEnd w:id="50"/>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by No. 52 of 2004 s. 9; amended by No. 29 of 2012 s. 10.]</w:t>
      </w:r>
    </w:p>
    <w:p>
      <w:pPr>
        <w:pStyle w:val="Heading5"/>
      </w:pPr>
      <w:bookmarkStart w:id="51" w:name="_Toc377384572"/>
      <w:bookmarkStart w:id="52" w:name="_Toc431891495"/>
      <w:r>
        <w:rPr>
          <w:rStyle w:val="CharSectno"/>
        </w:rPr>
        <w:t>13A</w:t>
      </w:r>
      <w:r>
        <w:t>.</w:t>
      </w:r>
      <w:r>
        <w:tab/>
        <w:t>Criterion 6 — applicant must not have been convicted of an offence under this Act</w:t>
      </w:r>
      <w:bookmarkEnd w:id="51"/>
      <w:bookmarkEnd w:id="52"/>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53" w:name="_Toc377384573"/>
      <w:bookmarkStart w:id="54" w:name="_Toc418675942"/>
      <w:bookmarkStart w:id="55" w:name="_Toc418676051"/>
      <w:bookmarkStart w:id="56" w:name="_Toc431891496"/>
      <w:r>
        <w:rPr>
          <w:rStyle w:val="CharDivNo"/>
        </w:rPr>
        <w:t>Division 3</w:t>
      </w:r>
      <w:r>
        <w:t xml:space="preserve"> — </w:t>
      </w:r>
      <w:r>
        <w:rPr>
          <w:rStyle w:val="CharDivText"/>
        </w:rPr>
        <w:t>Eligible transactions</w:t>
      </w:r>
      <w:bookmarkEnd w:id="53"/>
      <w:bookmarkEnd w:id="54"/>
      <w:bookmarkEnd w:id="55"/>
      <w:bookmarkEnd w:id="56"/>
    </w:p>
    <w:p>
      <w:pPr>
        <w:pStyle w:val="Heading4"/>
      </w:pPr>
      <w:bookmarkStart w:id="57" w:name="_Toc377384574"/>
      <w:bookmarkStart w:id="58" w:name="_Toc418675943"/>
      <w:bookmarkStart w:id="59" w:name="_Toc418676052"/>
      <w:bookmarkStart w:id="60" w:name="_Toc431891497"/>
      <w:r>
        <w:t>Subdivision 1 — Eligible transactions</w:t>
      </w:r>
      <w:bookmarkEnd w:id="57"/>
      <w:bookmarkEnd w:id="58"/>
      <w:bookmarkEnd w:id="59"/>
      <w:bookmarkEnd w:id="60"/>
    </w:p>
    <w:p>
      <w:pPr>
        <w:pStyle w:val="Footnoteheading"/>
      </w:pPr>
      <w:r>
        <w:tab/>
        <w:t>[Heading inserted by No. 14 of 2001 s. 4.]</w:t>
      </w:r>
    </w:p>
    <w:p>
      <w:pPr>
        <w:pStyle w:val="Heading5"/>
      </w:pPr>
      <w:bookmarkStart w:id="61" w:name="_Toc377384575"/>
      <w:bookmarkStart w:id="62" w:name="_Toc431891498"/>
      <w:r>
        <w:rPr>
          <w:rStyle w:val="CharSectno"/>
        </w:rPr>
        <w:t>14</w:t>
      </w:r>
      <w:r>
        <w:t>.</w:t>
      </w:r>
      <w:r>
        <w:tab/>
        <w:t>Eligible transaction</w:t>
      </w:r>
      <w:bookmarkEnd w:id="61"/>
      <w:bookmarkEnd w:id="62"/>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by No. 27 of 2009 s. 9; No. 27 of 2015 s. 5.]</w:t>
      </w:r>
    </w:p>
    <w:p>
      <w:pPr>
        <w:pStyle w:val="Heading5"/>
      </w:pPr>
      <w:bookmarkStart w:id="63" w:name="_Toc377384576"/>
      <w:bookmarkStart w:id="64" w:name="_Toc431891499"/>
      <w:r>
        <w:rPr>
          <w:rStyle w:val="CharSectno"/>
        </w:rPr>
        <w:t>14AA</w:t>
      </w:r>
      <w:r>
        <w:t>.</w:t>
      </w:r>
      <w:r>
        <w:tab/>
        <w:t>Commencement and completion of transaction</w:t>
      </w:r>
      <w:bookmarkEnd w:id="63"/>
      <w:bookmarkEnd w:id="64"/>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r>
      <w:r>
        <w:t>unless the interest in the land on which the home is built is a relevant interest mentioned in section 6(1)(e), if the</w:t>
      </w:r>
      <w:r>
        <w:rPr>
          <w:snapToGrid w:val="0"/>
        </w:rPr>
        <w:t xml:space="preserve"> purchaser is to obtain a registered title to the land on which the home is situated — the necessary steps to obtain registration of the purchaser’s title have been taken;</w:t>
      </w:r>
    </w:p>
    <w:p>
      <w:pPr>
        <w:pStyle w:val="Indenta"/>
      </w:pPr>
      <w:r>
        <w:tab/>
      </w:r>
      <w:r>
        <w:tab/>
        <w:t>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10; amended by No. 27 of 2015 s. 6.]</w:t>
      </w:r>
    </w:p>
    <w:p>
      <w:pPr>
        <w:pStyle w:val="Heading5"/>
      </w:pPr>
      <w:bookmarkStart w:id="65" w:name="_Toc377384577"/>
      <w:bookmarkStart w:id="66" w:name="_Toc431891500"/>
      <w:r>
        <w:rPr>
          <w:rStyle w:val="CharSectno"/>
        </w:rPr>
        <w:t>14AB</w:t>
      </w:r>
      <w:r>
        <w:t>.</w:t>
      </w:r>
      <w:r>
        <w:tab/>
        <w:t>Term used: consideration</w:t>
      </w:r>
      <w:bookmarkEnd w:id="65"/>
      <w:bookmarkEnd w:id="66"/>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Pr>
      <w:bookmarkStart w:id="67" w:name="_Toc377384578"/>
      <w:bookmarkStart w:id="68" w:name="_Toc431891501"/>
      <w:r>
        <w:rPr>
          <w:rStyle w:val="CharSectno"/>
        </w:rPr>
        <w:t>14AC</w:t>
      </w:r>
      <w:r>
        <w:t>.</w:t>
      </w:r>
      <w:r>
        <w:tab/>
        <w:t>Term used: total value</w:t>
      </w:r>
      <w:bookmarkEnd w:id="67"/>
      <w:bookmarkEnd w:id="68"/>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Pr>
      <w:bookmarkStart w:id="69" w:name="_Toc377384579"/>
      <w:bookmarkStart w:id="70" w:name="_Toc431891502"/>
      <w:r>
        <w:rPr>
          <w:rStyle w:val="CharSectno"/>
        </w:rPr>
        <w:t>14AD</w:t>
      </w:r>
      <w:r>
        <w:t>.</w:t>
      </w:r>
      <w:r>
        <w:tab/>
        <w:t>Term used: cap amount</w:t>
      </w:r>
      <w:bookmarkEnd w:id="69"/>
      <w:bookmarkEnd w:id="70"/>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71" w:name="_Toc377384580"/>
      <w:bookmarkStart w:id="72" w:name="_Toc431891503"/>
      <w:r>
        <w:rPr>
          <w:rStyle w:val="CharSectno"/>
        </w:rPr>
        <w:t>14AE</w:t>
      </w:r>
      <w:r>
        <w:t>.</w:t>
      </w:r>
      <w:r>
        <w:tab/>
        <w:t>Term used: unencumbered value</w:t>
      </w:r>
      <w:bookmarkEnd w:id="71"/>
      <w:bookmarkEnd w:id="72"/>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keepLines/>
      </w:pPr>
      <w:bookmarkStart w:id="73" w:name="_Toc377384581"/>
      <w:bookmarkStart w:id="74" w:name="_Toc418675950"/>
      <w:bookmarkStart w:id="75" w:name="_Toc418676059"/>
      <w:bookmarkStart w:id="76" w:name="_Toc431891504"/>
      <w:r>
        <w:t>Subdivision 2 — Special eligible transactions</w:t>
      </w:r>
      <w:bookmarkEnd w:id="73"/>
      <w:bookmarkEnd w:id="74"/>
      <w:bookmarkEnd w:id="75"/>
      <w:bookmarkEnd w:id="76"/>
    </w:p>
    <w:p>
      <w:pPr>
        <w:pStyle w:val="Footnoteheading"/>
        <w:keepNext/>
        <w:keepLines/>
      </w:pPr>
      <w:r>
        <w:tab/>
        <w:t>[Heading inserted by No. 14 of 2001 s. 5.]</w:t>
      </w:r>
    </w:p>
    <w:p>
      <w:pPr>
        <w:pStyle w:val="Heading5"/>
      </w:pPr>
      <w:bookmarkStart w:id="77" w:name="_Toc377384582"/>
      <w:bookmarkStart w:id="78" w:name="_Toc431891505"/>
      <w:r>
        <w:rPr>
          <w:rStyle w:val="CharSectno"/>
        </w:rPr>
        <w:t>14A</w:t>
      </w:r>
      <w:r>
        <w:t>.</w:t>
      </w:r>
      <w:r>
        <w:tab/>
        <w:t>Terms used</w:t>
      </w:r>
      <w:bookmarkEnd w:id="77"/>
      <w:bookmarkEnd w:id="78"/>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Indent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by No. 27 of 2009 s. 4; amended by No. 10 of 2013 s. 42.]</w:t>
      </w:r>
    </w:p>
    <w:p>
      <w:pPr>
        <w:pStyle w:val="Heading5"/>
        <w:spacing w:before="200"/>
      </w:pPr>
      <w:bookmarkStart w:id="79" w:name="_Toc377384583"/>
      <w:bookmarkStart w:id="80" w:name="_Toc431891506"/>
      <w:r>
        <w:rPr>
          <w:rStyle w:val="CharSectno"/>
        </w:rPr>
        <w:t>14B</w:t>
      </w:r>
      <w:r>
        <w:t>.</w:t>
      </w:r>
      <w:r>
        <w:tab/>
        <w:t>Special eligible transactions</w:t>
      </w:r>
      <w:bookmarkEnd w:id="79"/>
      <w:bookmarkEnd w:id="80"/>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w:t>
      </w:r>
      <w:r>
        <w:rPr>
          <w:rStyle w:val="CharDefText"/>
        </w:rPr>
        <w:t xml:space="preserve"> eligible </w:t>
      </w:r>
      <w:r>
        <w:rPr>
          <w:b/>
          <w:bCs/>
          <w:i/>
          <w:iCs/>
        </w:rPr>
        <w:t>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The Commissioner may extend the period within which building work is to begin under subsection (3)(b)(i) or (4B)(b)(i) or be completed under subsection (3)(b)(ii), (3)(c), (4B)(b)(ii), (4B)(c) or (6)(a) if the Commissioner is satisfied that the delay is caused by circumstances beyond the control of the parties.</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before 14 October 2008, in respect of a class 4, class 5, class 6 or class 7 eligible transaction.</w:t>
      </w:r>
    </w:p>
    <w:p>
      <w:pPr>
        <w:pStyle w:val="Footnotesection"/>
      </w:pPr>
      <w:r>
        <w:tab/>
        <w:t>[Section 14B inserted by No. 14 of 2001 s. 5; amended by No. 13 of 2003 s. 5; No. 27 of 2009 s. 5.]</w:t>
      </w:r>
    </w:p>
    <w:p>
      <w:pPr>
        <w:pStyle w:val="Heading3"/>
      </w:pPr>
      <w:bookmarkStart w:id="81" w:name="_Toc377384584"/>
      <w:bookmarkStart w:id="82" w:name="_Toc418675953"/>
      <w:bookmarkStart w:id="83" w:name="_Toc418676062"/>
      <w:bookmarkStart w:id="84" w:name="_Toc431891507"/>
      <w:r>
        <w:rPr>
          <w:rStyle w:val="CharDivNo"/>
        </w:rPr>
        <w:t>Division 4</w:t>
      </w:r>
      <w:r>
        <w:t xml:space="preserve"> — </w:t>
      </w:r>
      <w:r>
        <w:rPr>
          <w:rStyle w:val="CharDivText"/>
        </w:rPr>
        <w:t>Application for the grant</w:t>
      </w:r>
      <w:bookmarkEnd w:id="81"/>
      <w:bookmarkEnd w:id="82"/>
      <w:bookmarkEnd w:id="83"/>
      <w:bookmarkEnd w:id="84"/>
    </w:p>
    <w:p>
      <w:pPr>
        <w:pStyle w:val="Heading5"/>
      </w:pPr>
      <w:bookmarkStart w:id="85" w:name="_Toc377384585"/>
      <w:bookmarkStart w:id="86" w:name="_Toc431891508"/>
      <w:r>
        <w:rPr>
          <w:rStyle w:val="CharSectno"/>
        </w:rPr>
        <w:t>15</w:t>
      </w:r>
      <w:r>
        <w:t>.</w:t>
      </w:r>
      <w:r>
        <w:tab/>
        <w:t>Application for grant</w:t>
      </w:r>
      <w:bookmarkEnd w:id="85"/>
      <w:bookmarkEnd w:id="86"/>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87" w:name="_Toc377384586"/>
      <w:bookmarkStart w:id="88" w:name="_Toc431891509"/>
      <w:r>
        <w:rPr>
          <w:rStyle w:val="CharSectno"/>
        </w:rPr>
        <w:t>16</w:t>
      </w:r>
      <w:r>
        <w:t>.</w:t>
      </w:r>
      <w:r>
        <w:tab/>
        <w:t>Interested persons</w:t>
      </w:r>
      <w:bookmarkEnd w:id="87"/>
      <w:bookmarkEnd w:id="88"/>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89" w:name="_Toc377384587"/>
      <w:bookmarkStart w:id="90" w:name="_Toc431891510"/>
      <w:r>
        <w:rPr>
          <w:rStyle w:val="CharSectno"/>
        </w:rPr>
        <w:t>17</w:t>
      </w:r>
      <w:r>
        <w:t>.</w:t>
      </w:r>
      <w:r>
        <w:tab/>
        <w:t>Application on behalf of person under legal disability</w:t>
      </w:r>
      <w:bookmarkEnd w:id="89"/>
      <w:bookmarkEnd w:id="90"/>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91" w:name="_Toc377384588"/>
      <w:bookmarkStart w:id="92" w:name="_Toc418675957"/>
      <w:bookmarkStart w:id="93" w:name="_Toc418676066"/>
      <w:bookmarkStart w:id="94" w:name="_Toc431891511"/>
      <w:r>
        <w:rPr>
          <w:rStyle w:val="CharDivNo"/>
        </w:rPr>
        <w:t>Division 5</w:t>
      </w:r>
      <w:r>
        <w:t xml:space="preserve"> — </w:t>
      </w:r>
      <w:r>
        <w:rPr>
          <w:rStyle w:val="CharDivText"/>
        </w:rPr>
        <w:t>Decision on application</w:t>
      </w:r>
      <w:bookmarkEnd w:id="91"/>
      <w:bookmarkEnd w:id="92"/>
      <w:bookmarkEnd w:id="93"/>
      <w:bookmarkEnd w:id="94"/>
    </w:p>
    <w:p>
      <w:pPr>
        <w:pStyle w:val="Heading5"/>
      </w:pPr>
      <w:bookmarkStart w:id="95" w:name="_Toc377384589"/>
      <w:bookmarkStart w:id="96" w:name="_Toc431891512"/>
      <w:r>
        <w:rPr>
          <w:rStyle w:val="CharSectno"/>
        </w:rPr>
        <w:t>18</w:t>
      </w:r>
      <w:r>
        <w:t>.</w:t>
      </w:r>
      <w:r>
        <w:tab/>
        <w:t>Commissioner to authorise payment of grant</w:t>
      </w:r>
      <w:bookmarkEnd w:id="95"/>
      <w:bookmarkEnd w:id="96"/>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spacing w:before="180"/>
      </w:pPr>
      <w:bookmarkStart w:id="97" w:name="_Toc377384590"/>
      <w:bookmarkStart w:id="98" w:name="_Toc431891513"/>
      <w:r>
        <w:rPr>
          <w:rStyle w:val="CharSectno"/>
        </w:rPr>
        <w:t>19</w:t>
      </w:r>
      <w:r>
        <w:t>.</w:t>
      </w:r>
      <w:r>
        <w:tab/>
        <w:t>Amount of grant</w:t>
      </w:r>
      <w:bookmarkEnd w:id="97"/>
      <w:bookmarkEnd w:id="98"/>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Indenta"/>
      </w:pPr>
      <w:r>
        <w:tab/>
        <w:t>(e)</w:t>
      </w:r>
      <w:r>
        <w:tab/>
        <w:t>in the case of a class 6 eligible transaction within the meaning of section 14B — $10 500; or</w:t>
      </w:r>
    </w:p>
    <w:p>
      <w:pPr>
        <w:pStyle w:val="Indenta"/>
      </w:pPr>
      <w:r>
        <w:tab/>
        <w:t>(f)</w:t>
      </w:r>
      <w:r>
        <w:tab/>
        <w:t>in the case of a class 7 eligible transaction within the meaning of section 14B — $14 000.</w:t>
      </w:r>
    </w:p>
    <w:p>
      <w:pPr>
        <w:pStyle w:val="Footnotesection"/>
      </w:pPr>
      <w:r>
        <w:tab/>
        <w:t>[Section 19 amended by No. 14 of 2001 s. 6; No. 13 of 2003 s. 6; No. 27 of 2009 s. 6 and 15; No. 10 of 2013 s. 43; No. 27 of 2015 s. 7.]</w:t>
      </w:r>
    </w:p>
    <w:p>
      <w:pPr>
        <w:pStyle w:val="Heading5"/>
        <w:spacing w:before="180"/>
      </w:pPr>
      <w:bookmarkStart w:id="99" w:name="_Toc377384591"/>
      <w:bookmarkStart w:id="100" w:name="_Toc431891514"/>
      <w:r>
        <w:rPr>
          <w:rStyle w:val="CharSectno"/>
        </w:rPr>
        <w:t>20</w:t>
      </w:r>
      <w:r>
        <w:t>.</w:t>
      </w:r>
      <w:r>
        <w:tab/>
        <w:t>Payment of grant</w:t>
      </w:r>
      <w:bookmarkEnd w:id="99"/>
      <w:bookmarkEnd w:id="100"/>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101" w:name="_Toc377384592"/>
      <w:bookmarkStart w:id="102" w:name="_Toc431891515"/>
      <w:r>
        <w:rPr>
          <w:rStyle w:val="CharSectno"/>
        </w:rPr>
        <w:t>21</w:t>
      </w:r>
      <w:r>
        <w:t>.</w:t>
      </w:r>
      <w:r>
        <w:tab/>
        <w:t>Payment in anticipation of compliance with residence requirement</w:t>
      </w:r>
      <w:bookmarkEnd w:id="101"/>
      <w:bookmarkEnd w:id="102"/>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103" w:name="_Toc377384593"/>
      <w:bookmarkStart w:id="104" w:name="_Toc431891516"/>
      <w:r>
        <w:rPr>
          <w:rStyle w:val="CharSectno"/>
        </w:rPr>
        <w:t>22</w:t>
      </w:r>
      <w:r>
        <w:t>.</w:t>
      </w:r>
      <w:r>
        <w:tab/>
        <w:t>Commissioner may impose conditions</w:t>
      </w:r>
      <w:bookmarkEnd w:id="103"/>
      <w:bookmarkEnd w:id="104"/>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105" w:name="_Toc377384594"/>
      <w:bookmarkStart w:id="106" w:name="_Toc431891517"/>
      <w:r>
        <w:rPr>
          <w:rStyle w:val="CharSectno"/>
        </w:rPr>
        <w:t>23</w:t>
      </w:r>
      <w:r>
        <w:t>.</w:t>
      </w:r>
      <w:r>
        <w:tab/>
        <w:t>Death of applicant</w:t>
      </w:r>
      <w:bookmarkEnd w:id="105"/>
      <w:bookmarkEnd w:id="106"/>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107" w:name="_Toc377384595"/>
      <w:bookmarkStart w:id="108" w:name="_Toc431891518"/>
      <w:r>
        <w:rPr>
          <w:rStyle w:val="CharSectno"/>
        </w:rPr>
        <w:t>24</w:t>
      </w:r>
      <w:r>
        <w:rPr>
          <w:snapToGrid w:val="0"/>
        </w:rPr>
        <w:t>.</w:t>
      </w:r>
      <w:r>
        <w:rPr>
          <w:snapToGrid w:val="0"/>
        </w:rPr>
        <w:tab/>
        <w:t>Power to correct decision</w:t>
      </w:r>
      <w:bookmarkEnd w:id="107"/>
      <w:bookmarkEnd w:id="108"/>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109" w:name="_Toc377384596"/>
      <w:bookmarkStart w:id="110" w:name="_Toc431891519"/>
      <w:r>
        <w:rPr>
          <w:rStyle w:val="CharSectno"/>
        </w:rPr>
        <w:t>25</w:t>
      </w:r>
      <w:r>
        <w:rPr>
          <w:snapToGrid w:val="0"/>
        </w:rPr>
        <w:t>.</w:t>
      </w:r>
      <w:r>
        <w:rPr>
          <w:snapToGrid w:val="0"/>
        </w:rPr>
        <w:tab/>
        <w:t>Notice of decision</w:t>
      </w:r>
      <w:bookmarkEnd w:id="109"/>
      <w:bookmarkEnd w:id="110"/>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111" w:name="_Toc377384597"/>
      <w:bookmarkStart w:id="112" w:name="_Toc418675966"/>
      <w:bookmarkStart w:id="113" w:name="_Toc418676075"/>
      <w:bookmarkStart w:id="114" w:name="_Toc431891520"/>
      <w:r>
        <w:rPr>
          <w:rStyle w:val="CharDivNo"/>
        </w:rPr>
        <w:t>Division 6</w:t>
      </w:r>
      <w:r>
        <w:t xml:space="preserve"> — </w:t>
      </w:r>
      <w:r>
        <w:rPr>
          <w:rStyle w:val="CharDivText"/>
        </w:rPr>
        <w:t>Objections and review</w:t>
      </w:r>
      <w:bookmarkEnd w:id="111"/>
      <w:bookmarkEnd w:id="112"/>
      <w:bookmarkEnd w:id="113"/>
      <w:bookmarkEnd w:id="114"/>
    </w:p>
    <w:p>
      <w:pPr>
        <w:pStyle w:val="Footnoteheading"/>
      </w:pPr>
      <w:r>
        <w:tab/>
        <w:t>[Heading amended by No. 55 of 2004 s. 374.]</w:t>
      </w:r>
    </w:p>
    <w:p>
      <w:pPr>
        <w:pStyle w:val="Heading4"/>
      </w:pPr>
      <w:bookmarkStart w:id="115" w:name="_Toc377384598"/>
      <w:bookmarkStart w:id="116" w:name="_Toc418675967"/>
      <w:bookmarkStart w:id="117" w:name="_Toc418676076"/>
      <w:bookmarkStart w:id="118" w:name="_Toc431891521"/>
      <w:r>
        <w:t>Subdivision 1 — Definitions</w:t>
      </w:r>
      <w:bookmarkEnd w:id="115"/>
      <w:bookmarkEnd w:id="116"/>
      <w:bookmarkEnd w:id="117"/>
      <w:bookmarkEnd w:id="118"/>
    </w:p>
    <w:p>
      <w:pPr>
        <w:pStyle w:val="Heading5"/>
      </w:pPr>
      <w:bookmarkStart w:id="119" w:name="_Toc377384599"/>
      <w:bookmarkStart w:id="120" w:name="_Toc431891522"/>
      <w:r>
        <w:rPr>
          <w:rStyle w:val="CharSectno"/>
        </w:rPr>
        <w:t>26</w:t>
      </w:r>
      <w:r>
        <w:t>.</w:t>
      </w:r>
      <w:r>
        <w:tab/>
        <w:t>Terms used</w:t>
      </w:r>
      <w:bookmarkEnd w:id="119"/>
      <w:bookmarkEnd w:id="120"/>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Indenta"/>
      </w:pPr>
      <w:r>
        <w:tab/>
        <w:t>(c)</w:t>
      </w:r>
      <w:r>
        <w:tab/>
        <w:t>a requirement to repay an amount paid on an application because of a failure to comply with a condition referred to in section 18(3) or 21(2); and</w:t>
      </w:r>
    </w:p>
    <w:p>
      <w:pPr>
        <w:pStyle w:val="Indenta"/>
      </w:pPr>
      <w:r>
        <w:tab/>
        <w:t>(d)</w:t>
      </w:r>
      <w:r>
        <w:tab/>
        <w:t>an imposition of a penalty under section 18(5), 21(5) or 51(2) or (3);</w:t>
      </w:r>
    </w:p>
    <w:p>
      <w:pPr>
        <w:pStyle w:val="Defstart"/>
      </w:pPr>
      <w:r>
        <w:tab/>
      </w:r>
      <w:r>
        <w:rPr>
          <w:rStyle w:val="CharDefText"/>
        </w:rPr>
        <w:t>objector</w:t>
      </w:r>
      <w:r>
        <w:t xml:space="preserve"> means a person who makes an objection under section 27.</w:t>
      </w:r>
    </w:p>
    <w:p>
      <w:pPr>
        <w:pStyle w:val="Footnotesection"/>
      </w:pPr>
      <w:r>
        <w:tab/>
        <w:t>[Section 26 amended by No. 13 of 2003 s. 8; No. 27 of 2009 s. 12 and 16.]</w:t>
      </w:r>
    </w:p>
    <w:p>
      <w:pPr>
        <w:pStyle w:val="Heading4"/>
      </w:pPr>
      <w:bookmarkStart w:id="121" w:name="_Toc377384600"/>
      <w:bookmarkStart w:id="122" w:name="_Toc418675969"/>
      <w:bookmarkStart w:id="123" w:name="_Toc418676078"/>
      <w:bookmarkStart w:id="124" w:name="_Toc431891523"/>
      <w:r>
        <w:t>Subdivision 2 — Objections</w:t>
      </w:r>
      <w:bookmarkEnd w:id="121"/>
      <w:bookmarkEnd w:id="122"/>
      <w:bookmarkEnd w:id="123"/>
      <w:bookmarkEnd w:id="124"/>
    </w:p>
    <w:p>
      <w:pPr>
        <w:pStyle w:val="Heading5"/>
        <w:spacing w:before="180"/>
      </w:pPr>
      <w:bookmarkStart w:id="125" w:name="_Toc377384601"/>
      <w:bookmarkStart w:id="126" w:name="_Toc431891524"/>
      <w:r>
        <w:rPr>
          <w:rStyle w:val="CharSectno"/>
        </w:rPr>
        <w:t>27</w:t>
      </w:r>
      <w:r>
        <w:t>.</w:t>
      </w:r>
      <w:r>
        <w:tab/>
        <w:t>Right to object and procedure for making objections</w:t>
      </w:r>
      <w:bookmarkEnd w:id="125"/>
      <w:bookmarkEnd w:id="126"/>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127" w:name="_Toc377384602"/>
      <w:bookmarkStart w:id="128" w:name="_Toc431891525"/>
      <w:r>
        <w:rPr>
          <w:rStyle w:val="CharSectno"/>
        </w:rPr>
        <w:t>28</w:t>
      </w:r>
      <w:r>
        <w:t>.</w:t>
      </w:r>
      <w:r>
        <w:tab/>
        <w:t>Time for lodging objection</w:t>
      </w:r>
      <w:bookmarkEnd w:id="127"/>
      <w:bookmarkEnd w:id="128"/>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by No. 27 of 2009 s. 7; No. 32 of 2012 s. 29.]</w:t>
      </w:r>
    </w:p>
    <w:p>
      <w:pPr>
        <w:pStyle w:val="Heading5"/>
        <w:rPr>
          <w:highlight w:val="cyan"/>
        </w:rPr>
      </w:pPr>
      <w:bookmarkStart w:id="129" w:name="_Toc377384603"/>
      <w:bookmarkStart w:id="130" w:name="_Toc431891526"/>
      <w:r>
        <w:rPr>
          <w:rStyle w:val="CharSectno"/>
        </w:rPr>
        <w:t>29A</w:t>
      </w:r>
      <w:r>
        <w:t>.</w:t>
      </w:r>
      <w:r>
        <w:tab/>
        <w:t xml:space="preserve">Relationship with </w:t>
      </w:r>
      <w:r>
        <w:rPr>
          <w:i/>
        </w:rPr>
        <w:t>Duties Act 2008</w:t>
      </w:r>
      <w:r>
        <w:t xml:space="preserve"> and </w:t>
      </w:r>
      <w:r>
        <w:rPr>
          <w:i/>
        </w:rPr>
        <w:t>Taxation Administration Act 2003</w:t>
      </w:r>
      <w:bookmarkEnd w:id="129"/>
      <w:bookmarkEnd w:id="130"/>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by No. 32 of 2012 s. 30.]</w:t>
      </w:r>
    </w:p>
    <w:p>
      <w:pPr>
        <w:pStyle w:val="Heading5"/>
      </w:pPr>
      <w:bookmarkStart w:id="131" w:name="_Toc377384604"/>
      <w:bookmarkStart w:id="132" w:name="_Toc431891527"/>
      <w:r>
        <w:rPr>
          <w:rStyle w:val="CharSectno"/>
        </w:rPr>
        <w:t>29</w:t>
      </w:r>
      <w:r>
        <w:rPr>
          <w:snapToGrid w:val="0"/>
        </w:rPr>
        <w:t>.</w:t>
      </w:r>
      <w:r>
        <w:rPr>
          <w:snapToGrid w:val="0"/>
        </w:rPr>
        <w:tab/>
        <w:t>Consideration of objection</w:t>
      </w:r>
      <w:bookmarkEnd w:id="131"/>
      <w:bookmarkEnd w:id="132"/>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133" w:name="_Toc377384605"/>
      <w:bookmarkStart w:id="134" w:name="_Toc431891528"/>
      <w:r>
        <w:rPr>
          <w:rStyle w:val="CharSectno"/>
        </w:rPr>
        <w:t>30A</w:t>
      </w:r>
      <w:r>
        <w:t>.</w:t>
      </w:r>
      <w:r>
        <w:tab/>
        <w:t>Time limit for making decision on objection</w:t>
      </w:r>
      <w:bookmarkEnd w:id="133"/>
      <w:bookmarkEnd w:id="134"/>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by No. 32 of 2012 s. 31.]</w:t>
      </w:r>
    </w:p>
    <w:p>
      <w:pPr>
        <w:pStyle w:val="Heading5"/>
        <w:spacing w:before="180"/>
      </w:pPr>
      <w:bookmarkStart w:id="135" w:name="_Toc377384606"/>
      <w:bookmarkStart w:id="136" w:name="_Toc431891529"/>
      <w:r>
        <w:rPr>
          <w:rStyle w:val="CharSectno"/>
        </w:rPr>
        <w:t>30</w:t>
      </w:r>
      <w:r>
        <w:rPr>
          <w:snapToGrid w:val="0"/>
        </w:rPr>
        <w:t>.</w:t>
      </w:r>
      <w:r>
        <w:rPr>
          <w:snapToGrid w:val="0"/>
        </w:rPr>
        <w:tab/>
        <w:t>Decision on objection</w:t>
      </w:r>
      <w:bookmarkEnd w:id="135"/>
      <w:bookmarkEnd w:id="136"/>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by No. 27 of 2009 s. 17.]</w:t>
      </w:r>
    </w:p>
    <w:p>
      <w:pPr>
        <w:pStyle w:val="Heading4"/>
        <w:spacing w:before="200"/>
      </w:pPr>
      <w:bookmarkStart w:id="137" w:name="_Toc377384607"/>
      <w:bookmarkStart w:id="138" w:name="_Toc418675976"/>
      <w:bookmarkStart w:id="139" w:name="_Toc418676085"/>
      <w:bookmarkStart w:id="140" w:name="_Toc431891530"/>
      <w:r>
        <w:rPr>
          <w:snapToGrid w:val="0"/>
        </w:rPr>
        <w:t xml:space="preserve">Subdivision 3 — </w:t>
      </w:r>
      <w:r>
        <w:t>Review</w:t>
      </w:r>
      <w:bookmarkEnd w:id="137"/>
      <w:bookmarkEnd w:id="138"/>
      <w:bookmarkEnd w:id="139"/>
      <w:bookmarkEnd w:id="140"/>
    </w:p>
    <w:p>
      <w:pPr>
        <w:pStyle w:val="Footnoteheading"/>
        <w:spacing w:before="100"/>
      </w:pPr>
      <w:r>
        <w:tab/>
        <w:t>[Heading amended by No. 55 of 2004 s. 375.]</w:t>
      </w:r>
    </w:p>
    <w:p>
      <w:pPr>
        <w:pStyle w:val="Heading5"/>
      </w:pPr>
      <w:bookmarkStart w:id="141" w:name="_Toc377384608"/>
      <w:bookmarkStart w:id="142" w:name="_Toc431891531"/>
      <w:r>
        <w:rPr>
          <w:rStyle w:val="CharSectno"/>
        </w:rPr>
        <w:t>31</w:t>
      </w:r>
      <w:r>
        <w:t>.</w:t>
      </w:r>
      <w:r>
        <w:tab/>
        <w:t>Right of review</w:t>
      </w:r>
      <w:bookmarkEnd w:id="141"/>
      <w:bookmarkEnd w:id="142"/>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by No. 55 of 2004 s. 376; No. 32 of 2012 s. 32.]</w:t>
      </w:r>
    </w:p>
    <w:p>
      <w:pPr>
        <w:pStyle w:val="Heading5"/>
      </w:pPr>
      <w:bookmarkStart w:id="143" w:name="_Toc377384609"/>
      <w:bookmarkStart w:id="144" w:name="_Toc431891532"/>
      <w:r>
        <w:rPr>
          <w:rStyle w:val="CharSectno"/>
        </w:rPr>
        <w:t>32</w:t>
      </w:r>
      <w:r>
        <w:t>.</w:t>
      </w:r>
      <w:r>
        <w:tab/>
        <w:t>Payment following determination of review</w:t>
      </w:r>
      <w:bookmarkEnd w:id="143"/>
      <w:bookmarkEnd w:id="144"/>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by No. 27 of 2009 s. 18.]</w:t>
      </w:r>
    </w:p>
    <w:p>
      <w:pPr>
        <w:pStyle w:val="Footnoteheading"/>
      </w:pPr>
      <w:r>
        <w:tab/>
        <w:t>[Heading deleted by No. 55 of 2004 s. 378.]</w:t>
      </w:r>
    </w:p>
    <w:p>
      <w:pPr>
        <w:pStyle w:val="Ednotesection"/>
      </w:pPr>
      <w:r>
        <w:t>[</w:t>
      </w:r>
      <w:r>
        <w:rPr>
          <w:b/>
        </w:rPr>
        <w:t>33.</w:t>
      </w:r>
      <w:r>
        <w:tab/>
        <w:t>Deleted by No. 55 of 2004 s. 379.]</w:t>
      </w:r>
    </w:p>
    <w:p>
      <w:pPr>
        <w:pStyle w:val="Heading2"/>
      </w:pPr>
      <w:bookmarkStart w:id="145" w:name="_Toc377384610"/>
      <w:bookmarkStart w:id="146" w:name="_Toc418675979"/>
      <w:bookmarkStart w:id="147" w:name="_Toc418676088"/>
      <w:bookmarkStart w:id="148" w:name="_Toc431891533"/>
      <w:r>
        <w:rPr>
          <w:rStyle w:val="CharPartNo"/>
        </w:rPr>
        <w:t>Part 3</w:t>
      </w:r>
      <w:r>
        <w:t xml:space="preserve"> — </w:t>
      </w:r>
      <w:r>
        <w:rPr>
          <w:rStyle w:val="CharPartText"/>
        </w:rPr>
        <w:t>Administration</w:t>
      </w:r>
      <w:bookmarkEnd w:id="145"/>
      <w:bookmarkEnd w:id="146"/>
      <w:bookmarkEnd w:id="147"/>
      <w:bookmarkEnd w:id="148"/>
    </w:p>
    <w:p>
      <w:pPr>
        <w:pStyle w:val="Heading3"/>
      </w:pPr>
      <w:bookmarkStart w:id="149" w:name="_Toc377384611"/>
      <w:bookmarkStart w:id="150" w:name="_Toc418675980"/>
      <w:bookmarkStart w:id="151" w:name="_Toc418676089"/>
      <w:bookmarkStart w:id="152" w:name="_Toc431891534"/>
      <w:r>
        <w:rPr>
          <w:rStyle w:val="CharDivNo"/>
        </w:rPr>
        <w:t>Division 1</w:t>
      </w:r>
      <w:r>
        <w:t xml:space="preserve"> — </w:t>
      </w:r>
      <w:r>
        <w:rPr>
          <w:rStyle w:val="CharDivText"/>
        </w:rPr>
        <w:t>Administration generally</w:t>
      </w:r>
      <w:bookmarkEnd w:id="149"/>
      <w:bookmarkEnd w:id="150"/>
      <w:bookmarkEnd w:id="151"/>
      <w:bookmarkEnd w:id="152"/>
    </w:p>
    <w:p>
      <w:pPr>
        <w:pStyle w:val="Heading5"/>
        <w:spacing w:before="180"/>
      </w:pPr>
      <w:bookmarkStart w:id="153" w:name="_Toc377384612"/>
      <w:bookmarkStart w:id="154" w:name="_Toc431891535"/>
      <w:r>
        <w:rPr>
          <w:rStyle w:val="CharSectno"/>
        </w:rPr>
        <w:t>34</w:t>
      </w:r>
      <w:r>
        <w:t>.</w:t>
      </w:r>
      <w:r>
        <w:tab/>
        <w:t>Administration of Act</w:t>
      </w:r>
      <w:bookmarkEnd w:id="153"/>
      <w:bookmarkEnd w:id="154"/>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spacing w:before="180"/>
      </w:pPr>
      <w:bookmarkStart w:id="155" w:name="_Toc377384613"/>
      <w:bookmarkStart w:id="156" w:name="_Toc431891536"/>
      <w:r>
        <w:rPr>
          <w:rStyle w:val="CharSectno"/>
        </w:rPr>
        <w:t>35</w:t>
      </w:r>
      <w:r>
        <w:t>.</w:t>
      </w:r>
      <w:r>
        <w:tab/>
        <w:t>Delegation</w:t>
      </w:r>
      <w:bookmarkEnd w:id="155"/>
      <w:bookmarkEnd w:id="156"/>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157" w:name="_Toc377384614"/>
      <w:bookmarkStart w:id="158" w:name="_Toc431891537"/>
      <w:r>
        <w:rPr>
          <w:rStyle w:val="CharSectno"/>
        </w:rPr>
        <w:t>36</w:t>
      </w:r>
      <w:r>
        <w:t>.</w:t>
      </w:r>
      <w:r>
        <w:tab/>
        <w:t>Authorised investigators</w:t>
      </w:r>
      <w:bookmarkEnd w:id="157"/>
      <w:bookmarkEnd w:id="158"/>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159" w:name="_Toc377384615"/>
      <w:bookmarkStart w:id="160" w:name="_Toc431891538"/>
      <w:r>
        <w:rPr>
          <w:rStyle w:val="CharSectno"/>
        </w:rPr>
        <w:t>37</w:t>
      </w:r>
      <w:r>
        <w:t>.</w:t>
      </w:r>
      <w:r>
        <w:tab/>
        <w:t>Administration agreements</w:t>
      </w:r>
      <w:bookmarkEnd w:id="159"/>
      <w:bookmarkEnd w:id="160"/>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161" w:name="_Toc377384616"/>
      <w:bookmarkStart w:id="162" w:name="_Toc418675985"/>
      <w:bookmarkStart w:id="163" w:name="_Toc418676094"/>
      <w:bookmarkStart w:id="164" w:name="_Toc431891539"/>
      <w:r>
        <w:rPr>
          <w:rStyle w:val="CharDivNo"/>
        </w:rPr>
        <w:t>Division 2</w:t>
      </w:r>
      <w:r>
        <w:t xml:space="preserve"> — </w:t>
      </w:r>
      <w:r>
        <w:rPr>
          <w:rStyle w:val="CharDivText"/>
        </w:rPr>
        <w:t>Investigations</w:t>
      </w:r>
      <w:bookmarkEnd w:id="161"/>
      <w:bookmarkEnd w:id="162"/>
      <w:bookmarkEnd w:id="163"/>
      <w:bookmarkEnd w:id="164"/>
    </w:p>
    <w:p>
      <w:pPr>
        <w:pStyle w:val="Heading5"/>
      </w:pPr>
      <w:bookmarkStart w:id="165" w:name="_Toc377384617"/>
      <w:bookmarkStart w:id="166" w:name="_Toc431891540"/>
      <w:r>
        <w:rPr>
          <w:rStyle w:val="CharSectno"/>
        </w:rPr>
        <w:t>38</w:t>
      </w:r>
      <w:r>
        <w:t>.</w:t>
      </w:r>
      <w:r>
        <w:tab/>
        <w:t>Investigations</w:t>
      </w:r>
      <w:bookmarkEnd w:id="165"/>
      <w:bookmarkEnd w:id="166"/>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167" w:name="_Toc377384618"/>
      <w:bookmarkStart w:id="168" w:name="_Toc431891541"/>
      <w:r>
        <w:rPr>
          <w:rStyle w:val="CharSectno"/>
        </w:rPr>
        <w:t>39</w:t>
      </w:r>
      <w:r>
        <w:rPr>
          <w:snapToGrid w:val="0"/>
        </w:rPr>
        <w:t>.</w:t>
      </w:r>
      <w:r>
        <w:rPr>
          <w:snapToGrid w:val="0"/>
        </w:rPr>
        <w:tab/>
        <w:t>Cross</w:t>
      </w:r>
      <w:r>
        <w:rPr>
          <w:snapToGrid w:val="0"/>
        </w:rPr>
        <w:noBreakHyphen/>
        <w:t>border investigations</w:t>
      </w:r>
      <w:bookmarkEnd w:id="167"/>
      <w:bookmarkEnd w:id="168"/>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169" w:name="_Toc377384619"/>
      <w:bookmarkStart w:id="170" w:name="_Toc431891542"/>
      <w:r>
        <w:rPr>
          <w:rStyle w:val="CharSectno"/>
        </w:rPr>
        <w:t>40</w:t>
      </w:r>
      <w:r>
        <w:rPr>
          <w:snapToGrid w:val="0"/>
        </w:rPr>
        <w:t>.</w:t>
      </w:r>
      <w:r>
        <w:rPr>
          <w:snapToGrid w:val="0"/>
        </w:rPr>
        <w:tab/>
        <w:t>Power of investigation</w:t>
      </w:r>
      <w:bookmarkEnd w:id="169"/>
      <w:bookmarkEnd w:id="170"/>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171" w:name="_Toc377384620"/>
      <w:bookmarkStart w:id="172" w:name="_Toc431891543"/>
      <w:r>
        <w:rPr>
          <w:rStyle w:val="CharSectno"/>
        </w:rPr>
        <w:t>41A.</w:t>
      </w:r>
      <w:r>
        <w:rPr>
          <w:rStyle w:val="CharSectno"/>
        </w:rPr>
        <w:tab/>
        <w:t>P</w:t>
      </w:r>
      <w:r>
        <w:t>ower to have valuation made</w:t>
      </w:r>
      <w:bookmarkEnd w:id="171"/>
      <w:bookmarkEnd w:id="172"/>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173" w:name="_Toc377384621"/>
      <w:bookmarkStart w:id="174" w:name="_Toc431891544"/>
      <w:r>
        <w:rPr>
          <w:rStyle w:val="CharSectno"/>
        </w:rPr>
        <w:t>41</w:t>
      </w:r>
      <w:r>
        <w:t>.</w:t>
      </w:r>
      <w:r>
        <w:tab/>
        <w:t>Power to require person to attend for examination</w:t>
      </w:r>
      <w:bookmarkEnd w:id="173"/>
      <w:bookmarkEnd w:id="174"/>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175" w:name="_Toc377384622"/>
      <w:bookmarkStart w:id="176" w:name="_Toc431891545"/>
      <w:r>
        <w:rPr>
          <w:rStyle w:val="CharSectno"/>
        </w:rPr>
        <w:t>42</w:t>
      </w:r>
      <w:r>
        <w:t>.</w:t>
      </w:r>
      <w:r>
        <w:tab/>
        <w:t>Entry of premises</w:t>
      </w:r>
      <w:bookmarkEnd w:id="175"/>
      <w:bookmarkEnd w:id="176"/>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177" w:name="_Toc377384623"/>
      <w:bookmarkStart w:id="178" w:name="_Toc431891546"/>
      <w:r>
        <w:rPr>
          <w:rStyle w:val="CharSectno"/>
        </w:rPr>
        <w:t>43</w:t>
      </w:r>
      <w:r>
        <w:t>.</w:t>
      </w:r>
      <w:r>
        <w:tab/>
        <w:t>Powers of authorised investigator on entry of premises</w:t>
      </w:r>
      <w:bookmarkEnd w:id="177"/>
      <w:bookmarkEnd w:id="178"/>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179" w:name="_Toc377384624"/>
      <w:bookmarkStart w:id="180" w:name="_Toc431891547"/>
      <w:r>
        <w:rPr>
          <w:rStyle w:val="CharSectno"/>
        </w:rPr>
        <w:t>44</w:t>
      </w:r>
      <w:r>
        <w:t>.</w:t>
      </w:r>
      <w:r>
        <w:tab/>
        <w:t>Warrants</w:t>
      </w:r>
      <w:bookmarkEnd w:id="179"/>
      <w:bookmarkEnd w:id="180"/>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by No. 84 of 2004 s. 80.]</w:t>
      </w:r>
    </w:p>
    <w:p>
      <w:pPr>
        <w:pStyle w:val="Heading5"/>
      </w:pPr>
      <w:bookmarkStart w:id="181" w:name="_Toc377384625"/>
      <w:bookmarkStart w:id="182" w:name="_Toc431891548"/>
      <w:r>
        <w:rPr>
          <w:rStyle w:val="CharSectno"/>
        </w:rPr>
        <w:t>45</w:t>
      </w:r>
      <w:r>
        <w:t>.</w:t>
      </w:r>
      <w:r>
        <w:tab/>
        <w:t>Use of force</w:t>
      </w:r>
      <w:bookmarkEnd w:id="181"/>
      <w:bookmarkEnd w:id="182"/>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183" w:name="_Toc377384626"/>
      <w:bookmarkStart w:id="184" w:name="_Toc431891549"/>
      <w:r>
        <w:rPr>
          <w:rStyle w:val="CharSectno"/>
        </w:rPr>
        <w:t>46</w:t>
      </w:r>
      <w:r>
        <w:t>.</w:t>
      </w:r>
      <w:r>
        <w:tab/>
        <w:t>Self incrimination</w:t>
      </w:r>
      <w:bookmarkEnd w:id="183"/>
      <w:bookmarkEnd w:id="184"/>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185" w:name="_Toc377384627"/>
      <w:bookmarkStart w:id="186" w:name="_Toc418675996"/>
      <w:bookmarkStart w:id="187" w:name="_Toc418676105"/>
      <w:bookmarkStart w:id="188" w:name="_Toc431891550"/>
      <w:r>
        <w:rPr>
          <w:rStyle w:val="CharPartNo"/>
        </w:rPr>
        <w:t>Part 4</w:t>
      </w:r>
      <w:r>
        <w:t xml:space="preserve"> — </w:t>
      </w:r>
      <w:r>
        <w:rPr>
          <w:rStyle w:val="CharPartText"/>
        </w:rPr>
        <w:t>Miscellaneous</w:t>
      </w:r>
      <w:bookmarkEnd w:id="185"/>
      <w:bookmarkEnd w:id="186"/>
      <w:bookmarkEnd w:id="187"/>
      <w:bookmarkEnd w:id="188"/>
    </w:p>
    <w:p>
      <w:pPr>
        <w:pStyle w:val="Heading3"/>
      </w:pPr>
      <w:bookmarkStart w:id="189" w:name="_Toc377384628"/>
      <w:bookmarkStart w:id="190" w:name="_Toc418675997"/>
      <w:bookmarkStart w:id="191" w:name="_Toc418676106"/>
      <w:bookmarkStart w:id="192" w:name="_Toc431891551"/>
      <w:r>
        <w:rPr>
          <w:rStyle w:val="CharDivNo"/>
        </w:rPr>
        <w:t>Division 1</w:t>
      </w:r>
      <w:r>
        <w:t xml:space="preserve"> — </w:t>
      </w:r>
      <w:r>
        <w:rPr>
          <w:rStyle w:val="CharDivText"/>
        </w:rPr>
        <w:t>Offences</w:t>
      </w:r>
      <w:bookmarkEnd w:id="189"/>
      <w:bookmarkEnd w:id="190"/>
      <w:bookmarkEnd w:id="191"/>
      <w:bookmarkEnd w:id="192"/>
    </w:p>
    <w:p>
      <w:pPr>
        <w:pStyle w:val="Heading5"/>
        <w:spacing w:before="180"/>
      </w:pPr>
      <w:bookmarkStart w:id="193" w:name="_Toc377384629"/>
      <w:bookmarkStart w:id="194" w:name="_Toc431891552"/>
      <w:r>
        <w:rPr>
          <w:rStyle w:val="CharSectno"/>
        </w:rPr>
        <w:t>47</w:t>
      </w:r>
      <w:r>
        <w:t>.</w:t>
      </w:r>
      <w:r>
        <w:tab/>
        <w:t>False or misleading information and documents</w:t>
      </w:r>
      <w:bookmarkEnd w:id="193"/>
      <w:bookmarkEnd w:id="194"/>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by No. 52 of 2004 s. 13.]</w:t>
      </w:r>
    </w:p>
    <w:p>
      <w:pPr>
        <w:pStyle w:val="Heading5"/>
      </w:pPr>
      <w:bookmarkStart w:id="195" w:name="_Toc377384630"/>
      <w:bookmarkStart w:id="196" w:name="_Toc431891553"/>
      <w:r>
        <w:rPr>
          <w:rStyle w:val="CharSectno"/>
        </w:rPr>
        <w:t>48</w:t>
      </w:r>
      <w:r>
        <w:t>.</w:t>
      </w:r>
      <w:r>
        <w:tab/>
        <w:t>Obstructing or misleading Commissioner or authorised investigator</w:t>
      </w:r>
      <w:bookmarkEnd w:id="195"/>
      <w:bookmarkEnd w:id="196"/>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197" w:name="_Toc377384631"/>
      <w:bookmarkStart w:id="198" w:name="_Toc418676000"/>
      <w:bookmarkStart w:id="199" w:name="_Toc418676109"/>
      <w:bookmarkStart w:id="200" w:name="_Toc431891554"/>
      <w:r>
        <w:rPr>
          <w:rStyle w:val="CharDivNo"/>
        </w:rPr>
        <w:t>Division 2</w:t>
      </w:r>
      <w:r>
        <w:t xml:space="preserve"> — </w:t>
      </w:r>
      <w:r>
        <w:rPr>
          <w:rStyle w:val="CharDivText"/>
        </w:rPr>
        <w:t>Evidentiary provisions</w:t>
      </w:r>
      <w:bookmarkEnd w:id="197"/>
      <w:bookmarkEnd w:id="198"/>
      <w:bookmarkEnd w:id="199"/>
      <w:bookmarkEnd w:id="200"/>
    </w:p>
    <w:p>
      <w:pPr>
        <w:pStyle w:val="Heading5"/>
      </w:pPr>
      <w:bookmarkStart w:id="201" w:name="_Toc377384632"/>
      <w:bookmarkStart w:id="202" w:name="_Toc431891555"/>
      <w:r>
        <w:rPr>
          <w:rStyle w:val="CharSectno"/>
        </w:rPr>
        <w:t>49</w:t>
      </w:r>
      <w:r>
        <w:t>.</w:t>
      </w:r>
      <w:r>
        <w:tab/>
        <w:t>Evidence</w:t>
      </w:r>
      <w:bookmarkEnd w:id="201"/>
      <w:bookmarkEnd w:id="20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203" w:name="_Toc377384633"/>
      <w:bookmarkStart w:id="204" w:name="_Toc431891556"/>
      <w:r>
        <w:rPr>
          <w:rStyle w:val="CharSectno"/>
        </w:rPr>
        <w:t>50</w:t>
      </w:r>
      <w:r>
        <w:t>.</w:t>
      </w:r>
      <w:r>
        <w:tab/>
        <w:t>Presumption of regularity</w:t>
      </w:r>
      <w:bookmarkEnd w:id="203"/>
      <w:bookmarkEnd w:id="204"/>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205" w:name="_Toc377384634"/>
      <w:bookmarkStart w:id="206" w:name="_Toc418676003"/>
      <w:bookmarkStart w:id="207" w:name="_Toc418676112"/>
      <w:bookmarkStart w:id="208" w:name="_Toc431891557"/>
      <w:r>
        <w:rPr>
          <w:rStyle w:val="CharDivNo"/>
        </w:rPr>
        <w:t>Division 3</w:t>
      </w:r>
      <w:r>
        <w:t xml:space="preserve"> — </w:t>
      </w:r>
      <w:r>
        <w:rPr>
          <w:rStyle w:val="CharDivText"/>
        </w:rPr>
        <w:t>Repayments and penalties</w:t>
      </w:r>
      <w:bookmarkEnd w:id="205"/>
      <w:bookmarkEnd w:id="206"/>
      <w:bookmarkEnd w:id="207"/>
      <w:bookmarkEnd w:id="208"/>
    </w:p>
    <w:p>
      <w:pPr>
        <w:pStyle w:val="Heading5"/>
      </w:pPr>
      <w:bookmarkStart w:id="209" w:name="_Toc377384635"/>
      <w:bookmarkStart w:id="210" w:name="_Toc431891558"/>
      <w:r>
        <w:rPr>
          <w:rStyle w:val="CharSectno"/>
        </w:rPr>
        <w:t>51</w:t>
      </w:r>
      <w:r>
        <w:t>.</w:t>
      </w:r>
      <w:r>
        <w:tab/>
        <w:t>Commissioner may require repayment and impose penalty</w:t>
      </w:r>
      <w:bookmarkEnd w:id="209"/>
      <w:bookmarkEnd w:id="210"/>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211" w:name="_Toc377384636"/>
      <w:bookmarkStart w:id="212" w:name="_Toc431891559"/>
      <w:r>
        <w:rPr>
          <w:rStyle w:val="CharSectno"/>
        </w:rPr>
        <w:t>52</w:t>
      </w:r>
      <w:r>
        <w:t>.</w:t>
      </w:r>
      <w:r>
        <w:tab/>
        <w:t>Arrangements for instalments and extensions of time</w:t>
      </w:r>
      <w:bookmarkEnd w:id="211"/>
      <w:bookmarkEnd w:id="212"/>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18,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w:t>
      </w:r>
    </w:p>
    <w:p>
      <w:pPr>
        <w:pStyle w:val="Heading5"/>
      </w:pPr>
      <w:bookmarkStart w:id="213" w:name="_Toc377384637"/>
      <w:bookmarkStart w:id="214" w:name="_Toc431891560"/>
      <w:r>
        <w:rPr>
          <w:rStyle w:val="CharSectno"/>
        </w:rPr>
        <w:t>53</w:t>
      </w:r>
      <w:r>
        <w:t>.</w:t>
      </w:r>
      <w:r>
        <w:tab/>
        <w:t>Recovery of certain amounts</w:t>
      </w:r>
      <w:bookmarkEnd w:id="213"/>
      <w:bookmarkEnd w:id="214"/>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215" w:name="_Toc377384638"/>
      <w:bookmarkStart w:id="216" w:name="_Toc431891561"/>
      <w:r>
        <w:rPr>
          <w:rStyle w:val="CharSectno"/>
        </w:rPr>
        <w:t>54A</w:t>
      </w:r>
      <w:r>
        <w:t>.</w:t>
      </w:r>
      <w:r>
        <w:tab/>
        <w:t>Recovery from garnishee</w:t>
      </w:r>
      <w:bookmarkEnd w:id="215"/>
      <w:bookmarkEnd w:id="216"/>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by No. 29 of 2012 s. 11.]</w:t>
      </w:r>
    </w:p>
    <w:p>
      <w:pPr>
        <w:pStyle w:val="Heading5"/>
      </w:pPr>
      <w:bookmarkStart w:id="217" w:name="_Toc377384639"/>
      <w:bookmarkStart w:id="218" w:name="_Toc431891562"/>
      <w:r>
        <w:rPr>
          <w:rStyle w:val="CharSectno"/>
        </w:rPr>
        <w:t>54</w:t>
      </w:r>
      <w:r>
        <w:t>.</w:t>
      </w:r>
      <w:r>
        <w:tab/>
        <w:t>Writing off liability</w:t>
      </w:r>
      <w:bookmarkEnd w:id="217"/>
      <w:bookmarkEnd w:id="218"/>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Sch. 1 cl. 67.]</w:t>
      </w:r>
    </w:p>
    <w:p>
      <w:pPr>
        <w:pStyle w:val="Heading3"/>
      </w:pPr>
      <w:bookmarkStart w:id="219" w:name="_Toc377384640"/>
      <w:bookmarkStart w:id="220" w:name="_Toc418676009"/>
      <w:bookmarkStart w:id="221" w:name="_Toc418676118"/>
      <w:bookmarkStart w:id="222" w:name="_Toc431891563"/>
      <w:r>
        <w:rPr>
          <w:rStyle w:val="CharDivNo"/>
        </w:rPr>
        <w:t>Division 4</w:t>
      </w:r>
      <w:r>
        <w:t xml:space="preserve"> — </w:t>
      </w:r>
      <w:r>
        <w:rPr>
          <w:rStyle w:val="CharDivText"/>
        </w:rPr>
        <w:t>Charge on interest in home</w:t>
      </w:r>
      <w:bookmarkEnd w:id="219"/>
      <w:bookmarkEnd w:id="220"/>
      <w:bookmarkEnd w:id="221"/>
      <w:bookmarkEnd w:id="222"/>
    </w:p>
    <w:p>
      <w:pPr>
        <w:pStyle w:val="Heading5"/>
      </w:pPr>
      <w:bookmarkStart w:id="223" w:name="_Toc377384641"/>
      <w:bookmarkStart w:id="224" w:name="_Toc431891564"/>
      <w:r>
        <w:rPr>
          <w:rStyle w:val="CharSectno"/>
        </w:rPr>
        <w:t>55</w:t>
      </w:r>
      <w:r>
        <w:t>.</w:t>
      </w:r>
      <w:r>
        <w:tab/>
        <w:t>Lodgement of memorial and creation of charge</w:t>
      </w:r>
      <w:bookmarkEnd w:id="223"/>
      <w:bookmarkEnd w:id="224"/>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225" w:name="_Toc377384642"/>
      <w:bookmarkStart w:id="226" w:name="_Toc431891565"/>
      <w:r>
        <w:rPr>
          <w:rStyle w:val="CharSectno"/>
        </w:rPr>
        <w:t>56</w:t>
      </w:r>
      <w:r>
        <w:t>.</w:t>
      </w:r>
      <w:r>
        <w:tab/>
        <w:t>Priority of charge</w:t>
      </w:r>
      <w:bookmarkEnd w:id="225"/>
      <w:bookmarkEnd w:id="226"/>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227" w:name="_Toc377384643"/>
      <w:bookmarkStart w:id="228" w:name="_Toc431891566"/>
      <w:r>
        <w:rPr>
          <w:rStyle w:val="CharSectno"/>
        </w:rPr>
        <w:t>57</w:t>
      </w:r>
      <w:r>
        <w:t>.</w:t>
      </w:r>
      <w:r>
        <w:tab/>
        <w:t>Release of relevant interest from charge</w:t>
      </w:r>
      <w:bookmarkEnd w:id="227"/>
      <w:bookmarkEnd w:id="228"/>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229" w:name="_Toc377384644"/>
      <w:bookmarkStart w:id="230" w:name="_Toc431891567"/>
      <w:r>
        <w:rPr>
          <w:rStyle w:val="CharSectno"/>
        </w:rPr>
        <w:t>58</w:t>
      </w:r>
      <w:r>
        <w:t>.</w:t>
      </w:r>
      <w:r>
        <w:tab/>
        <w:t>Order for sale of relevant interest</w:t>
      </w:r>
      <w:bookmarkEnd w:id="229"/>
      <w:bookmarkEnd w:id="230"/>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231" w:name="_Toc377384645"/>
      <w:bookmarkStart w:id="232" w:name="_Toc431891568"/>
      <w:r>
        <w:rPr>
          <w:rStyle w:val="CharSectno"/>
        </w:rPr>
        <w:t>59</w:t>
      </w:r>
      <w:r>
        <w:t>.</w:t>
      </w:r>
      <w:r>
        <w:tab/>
        <w:t>Charge not to limit other means of enforcing payment</w:t>
      </w:r>
      <w:bookmarkEnd w:id="231"/>
      <w:bookmarkEnd w:id="232"/>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233" w:name="_Toc377384646"/>
      <w:bookmarkStart w:id="234" w:name="_Toc431891569"/>
      <w:r>
        <w:rPr>
          <w:rStyle w:val="CharSectno"/>
        </w:rPr>
        <w:t>60</w:t>
      </w:r>
      <w:r>
        <w:t>.</w:t>
      </w:r>
      <w:r>
        <w:tab/>
        <w:t>Commissioner may require fees to be reimbursed</w:t>
      </w:r>
      <w:bookmarkEnd w:id="233"/>
      <w:bookmarkEnd w:id="234"/>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235" w:name="_Toc377384647"/>
      <w:bookmarkStart w:id="236" w:name="_Toc418676016"/>
      <w:bookmarkStart w:id="237" w:name="_Toc418676125"/>
      <w:bookmarkStart w:id="238" w:name="_Toc431891570"/>
      <w:r>
        <w:rPr>
          <w:rStyle w:val="CharDivNo"/>
        </w:rPr>
        <w:t>Division 5</w:t>
      </w:r>
      <w:r>
        <w:t xml:space="preserve"> — </w:t>
      </w:r>
      <w:r>
        <w:rPr>
          <w:rStyle w:val="CharDivText"/>
        </w:rPr>
        <w:t>Service of documents</w:t>
      </w:r>
      <w:bookmarkEnd w:id="235"/>
      <w:bookmarkEnd w:id="236"/>
      <w:bookmarkEnd w:id="237"/>
      <w:bookmarkEnd w:id="238"/>
    </w:p>
    <w:p>
      <w:pPr>
        <w:pStyle w:val="Heading5"/>
      </w:pPr>
      <w:bookmarkStart w:id="239" w:name="_Toc377384648"/>
      <w:bookmarkStart w:id="240" w:name="_Toc431891571"/>
      <w:r>
        <w:rPr>
          <w:rStyle w:val="CharSectno"/>
        </w:rPr>
        <w:t>61</w:t>
      </w:r>
      <w:r>
        <w:t>.</w:t>
      </w:r>
      <w:r>
        <w:tab/>
        <w:t>Service on joint applicants or agent or representative</w:t>
      </w:r>
      <w:bookmarkEnd w:id="239"/>
      <w:bookmarkEnd w:id="240"/>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241" w:name="_Toc377384649"/>
      <w:bookmarkStart w:id="242" w:name="_Toc431891572"/>
      <w:r>
        <w:rPr>
          <w:rStyle w:val="CharSectno"/>
        </w:rPr>
        <w:t>62</w:t>
      </w:r>
      <w:r>
        <w:t>.</w:t>
      </w:r>
      <w:r>
        <w:tab/>
        <w:t>Method of service by Commissioner</w:t>
      </w:r>
      <w:bookmarkEnd w:id="241"/>
      <w:bookmarkEnd w:id="242"/>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 xml:space="preserve">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243" w:name="_Toc377384650"/>
      <w:bookmarkStart w:id="244" w:name="_Toc431891573"/>
      <w:r>
        <w:rPr>
          <w:rStyle w:val="CharSectno"/>
        </w:rPr>
        <w:t>63</w:t>
      </w:r>
      <w:r>
        <w:t>.</w:t>
      </w:r>
      <w:r>
        <w:tab/>
        <w:t>Service of court process</w:t>
      </w:r>
      <w:bookmarkEnd w:id="243"/>
      <w:bookmarkEnd w:id="244"/>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 xml:space="preserve">if sent by prepaid post to the last known address (within or outside </w:t>
      </w:r>
      <w:smartTag w:uri="urn:schemas-microsoft-com:office:smarttags" w:element="place">
        <w:smartTag w:uri="urn:schemas-microsoft-com:office:smarttags" w:element="country-region">
          <w:r>
            <w:t>Australia</w:t>
          </w:r>
        </w:smartTag>
      </w:smartTag>
      <w:r>
        <w:t>) of the person to be served; or</w:t>
      </w:r>
    </w:p>
    <w:p>
      <w:pPr>
        <w:pStyle w:val="Indenta"/>
      </w:pPr>
      <w:r>
        <w:tab/>
        <w:t>(b)</w:t>
      </w:r>
      <w:r>
        <w:tab/>
        <w:t>if notice of the document is given in accordance with the court’s directions.</w:t>
      </w:r>
    </w:p>
    <w:p>
      <w:pPr>
        <w:pStyle w:val="Heading5"/>
      </w:pPr>
      <w:bookmarkStart w:id="245" w:name="_Toc377384651"/>
      <w:bookmarkStart w:id="246" w:name="_Toc431891574"/>
      <w:r>
        <w:rPr>
          <w:rStyle w:val="CharSectno"/>
        </w:rPr>
        <w:t>64</w:t>
      </w:r>
      <w:r>
        <w:t>.</w:t>
      </w:r>
      <w:r>
        <w:tab/>
        <w:t>Other enactments not limited</w:t>
      </w:r>
      <w:bookmarkEnd w:id="245"/>
      <w:bookmarkEnd w:id="246"/>
    </w:p>
    <w:p>
      <w:pPr>
        <w:pStyle w:val="Subsection"/>
      </w:pPr>
      <w:r>
        <w:tab/>
      </w:r>
      <w:r>
        <w:tab/>
        <w:t>This Division does not limit any other enactment that provides for the service of documents.</w:t>
      </w:r>
    </w:p>
    <w:p>
      <w:pPr>
        <w:pStyle w:val="Heading3"/>
      </w:pPr>
      <w:bookmarkStart w:id="247" w:name="_Toc377384652"/>
      <w:bookmarkStart w:id="248" w:name="_Toc418676021"/>
      <w:bookmarkStart w:id="249" w:name="_Toc418676130"/>
      <w:bookmarkStart w:id="250" w:name="_Toc431891575"/>
      <w:r>
        <w:rPr>
          <w:rStyle w:val="CharDivNo"/>
        </w:rPr>
        <w:t>Division 6</w:t>
      </w:r>
      <w:r>
        <w:t xml:space="preserve"> — </w:t>
      </w:r>
      <w:r>
        <w:rPr>
          <w:rStyle w:val="CharDivText"/>
        </w:rPr>
        <w:t>General</w:t>
      </w:r>
      <w:bookmarkEnd w:id="247"/>
      <w:bookmarkEnd w:id="248"/>
      <w:bookmarkEnd w:id="249"/>
      <w:bookmarkEnd w:id="250"/>
    </w:p>
    <w:p>
      <w:pPr>
        <w:pStyle w:val="Heading5"/>
      </w:pPr>
      <w:bookmarkStart w:id="251" w:name="_Toc377384653"/>
      <w:bookmarkStart w:id="252" w:name="_Toc431891576"/>
      <w:r>
        <w:rPr>
          <w:rStyle w:val="CharSectno"/>
        </w:rPr>
        <w:t>65</w:t>
      </w:r>
      <w:r>
        <w:t>.</w:t>
      </w:r>
      <w:r>
        <w:tab/>
        <w:t>Confidentiality</w:t>
      </w:r>
      <w:bookmarkEnd w:id="251"/>
      <w:bookmarkEnd w:id="252"/>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 No. 17 of 2010 s. 19.]</w:t>
      </w:r>
    </w:p>
    <w:p>
      <w:pPr>
        <w:pStyle w:val="Heading5"/>
      </w:pPr>
      <w:bookmarkStart w:id="253" w:name="_Toc377384654"/>
      <w:bookmarkStart w:id="254" w:name="_Toc431891577"/>
      <w:r>
        <w:rPr>
          <w:rStyle w:val="CharSectno"/>
        </w:rPr>
        <w:t>66</w:t>
      </w:r>
      <w:r>
        <w:t>.</w:t>
      </w:r>
      <w:r>
        <w:tab/>
        <w:t>Time for commencing prosecutions</w:t>
      </w:r>
      <w:bookmarkEnd w:id="253"/>
      <w:bookmarkEnd w:id="254"/>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255" w:name="_Toc377384655"/>
      <w:bookmarkStart w:id="256" w:name="_Toc431891578"/>
      <w:r>
        <w:rPr>
          <w:rStyle w:val="CharSectno"/>
        </w:rPr>
        <w:t>67</w:t>
      </w:r>
      <w:r>
        <w:t>.</w:t>
      </w:r>
      <w:r>
        <w:tab/>
        <w:t>Protection from liability for wrongdoing</w:t>
      </w:r>
      <w:bookmarkEnd w:id="255"/>
      <w:bookmarkEnd w:id="25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57" w:name="_Toc377384656"/>
      <w:bookmarkStart w:id="258" w:name="_Toc431891579"/>
      <w:r>
        <w:rPr>
          <w:rStyle w:val="CharSectno"/>
        </w:rPr>
        <w:t>68</w:t>
      </w:r>
      <w:r>
        <w:t>.</w:t>
      </w:r>
      <w:r>
        <w:tab/>
        <w:t xml:space="preserve">Appropriation of </w:t>
      </w:r>
      <w:r>
        <w:rPr>
          <w:snapToGrid w:val="0"/>
        </w:rPr>
        <w:t>Consolidated Account</w:t>
      </w:r>
      <w:bookmarkEnd w:id="257"/>
      <w:bookmarkEnd w:id="258"/>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259" w:name="_Toc377384657"/>
      <w:bookmarkStart w:id="260" w:name="_Toc431891580"/>
      <w:r>
        <w:rPr>
          <w:rStyle w:val="CharSectno"/>
        </w:rPr>
        <w:t>69</w:t>
      </w:r>
      <w:r>
        <w:t>.</w:t>
      </w:r>
      <w:r>
        <w:tab/>
        <w:t>Regulations</w:t>
      </w:r>
      <w:bookmarkEnd w:id="259"/>
      <w:bookmarkEnd w:id="26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261" w:name="_Toc377384658"/>
      <w:bookmarkStart w:id="262" w:name="_Toc431891581"/>
      <w:r>
        <w:rPr>
          <w:rStyle w:val="CharSectno"/>
        </w:rPr>
        <w:t>70</w:t>
      </w:r>
      <w:r>
        <w:t>.</w:t>
      </w:r>
      <w:r>
        <w:tab/>
        <w:t>Review of Act</w:t>
      </w:r>
      <w:bookmarkEnd w:id="261"/>
      <w:bookmarkEnd w:id="26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63" w:name="_Toc377384659"/>
      <w:bookmarkStart w:id="264" w:name="_Toc418676028"/>
      <w:bookmarkStart w:id="265" w:name="_Toc418676137"/>
      <w:bookmarkStart w:id="266" w:name="_Toc431891582"/>
      <w:r>
        <w:t>Notes</w:t>
      </w:r>
      <w:bookmarkEnd w:id="263"/>
      <w:bookmarkEnd w:id="264"/>
      <w:bookmarkEnd w:id="265"/>
      <w:bookmarkEnd w:id="266"/>
    </w:p>
    <w:p>
      <w:pPr>
        <w:pStyle w:val="nSubsection"/>
        <w:rPr>
          <w:snapToGrid w:val="0"/>
        </w:rPr>
      </w:pPr>
      <w:r>
        <w:rPr>
          <w:snapToGrid w:val="0"/>
          <w:vertAlign w:val="superscript"/>
        </w:rPr>
        <w:t>1</w:t>
      </w:r>
      <w:r>
        <w:rPr>
          <w:snapToGrid w:val="0"/>
        </w:rPr>
        <w:tab/>
        <w:t xml:space="preserve">This is a compilation of the </w:t>
      </w:r>
      <w:r>
        <w:rPr>
          <w:i/>
          <w:sz w:val="19"/>
        </w:rPr>
        <w:t xml:space="preserve">First Home Owner Grant Act 2000 </w:t>
      </w:r>
      <w:r>
        <w:rPr>
          <w:snapToGrid w:val="0"/>
        </w:rPr>
        <w:t>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pPr>
      <w:bookmarkStart w:id="267" w:name="_Toc377384660"/>
      <w:bookmarkStart w:id="268" w:name="_Toc431891583"/>
      <w:r>
        <w:t>Compilation table</w:t>
      </w:r>
      <w:bookmarkEnd w:id="267"/>
      <w:bookmarkEnd w:id="268"/>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rPr>
            </w:pPr>
            <w:r>
              <w:rPr>
                <w:b/>
              </w:rPr>
              <w:t>Short title</w:t>
            </w:r>
          </w:p>
        </w:tc>
        <w:tc>
          <w:tcPr>
            <w:tcW w:w="1200" w:type="dxa"/>
            <w:tcBorders>
              <w:top w:val="single" w:sz="8" w:space="0" w:color="auto"/>
              <w:bottom w:val="single" w:sz="8" w:space="0" w:color="auto"/>
            </w:tcBorders>
          </w:tcPr>
          <w:p>
            <w:pPr>
              <w:pStyle w:val="nTable"/>
              <w:spacing w:after="40"/>
              <w:rPr>
                <w:b/>
              </w:rPr>
            </w:pPr>
            <w:r>
              <w:rPr>
                <w:b/>
              </w:rPr>
              <w:t>Number</w:t>
            </w:r>
            <w:r>
              <w:rPr>
                <w:b/>
              </w:rPr>
              <w:br/>
              <w:t>and year</w:t>
            </w:r>
          </w:p>
        </w:tc>
        <w:tc>
          <w:tcPr>
            <w:tcW w:w="1200" w:type="dxa"/>
            <w:tcBorders>
              <w:top w:val="single" w:sz="8" w:space="0" w:color="auto"/>
              <w:bottom w:val="single" w:sz="8" w:space="0" w:color="auto"/>
            </w:tcBorders>
          </w:tcPr>
          <w:p>
            <w:pPr>
              <w:pStyle w:val="nTable"/>
              <w:spacing w:after="40"/>
              <w:rPr>
                <w:b/>
              </w:rPr>
            </w:pPr>
            <w:r>
              <w:rPr>
                <w:b/>
              </w:rPr>
              <w:t>Assent</w:t>
            </w:r>
          </w:p>
        </w:tc>
        <w:tc>
          <w:tcPr>
            <w:tcW w:w="2379" w:type="dxa"/>
            <w:tcBorders>
              <w:top w:val="single" w:sz="8" w:space="0" w:color="auto"/>
              <w:bottom w:val="single" w:sz="8" w:space="0" w:color="auto"/>
            </w:tcBorders>
          </w:tcPr>
          <w:p>
            <w:pPr>
              <w:pStyle w:val="nTable"/>
              <w:spacing w:after="40"/>
              <w:rPr>
                <w:b/>
              </w:rPr>
            </w:pPr>
            <w:r>
              <w:rPr>
                <w:b/>
              </w:rPr>
              <w:t>Commencement</w:t>
            </w:r>
          </w:p>
        </w:tc>
      </w:tr>
      <w:tr>
        <w:tc>
          <w:tcPr>
            <w:tcW w:w="2308" w:type="dxa"/>
            <w:tcBorders>
              <w:top w:val="single" w:sz="8" w:space="0" w:color="auto"/>
            </w:tcBorders>
          </w:tcPr>
          <w:p>
            <w:pPr>
              <w:pStyle w:val="nTable"/>
              <w:spacing w:after="40"/>
              <w:rPr>
                <w:i/>
              </w:rPr>
            </w:pPr>
            <w:r>
              <w:rPr>
                <w:i/>
              </w:rPr>
              <w:t xml:space="preserve">First Home Owner Grant Act 2000 </w:t>
            </w:r>
          </w:p>
        </w:tc>
        <w:tc>
          <w:tcPr>
            <w:tcW w:w="1200" w:type="dxa"/>
            <w:tcBorders>
              <w:top w:val="single" w:sz="8" w:space="0" w:color="auto"/>
            </w:tcBorders>
          </w:tcPr>
          <w:p>
            <w:pPr>
              <w:pStyle w:val="nTable"/>
              <w:spacing w:after="40"/>
            </w:pPr>
            <w:r>
              <w:t xml:space="preserve">16 of 2000 </w:t>
            </w:r>
          </w:p>
        </w:tc>
        <w:tc>
          <w:tcPr>
            <w:tcW w:w="1200" w:type="dxa"/>
            <w:tcBorders>
              <w:top w:val="single" w:sz="8" w:space="0" w:color="auto"/>
            </w:tcBorders>
          </w:tcPr>
          <w:p>
            <w:pPr>
              <w:pStyle w:val="nTable"/>
              <w:spacing w:after="40"/>
            </w:pPr>
            <w:r>
              <w:t xml:space="preserve">9 Jun 2000 </w:t>
            </w:r>
          </w:p>
        </w:tc>
        <w:tc>
          <w:tcPr>
            <w:tcW w:w="2379" w:type="dxa"/>
            <w:tcBorders>
              <w:top w:val="single" w:sz="8" w:space="0" w:color="auto"/>
            </w:tcBorders>
          </w:tcPr>
          <w:p>
            <w:pPr>
              <w:pStyle w:val="nTable"/>
              <w:spacing w:after="40"/>
            </w:pPr>
            <w:r>
              <w:t>1 Jul 2000 (see s. 2)</w:t>
            </w:r>
          </w:p>
        </w:tc>
      </w:tr>
      <w:tr>
        <w:tc>
          <w:tcPr>
            <w:tcW w:w="2308" w:type="dxa"/>
          </w:tcPr>
          <w:p>
            <w:pPr>
              <w:pStyle w:val="nTable"/>
              <w:spacing w:after="40"/>
              <w:rPr>
                <w:i/>
              </w:rPr>
            </w:pPr>
            <w:r>
              <w:rPr>
                <w:i/>
              </w:rPr>
              <w:t>First Home Owner Grant Amendment Act 2000</w:t>
            </w:r>
          </w:p>
        </w:tc>
        <w:tc>
          <w:tcPr>
            <w:tcW w:w="1200" w:type="dxa"/>
          </w:tcPr>
          <w:p>
            <w:pPr>
              <w:pStyle w:val="nTable"/>
              <w:spacing w:after="40"/>
            </w:pPr>
            <w:r>
              <w:t>61 of 2000</w:t>
            </w:r>
          </w:p>
        </w:tc>
        <w:tc>
          <w:tcPr>
            <w:tcW w:w="1200" w:type="dxa"/>
          </w:tcPr>
          <w:p>
            <w:pPr>
              <w:pStyle w:val="nTable"/>
              <w:spacing w:after="40"/>
            </w:pPr>
            <w:r>
              <w:t>7 Dec 2000</w:t>
            </w:r>
          </w:p>
        </w:tc>
        <w:tc>
          <w:tcPr>
            <w:tcW w:w="2379" w:type="dxa"/>
          </w:tcPr>
          <w:p>
            <w:pPr>
              <w:pStyle w:val="nTable"/>
              <w:spacing w:after="40"/>
            </w:pPr>
            <w:r>
              <w:t>s. 8: 1 Jul 2000 (see s. 2(2));</w:t>
            </w:r>
            <w:r>
              <w:br/>
              <w:t>Act other than s. 8: 7 Dec 2000 (see s. 2(1))</w:t>
            </w:r>
          </w:p>
        </w:tc>
      </w:tr>
      <w:tr>
        <w:tc>
          <w:tcPr>
            <w:tcW w:w="2308" w:type="dxa"/>
          </w:tcPr>
          <w:p>
            <w:pPr>
              <w:pStyle w:val="nTable"/>
              <w:spacing w:after="40"/>
              <w:rPr>
                <w:i/>
              </w:rPr>
            </w:pPr>
            <w:r>
              <w:rPr>
                <w:i/>
              </w:rPr>
              <w:t>First Home Owner Grant Amendment Act 2001</w:t>
            </w:r>
            <w:r>
              <w:t xml:space="preserve"> </w:t>
            </w:r>
            <w:r>
              <w:rPr>
                <w:vertAlign w:val="superscript"/>
              </w:rPr>
              <w:t>2</w:t>
            </w:r>
          </w:p>
        </w:tc>
        <w:tc>
          <w:tcPr>
            <w:tcW w:w="1200" w:type="dxa"/>
          </w:tcPr>
          <w:p>
            <w:pPr>
              <w:pStyle w:val="nTable"/>
              <w:spacing w:after="40"/>
            </w:pPr>
            <w:r>
              <w:t>14 of 2001</w:t>
            </w:r>
          </w:p>
        </w:tc>
        <w:tc>
          <w:tcPr>
            <w:tcW w:w="1200" w:type="dxa"/>
          </w:tcPr>
          <w:p>
            <w:pPr>
              <w:pStyle w:val="nTable"/>
              <w:spacing w:after="40"/>
            </w:pPr>
            <w:r>
              <w:t>14 Aug 2001</w:t>
            </w:r>
          </w:p>
        </w:tc>
        <w:tc>
          <w:tcPr>
            <w:tcW w:w="2379" w:type="dxa"/>
          </w:tcPr>
          <w:p>
            <w:pPr>
              <w:pStyle w:val="nTable"/>
              <w:spacing w:after="40"/>
            </w:pPr>
            <w:r>
              <w:t>9 Mar 2001 (see s. 2)</w:t>
            </w:r>
          </w:p>
        </w:tc>
      </w:tr>
      <w:tr>
        <w:tc>
          <w:tcPr>
            <w:tcW w:w="2308" w:type="dxa"/>
          </w:tcPr>
          <w:p>
            <w:pPr>
              <w:pStyle w:val="nTable"/>
              <w:spacing w:after="40"/>
            </w:pPr>
            <w:r>
              <w:rPr>
                <w:i/>
              </w:rPr>
              <w:t>First Home Owner Grant Amendment Act 2003</w:t>
            </w:r>
            <w:r>
              <w:t xml:space="preserve"> </w:t>
            </w:r>
            <w:r>
              <w:rPr>
                <w:vertAlign w:val="superscript"/>
              </w:rPr>
              <w:t>3</w:t>
            </w:r>
          </w:p>
        </w:tc>
        <w:tc>
          <w:tcPr>
            <w:tcW w:w="1200" w:type="dxa"/>
          </w:tcPr>
          <w:p>
            <w:pPr>
              <w:pStyle w:val="nTable"/>
              <w:spacing w:after="40"/>
            </w:pPr>
            <w:r>
              <w:t>13 of 2003</w:t>
            </w:r>
          </w:p>
        </w:tc>
        <w:tc>
          <w:tcPr>
            <w:tcW w:w="1200" w:type="dxa"/>
          </w:tcPr>
          <w:p>
            <w:pPr>
              <w:pStyle w:val="nTable"/>
              <w:spacing w:after="40"/>
            </w:pPr>
            <w:r>
              <w:t>17 Apr 2003</w:t>
            </w:r>
          </w:p>
        </w:tc>
        <w:tc>
          <w:tcPr>
            <w:tcW w:w="2379" w:type="dxa"/>
          </w:tcPr>
          <w:p>
            <w:pPr>
              <w:pStyle w:val="nTable"/>
              <w:spacing w:after="40"/>
            </w:pPr>
            <w:r>
              <w:t>s. 5(5): 9 Mar 2001 (see s. 2(3));</w:t>
            </w:r>
            <w:r>
              <w:br/>
              <w:t>s. 5 (except s. 5(5)) and 6: 9 Oct 2001 (see s. 2(2));</w:t>
            </w:r>
            <w:r>
              <w:br/>
              <w:t>Act other than s. 5 and 6: 17 Apr 2003 (see s. 2(1))</w:t>
            </w:r>
          </w:p>
        </w:tc>
      </w:tr>
      <w:tr>
        <w:tc>
          <w:tcPr>
            <w:tcW w:w="2308" w:type="dxa"/>
          </w:tcPr>
          <w:p>
            <w:pPr>
              <w:pStyle w:val="nTable"/>
              <w:spacing w:after="40"/>
            </w:pPr>
            <w:r>
              <w:rPr>
                <w:i/>
              </w:rPr>
              <w:t>Acts Amendment (Equality of Status) Act 2003</w:t>
            </w:r>
            <w:r>
              <w:t xml:space="preserve"> Pt. 22</w:t>
            </w:r>
          </w:p>
        </w:tc>
        <w:tc>
          <w:tcPr>
            <w:tcW w:w="1200" w:type="dxa"/>
          </w:tcPr>
          <w:p>
            <w:pPr>
              <w:pStyle w:val="nTable"/>
              <w:spacing w:after="40"/>
            </w:pPr>
            <w:r>
              <w:t>28 of 2003</w:t>
            </w:r>
          </w:p>
        </w:tc>
        <w:tc>
          <w:tcPr>
            <w:tcW w:w="1200" w:type="dxa"/>
          </w:tcPr>
          <w:p>
            <w:pPr>
              <w:pStyle w:val="nTable"/>
              <w:spacing w:after="40"/>
            </w:pPr>
            <w:r>
              <w:t>22 May 2003</w:t>
            </w:r>
          </w:p>
        </w:tc>
        <w:tc>
          <w:tcPr>
            <w:tcW w:w="2379" w:type="dxa"/>
          </w:tcPr>
          <w:p>
            <w:pPr>
              <w:pStyle w:val="nTable"/>
              <w:spacing w:after="40"/>
            </w:pPr>
            <w:r>
              <w:t xml:space="preserve">1 Jul 2003 (see s. 2 and </w:t>
            </w:r>
            <w:r>
              <w:rPr>
                <w:i/>
              </w:rPr>
              <w:t xml:space="preserve">Gazette </w:t>
            </w:r>
            <w:r>
              <w:t>30 Jun 2003 p. 2579)</w:t>
            </w:r>
          </w:p>
        </w:tc>
      </w:tr>
      <w:tr>
        <w:tc>
          <w:tcPr>
            <w:tcW w:w="2308" w:type="dxa"/>
          </w:tcPr>
          <w:p>
            <w:pPr>
              <w:pStyle w:val="nTable"/>
              <w:spacing w:after="40"/>
            </w:pPr>
            <w:r>
              <w:rPr>
                <w:i/>
              </w:rPr>
              <w:t>First Home Owner Grant Amendment Act 2004</w:t>
            </w:r>
            <w:r>
              <w:t> </w:t>
            </w:r>
            <w:r>
              <w:rPr>
                <w:vertAlign w:val="superscript"/>
              </w:rPr>
              <w:t>4</w:t>
            </w:r>
          </w:p>
        </w:tc>
        <w:tc>
          <w:tcPr>
            <w:tcW w:w="1200" w:type="dxa"/>
          </w:tcPr>
          <w:p>
            <w:pPr>
              <w:pStyle w:val="nTable"/>
              <w:spacing w:after="40"/>
            </w:pPr>
            <w:r>
              <w:t>52 of 2004</w:t>
            </w:r>
          </w:p>
        </w:tc>
        <w:tc>
          <w:tcPr>
            <w:tcW w:w="1200" w:type="dxa"/>
          </w:tcPr>
          <w:p>
            <w:pPr>
              <w:pStyle w:val="nTable"/>
              <w:spacing w:after="40"/>
            </w:pPr>
            <w:r>
              <w:t>18 Nov 2004</w:t>
            </w:r>
          </w:p>
        </w:tc>
        <w:tc>
          <w:tcPr>
            <w:tcW w:w="2379" w:type="dxa"/>
          </w:tcPr>
          <w:p>
            <w:pPr>
              <w:pStyle w:val="nTable"/>
              <w:spacing w:after="40"/>
            </w:pPr>
            <w:r>
              <w:t>Pt. 2 and 3: 1 Jul 2004 (see s. 2(2));</w:t>
            </w:r>
            <w:r>
              <w:br/>
              <w:t>Pt. 1: 18 Nov 2004 (see s. 2(1))</w:t>
            </w:r>
          </w:p>
        </w:tc>
      </w:tr>
      <w:tr>
        <w:tc>
          <w:tcPr>
            <w:tcW w:w="230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200" w:type="dxa"/>
          </w:tcPr>
          <w:p>
            <w:pPr>
              <w:pStyle w:val="nTable"/>
              <w:spacing w:after="40"/>
            </w:pPr>
            <w:r>
              <w:t>55 of 2004</w:t>
            </w:r>
          </w:p>
        </w:tc>
        <w:tc>
          <w:tcPr>
            <w:tcW w:w="1200" w:type="dxa"/>
          </w:tcPr>
          <w:p>
            <w:pPr>
              <w:pStyle w:val="nTable"/>
              <w:spacing w:after="40"/>
            </w:pPr>
            <w:r>
              <w:t>24 Nov 2004</w:t>
            </w:r>
          </w:p>
        </w:tc>
        <w:tc>
          <w:tcPr>
            <w:tcW w:w="2379" w:type="dxa"/>
          </w:tcPr>
          <w:p>
            <w:pPr>
              <w:pStyle w:val="nTable"/>
              <w:spacing w:after="40"/>
            </w:pPr>
            <w:r>
              <w:t xml:space="preserve">1 Jan 2005 (see s. 2 and </w:t>
            </w:r>
            <w:r>
              <w:rPr>
                <w:i/>
              </w:rPr>
              <w:t>Gazette</w:t>
            </w:r>
            <w:r>
              <w:t xml:space="preserve"> 31 Dec 2004 p. 7130)</w:t>
            </w:r>
          </w:p>
        </w:tc>
      </w:tr>
      <w:tr>
        <w:tc>
          <w:tcPr>
            <w:tcW w:w="230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200" w:type="dxa"/>
          </w:tcPr>
          <w:p>
            <w:pPr>
              <w:pStyle w:val="nTable"/>
              <w:spacing w:after="40"/>
            </w:pPr>
            <w:r>
              <w:rPr>
                <w:snapToGrid w:val="0"/>
              </w:rPr>
              <w:t>84 of 2004</w:t>
            </w:r>
          </w:p>
        </w:tc>
        <w:tc>
          <w:tcPr>
            <w:tcW w:w="1200" w:type="dxa"/>
          </w:tcPr>
          <w:p>
            <w:pPr>
              <w:pStyle w:val="nTable"/>
              <w:spacing w:after="40"/>
            </w:pPr>
            <w:r>
              <w:t>16 Dec 2004</w:t>
            </w:r>
          </w:p>
        </w:tc>
        <w:tc>
          <w:tcPr>
            <w:tcW w:w="2379"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rPr>
          <w:cantSplit/>
        </w:trPr>
        <w:tc>
          <w:tcPr>
            <w:tcW w:w="2308" w:type="dxa"/>
          </w:tcPr>
          <w:p>
            <w:pPr>
              <w:pStyle w:val="nTable"/>
              <w:keepNext/>
              <w:keepLines/>
              <w:spacing w:after="40"/>
            </w:pPr>
            <w:r>
              <w:rPr>
                <w:i/>
                <w:iCs/>
              </w:rPr>
              <w:t>First Home Owner Grant Amendment Act 2005</w:t>
            </w:r>
            <w:r>
              <w:t xml:space="preserve"> </w:t>
            </w:r>
            <w:r>
              <w:rPr>
                <w:vertAlign w:val="superscript"/>
              </w:rPr>
              <w:t>7</w:t>
            </w:r>
          </w:p>
        </w:tc>
        <w:tc>
          <w:tcPr>
            <w:tcW w:w="1200" w:type="dxa"/>
          </w:tcPr>
          <w:p>
            <w:pPr>
              <w:pStyle w:val="nTable"/>
              <w:keepNext/>
              <w:keepLines/>
              <w:spacing w:after="40"/>
            </w:pPr>
            <w:r>
              <w:t>26 of 2005</w:t>
            </w:r>
          </w:p>
        </w:tc>
        <w:tc>
          <w:tcPr>
            <w:tcW w:w="1200" w:type="dxa"/>
          </w:tcPr>
          <w:p>
            <w:pPr>
              <w:pStyle w:val="nTable"/>
              <w:keepNext/>
              <w:keepLines/>
              <w:spacing w:after="40"/>
            </w:pPr>
            <w:r>
              <w:t>12 Dec 2005</w:t>
            </w:r>
          </w:p>
        </w:tc>
        <w:tc>
          <w:tcPr>
            <w:tcW w:w="2379" w:type="dxa"/>
          </w:tcPr>
          <w:p>
            <w:pPr>
              <w:pStyle w:val="nTable"/>
              <w:keepNext/>
              <w:keepLines/>
              <w:spacing w:after="40"/>
            </w:pPr>
            <w:r>
              <w:t>s. 4: 1 Jul 2000 (see s. 2(2));</w:t>
            </w:r>
            <w:r>
              <w:br/>
              <w:t>Act other than s. 4: 12 Dec 2005 (see s. 2(1))</w:t>
            </w:r>
          </w:p>
        </w:tc>
      </w:tr>
      <w:tr>
        <w:trPr>
          <w:cantSplit/>
        </w:trPr>
        <w:tc>
          <w:tcPr>
            <w:tcW w:w="230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200" w:type="dxa"/>
          </w:tcPr>
          <w:p>
            <w:pPr>
              <w:pStyle w:val="nTable"/>
              <w:spacing w:after="40"/>
            </w:pPr>
            <w:r>
              <w:rPr>
                <w:snapToGrid w:val="0"/>
              </w:rPr>
              <w:t xml:space="preserve">77 of 2006 </w:t>
            </w:r>
          </w:p>
        </w:tc>
        <w:tc>
          <w:tcPr>
            <w:tcW w:w="1200" w:type="dxa"/>
          </w:tcPr>
          <w:p>
            <w:pPr>
              <w:pStyle w:val="nTable"/>
              <w:spacing w:after="40"/>
            </w:pPr>
            <w:r>
              <w:rPr>
                <w:snapToGrid w:val="0"/>
              </w:rPr>
              <w:t>21 Dec 2006</w:t>
            </w:r>
          </w:p>
        </w:tc>
        <w:tc>
          <w:tcPr>
            <w:tcW w:w="2379"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308" w:type="dxa"/>
          </w:tcPr>
          <w:p>
            <w:pPr>
              <w:pStyle w:val="nTable"/>
              <w:spacing w:after="40"/>
              <w:rPr>
                <w:iCs/>
                <w:snapToGrid w:val="0"/>
              </w:rPr>
            </w:pPr>
            <w:r>
              <w:rPr>
                <w:i/>
                <w:snapToGrid w:val="0"/>
              </w:rPr>
              <w:t>Revenue Laws Amendment Act (No. 2) 2008</w:t>
            </w:r>
            <w:r>
              <w:rPr>
                <w:iCs/>
                <w:snapToGrid w:val="0"/>
              </w:rPr>
              <w:t xml:space="preserve"> s. 33</w:t>
            </w:r>
          </w:p>
        </w:tc>
        <w:tc>
          <w:tcPr>
            <w:tcW w:w="1200" w:type="dxa"/>
          </w:tcPr>
          <w:p>
            <w:pPr>
              <w:pStyle w:val="nTable"/>
              <w:spacing w:after="40"/>
              <w:rPr>
                <w:snapToGrid w:val="0"/>
              </w:rPr>
            </w:pPr>
            <w:r>
              <w:rPr>
                <w:snapToGrid w:val="0"/>
              </w:rPr>
              <w:t>31 of 2008</w:t>
            </w:r>
          </w:p>
        </w:tc>
        <w:tc>
          <w:tcPr>
            <w:tcW w:w="1200" w:type="dxa"/>
          </w:tcPr>
          <w:p>
            <w:pPr>
              <w:pStyle w:val="nTable"/>
              <w:spacing w:after="40"/>
              <w:rPr>
                <w:snapToGrid w:val="0"/>
              </w:rPr>
            </w:pPr>
            <w:r>
              <w:rPr>
                <w:snapToGrid w:val="0"/>
              </w:rPr>
              <w:t>27 Jun 2008</w:t>
            </w:r>
          </w:p>
        </w:tc>
        <w:tc>
          <w:tcPr>
            <w:tcW w:w="2379" w:type="dxa"/>
          </w:tcPr>
          <w:p>
            <w:pPr>
              <w:pStyle w:val="nTable"/>
              <w:spacing w:after="40"/>
              <w:rPr>
                <w:snapToGrid w:val="0"/>
              </w:rPr>
            </w:pPr>
            <w:r>
              <w:rPr>
                <w:snapToGrid w:val="0"/>
              </w:rPr>
              <w:t>28 Jun 2008 (see s. 2(b))</w:t>
            </w:r>
          </w:p>
        </w:tc>
      </w:tr>
      <w:tr>
        <w:trPr>
          <w:cantSplit/>
        </w:trPr>
        <w:tc>
          <w:tcPr>
            <w:tcW w:w="2308" w:type="dxa"/>
          </w:tcPr>
          <w:p>
            <w:pPr>
              <w:pStyle w:val="nTable"/>
              <w:spacing w:after="40"/>
              <w:rPr>
                <w:i/>
                <w:snapToGrid w:val="0"/>
              </w:rPr>
            </w:pPr>
            <w:r>
              <w:rPr>
                <w:i/>
                <w:snapToGrid w:val="0"/>
              </w:rPr>
              <w:t>First Home Owner Grant Amendment Act 2009</w:t>
            </w:r>
          </w:p>
        </w:tc>
        <w:tc>
          <w:tcPr>
            <w:tcW w:w="1200" w:type="dxa"/>
          </w:tcPr>
          <w:p>
            <w:pPr>
              <w:pStyle w:val="nTable"/>
              <w:spacing w:after="40"/>
              <w:rPr>
                <w:snapToGrid w:val="0"/>
              </w:rPr>
            </w:pPr>
            <w:r>
              <w:rPr>
                <w:snapToGrid w:val="0"/>
              </w:rPr>
              <w:t>27 of 2009</w:t>
            </w:r>
          </w:p>
        </w:tc>
        <w:tc>
          <w:tcPr>
            <w:tcW w:w="1200" w:type="dxa"/>
          </w:tcPr>
          <w:p>
            <w:pPr>
              <w:pStyle w:val="nTable"/>
              <w:spacing w:after="40"/>
              <w:rPr>
                <w:snapToGrid w:val="0"/>
              </w:rPr>
            </w:pPr>
            <w:r>
              <w:t>17 Nov 2009</w:t>
            </w:r>
          </w:p>
        </w:tc>
        <w:tc>
          <w:tcPr>
            <w:tcW w:w="2379"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rPr>
          <w:cantSplit/>
        </w:trPr>
        <w:tc>
          <w:tcPr>
            <w:tcW w:w="2308" w:type="dxa"/>
          </w:tcPr>
          <w:p>
            <w:pPr>
              <w:pStyle w:val="nTable"/>
              <w:spacing w:after="40"/>
              <w:rPr>
                <w:i/>
                <w:snapToGrid w:val="0"/>
              </w:rPr>
            </w:pPr>
            <w:r>
              <w:rPr>
                <w:i/>
                <w:snapToGrid w:val="0"/>
              </w:rPr>
              <w:t>Revenue Laws Amendment and Repeal Act 2010</w:t>
            </w:r>
            <w:r>
              <w:rPr>
                <w:iCs/>
                <w:snapToGrid w:val="0"/>
              </w:rPr>
              <w:t xml:space="preserve"> Pt. 3</w:t>
            </w:r>
          </w:p>
        </w:tc>
        <w:tc>
          <w:tcPr>
            <w:tcW w:w="1200" w:type="dxa"/>
          </w:tcPr>
          <w:p>
            <w:pPr>
              <w:pStyle w:val="nTable"/>
              <w:spacing w:after="40"/>
              <w:rPr>
                <w:snapToGrid w:val="0"/>
              </w:rPr>
            </w:pPr>
            <w:r>
              <w:rPr>
                <w:snapToGrid w:val="0"/>
              </w:rPr>
              <w:t>17 of 2010</w:t>
            </w:r>
          </w:p>
        </w:tc>
        <w:tc>
          <w:tcPr>
            <w:tcW w:w="1200" w:type="dxa"/>
          </w:tcPr>
          <w:p>
            <w:pPr>
              <w:pStyle w:val="nTable"/>
              <w:spacing w:after="40"/>
            </w:pPr>
            <w:r>
              <w:t>25 Jun 2010</w:t>
            </w:r>
          </w:p>
        </w:tc>
        <w:tc>
          <w:tcPr>
            <w:tcW w:w="2379" w:type="dxa"/>
          </w:tcPr>
          <w:p>
            <w:pPr>
              <w:pStyle w:val="nTable"/>
              <w:spacing w:after="40"/>
              <w:rPr>
                <w:snapToGrid w:val="0"/>
              </w:rPr>
            </w:pPr>
            <w:r>
              <w:rPr>
                <w:snapToGrid w:val="0"/>
              </w:rPr>
              <w:t>26 Jun 2010 (see s. 2(b))</w:t>
            </w:r>
          </w:p>
        </w:tc>
      </w:tr>
      <w:tr>
        <w:trPr>
          <w:cantSplit/>
        </w:trPr>
        <w:tc>
          <w:tcPr>
            <w:tcW w:w="7087"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rPr>
          <w:cantSplit/>
        </w:trPr>
        <w:tc>
          <w:tcPr>
            <w:tcW w:w="2308" w:type="dxa"/>
          </w:tcPr>
          <w:p>
            <w:pPr>
              <w:pStyle w:val="nTable"/>
              <w:spacing w:after="40"/>
              <w:rPr>
                <w:i/>
                <w:snapToGrid w:val="0"/>
              </w:rPr>
            </w:pPr>
            <w:r>
              <w:rPr>
                <w:i/>
                <w:snapToGrid w:val="0"/>
              </w:rPr>
              <w:t>Revenue Laws Amendment Act 2012</w:t>
            </w:r>
            <w:r>
              <w:rPr>
                <w:iCs/>
                <w:snapToGrid w:val="0"/>
              </w:rPr>
              <w:t xml:space="preserve"> Pt. 3</w:t>
            </w:r>
          </w:p>
        </w:tc>
        <w:tc>
          <w:tcPr>
            <w:tcW w:w="1200" w:type="dxa"/>
          </w:tcPr>
          <w:p>
            <w:pPr>
              <w:pStyle w:val="nTable"/>
              <w:spacing w:after="40"/>
              <w:rPr>
                <w:snapToGrid w:val="0"/>
              </w:rPr>
            </w:pPr>
            <w:r>
              <w:rPr>
                <w:snapToGrid w:val="0"/>
              </w:rPr>
              <w:t>29 of 2012</w:t>
            </w:r>
          </w:p>
        </w:tc>
        <w:tc>
          <w:tcPr>
            <w:tcW w:w="1200" w:type="dxa"/>
          </w:tcPr>
          <w:p>
            <w:pPr>
              <w:pStyle w:val="nTable"/>
              <w:spacing w:after="40"/>
            </w:pPr>
            <w:r>
              <w:t>3 Sep 2012</w:t>
            </w:r>
          </w:p>
        </w:tc>
        <w:tc>
          <w:tcPr>
            <w:tcW w:w="2379" w:type="dxa"/>
          </w:tcPr>
          <w:p>
            <w:pPr>
              <w:pStyle w:val="nTable"/>
              <w:spacing w:after="40"/>
              <w:rPr>
                <w:snapToGrid w:val="0"/>
              </w:rPr>
            </w:pPr>
            <w:r>
              <w:rPr>
                <w:snapToGrid w:val="0"/>
              </w:rPr>
              <w:t>4 Sep 2012 (see s. 2(e))</w:t>
            </w:r>
          </w:p>
        </w:tc>
      </w:tr>
      <w:tr>
        <w:trPr>
          <w:cantSplit/>
        </w:trPr>
        <w:tc>
          <w:tcPr>
            <w:tcW w:w="2308" w:type="dxa"/>
          </w:tcPr>
          <w:p>
            <w:pPr>
              <w:pStyle w:val="nTable"/>
              <w:spacing w:after="40"/>
              <w:rPr>
                <w:i/>
                <w:snapToGrid w:val="0"/>
              </w:rPr>
            </w:pPr>
            <w:r>
              <w:rPr>
                <w:i/>
                <w:snapToGrid w:val="0"/>
              </w:rPr>
              <w:t>Revenue Laws Amendment Act (No. 2) 2012</w:t>
            </w:r>
            <w:r>
              <w:rPr>
                <w:iCs/>
                <w:snapToGrid w:val="0"/>
              </w:rPr>
              <w:t xml:space="preserve"> Pt. 3</w:t>
            </w:r>
          </w:p>
        </w:tc>
        <w:tc>
          <w:tcPr>
            <w:tcW w:w="1200" w:type="dxa"/>
          </w:tcPr>
          <w:p>
            <w:pPr>
              <w:pStyle w:val="nTable"/>
              <w:spacing w:after="40"/>
              <w:rPr>
                <w:snapToGrid w:val="0"/>
              </w:rPr>
            </w:pPr>
            <w:r>
              <w:rPr>
                <w:snapToGrid w:val="0"/>
              </w:rPr>
              <w:t>32 of 2012</w:t>
            </w:r>
          </w:p>
        </w:tc>
        <w:tc>
          <w:tcPr>
            <w:tcW w:w="1200" w:type="dxa"/>
          </w:tcPr>
          <w:p>
            <w:pPr>
              <w:pStyle w:val="nTable"/>
              <w:spacing w:after="40"/>
            </w:pPr>
            <w:r>
              <w:t>8 Oct 2012</w:t>
            </w:r>
          </w:p>
        </w:tc>
        <w:tc>
          <w:tcPr>
            <w:tcW w:w="2379" w:type="dxa"/>
          </w:tcPr>
          <w:p>
            <w:pPr>
              <w:pStyle w:val="nTable"/>
              <w:spacing w:after="40"/>
              <w:rPr>
                <w:snapToGrid w:val="0"/>
              </w:rPr>
            </w:pPr>
            <w:r>
              <w:rPr>
                <w:snapToGrid w:val="0"/>
              </w:rPr>
              <w:t>9 Oct 2012 (see s. 2(e))</w:t>
            </w:r>
          </w:p>
        </w:tc>
      </w:tr>
      <w:tr>
        <w:trPr>
          <w:cantSplit/>
        </w:trPr>
        <w:tc>
          <w:tcPr>
            <w:tcW w:w="2308" w:type="dxa"/>
          </w:tcPr>
          <w:p>
            <w:pPr>
              <w:pStyle w:val="nTable"/>
              <w:spacing w:after="40"/>
              <w:rPr>
                <w:snapToGrid w:val="0"/>
              </w:rPr>
            </w:pPr>
            <w:r>
              <w:rPr>
                <w:i/>
                <w:snapToGrid w:val="0"/>
              </w:rPr>
              <w:t>Revenue Laws Amendment Act 2013</w:t>
            </w:r>
            <w:r>
              <w:rPr>
                <w:snapToGrid w:val="0"/>
              </w:rPr>
              <w:t xml:space="preserve"> Pt. 4</w:t>
            </w:r>
          </w:p>
        </w:tc>
        <w:tc>
          <w:tcPr>
            <w:tcW w:w="1200" w:type="dxa"/>
          </w:tcPr>
          <w:p>
            <w:pPr>
              <w:pStyle w:val="nTable"/>
              <w:spacing w:after="40"/>
              <w:rPr>
                <w:snapToGrid w:val="0"/>
              </w:rPr>
            </w:pPr>
            <w:r>
              <w:rPr>
                <w:snapToGrid w:val="0"/>
              </w:rPr>
              <w:t>10 of 2013</w:t>
            </w:r>
          </w:p>
        </w:tc>
        <w:tc>
          <w:tcPr>
            <w:tcW w:w="1200" w:type="dxa"/>
          </w:tcPr>
          <w:p>
            <w:pPr>
              <w:pStyle w:val="nTable"/>
              <w:spacing w:after="40"/>
            </w:pPr>
            <w:r>
              <w:t>24 Sep 2013</w:t>
            </w:r>
          </w:p>
        </w:tc>
        <w:tc>
          <w:tcPr>
            <w:tcW w:w="2379" w:type="dxa"/>
          </w:tcPr>
          <w:p>
            <w:pPr>
              <w:pStyle w:val="nTable"/>
              <w:spacing w:after="40"/>
              <w:rPr>
                <w:snapToGrid w:val="0"/>
              </w:rPr>
            </w:pPr>
            <w:r>
              <w:rPr>
                <w:snapToGrid w:val="0"/>
              </w:rPr>
              <w:t>25 Sep 2013 (see s. 2(c)(ii))</w:t>
            </w:r>
          </w:p>
        </w:tc>
      </w:tr>
      <w:tr>
        <w:trPr>
          <w:cantSplit/>
        </w:trPr>
        <w:tc>
          <w:tcPr>
            <w:tcW w:w="2308" w:type="dxa"/>
            <w:tcBorders>
              <w:bottom w:val="single" w:sz="4" w:space="0" w:color="auto"/>
            </w:tcBorders>
          </w:tcPr>
          <w:p>
            <w:pPr>
              <w:pStyle w:val="nTable"/>
              <w:spacing w:after="40"/>
              <w:rPr>
                <w:i/>
                <w:snapToGrid w:val="0"/>
              </w:rPr>
            </w:pPr>
            <w:r>
              <w:rPr>
                <w:i/>
                <w:snapToGrid w:val="0"/>
              </w:rPr>
              <w:t>Revenue Laws Amendment Act 2015</w:t>
            </w:r>
            <w:r>
              <w:rPr>
                <w:snapToGrid w:val="0"/>
              </w:rPr>
              <w:t xml:space="preserve"> Pt. 2 Div. 1</w:t>
            </w:r>
          </w:p>
        </w:tc>
        <w:tc>
          <w:tcPr>
            <w:tcW w:w="1200" w:type="dxa"/>
            <w:tcBorders>
              <w:bottom w:val="single" w:sz="4" w:space="0" w:color="auto"/>
            </w:tcBorders>
          </w:tcPr>
          <w:p>
            <w:pPr>
              <w:pStyle w:val="nTable"/>
              <w:spacing w:after="40"/>
              <w:rPr>
                <w:snapToGrid w:val="0"/>
              </w:rPr>
            </w:pPr>
            <w:r>
              <w:rPr>
                <w:snapToGrid w:val="0"/>
              </w:rPr>
              <w:t>27 of 2015</w:t>
            </w:r>
          </w:p>
        </w:tc>
        <w:tc>
          <w:tcPr>
            <w:tcW w:w="1200" w:type="dxa"/>
            <w:tcBorders>
              <w:bottom w:val="single" w:sz="4" w:space="0" w:color="auto"/>
            </w:tcBorders>
          </w:tcPr>
          <w:p>
            <w:pPr>
              <w:pStyle w:val="nTable"/>
              <w:spacing w:after="40"/>
            </w:pPr>
            <w:r>
              <w:t>2 Oct 2015</w:t>
            </w:r>
          </w:p>
        </w:tc>
        <w:tc>
          <w:tcPr>
            <w:tcW w:w="2379" w:type="dxa"/>
            <w:tcBorders>
              <w:bottom w:val="single" w:sz="4" w:space="0" w:color="auto"/>
            </w:tcBorders>
          </w:tcPr>
          <w:p>
            <w:pPr>
              <w:pStyle w:val="nTable"/>
              <w:spacing w:after="40"/>
              <w:rPr>
                <w:snapToGrid w:val="0"/>
              </w:rPr>
            </w:pPr>
            <w:r>
              <w:rPr>
                <w:snapToGrid w:val="0"/>
              </w:rPr>
              <w:t>3 Oct 2015 (see s. 2(b))</w:t>
            </w:r>
          </w:p>
        </w:tc>
      </w:tr>
    </w:tbl>
    <w:p>
      <w:pPr>
        <w:pStyle w:val="nSubsection"/>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Subsection"/>
      </w:pPr>
      <w:r>
        <w:rPr>
          <w:vertAlign w:val="superscript"/>
        </w:rPr>
        <w:t>3</w:t>
      </w:r>
      <w:r>
        <w:tab/>
        <w:t xml:space="preserve">The </w:t>
      </w:r>
      <w:r>
        <w:rPr>
          <w:i/>
        </w:rPr>
        <w:t>First Home Owner Grant Amendment Act 2003</w:t>
      </w:r>
      <w:r>
        <w:t xml:space="preserve"> s. 10 is a savings provision of no further effect.</w:t>
      </w:r>
    </w:p>
    <w:p>
      <w:pPr>
        <w:pStyle w:val="nSubsection"/>
      </w:pPr>
      <w:r>
        <w:rPr>
          <w:vertAlign w:val="superscript"/>
        </w:rPr>
        <w:t>4</w:t>
      </w:r>
      <w:r>
        <w:tab/>
        <w:t xml:space="preserve">The </w:t>
      </w:r>
      <w:r>
        <w:rPr>
          <w:i/>
        </w:rPr>
        <w:t>First Home Owner Grant Amendment Act 2004</w:t>
      </w:r>
      <w:r>
        <w:t xml:space="preserve"> Pt. 3 is a transitional provision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Subsection"/>
        <w:keepNext/>
      </w:pPr>
      <w:r>
        <w:rPr>
          <w:vertAlign w:val="superscript"/>
        </w:rPr>
        <w:t>7</w:t>
      </w:r>
      <w:r>
        <w:tab/>
        <w:t xml:space="preserve">The </w:t>
      </w:r>
      <w:r>
        <w:rPr>
          <w:i/>
          <w:iCs/>
        </w:rPr>
        <w:t>First Home Owner Grant Amendment Act 2005</w:t>
      </w:r>
      <w:r>
        <w:t xml:space="preserve"> Pt. 3 reads as follows:</w:t>
      </w:r>
    </w:p>
    <w:p>
      <w:pPr>
        <w:pStyle w:val="BlankOpen"/>
      </w:pPr>
    </w:p>
    <w:p>
      <w:pPr>
        <w:pStyle w:val="nzHeading2"/>
      </w:pPr>
      <w:r>
        <w:rPr>
          <w:rStyle w:val="CharPartNo"/>
        </w:rPr>
        <w:t>Part 3</w:t>
      </w:r>
      <w:r>
        <w:t> — </w:t>
      </w:r>
      <w:r>
        <w:rPr>
          <w:rStyle w:val="CharPartText"/>
        </w:rPr>
        <w:t>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70" w:name="_Toc418676139"/>
      <w:bookmarkStart w:id="271" w:name="_Toc431891584"/>
      <w:r>
        <w:rPr>
          <w:sz w:val="28"/>
        </w:rPr>
        <w:t>Defined terms</w:t>
      </w:r>
      <w:bookmarkEnd w:id="270"/>
      <w:bookmarkEnd w:id="2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 agreement</w:t>
      </w:r>
      <w:r>
        <w:tab/>
        <w:t>37(1)</w:t>
      </w:r>
    </w:p>
    <w:p>
      <w:pPr>
        <w:pStyle w:val="DefinedTerms"/>
      </w:pPr>
      <w:r>
        <w:t>amendment day</w:t>
      </w:r>
      <w:r>
        <w:tab/>
        <w:t>19(1)</w:t>
      </w:r>
    </w:p>
    <w:p>
      <w:pPr>
        <w:pStyle w:val="DefinedTerms"/>
      </w:pPr>
      <w:r>
        <w:t>applicant,</w:t>
      </w:r>
      <w:r>
        <w:tab/>
        <w:t>41A(1)</w:t>
      </w:r>
    </w:p>
    <w:p>
      <w:pPr>
        <w:pStyle w:val="DefinedTerms"/>
      </w:pPr>
      <w:r>
        <w:t>application</w:t>
      </w:r>
      <w:r>
        <w:tab/>
        <w:t>3(1)</w:t>
      </w:r>
    </w:p>
    <w:p>
      <w:pPr>
        <w:pStyle w:val="DefinedTerms"/>
      </w:pPr>
      <w:r>
        <w:t>approved</w:t>
      </w:r>
      <w:r>
        <w:tab/>
        <w:t>30(1A), 32(1)</w:t>
      </w:r>
    </w:p>
    <w:p>
      <w:pPr>
        <w:pStyle w:val="DefinedTerms"/>
      </w:pPr>
      <w:r>
        <w:t>Australian citizen</w:t>
      </w:r>
      <w:r>
        <w:tab/>
        <w:t>3(1), 7A(1)</w:t>
      </w:r>
    </w:p>
    <w:p>
      <w:pPr>
        <w:pStyle w:val="DefinedTerms"/>
      </w:pPr>
      <w:r>
        <w:t>authorised investigator</w:t>
      </w:r>
      <w:r>
        <w:tab/>
        <w:t>3(1), 48(3)</w:t>
      </w:r>
    </w:p>
    <w:p>
      <w:pPr>
        <w:pStyle w:val="DefinedTerms"/>
      </w:pPr>
      <w:r>
        <w:t>building</w:t>
      </w:r>
      <w:r>
        <w:tab/>
        <w:t>3(1)</w:t>
      </w:r>
    </w:p>
    <w:p>
      <w:pPr>
        <w:pStyle w:val="DefinedTerms"/>
      </w:pPr>
      <w:r>
        <w:t>cap amount</w:t>
      </w:r>
      <w:r>
        <w:tab/>
        <w:t>3(1), 14AD</w:t>
      </w:r>
    </w:p>
    <w:p>
      <w:pPr>
        <w:pStyle w:val="DefinedTerms"/>
      </w:pPr>
      <w:r>
        <w:t>class 1 eligible transaction</w:t>
      </w:r>
      <w:r>
        <w:tab/>
        <w:t>14B(1)</w:t>
      </w:r>
    </w:p>
    <w:p>
      <w:pPr>
        <w:pStyle w:val="DefinedTerms"/>
      </w:pPr>
      <w:r>
        <w:t>class 2 eligible transaction</w:t>
      </w:r>
      <w:r>
        <w:tab/>
        <w:t>14B(1a)</w:t>
      </w:r>
    </w:p>
    <w:p>
      <w:pPr>
        <w:pStyle w:val="DefinedTerms"/>
      </w:pPr>
      <w:r>
        <w:t>class 3 eligible transaction</w:t>
      </w:r>
      <w:r>
        <w:tab/>
        <w:t>14B(1b)</w:t>
      </w:r>
    </w:p>
    <w:p>
      <w:pPr>
        <w:pStyle w:val="DefinedTerms"/>
      </w:pPr>
      <w:r>
        <w:t>class 4 eligible transaction</w:t>
      </w:r>
      <w:r>
        <w:tab/>
        <w:t>14B(2)</w:t>
      </w:r>
    </w:p>
    <w:p>
      <w:pPr>
        <w:pStyle w:val="DefinedTerms"/>
      </w:pPr>
      <w:r>
        <w:t xml:space="preserve">class 5 eligible </w:t>
      </w:r>
      <w:r>
        <w:tab/>
        <w:t>14B(3)</w:t>
      </w:r>
    </w:p>
    <w:p>
      <w:pPr>
        <w:pStyle w:val="DefinedTerms"/>
      </w:pPr>
      <w:r>
        <w:t>class 6 eligible transaction</w:t>
      </w:r>
      <w:r>
        <w:tab/>
        <w:t>14B(4A)</w:t>
      </w:r>
    </w:p>
    <w:p>
      <w:pPr>
        <w:pStyle w:val="DefinedTerms"/>
      </w:pPr>
      <w:r>
        <w:t>class 7 eligible transaction</w:t>
      </w:r>
      <w:r>
        <w:tab/>
        <w:t>14B(4B)</w:t>
      </w:r>
    </w:p>
    <w:p>
      <w:pPr>
        <w:pStyle w:val="DefinedTerms"/>
      </w:pPr>
      <w:r>
        <w:t>commencement date</w:t>
      </w:r>
      <w:r>
        <w:tab/>
        <w:t>3(1), 14AA(1)</w:t>
      </w:r>
    </w:p>
    <w:p>
      <w:pPr>
        <w:pStyle w:val="DefinedTerms"/>
      </w:pPr>
      <w:r>
        <w:t>Commissioner</w:t>
      </w:r>
      <w:r>
        <w:tab/>
        <w:t>3(1)</w:t>
      </w:r>
    </w:p>
    <w:p>
      <w:pPr>
        <w:pStyle w:val="DefinedTerms"/>
      </w:pPr>
      <w:r>
        <w:t>completed</w:t>
      </w:r>
      <w:r>
        <w:tab/>
        <w:t>3(1), 14AA(2)</w:t>
      </w:r>
    </w:p>
    <w:p>
      <w:pPr>
        <w:pStyle w:val="DefinedTerms"/>
      </w:pPr>
      <w:r>
        <w:t>comprehensive home building contract</w:t>
      </w:r>
      <w:r>
        <w:tab/>
        <w:t>3(1)</w:t>
      </w:r>
    </w:p>
    <w:p>
      <w:pPr>
        <w:pStyle w:val="DefinedTerms"/>
      </w:pPr>
      <w:r>
        <w:t>confidential information</w:t>
      </w:r>
      <w:r>
        <w:tab/>
        <w:t>65(7)</w:t>
      </w:r>
    </w:p>
    <w:p>
      <w:pPr>
        <w:pStyle w:val="DefinedTerms"/>
      </w:pPr>
      <w:r>
        <w:t>consideration</w:t>
      </w:r>
      <w:r>
        <w:tab/>
        <w:t>3(1), 14AB</w:t>
      </w:r>
    </w:p>
    <w:p>
      <w:pPr>
        <w:pStyle w:val="DefinedTerms"/>
      </w:pPr>
      <w:r>
        <w:t>corresponding Commissioner</w:t>
      </w:r>
      <w:r>
        <w:tab/>
        <w:t>3(1)</w:t>
      </w:r>
    </w:p>
    <w:p>
      <w:pPr>
        <w:pStyle w:val="DefinedTerms"/>
      </w:pPr>
      <w:r>
        <w:t>corresponding law</w:t>
      </w:r>
      <w:r>
        <w:tab/>
        <w:t>3(1)</w:t>
      </w:r>
    </w:p>
    <w:p>
      <w:pPr>
        <w:pStyle w:val="DefinedTerms"/>
      </w:pPr>
      <w:r>
        <w:t>cut</w:t>
      </w:r>
      <w:r>
        <w:noBreakHyphen/>
        <w:t>off date</w:t>
      </w:r>
      <w:r>
        <w:tab/>
        <w:t>14A</w:t>
      </w:r>
    </w:p>
    <w:p>
      <w:pPr>
        <w:pStyle w:val="DefinedTerms"/>
      </w:pPr>
      <w:r>
        <w:t>de facto partner</w:t>
      </w:r>
      <w:r>
        <w:tab/>
        <w:t>3(1)</w:t>
      </w:r>
    </w:p>
    <w:p>
      <w:pPr>
        <w:pStyle w:val="DefinedTerms"/>
      </w:pPr>
      <w:r>
        <w:t>decision on the application</w:t>
      </w:r>
      <w:r>
        <w:tab/>
        <w:t>26</w:t>
      </w:r>
    </w:p>
    <w:p>
      <w:pPr>
        <w:pStyle w:val="DefinedTerms"/>
      </w:pPr>
      <w:r>
        <w:t>document</w:t>
      </w:r>
      <w:r>
        <w:tab/>
        <w:t>47(3)</w:t>
      </w:r>
    </w:p>
    <w:p>
      <w:pPr>
        <w:pStyle w:val="DefinedTerms"/>
      </w:pPr>
      <w:r>
        <w:t>eligibility criteria</w:t>
      </w:r>
      <w:r>
        <w:tab/>
        <w:t>3(1)</w:t>
      </w:r>
    </w:p>
    <w:p>
      <w:pPr>
        <w:pStyle w:val="DefinedTerms"/>
      </w:pPr>
      <w:r>
        <w:t>eligible transaction</w:t>
      </w:r>
      <w:r>
        <w:tab/>
        <w:t>3(1), 14(1)</w:t>
      </w:r>
    </w:p>
    <w:p>
      <w:pPr>
        <w:pStyle w:val="DefinedTerms"/>
      </w:pPr>
      <w:r>
        <w:t>established home</w:t>
      </w:r>
      <w:r>
        <w:tab/>
        <w:t>3(1)</w:t>
      </w:r>
    </w:p>
    <w:p>
      <w:pPr>
        <w:pStyle w:val="DefinedTerms"/>
      </w:pPr>
      <w:r>
        <w:t>first home owner grant</w:t>
      </w:r>
      <w:r>
        <w:tab/>
        <w:t>3(1)</w:t>
      </w:r>
    </w:p>
    <w:p>
      <w:pPr>
        <w:pStyle w:val="DefinedTerms"/>
      </w:pPr>
      <w:r>
        <w:t>first home owner grant scheme</w:t>
      </w:r>
      <w:r>
        <w:tab/>
        <w:t>3(1)</w:t>
      </w:r>
    </w:p>
    <w:p>
      <w:pPr>
        <w:pStyle w:val="DefinedTerms"/>
      </w:pPr>
      <w:r>
        <w:t>garnishee</w:t>
      </w:r>
      <w:r>
        <w:tab/>
        <w:t>54A(2)</w:t>
      </w:r>
    </w:p>
    <w:p>
      <w:pPr>
        <w:pStyle w:val="DefinedTerms"/>
      </w:pPr>
      <w:r>
        <w:t>guardian</w:t>
      </w:r>
      <w:r>
        <w:tab/>
        <w:t>3(1)</w:t>
      </w:r>
    </w:p>
    <w:p>
      <w:pPr>
        <w:pStyle w:val="DefinedTerms"/>
      </w:pPr>
      <w:r>
        <w:t>home</w:t>
      </w:r>
      <w:r>
        <w:tab/>
        <w:t>3(1), 4</w:t>
      </w:r>
    </w:p>
    <w:p>
      <w:pPr>
        <w:pStyle w:val="DefinedTerms"/>
      </w:pPr>
      <w:r>
        <w:t>home owner</w:t>
      </w:r>
      <w:r>
        <w:tab/>
        <w:t>5</w:t>
      </w:r>
    </w:p>
    <w:p>
      <w:pPr>
        <w:pStyle w:val="DefinedTerms"/>
      </w:pPr>
      <w:r>
        <w:t>identity card</w:t>
      </w:r>
      <w:r>
        <w:tab/>
        <w:t>3(1)</w:t>
      </w:r>
    </w:p>
    <w:p>
      <w:pPr>
        <w:pStyle w:val="DefinedTerms"/>
      </w:pPr>
      <w:r>
        <w:t>interested person</w:t>
      </w:r>
      <w:r>
        <w:tab/>
        <w:t>16(3)</w:t>
      </w:r>
    </w:p>
    <w:p>
      <w:pPr>
        <w:pStyle w:val="DefinedTerms"/>
      </w:pPr>
      <w:r>
        <w:t>liable person</w:t>
      </w:r>
      <w:r>
        <w:tab/>
        <w:t>54A(1)</w:t>
      </w:r>
    </w:p>
    <w:p>
      <w:pPr>
        <w:pStyle w:val="DefinedTerms"/>
      </w:pPr>
      <w:r>
        <w:t>licensed valuer</w:t>
      </w:r>
      <w:r>
        <w:tab/>
        <w:t>41A(1)</w:t>
      </w:r>
    </w:p>
    <w:p>
      <w:pPr>
        <w:pStyle w:val="DefinedTerms"/>
      </w:pPr>
      <w:r>
        <w:t>new home</w:t>
      </w:r>
      <w:r>
        <w:tab/>
        <w:t>3(1)</w:t>
      </w:r>
    </w:p>
    <w:p>
      <w:pPr>
        <w:pStyle w:val="DefinedTerms"/>
      </w:pPr>
      <w:r>
        <w:t>non</w:t>
      </w:r>
      <w:r>
        <w:noBreakHyphen/>
        <w:t>conforming interest</w:t>
      </w:r>
      <w:r>
        <w:tab/>
        <w:t>6(3)</w:t>
      </w:r>
    </w:p>
    <w:p>
      <w:pPr>
        <w:pStyle w:val="DefinedTerms"/>
      </w:pPr>
      <w:r>
        <w:t>objector</w:t>
      </w:r>
      <w:r>
        <w:tab/>
        <w:t>26</w:t>
      </w:r>
    </w:p>
    <w:p>
      <w:pPr>
        <w:pStyle w:val="DefinedTerms"/>
      </w:pPr>
      <w:r>
        <w:t>option to purchase</w:t>
      </w:r>
      <w:r>
        <w:tab/>
        <w:t>3(1)</w:t>
      </w:r>
    </w:p>
    <w:p>
      <w:pPr>
        <w:pStyle w:val="DefinedTerms"/>
      </w:pPr>
      <w:r>
        <w:t>outstanding amount</w:t>
      </w:r>
      <w:r>
        <w:tab/>
        <w:t>58(1)</w:t>
      </w:r>
    </w:p>
    <w:p>
      <w:pPr>
        <w:pStyle w:val="DefinedTerms"/>
      </w:pPr>
      <w:r>
        <w:t>owner</w:t>
      </w:r>
      <w:r>
        <w:tab/>
        <w:t>3(1), 5</w:t>
      </w:r>
    </w:p>
    <w:p>
      <w:pPr>
        <w:pStyle w:val="DefinedTerms"/>
      </w:pPr>
      <w:r>
        <w:t>owner builder</w:t>
      </w:r>
      <w:r>
        <w:tab/>
        <w:t>3(1)</w:t>
      </w:r>
    </w:p>
    <w:p>
      <w:pPr>
        <w:pStyle w:val="DefinedTerms"/>
      </w:pPr>
      <w:r>
        <w:t>permanent resident</w:t>
      </w:r>
      <w:r>
        <w:tab/>
        <w:t>3(1), 7B(1)</w:t>
      </w:r>
    </w:p>
    <w:p>
      <w:pPr>
        <w:pStyle w:val="DefinedTerms"/>
      </w:pPr>
      <w:r>
        <w:t>premises</w:t>
      </w:r>
      <w:r>
        <w:tab/>
        <w:t>3(1)</w:t>
      </w:r>
    </w:p>
    <w:p>
      <w:pPr>
        <w:pStyle w:val="DefinedTerms"/>
      </w:pPr>
      <w:r>
        <w:t>property</w:t>
      </w:r>
      <w:r>
        <w:tab/>
        <w:t>3(1)</w:t>
      </w:r>
    </w:p>
    <w:p>
      <w:pPr>
        <w:pStyle w:val="DefinedTerms"/>
      </w:pPr>
      <w:r>
        <w:t>registered</w:t>
      </w:r>
      <w:r>
        <w:tab/>
        <w:t>55(6)</w:t>
      </w:r>
    </w:p>
    <w:p>
      <w:pPr>
        <w:pStyle w:val="DefinedTerms"/>
      </w:pPr>
      <w:r>
        <w:t>Registrar</w:t>
      </w:r>
      <w:r>
        <w:tab/>
        <w:t>3(1)</w:t>
      </w:r>
    </w:p>
    <w:p>
      <w:pPr>
        <w:pStyle w:val="DefinedTerms"/>
      </w:pPr>
      <w:r>
        <w:t>relevant amount</w:t>
      </w:r>
      <w:r>
        <w:tab/>
        <w:t>19(3)</w:t>
      </w:r>
    </w:p>
    <w:p>
      <w:pPr>
        <w:pStyle w:val="DefinedTerms"/>
      </w:pPr>
      <w:r>
        <w:t>relevant date</w:t>
      </w:r>
      <w:r>
        <w:tab/>
        <w:t>14A</w:t>
      </w:r>
    </w:p>
    <w:p>
      <w:pPr>
        <w:pStyle w:val="DefinedTerms"/>
      </w:pPr>
      <w:r>
        <w:t>relevant day</w:t>
      </w:r>
      <w:r>
        <w:tab/>
        <w:t>21(3)</w:t>
      </w:r>
    </w:p>
    <w:p>
      <w:pPr>
        <w:pStyle w:val="DefinedTerms"/>
      </w:pPr>
      <w:r>
        <w:t>relevant interest</w:t>
      </w:r>
      <w:r>
        <w:tab/>
        <w:t>3(1), 6(1)</w:t>
      </w:r>
    </w:p>
    <w:p>
      <w:pPr>
        <w:pStyle w:val="DefinedTerms"/>
      </w:pPr>
      <w:r>
        <w:t>relevant material</w:t>
      </w:r>
      <w:r>
        <w:tab/>
        <w:t>3(1)</w:t>
      </w:r>
    </w:p>
    <w:p>
      <w:pPr>
        <w:pStyle w:val="DefinedTerms"/>
      </w:pPr>
      <w:r>
        <w:t>repayment arrangement</w:t>
      </w:r>
      <w:r>
        <w:tab/>
        <w:t>3(1)</w:t>
      </w:r>
    </w:p>
    <w:p>
      <w:pPr>
        <w:pStyle w:val="DefinedTerms"/>
      </w:pPr>
      <w:r>
        <w:t>required repayment</w:t>
      </w:r>
      <w:r>
        <w:tab/>
        <w:t>52(1)</w:t>
      </w:r>
    </w:p>
    <w:p>
      <w:pPr>
        <w:pStyle w:val="DefinedTerms"/>
      </w:pPr>
      <w:r>
        <w:t>required residence period</w:t>
      </w:r>
      <w:r>
        <w:tab/>
        <w:t>3(1), 13(2)</w:t>
      </w:r>
    </w:p>
    <w:p>
      <w:pPr>
        <w:pStyle w:val="DefinedTerms"/>
      </w:pPr>
      <w:r>
        <w:t>residence requirements</w:t>
      </w:r>
      <w:r>
        <w:tab/>
        <w:t>3(1)</w:t>
      </w:r>
    </w:p>
    <w:p>
      <w:pPr>
        <w:pStyle w:val="DefinedTerms"/>
      </w:pPr>
      <w:r>
        <w:t>residential property</w:t>
      </w:r>
      <w:r>
        <w:tab/>
        <w:t>3(1), 3(2)</w:t>
      </w:r>
    </w:p>
    <w:p>
      <w:pPr>
        <w:pStyle w:val="DefinedTerms"/>
      </w:pPr>
      <w:r>
        <w:t>second amendment day</w:t>
      </w:r>
      <w:r>
        <w:tab/>
        <w:t>19(1)</w:t>
      </w:r>
    </w:p>
    <w:p>
      <w:pPr>
        <w:pStyle w:val="DefinedTerms"/>
      </w:pPr>
      <w:r>
        <w:t>special eligible transaction</w:t>
      </w:r>
      <w:r>
        <w:tab/>
        <w:t>14A</w:t>
      </w:r>
    </w:p>
    <w:p>
      <w:pPr>
        <w:pStyle w:val="DefinedTerms"/>
      </w:pPr>
      <w:r>
        <w:t>spouse</w:t>
      </w:r>
      <w:r>
        <w:tab/>
        <w:t>3(1), 7(1)</w:t>
      </w:r>
    </w:p>
    <w:p>
      <w:pPr>
        <w:pStyle w:val="DefinedTerms"/>
      </w:pPr>
      <w:r>
        <w:t>State</w:t>
      </w:r>
      <w:r>
        <w:tab/>
        <w:t>65(7)</w:t>
      </w:r>
    </w:p>
    <w:p>
      <w:pPr>
        <w:pStyle w:val="DefinedTerms"/>
      </w:pPr>
      <w:r>
        <w:t>substantially renovated home</w:t>
      </w:r>
      <w:r>
        <w:tab/>
        <w:t>3(1)</w:t>
      </w:r>
    </w:p>
    <w:p>
      <w:pPr>
        <w:pStyle w:val="DefinedTerms"/>
      </w:pPr>
      <w:r>
        <w:t>take</w:t>
      </w:r>
      <w:r>
        <w:noBreakHyphen/>
        <w:t>up period</w:t>
      </w:r>
      <w:r>
        <w:tab/>
        <w:t>3(1), 13(5)</w:t>
      </w:r>
    </w:p>
    <w:p>
      <w:pPr>
        <w:pStyle w:val="DefinedTerms"/>
      </w:pPr>
      <w:r>
        <w:t>taxation law</w:t>
      </w:r>
      <w:r>
        <w:tab/>
        <w:t>3(1)</w:t>
      </w:r>
    </w:p>
    <w:p>
      <w:pPr>
        <w:pStyle w:val="DefinedTerms"/>
      </w:pPr>
      <w:r>
        <w:t>the applicant</w:t>
      </w:r>
      <w:r>
        <w:tab/>
        <w:t>11(1)</w:t>
      </w:r>
    </w:p>
    <w:p>
      <w:pPr>
        <w:pStyle w:val="DefinedTerms"/>
      </w:pPr>
      <w:r>
        <w:t>the home</w:t>
      </w:r>
      <w:r>
        <w:tab/>
        <w:t>3(1)</w:t>
      </w:r>
    </w:p>
    <w:p>
      <w:pPr>
        <w:pStyle w:val="DefinedTerms"/>
      </w:pPr>
      <w:r>
        <w:t>the other grant</w:t>
      </w:r>
      <w:r>
        <w:tab/>
        <w:t>11(1)</w:t>
      </w:r>
    </w:p>
    <w:p>
      <w:pPr>
        <w:pStyle w:val="DefinedTerms"/>
      </w:pPr>
      <w:r>
        <w:t>total value</w:t>
      </w:r>
      <w:r>
        <w:tab/>
        <w:t>3(1), 14AC(1)</w:t>
      </w:r>
    </w:p>
    <w:p>
      <w:pPr>
        <w:pStyle w:val="DefinedTerms"/>
      </w:pPr>
      <w:r>
        <w:t>transaction</w:t>
      </w:r>
      <w:r>
        <w:tab/>
        <w:t>3(1)</w:t>
      </w:r>
    </w:p>
    <w:p>
      <w:pPr>
        <w:pStyle w:val="DefinedTerms"/>
      </w:pPr>
      <w:r>
        <w:t>unencumbered value</w:t>
      </w:r>
      <w:r>
        <w:tab/>
        <w:t>3(1), 14AE(1)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9" w:name="Compilation"/>
    <w:bookmarkEnd w:id="2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2" w:name="DefinedTerms"/>
    <w:bookmarkEnd w:id="2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3" w:name="Coversheet"/>
    <w:bookmarkEnd w:id="2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lvlText w:val="%1."/>
      <w:lvlJc w:val="left"/>
      <w:pPr>
        <w:tabs>
          <w:tab w:val="num" w:pos="1492"/>
        </w:tabs>
        <w:ind w:left="1492" w:hanging="360"/>
      </w:pPr>
    </w:lvl>
  </w:abstractNum>
  <w:abstractNum w:abstractNumId="1">
    <w:nsid w:val="FFFFFF7D"/>
    <w:multiLevelType w:val="singleLevel"/>
    <w:tmpl w:val="A18040A6"/>
    <w:lvl w:ilvl="0">
      <w:start w:val="1"/>
      <w:numFmt w:val="decimal"/>
      <w:lvlText w:val="%1."/>
      <w:lvlJc w:val="left"/>
      <w:pPr>
        <w:tabs>
          <w:tab w:val="num" w:pos="1209"/>
        </w:tabs>
        <w:ind w:left="1209" w:hanging="360"/>
      </w:pPr>
    </w:lvl>
  </w:abstractNum>
  <w:abstractNum w:abstractNumId="2">
    <w:nsid w:val="FFFFFF7E"/>
    <w:multiLevelType w:val="singleLevel"/>
    <w:tmpl w:val="9A5081A8"/>
    <w:lvl w:ilvl="0">
      <w:start w:val="1"/>
      <w:numFmt w:val="decimal"/>
      <w:lvlText w:val="%1."/>
      <w:lvlJc w:val="left"/>
      <w:pPr>
        <w:tabs>
          <w:tab w:val="num" w:pos="926"/>
        </w:tabs>
        <w:ind w:left="926" w:hanging="360"/>
      </w:pPr>
    </w:lvl>
  </w:abstractNum>
  <w:abstractNum w:abstractNumId="3">
    <w:nsid w:val="FFFFFF7F"/>
    <w:multiLevelType w:val="singleLevel"/>
    <w:tmpl w:val="65D07A62"/>
    <w:lvl w:ilvl="0">
      <w:start w:val="1"/>
      <w:numFmt w:val="decimal"/>
      <w:lvlText w:val="%1."/>
      <w:lvlJc w:val="left"/>
      <w:pPr>
        <w:tabs>
          <w:tab w:val="num" w:pos="643"/>
        </w:tabs>
        <w:ind w:left="643" w:hanging="360"/>
      </w:pPr>
    </w:lvl>
  </w:abstractNum>
  <w:abstractNum w:abstractNumId="4">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lvlText w:val="%1."/>
      <w:lvlJc w:val="left"/>
      <w:pPr>
        <w:tabs>
          <w:tab w:val="num" w:pos="360"/>
        </w:tabs>
        <w:ind w:left="360" w:hanging="360"/>
      </w:pPr>
    </w:lvl>
  </w:abstractNum>
  <w:abstractNum w:abstractNumId="9">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213"/>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20707</Words>
  <Characters>98982</Characters>
  <Application>Microsoft Office Word</Application>
  <DocSecurity>0</DocSecurity>
  <Lines>2749</Lines>
  <Paragraphs>1595</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118094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2000 - 02-e0-01</dc:title>
  <dc:subject/>
  <dc:creator/>
  <cp:keywords/>
  <dc:description/>
  <cp:lastModifiedBy>svcMRProcess</cp:lastModifiedBy>
  <cp:revision>4</cp:revision>
  <cp:lastPrinted>2010-07-23T02:03:00Z</cp:lastPrinted>
  <dcterms:created xsi:type="dcterms:W3CDTF">2018-08-29T06:30:00Z</dcterms:created>
  <dcterms:modified xsi:type="dcterms:W3CDTF">2018-08-29T06:30:00Z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No">
    <vt:lpwstr>2</vt:lpwstr>
  </property>
  <property fmtid="{D5CDD505-2E9C-101B-9397-08002B2CF9AE}" pid="6" name="AsAtDate">
    <vt:lpwstr>03 Oct 2015</vt:lpwstr>
  </property>
  <property fmtid="{D5CDD505-2E9C-101B-9397-08002B2CF9AE}" pid="7" name="Suffix">
    <vt:lpwstr>02-e0-01</vt:lpwstr>
  </property>
  <property fmtid="{D5CDD505-2E9C-101B-9397-08002B2CF9AE}" pid="8" name="CommencementDate">
    <vt:lpwstr>20151003</vt:lpwstr>
  </property>
</Properties>
</file>