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_Toc435097797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_Toc435097798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Code of practice prescribed</w:t>
      </w:r>
      <w:r>
        <w:tab/>
      </w:r>
      <w:r>
        <w:fldChar w:fldCharType="begin"/>
      </w:r>
      <w:r>
        <w:instrText xml:space="preserve"> PAGEREF _Toc435097799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and boxed and shaded paragraphs in the code of practice</w:t>
      </w:r>
      <w:r>
        <w:tab/>
      </w:r>
      <w:r>
        <w:fldChar w:fldCharType="begin"/>
      </w:r>
      <w:r>
        <w:instrText xml:space="preserve"> PAGEREF _Toc435097800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w:t>
      </w:r>
      <w:r>
        <w:t> </w:t>
      </w:r>
      <w:r>
        <w:rPr>
          <w:i/>
        </w:rPr>
        <w:t>2) 2014</w:t>
      </w:r>
      <w:r>
        <w:t> repealed</w:t>
      </w:r>
      <w:r>
        <w:tab/>
      </w:r>
      <w:r>
        <w:fldChar w:fldCharType="begin"/>
      </w:r>
      <w:r>
        <w:instrText xml:space="preserve"> PAGEREF _Toc435097801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Fair Practice for Retirement Villages 2015</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_Toc435097804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_Toc435097805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_Toc435097806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_Toc435097807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_Toc435097808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_Toc435097810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_Toc435097811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_Toc435097812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_Toc435097813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_Toc435097814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_Toc435097816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_Toc435097818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_Toc435097819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_Toc435097821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_Toc435097822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_Toc435097823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_Toc435097824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_Toc435097825 \h </w:instrText>
      </w:r>
      <w:r>
        <w:fldChar w:fldCharType="separate"/>
      </w:r>
      <w:r>
        <w:t>24</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_Toc435097826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_Toc435097827 \h </w:instrText>
      </w:r>
      <w:r>
        <w:fldChar w:fldCharType="separate"/>
      </w:r>
      <w:r>
        <w:t>27</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_Toc435097828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_Toc435097829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_Toc435097830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_Toc435097831 \h </w:instrText>
      </w:r>
      <w:r>
        <w:fldChar w:fldCharType="separate"/>
      </w:r>
      <w:r>
        <w:t>30</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_Toc435097832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_Toc435097833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_Toc435097834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_Toc435097835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_Toc435097837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_Toc435097838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_Toc435097839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_Toc435097840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_Toc435097841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_Toc435097843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_Toc435097845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Transitional and saving</w:t>
      </w:r>
    </w:p>
    <w:p>
      <w:pPr>
        <w:pStyle w:val="TOC8"/>
        <w:rPr>
          <w:rFonts w:asciiTheme="minorHAnsi" w:eastAsiaTheme="minorEastAsia" w:hAnsiTheme="minorHAnsi" w:cstheme="minorBidi"/>
          <w:szCs w:val="22"/>
        </w:rPr>
      </w:pPr>
      <w:r>
        <w:t>36.</w:t>
      </w:r>
      <w:r>
        <w:tab/>
        <w:t>Residence and service contracts</w:t>
      </w:r>
      <w:r>
        <w:tab/>
      </w:r>
      <w:r>
        <w:fldChar w:fldCharType="begin"/>
      </w:r>
      <w:r>
        <w:instrText xml:space="preserve"> PAGEREF _Toc435097847 \h </w:instrText>
      </w:r>
      <w:r>
        <w:fldChar w:fldCharType="separate"/>
      </w:r>
      <w:r>
        <w:t>50</w:t>
      </w:r>
      <w:r>
        <w:fldChar w:fldCharType="end"/>
      </w:r>
    </w:p>
    <w:p>
      <w:pPr>
        <w:pStyle w:val="TOC8"/>
        <w:rPr>
          <w:rFonts w:asciiTheme="minorHAnsi" w:eastAsiaTheme="minorEastAsia" w:hAnsiTheme="minorHAnsi" w:cstheme="minorBidi"/>
          <w:szCs w:val="22"/>
        </w:rPr>
      </w:pPr>
      <w:r>
        <w:t>37.</w:t>
      </w:r>
      <w:r>
        <w:tab/>
        <w:t>When accounting and financial reporting provisions start to apply to existing retirement villages</w:t>
      </w:r>
      <w:r>
        <w:tab/>
      </w:r>
      <w:r>
        <w:fldChar w:fldCharType="begin"/>
      </w:r>
      <w:r>
        <w:instrText xml:space="preserve"> PAGEREF _Toc435097848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_Toc435097852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Code) Regulations 2015</w:t>
      </w:r>
    </w:p>
    <w:p>
      <w:pPr>
        <w:pStyle w:val="Heading5"/>
      </w:pPr>
      <w:bookmarkStart w:id="3" w:name="_Toc435097797"/>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43509779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6" w:name="_Toc435097799"/>
      <w:r>
        <w:rPr>
          <w:rStyle w:val="CharSectno"/>
        </w:rPr>
        <w:t>3</w:t>
      </w:r>
      <w:r>
        <w:t>.</w:t>
      </w:r>
      <w:r>
        <w:rPr>
          <w:snapToGrid w:val="0"/>
        </w:rPr>
        <w:tab/>
        <w:t>Code of practice prescribed</w:t>
      </w:r>
      <w:bookmarkEnd w:id="6"/>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7" w:name="_Toc435097800"/>
      <w:r>
        <w:rPr>
          <w:rStyle w:val="CharSectno"/>
        </w:rPr>
        <w:t>4</w:t>
      </w:r>
      <w:r>
        <w:t>.</w:t>
      </w:r>
      <w:r>
        <w:tab/>
        <w:t>Terms used and boxed and shaded paragraphs in the code of practice</w:t>
      </w:r>
      <w:bookmarkEnd w:id="7"/>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8" w:name="_Toc435097801"/>
      <w:r>
        <w:rPr>
          <w:rStyle w:val="CharSectno"/>
        </w:rPr>
        <w:t>5</w:t>
      </w:r>
      <w:r>
        <w:t>.</w:t>
      </w:r>
      <w:r>
        <w:tab/>
      </w:r>
      <w:r>
        <w:rPr>
          <w:i/>
        </w:rPr>
        <w:t>Fair Trading (Retirement Villages Interim Code) Regulations (No.</w:t>
      </w:r>
      <w:r>
        <w:t> </w:t>
      </w:r>
      <w:r>
        <w:rPr>
          <w:i/>
        </w:rPr>
        <w:t>2) 2014</w:t>
      </w:r>
      <w:r>
        <w:t> repealed</w:t>
      </w:r>
      <w:bookmarkEnd w:id="8"/>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435097167"/>
      <w:bookmarkStart w:id="10" w:name="_Toc435097802"/>
      <w:r>
        <w:rPr>
          <w:rStyle w:val="CharSchNo"/>
        </w:rPr>
        <w:t>Schedule 1</w:t>
      </w:r>
      <w:r>
        <w:rPr>
          <w:rStyle w:val="CharSDivNo"/>
        </w:rPr>
        <w:t> </w:t>
      </w:r>
      <w:r>
        <w:t>—</w:t>
      </w:r>
      <w:r>
        <w:rPr>
          <w:rStyle w:val="CharSDivText"/>
        </w:rPr>
        <w:t> </w:t>
      </w:r>
      <w:r>
        <w:rPr>
          <w:rStyle w:val="CharSchText"/>
          <w:i/>
        </w:rPr>
        <w:t>Code of Fair Practice for Retirement Villages 2015</w:t>
      </w:r>
      <w:bookmarkEnd w:id="9"/>
      <w:bookmarkEnd w:id="10"/>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12" w:name="_Toc435097168"/>
      <w:bookmarkStart w:id="13" w:name="_Toc435097803"/>
      <w:r>
        <w:rPr>
          <w:rStyle w:val="CharSDivNo"/>
        </w:rPr>
        <w:t>Division 1</w:t>
      </w:r>
      <w:r>
        <w:t> — </w:t>
      </w:r>
      <w:r>
        <w:rPr>
          <w:rStyle w:val="CharSDivText"/>
        </w:rPr>
        <w:t>Preliminary</w:t>
      </w:r>
      <w:bookmarkEnd w:id="12"/>
      <w:bookmarkEnd w:id="13"/>
    </w:p>
    <w:p>
      <w:pPr>
        <w:pStyle w:val="yHeading5"/>
      </w:pPr>
      <w:bookmarkStart w:id="14" w:name="_Toc435097804"/>
      <w:r>
        <w:rPr>
          <w:rStyle w:val="CharSClsNo"/>
        </w:rPr>
        <w:t>1</w:t>
      </w:r>
      <w:r>
        <w:t>.</w:t>
      </w:r>
      <w:r>
        <w:tab/>
        <w:t>Citation</w:t>
      </w:r>
      <w:bookmarkEnd w:id="14"/>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15" w:name="endcomma"/>
      <w:bookmarkEnd w:id="15"/>
      <w:r>
        <w:rPr>
          <w:szCs w:val="22"/>
        </w:rPr>
        <w:t xml:space="preserve"> </w:t>
      </w:r>
      <w:bookmarkStart w:id="16" w:name="comma"/>
      <w:bookmarkEnd w:id="16"/>
      <w:r>
        <w:rPr>
          <w:szCs w:val="22"/>
        </w:rPr>
        <w:t>means a day other than a Saturday, a Sunday or a public holiday.</w:t>
      </w:r>
    </w:p>
    <w:p>
      <w:pPr>
        <w:pStyle w:val="yHeading5"/>
      </w:pPr>
      <w:bookmarkStart w:id="17" w:name="_Toc435097805"/>
      <w:r>
        <w:rPr>
          <w:rStyle w:val="CharSClsNo"/>
        </w:rPr>
        <w:t>2</w:t>
      </w:r>
      <w:r>
        <w:t>.</w:t>
      </w:r>
      <w:r>
        <w:tab/>
        <w:t>Application</w:t>
      </w:r>
      <w:bookmarkEnd w:id="17"/>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8" w:name="_Toc435097806"/>
      <w:r>
        <w:rPr>
          <w:rStyle w:val="CharSClsNo"/>
        </w:rPr>
        <w:t>3</w:t>
      </w:r>
      <w:r>
        <w:t>.</w:t>
      </w:r>
      <w:r>
        <w:tab/>
        <w:t>General principles</w:t>
      </w:r>
      <w:bookmarkEnd w:id="18"/>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9" w:name="_Toc435097807"/>
      <w:r>
        <w:rPr>
          <w:rStyle w:val="CharSClsNo"/>
        </w:rPr>
        <w:t>4</w:t>
      </w:r>
      <w:r>
        <w:t>.</w:t>
      </w:r>
      <w:r>
        <w:tab/>
        <w:t>Objectives of Code</w:t>
      </w:r>
      <w:bookmarkEnd w:id="19"/>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0" w:name="_Toc435097808"/>
      <w:r>
        <w:rPr>
          <w:rStyle w:val="CharSClsNo"/>
        </w:rPr>
        <w:t>5</w:t>
      </w:r>
      <w:r>
        <w:t>.</w:t>
      </w:r>
      <w:r>
        <w:tab/>
        <w:t>Resident’s rights</w:t>
      </w:r>
      <w:bookmarkEnd w:id="20"/>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21" w:name="_Toc435097174"/>
      <w:bookmarkStart w:id="22" w:name="_Toc435097809"/>
      <w:r>
        <w:rPr>
          <w:rStyle w:val="CharSDivNo"/>
        </w:rPr>
        <w:t>Division 2</w:t>
      </w:r>
      <w:r>
        <w:t> — </w:t>
      </w:r>
      <w:r>
        <w:rPr>
          <w:rStyle w:val="CharSDivText"/>
        </w:rPr>
        <w:t>Advertising and promotion of retirement villages</w:t>
      </w:r>
      <w:bookmarkEnd w:id="21"/>
      <w:bookmarkEnd w:id="22"/>
    </w:p>
    <w:p>
      <w:pPr>
        <w:pStyle w:val="yHeading5"/>
      </w:pPr>
      <w:bookmarkStart w:id="23" w:name="_Toc435097810"/>
      <w:r>
        <w:rPr>
          <w:rStyle w:val="CharSClsNo"/>
        </w:rPr>
        <w:t>6</w:t>
      </w:r>
      <w:r>
        <w:t>.</w:t>
      </w:r>
      <w:r>
        <w:tab/>
        <w:t>General</w:t>
      </w:r>
      <w:bookmarkEnd w:id="23"/>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4" w:name="_Toc435097811"/>
      <w:r>
        <w:rPr>
          <w:rStyle w:val="CharSClsNo"/>
        </w:rPr>
        <w:t>7</w:t>
      </w:r>
      <w:r>
        <w:t>.</w:t>
      </w:r>
      <w:r>
        <w:tab/>
        <w:t>Retirement village developments</w:t>
      </w:r>
      <w:bookmarkEnd w:id="24"/>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5" w:name="_Toc435097812"/>
      <w:r>
        <w:rPr>
          <w:rStyle w:val="CharSClsNo"/>
        </w:rPr>
        <w:t>8</w:t>
      </w:r>
      <w:r>
        <w:t>.</w:t>
      </w:r>
      <w:r>
        <w:tab/>
        <w:t>Proposed amenities and services</w:t>
      </w:r>
      <w:bookmarkEnd w:id="25"/>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26" w:name="_Toc435097813"/>
      <w:r>
        <w:rPr>
          <w:rStyle w:val="CharSClsNo"/>
        </w:rPr>
        <w:t>9</w:t>
      </w:r>
      <w:r>
        <w:t>.</w:t>
      </w:r>
      <w:r>
        <w:tab/>
        <w:t>Approvals for facilities that provide residential aged care services</w:t>
      </w:r>
      <w:bookmarkEnd w:id="26"/>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7" w:name="_Toc435097814"/>
      <w:r>
        <w:rPr>
          <w:rStyle w:val="CharSClsNo"/>
        </w:rPr>
        <w:t>10</w:t>
      </w:r>
      <w:r>
        <w:t>.</w:t>
      </w:r>
      <w:r>
        <w:tab/>
        <w:t>Access to residential aged care services</w:t>
      </w:r>
      <w:bookmarkEnd w:id="2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28" w:name="_Toc435097180"/>
      <w:bookmarkStart w:id="29" w:name="_Toc435097815"/>
      <w:r>
        <w:rPr>
          <w:rStyle w:val="CharSDivNo"/>
        </w:rPr>
        <w:t>Division 3</w:t>
      </w:r>
      <w:r>
        <w:t> — </w:t>
      </w:r>
      <w:r>
        <w:rPr>
          <w:rStyle w:val="CharSDivText"/>
        </w:rPr>
        <w:t>Prospective resident’s right to information before entering into a service contract</w:t>
      </w:r>
      <w:bookmarkEnd w:id="28"/>
      <w:bookmarkEnd w:id="29"/>
    </w:p>
    <w:p>
      <w:pPr>
        <w:pStyle w:val="yHeading5"/>
      </w:pPr>
      <w:bookmarkStart w:id="30" w:name="_Toc435097816"/>
      <w:r>
        <w:rPr>
          <w:rStyle w:val="CharSClsNo"/>
        </w:rPr>
        <w:t>11</w:t>
      </w:r>
      <w:r>
        <w:t>.</w:t>
      </w:r>
      <w:r>
        <w:tab/>
        <w:t>Before entering into a service contract</w:t>
      </w:r>
      <w:bookmarkEnd w:id="30"/>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31" w:name="_Toc435097182"/>
      <w:bookmarkStart w:id="32" w:name="_Toc435097817"/>
      <w:r>
        <w:rPr>
          <w:rStyle w:val="CharSDivNo"/>
        </w:rPr>
        <w:t>Division 4</w:t>
      </w:r>
      <w:r>
        <w:t> — </w:t>
      </w:r>
      <w:r>
        <w:rPr>
          <w:rStyle w:val="CharSDivText"/>
        </w:rPr>
        <w:t>Service contract</w:t>
      </w:r>
      <w:bookmarkEnd w:id="31"/>
      <w:bookmarkEnd w:id="32"/>
    </w:p>
    <w:p>
      <w:pPr>
        <w:pStyle w:val="yHeading5"/>
      </w:pPr>
      <w:bookmarkStart w:id="33" w:name="_Toc435097818"/>
      <w:r>
        <w:rPr>
          <w:rStyle w:val="CharSClsNo"/>
        </w:rPr>
        <w:t>12</w:t>
      </w:r>
      <w:r>
        <w:t>.</w:t>
      </w:r>
      <w:r>
        <w:tab/>
        <w:t>Legibility and presentation requirements</w:t>
      </w:r>
      <w:bookmarkEnd w:id="33"/>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34" w:name="_Toc435097819"/>
      <w:r>
        <w:rPr>
          <w:rStyle w:val="CharSClsNo"/>
          <w:szCs w:val="22"/>
        </w:rPr>
        <w:t>13</w:t>
      </w:r>
      <w:r>
        <w:rPr>
          <w:szCs w:val="22"/>
        </w:rPr>
        <w:t>.</w:t>
      </w:r>
      <w:r>
        <w:rPr>
          <w:szCs w:val="22"/>
        </w:rPr>
        <w:tab/>
        <w:t>Services</w:t>
      </w:r>
      <w:bookmarkEnd w:id="34"/>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35" w:name="_Toc435097185"/>
      <w:bookmarkStart w:id="36" w:name="_Toc435097820"/>
      <w:r>
        <w:rPr>
          <w:rStyle w:val="CharSDivNo"/>
        </w:rPr>
        <w:t>Division 5</w:t>
      </w:r>
      <w:r>
        <w:t> — </w:t>
      </w:r>
      <w:r>
        <w:rPr>
          <w:rStyle w:val="CharSDivText"/>
        </w:rPr>
        <w:t>Village management</w:t>
      </w:r>
      <w:bookmarkEnd w:id="35"/>
      <w:bookmarkEnd w:id="36"/>
    </w:p>
    <w:p>
      <w:pPr>
        <w:pStyle w:val="yHeading5"/>
      </w:pPr>
      <w:bookmarkStart w:id="37" w:name="_Toc435097821"/>
      <w:r>
        <w:rPr>
          <w:rStyle w:val="CharSClsNo"/>
        </w:rPr>
        <w:t>14</w:t>
      </w:r>
      <w:r>
        <w:t>.</w:t>
      </w:r>
      <w:r>
        <w:tab/>
        <w:t>Terms used</w:t>
      </w:r>
      <w:bookmarkEnd w:id="37"/>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38" w:name="_Toc435097822"/>
      <w:r>
        <w:rPr>
          <w:rStyle w:val="CharSClsNo"/>
          <w:szCs w:val="22"/>
        </w:rPr>
        <w:t>15</w:t>
      </w:r>
      <w:r>
        <w:rPr>
          <w:szCs w:val="22"/>
        </w:rPr>
        <w:t>.</w:t>
      </w:r>
      <w:r>
        <w:rPr>
          <w:szCs w:val="22"/>
        </w:rPr>
        <w:tab/>
        <w:t>Special resolutions</w:t>
      </w:r>
      <w:bookmarkEnd w:id="38"/>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39" w:name="_Toc435097823"/>
      <w:r>
        <w:rPr>
          <w:rStyle w:val="CharSClsNo"/>
          <w:szCs w:val="22"/>
        </w:rPr>
        <w:t>16</w:t>
      </w:r>
      <w:r>
        <w:rPr>
          <w:szCs w:val="22"/>
        </w:rPr>
        <w:t>.</w:t>
      </w:r>
      <w:r>
        <w:rPr>
          <w:szCs w:val="22"/>
        </w:rPr>
        <w:tab/>
        <w:t>Management procedures and resident consultation</w:t>
      </w:r>
      <w:bookmarkEnd w:id="39"/>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40" w:name="_Toc435097824"/>
      <w:r>
        <w:rPr>
          <w:rStyle w:val="CharSClsNo"/>
          <w:szCs w:val="22"/>
        </w:rPr>
        <w:t>17</w:t>
      </w:r>
      <w:r>
        <w:rPr>
          <w:szCs w:val="22"/>
        </w:rPr>
        <w:t>.</w:t>
      </w:r>
      <w:r>
        <w:rPr>
          <w:szCs w:val="22"/>
        </w:rPr>
        <w:tab/>
        <w:t>Village budget</w:t>
      </w:r>
      <w:bookmarkEnd w:id="40"/>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the net amount of GST 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Heading5"/>
        <w:rPr>
          <w:szCs w:val="22"/>
        </w:rPr>
      </w:pPr>
      <w:bookmarkStart w:id="41" w:name="_Toc435097825"/>
      <w:r>
        <w:rPr>
          <w:rStyle w:val="CharSClsNo"/>
          <w:szCs w:val="22"/>
        </w:rPr>
        <w:t>18</w:t>
      </w:r>
      <w:r>
        <w:rPr>
          <w:szCs w:val="22"/>
        </w:rPr>
        <w:t>.</w:t>
      </w:r>
      <w:r>
        <w:rPr>
          <w:szCs w:val="22"/>
        </w:rPr>
        <w:tab/>
        <w:t>Quarterly financial statements</w:t>
      </w:r>
      <w:bookmarkEnd w:id="41"/>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42" w:name="_Toc435097826"/>
      <w:r>
        <w:rPr>
          <w:rStyle w:val="CharSClsNo"/>
          <w:szCs w:val="22"/>
        </w:rPr>
        <w:t>19</w:t>
      </w:r>
      <w:r>
        <w:rPr>
          <w:szCs w:val="22"/>
        </w:rPr>
        <w:t>.</w:t>
      </w:r>
      <w:r>
        <w:rPr>
          <w:szCs w:val="22"/>
        </w:rPr>
        <w:tab/>
        <w:t>Annual financial statements</w:t>
      </w:r>
      <w:bookmarkEnd w:id="42"/>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43" w:name="_Toc435097827"/>
      <w:r>
        <w:rPr>
          <w:rStyle w:val="CharSClsNo"/>
          <w:szCs w:val="22"/>
        </w:rPr>
        <w:t>20</w:t>
      </w:r>
      <w:r>
        <w:rPr>
          <w:szCs w:val="22"/>
        </w:rPr>
        <w:t>.</w:t>
      </w:r>
      <w:r>
        <w:rPr>
          <w:szCs w:val="22"/>
        </w:rPr>
        <w:tab/>
        <w:t>Budget surplus</w:t>
      </w:r>
      <w:bookmarkEnd w:id="43"/>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44" w:name="_Toc435097828"/>
      <w:r>
        <w:rPr>
          <w:rStyle w:val="CharSClsNo"/>
          <w:szCs w:val="22"/>
        </w:rPr>
        <w:t>21</w:t>
      </w:r>
      <w:r>
        <w:rPr>
          <w:szCs w:val="22"/>
        </w:rPr>
        <w:t>.</w:t>
      </w:r>
      <w:r>
        <w:rPr>
          <w:szCs w:val="22"/>
        </w:rPr>
        <w:tab/>
        <w:t>Marketing of residential premises</w:t>
      </w:r>
      <w:bookmarkEnd w:id="44"/>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45" w:name="_Toc435097829"/>
      <w:r>
        <w:rPr>
          <w:rStyle w:val="CharSClsNo"/>
          <w:szCs w:val="22"/>
        </w:rPr>
        <w:t>22</w:t>
      </w:r>
      <w:r>
        <w:rPr>
          <w:szCs w:val="22"/>
        </w:rPr>
        <w:t>.</w:t>
      </w:r>
      <w:r>
        <w:rPr>
          <w:szCs w:val="22"/>
        </w:rPr>
        <w:tab/>
        <w:t>Refurbishment of residential premises</w:t>
      </w:r>
      <w:bookmarkEnd w:id="45"/>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6" w:name="_Toc435097830"/>
      <w:r>
        <w:rPr>
          <w:rStyle w:val="CharSClsNo"/>
          <w:szCs w:val="22"/>
        </w:rPr>
        <w:t>23</w:t>
      </w:r>
      <w:r>
        <w:rPr>
          <w:szCs w:val="22"/>
        </w:rPr>
        <w:t>.</w:t>
      </w:r>
      <w:r>
        <w:rPr>
          <w:szCs w:val="22"/>
        </w:rPr>
        <w:tab/>
        <w:t>Residence rules</w:t>
      </w:r>
      <w:bookmarkEnd w:id="46"/>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47" w:name="_Toc435097831"/>
      <w:r>
        <w:rPr>
          <w:rStyle w:val="CharSClsNo"/>
          <w:szCs w:val="22"/>
        </w:rPr>
        <w:t>24</w:t>
      </w:r>
      <w:r>
        <w:rPr>
          <w:szCs w:val="22"/>
        </w:rPr>
        <w:t>.</w:t>
      </w:r>
      <w:r>
        <w:rPr>
          <w:szCs w:val="22"/>
        </w:rPr>
        <w:tab/>
        <w:t>Residents’ committee of retirement village residents</w:t>
      </w:r>
      <w:bookmarkEnd w:id="47"/>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48" w:name="_Toc435097832"/>
      <w:r>
        <w:rPr>
          <w:rStyle w:val="CharSClsNo"/>
          <w:szCs w:val="22"/>
        </w:rPr>
        <w:t>25</w:t>
      </w:r>
      <w:r>
        <w:rPr>
          <w:szCs w:val="22"/>
        </w:rPr>
        <w:t>.</w:t>
      </w:r>
      <w:r>
        <w:rPr>
          <w:szCs w:val="22"/>
        </w:rPr>
        <w:tab/>
        <w:t>Incorporated association formed to carry out function of residents’ committee</w:t>
      </w:r>
      <w:bookmarkEnd w:id="48"/>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49" w:name="_Toc435097833"/>
      <w:r>
        <w:rPr>
          <w:rStyle w:val="CharSClsNo"/>
          <w:szCs w:val="22"/>
        </w:rPr>
        <w:t>26</w:t>
      </w:r>
      <w:r>
        <w:rPr>
          <w:szCs w:val="22"/>
        </w:rPr>
        <w:t>.</w:t>
      </w:r>
      <w:r>
        <w:rPr>
          <w:szCs w:val="22"/>
        </w:rPr>
        <w:tab/>
        <w:t>Residents’ meetings</w:t>
      </w:r>
      <w:bookmarkEnd w:id="49"/>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50" w:name="_Toc435097834"/>
      <w:r>
        <w:rPr>
          <w:rStyle w:val="CharSClsNo"/>
          <w:szCs w:val="22"/>
        </w:rPr>
        <w:t>27</w:t>
      </w:r>
      <w:r>
        <w:rPr>
          <w:szCs w:val="22"/>
        </w:rPr>
        <w:t>.</w:t>
      </w:r>
      <w:r>
        <w:rPr>
          <w:szCs w:val="22"/>
        </w:rPr>
        <w:tab/>
        <w:t>Proxy voting</w:t>
      </w:r>
      <w:bookmarkEnd w:id="50"/>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51" w:name="_Toc435097835"/>
      <w:r>
        <w:rPr>
          <w:rStyle w:val="CharSClsNo"/>
          <w:szCs w:val="22"/>
        </w:rPr>
        <w:t>28</w:t>
      </w:r>
      <w:r>
        <w:rPr>
          <w:szCs w:val="22"/>
        </w:rPr>
        <w:t>.</w:t>
      </w:r>
      <w:r>
        <w:rPr>
          <w:szCs w:val="22"/>
        </w:rPr>
        <w:tab/>
        <w:t>Voting by secret ballot</w:t>
      </w:r>
      <w:bookmarkEnd w:id="51"/>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52" w:name="_Toc435097201"/>
      <w:bookmarkStart w:id="53" w:name="_Toc435097836"/>
      <w:r>
        <w:rPr>
          <w:rStyle w:val="CharSDivNo"/>
        </w:rPr>
        <w:t>Division 6</w:t>
      </w:r>
      <w:r>
        <w:t> — </w:t>
      </w:r>
      <w:r>
        <w:rPr>
          <w:rStyle w:val="CharSDivText"/>
        </w:rPr>
        <w:t>Dispute resolution</w:t>
      </w:r>
      <w:bookmarkEnd w:id="52"/>
      <w:bookmarkEnd w:id="53"/>
    </w:p>
    <w:p>
      <w:pPr>
        <w:pStyle w:val="yHeading5"/>
        <w:rPr>
          <w:szCs w:val="22"/>
        </w:rPr>
      </w:pPr>
      <w:bookmarkStart w:id="54" w:name="_Toc435097837"/>
      <w:r>
        <w:rPr>
          <w:rStyle w:val="CharSClsNo"/>
          <w:szCs w:val="22"/>
        </w:rPr>
        <w:t>29</w:t>
      </w:r>
      <w:r>
        <w:rPr>
          <w:szCs w:val="22"/>
        </w:rPr>
        <w:t>.</w:t>
      </w:r>
      <w:r>
        <w:rPr>
          <w:szCs w:val="22"/>
        </w:rPr>
        <w:tab/>
        <w:t>Terms used</w:t>
      </w:r>
      <w:bookmarkEnd w:id="54"/>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55" w:name="_Toc435097838"/>
      <w:r>
        <w:rPr>
          <w:rStyle w:val="CharSClsNo"/>
          <w:szCs w:val="22"/>
        </w:rPr>
        <w:t>30</w:t>
      </w:r>
      <w:r>
        <w:rPr>
          <w:szCs w:val="22"/>
        </w:rPr>
        <w:t>.</w:t>
      </w:r>
      <w:r>
        <w:rPr>
          <w:szCs w:val="22"/>
        </w:rPr>
        <w:tab/>
        <w:t>Village dispute resolution process</w:t>
      </w:r>
      <w:bookmarkEnd w:id="55"/>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56" w:name="_Toc435097839"/>
      <w:r>
        <w:rPr>
          <w:rStyle w:val="CharSClsNo"/>
          <w:szCs w:val="22"/>
        </w:rPr>
        <w:t>31</w:t>
      </w:r>
      <w:r>
        <w:rPr>
          <w:szCs w:val="22"/>
        </w:rPr>
        <w:t>.</w:t>
      </w:r>
      <w:r>
        <w:rPr>
          <w:szCs w:val="22"/>
        </w:rPr>
        <w:tab/>
        <w:t>Mediation of dispute</w:t>
      </w:r>
      <w:bookmarkEnd w:id="56"/>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57" w:name="_Toc435097840"/>
      <w:r>
        <w:rPr>
          <w:rStyle w:val="CharSClsNo"/>
          <w:szCs w:val="22"/>
        </w:rPr>
        <w:t>32</w:t>
      </w:r>
      <w:r>
        <w:rPr>
          <w:szCs w:val="22"/>
        </w:rPr>
        <w:t>.</w:t>
      </w:r>
      <w:r>
        <w:rPr>
          <w:szCs w:val="22"/>
        </w:rPr>
        <w:tab/>
        <w:t>Costs associated with dispute resolution process</w:t>
      </w:r>
      <w:bookmarkEnd w:id="57"/>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t>The costs 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If the administering body of a retirement village incurs costs as a result of complying with the village dispute resolution process set out in clause 30(2), the administering body must not recover those costs from a resident or a former resident.</w:t>
      </w:r>
    </w:p>
    <w:p>
      <w:pPr>
        <w:pStyle w:val="yHeading5"/>
      </w:pPr>
      <w:bookmarkStart w:id="58" w:name="_Toc435097841"/>
      <w:r>
        <w:rPr>
          <w:rStyle w:val="CharSClsNo"/>
        </w:rPr>
        <w:t>33</w:t>
      </w:r>
      <w:r>
        <w:t>.</w:t>
      </w:r>
      <w:r>
        <w:tab/>
        <w:t>Costs associated with Commissioner</w:t>
      </w:r>
      <w:r>
        <w:noBreakHyphen/>
        <w:t>appointed mediation</w:t>
      </w:r>
      <w:bookmarkEnd w:id="58"/>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59" w:name="_Toc435097207"/>
      <w:bookmarkStart w:id="60" w:name="_Toc435097842"/>
      <w:r>
        <w:rPr>
          <w:rStyle w:val="CharSDivNo"/>
        </w:rPr>
        <w:t>Division 7</w:t>
      </w:r>
      <w:r>
        <w:t> — </w:t>
      </w:r>
      <w:r>
        <w:rPr>
          <w:rStyle w:val="CharSDivText"/>
        </w:rPr>
        <w:t>Termination of residence contracts</w:t>
      </w:r>
      <w:bookmarkEnd w:id="59"/>
      <w:bookmarkEnd w:id="60"/>
    </w:p>
    <w:p>
      <w:pPr>
        <w:pStyle w:val="yHeading5"/>
        <w:rPr>
          <w:szCs w:val="22"/>
        </w:rPr>
      </w:pPr>
      <w:bookmarkStart w:id="61" w:name="_Toc435097843"/>
      <w:r>
        <w:rPr>
          <w:rStyle w:val="CharSClsNo"/>
          <w:szCs w:val="22"/>
        </w:rPr>
        <w:t>34</w:t>
      </w:r>
      <w:r>
        <w:rPr>
          <w:szCs w:val="22"/>
        </w:rPr>
        <w:t>.</w:t>
      </w:r>
      <w:r>
        <w:rPr>
          <w:szCs w:val="22"/>
        </w:rPr>
        <w:tab/>
        <w:t>Notice of intention to terminate</w:t>
      </w:r>
      <w:bookmarkEnd w:id="61"/>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62" w:name="_Toc435097209"/>
      <w:bookmarkStart w:id="63" w:name="_Toc435097844"/>
      <w:r>
        <w:rPr>
          <w:rStyle w:val="CharSDivNo"/>
        </w:rPr>
        <w:t>Division 8</w:t>
      </w:r>
      <w:r>
        <w:t> — </w:t>
      </w:r>
      <w:r>
        <w:rPr>
          <w:rStyle w:val="CharSDivText"/>
        </w:rPr>
        <w:t>Service of documents</w:t>
      </w:r>
      <w:bookmarkEnd w:id="62"/>
      <w:bookmarkEnd w:id="63"/>
    </w:p>
    <w:p>
      <w:pPr>
        <w:pStyle w:val="yHeading5"/>
        <w:rPr>
          <w:szCs w:val="22"/>
        </w:rPr>
      </w:pPr>
      <w:bookmarkStart w:id="64" w:name="_Toc435097845"/>
      <w:r>
        <w:rPr>
          <w:rStyle w:val="CharSClsNo"/>
          <w:szCs w:val="22"/>
        </w:rPr>
        <w:t>35</w:t>
      </w:r>
      <w:r>
        <w:rPr>
          <w:szCs w:val="22"/>
        </w:rPr>
        <w:t>.</w:t>
      </w:r>
      <w:r>
        <w:rPr>
          <w:szCs w:val="22"/>
        </w:rPr>
        <w:tab/>
        <w:t>Service of documents</w:t>
      </w:r>
      <w:bookmarkEnd w:id="64"/>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65" w:name="_Toc435097211"/>
      <w:bookmarkStart w:id="66" w:name="_Toc435097846"/>
      <w:r>
        <w:rPr>
          <w:rStyle w:val="CharSDivNo"/>
        </w:rPr>
        <w:t>Division 9</w:t>
      </w:r>
      <w:r>
        <w:t> — </w:t>
      </w:r>
      <w:r>
        <w:rPr>
          <w:rStyle w:val="CharSDivText"/>
        </w:rPr>
        <w:t>Transitional and saving</w:t>
      </w:r>
      <w:bookmarkEnd w:id="65"/>
      <w:bookmarkEnd w:id="66"/>
    </w:p>
    <w:p>
      <w:pPr>
        <w:pStyle w:val="yHeading5"/>
      </w:pPr>
      <w:bookmarkStart w:id="67" w:name="_Toc435097847"/>
      <w:r>
        <w:rPr>
          <w:rStyle w:val="CharSClsNo"/>
        </w:rPr>
        <w:t>36</w:t>
      </w:r>
      <w:r>
        <w:t>.</w:t>
      </w:r>
      <w:r>
        <w:tab/>
        <w:t>Residence and service contracts</w:t>
      </w:r>
      <w:bookmarkEnd w:id="67"/>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68" w:name="_Toc435097848"/>
      <w:r>
        <w:rPr>
          <w:rStyle w:val="CharSClsNo"/>
        </w:rPr>
        <w:t>37</w:t>
      </w:r>
      <w:r>
        <w:t>.</w:t>
      </w:r>
      <w:r>
        <w:tab/>
        <w:t>When accounting and financial reporting provisions start to apply to existing retirement villages</w:t>
      </w:r>
      <w:bookmarkEnd w:id="68"/>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69" w:name="_Toc435097214"/>
      <w:bookmarkStart w:id="70" w:name="_Toc435097849"/>
      <w:r>
        <w:rPr>
          <w:rStyle w:val="CharSchNo"/>
        </w:rPr>
        <w:t>Appendix 1</w:t>
      </w:r>
      <w:r>
        <w:rPr>
          <w:rStyle w:val="CharSDivNo"/>
        </w:rPr>
        <w:t> </w:t>
      </w:r>
      <w:r>
        <w:t>—</w:t>
      </w:r>
      <w:r>
        <w:rPr>
          <w:rStyle w:val="CharSDivText"/>
        </w:rPr>
        <w:t> </w:t>
      </w:r>
      <w:r>
        <w:rPr>
          <w:rStyle w:val="CharSchText"/>
        </w:rPr>
        <w:t>Checklist for prospective resident</w:t>
      </w:r>
      <w:bookmarkEnd w:id="69"/>
      <w:bookmarkEnd w:id="70"/>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71" w:name="_Toc435097215"/>
      <w:bookmarkStart w:id="72" w:name="_Toc435097850"/>
      <w:r>
        <w:rPr>
          <w:rStyle w:val="CharSchNo"/>
        </w:rPr>
        <w:t>Appendix 2</w:t>
      </w:r>
      <w:r>
        <w:rPr>
          <w:rStyle w:val="CharSDivNo"/>
        </w:rPr>
        <w:t> </w:t>
      </w:r>
      <w:r>
        <w:t>—</w:t>
      </w:r>
      <w:r>
        <w:rPr>
          <w:rStyle w:val="CharSDivText"/>
        </w:rPr>
        <w:t> </w:t>
      </w:r>
      <w:r>
        <w:rPr>
          <w:rStyle w:val="CharSchText"/>
        </w:rPr>
        <w:t>Form of appointment of proxy</w:t>
      </w:r>
      <w:bookmarkEnd w:id="71"/>
      <w:bookmarkEnd w:id="72"/>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73" w:name="_Toc435097216"/>
      <w:bookmarkStart w:id="74" w:name="_Toc435097851"/>
      <w:r>
        <w:t>Notes</w:t>
      </w:r>
      <w:bookmarkEnd w:id="73"/>
      <w:bookmarkEnd w:id="74"/>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75" w:name="_Toc435097852"/>
      <w:r>
        <w:t>Compilation table</w:t>
      </w:r>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single" w:sz="4" w:space="0" w:color="auto"/>
            </w:tcBorders>
          </w:tcPr>
          <w:p>
            <w:pPr>
              <w:pStyle w:val="nTable"/>
              <w:spacing w:after="40"/>
              <w:rPr>
                <w:i/>
                <w:noProof/>
              </w:rPr>
            </w:pPr>
            <w:r>
              <w:rPr>
                <w:i/>
                <w:noProof/>
              </w:rPr>
              <w:t>Fair Trading (Retirement Villages Code) Amendment Regulations 2015</w:t>
            </w:r>
          </w:p>
        </w:tc>
        <w:tc>
          <w:tcPr>
            <w:tcW w:w="1276" w:type="dxa"/>
            <w:tcBorders>
              <w:top w:val="nil"/>
              <w:bottom w:val="single" w:sz="4" w:space="0" w:color="auto"/>
            </w:tcBorders>
          </w:tcPr>
          <w:p>
            <w:pPr>
              <w:pStyle w:val="nTable"/>
              <w:spacing w:after="40"/>
            </w:pPr>
            <w:r>
              <w:t>6 Oct 2015 p. 3965</w:t>
            </w:r>
            <w:r>
              <w:noBreakHyphen/>
              <w:t>6</w:t>
            </w:r>
          </w:p>
        </w:tc>
        <w:tc>
          <w:tcPr>
            <w:tcW w:w="2693" w:type="dxa"/>
            <w:tcBorders>
              <w:top w:val="nil"/>
              <w:bottom w:val="single" w:sz="4" w:space="0" w:color="auto"/>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77" w:name="_Toc435097218"/>
      <w:bookmarkStart w:id="78" w:name="_Toc435097853"/>
      <w:r>
        <w:rPr>
          <w:sz w:val="28"/>
        </w:rPr>
        <w:t>Defined terms</w:t>
      </w:r>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new accounting and financial reporting requirements</w:t>
      </w:r>
      <w:r>
        <w:tab/>
        <w:t>Sch. 1 cl. 37(1)</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keepNext/>
      </w:pPr>
      <w:r>
        <w:t>withdrawal notice</w:t>
      </w:r>
      <w:r>
        <w:tab/>
        <w:t>Sch. 1 cl. 31(15)</w:t>
      </w:r>
    </w:p>
    <w:p>
      <w:pPr>
        <w:pStyle w:val="DefinedTerms"/>
        <w:keepNext/>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15A2A1E"/>
    <w:lvl w:ilvl="0">
      <w:start w:val="1"/>
      <w:numFmt w:val="decimal"/>
      <w:lvlText w:val="%1."/>
      <w:lvlJc w:val="left"/>
      <w:pPr>
        <w:tabs>
          <w:tab w:val="num" w:pos="643"/>
        </w:tabs>
        <w:ind w:left="643" w:hanging="360"/>
      </w:pPr>
    </w:lvl>
  </w:abstractNum>
  <w:abstractNum w:abstractNumId="1">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83E2D3D6"/>
    <w:lvl w:ilvl="0">
      <w:start w:val="1"/>
      <w:numFmt w:val="decimal"/>
      <w:lvlText w:val="%1."/>
      <w:lvlJc w:val="left"/>
      <w:pPr>
        <w:tabs>
          <w:tab w:val="num" w:pos="360"/>
        </w:tabs>
        <w:ind w:left="360" w:hanging="360"/>
      </w:pPr>
    </w:lvl>
  </w:abstractNum>
  <w:abstractNum w:abstractNumId="6">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3F1D7FC5"/>
    <w:multiLevelType w:val="singleLevel"/>
    <w:tmpl w:val="0C09000F"/>
    <w:lvl w:ilvl="0">
      <w:start w:val="1"/>
      <w:numFmt w:val="decimal"/>
      <w:lvlText w:val="%1."/>
      <w:lvlJc w:val="left"/>
      <w:pPr>
        <w:tabs>
          <w:tab w:val="num" w:pos="360"/>
        </w:tabs>
        <w:ind w:left="360" w:hanging="360"/>
      </w:pPr>
    </w:lvl>
  </w:abstractNum>
  <w:abstractNum w:abstractNumId="23">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936"/>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B571F-6894-4DC6-9521-1EBBDFB38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15680</Words>
  <Characters>80912</Characters>
  <Application>Microsoft Office Word</Application>
  <DocSecurity>0</DocSecurity>
  <Lines>1926</Lines>
  <Paragraphs>995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2015 - 00-c0-03</dc:title>
  <dc:subject/>
  <dc:creator/>
  <cp:keywords/>
  <dc:description/>
  <cp:lastModifiedBy>svcMRProcess</cp:lastModifiedBy>
  <cp:revision>4</cp:revision>
  <cp:lastPrinted>2015-03-03T03:38:00Z</cp:lastPrinted>
  <dcterms:created xsi:type="dcterms:W3CDTF">2018-09-19T18:22:00Z</dcterms:created>
  <dcterms:modified xsi:type="dcterms:W3CDTF">2018-09-19T18:22:00Z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07 Oct 2015</vt:lpwstr>
  </property>
  <property fmtid="{D5CDD505-2E9C-101B-9397-08002B2CF9AE}" pid="3" name="Suffix">
    <vt:lpwstr>00-c0-03</vt:lpwstr>
  </property>
  <property fmtid="{D5CDD505-2E9C-101B-9397-08002B2CF9AE}" pid="4" name="DocumentType">
    <vt:lpwstr>Reg</vt:lpwstr>
  </property>
  <property fmtid="{D5CDD505-2E9C-101B-9397-08002B2CF9AE}" pid="5" name="CommencementDate">
    <vt:lpwstr>20151007</vt:lpwstr>
  </property>
</Properties>
</file>