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Personal Property Securities (Commonwealth Laws)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_Toc32332190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_Toc32332191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_Toc32332193 \h </w:instrText>
      </w:r>
      <w:r>
        <w:fldChar w:fldCharType="separate"/>
      </w:r>
      <w:r>
        <w:t>3</w:t>
      </w:r>
      <w:r>
        <w:fldChar w:fldCharType="end"/>
      </w:r>
    </w:p>
    <w:p>
      <w:pPr>
        <w:pStyle w:val="TOC8"/>
        <w:rPr>
          <w:rFonts w:asciiTheme="minorHAnsi" w:eastAsiaTheme="minorEastAsia" w:hAnsiTheme="minorHAnsi" w:cstheme="minorBidi"/>
          <w:szCs w:val="22"/>
        </w:rPr>
      </w:pPr>
      <w:r>
        <w:t>4.</w:t>
      </w:r>
      <w:r>
        <w:tab/>
        <w:t>Term used: referred PPS matters</w:t>
      </w:r>
      <w:r>
        <w:tab/>
      </w:r>
      <w:r>
        <w:fldChar w:fldCharType="begin"/>
      </w:r>
      <w:r>
        <w:instrText xml:space="preserve"> PAGEREF _Toc32332194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security interest</w:t>
      </w:r>
      <w:r>
        <w:tab/>
      </w:r>
      <w:r>
        <w:fldChar w:fldCharType="begin"/>
      </w:r>
      <w:r>
        <w:instrText xml:space="preserve"> PAGEREF _Toc32332195 \h </w:instrText>
      </w:r>
      <w:r>
        <w:fldChar w:fldCharType="separate"/>
      </w:r>
      <w:r>
        <w:t>7</w:t>
      </w:r>
      <w:r>
        <w:fldChar w:fldCharType="end"/>
      </w:r>
    </w:p>
    <w:p>
      <w:pPr>
        <w:pStyle w:val="TOC8"/>
        <w:rPr>
          <w:rFonts w:asciiTheme="minorHAnsi" w:eastAsiaTheme="minorEastAsia" w:hAnsiTheme="minorHAnsi" w:cstheme="minorBidi"/>
          <w:szCs w:val="22"/>
        </w:rPr>
      </w:pPr>
      <w:r>
        <w:t>6.</w:t>
      </w:r>
      <w:r>
        <w:tab/>
        <w:t>Adoption of Commonwealth PPS Act</w:t>
      </w:r>
      <w:r>
        <w:tab/>
      </w:r>
      <w:r>
        <w:fldChar w:fldCharType="begin"/>
      </w:r>
      <w:r>
        <w:instrText xml:space="preserve"> PAGEREF _Toc32332196 \h </w:instrText>
      </w:r>
      <w:r>
        <w:fldChar w:fldCharType="separate"/>
      </w:r>
      <w:r>
        <w:t>7</w:t>
      </w:r>
      <w:r>
        <w:fldChar w:fldCharType="end"/>
      </w:r>
    </w:p>
    <w:p>
      <w:pPr>
        <w:pStyle w:val="TOC8"/>
        <w:rPr>
          <w:rFonts w:asciiTheme="minorHAnsi" w:eastAsiaTheme="minorEastAsia" w:hAnsiTheme="minorHAnsi" w:cstheme="minorBidi"/>
          <w:szCs w:val="22"/>
        </w:rPr>
      </w:pPr>
      <w:r>
        <w:t>7.</w:t>
      </w:r>
      <w:r>
        <w:tab/>
        <w:t>Termination of adoption</w:t>
      </w:r>
      <w:r>
        <w:tab/>
      </w:r>
      <w:r>
        <w:fldChar w:fldCharType="begin"/>
      </w:r>
      <w:r>
        <w:instrText xml:space="preserve"> PAGEREF _Toc32332197 \h </w:instrText>
      </w:r>
      <w:r>
        <w:fldChar w:fldCharType="separate"/>
      </w:r>
      <w:r>
        <w:t>8</w:t>
      </w:r>
      <w:r>
        <w:fldChar w:fldCharType="end"/>
      </w:r>
    </w:p>
    <w:p>
      <w:pPr>
        <w:pStyle w:val="TOC8"/>
        <w:rPr>
          <w:rFonts w:asciiTheme="minorHAnsi" w:eastAsiaTheme="minorEastAsia" w:hAnsiTheme="minorHAnsi" w:cstheme="minorBidi"/>
          <w:szCs w:val="22"/>
        </w:rPr>
      </w:pPr>
      <w:r>
        <w:t>8.</w:t>
      </w:r>
      <w:r>
        <w:tab/>
        <w:t>References of matters</w:t>
      </w:r>
      <w:r>
        <w:tab/>
      </w:r>
      <w:r>
        <w:fldChar w:fldCharType="begin"/>
      </w:r>
      <w:r>
        <w:instrText xml:space="preserve"> PAGEREF _Toc32332198 \h </w:instrText>
      </w:r>
      <w:r>
        <w:fldChar w:fldCharType="separate"/>
      </w:r>
      <w:r>
        <w:t>8</w:t>
      </w:r>
      <w:r>
        <w:fldChar w:fldCharType="end"/>
      </w:r>
    </w:p>
    <w:p>
      <w:pPr>
        <w:pStyle w:val="TOC8"/>
        <w:rPr>
          <w:rFonts w:asciiTheme="minorHAnsi" w:eastAsiaTheme="minorEastAsia" w:hAnsiTheme="minorHAnsi" w:cstheme="minorBidi"/>
          <w:szCs w:val="22"/>
        </w:rPr>
      </w:pPr>
      <w:r>
        <w:t>9.</w:t>
      </w:r>
      <w:r>
        <w:tab/>
        <w:t>Termination of references</w:t>
      </w:r>
      <w:r>
        <w:tab/>
      </w:r>
      <w:r>
        <w:fldChar w:fldCharType="begin"/>
      </w:r>
      <w:r>
        <w:instrText xml:space="preserve"> PAGEREF _Toc32332199 \h </w:instrText>
      </w:r>
      <w:r>
        <w:fldChar w:fldCharType="separate"/>
      </w:r>
      <w:r>
        <w:t>9</w:t>
      </w:r>
      <w:r>
        <w:fldChar w:fldCharType="end"/>
      </w:r>
    </w:p>
    <w:p>
      <w:pPr>
        <w:pStyle w:val="TOC8"/>
        <w:rPr>
          <w:rFonts w:asciiTheme="minorHAnsi" w:eastAsiaTheme="minorEastAsia" w:hAnsiTheme="minorHAnsi" w:cstheme="minorBidi"/>
          <w:szCs w:val="22"/>
        </w:rPr>
      </w:pPr>
      <w:r>
        <w:t>10.</w:t>
      </w:r>
      <w:r>
        <w:tab/>
        <w:t>Amendment of Commonwealth law</w:t>
      </w:r>
      <w:r>
        <w:tab/>
      </w:r>
      <w:r>
        <w:fldChar w:fldCharType="begin"/>
      </w:r>
      <w:r>
        <w:instrText xml:space="preserve"> PAGEREF _Toc32332200 \h </w:instrText>
      </w:r>
      <w:r>
        <w:fldChar w:fldCharType="separate"/>
      </w:r>
      <w:r>
        <w:t>10</w:t>
      </w:r>
      <w:r>
        <w:fldChar w:fldCharType="end"/>
      </w:r>
    </w:p>
    <w:p>
      <w:pPr>
        <w:pStyle w:val="TOC8"/>
        <w:rPr>
          <w:rFonts w:asciiTheme="minorHAnsi" w:eastAsiaTheme="minorEastAsia" w:hAnsiTheme="minorHAnsi" w:cstheme="minorBidi"/>
          <w:szCs w:val="22"/>
        </w:rPr>
      </w:pPr>
      <w:r>
        <w:t>11.</w:t>
      </w:r>
      <w:r>
        <w:tab/>
        <w:t>Effect of termination of amendment references before termination of adoption of Commonwealth PPS Act</w:t>
      </w:r>
      <w:r>
        <w:tab/>
      </w:r>
      <w:r>
        <w:fldChar w:fldCharType="begin"/>
      </w:r>
      <w:r>
        <w:instrText xml:space="preserve"> PAGEREF _Toc32332201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provisions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_Toc32332203 \h </w:instrText>
      </w:r>
      <w:r>
        <w:fldChar w:fldCharType="separate"/>
      </w:r>
      <w:r>
        <w:t>13</w:t>
      </w:r>
      <w:r>
        <w:fldChar w:fldCharType="end"/>
      </w:r>
    </w:p>
    <w:p>
      <w:pPr>
        <w:pStyle w:val="TOC8"/>
        <w:rPr>
          <w:rFonts w:asciiTheme="minorHAnsi" w:eastAsiaTheme="minorEastAsia" w:hAnsiTheme="minorHAnsi" w:cstheme="minorBidi"/>
          <w:szCs w:val="22"/>
        </w:rPr>
      </w:pPr>
      <w:r>
        <w:t>13.</w:t>
      </w:r>
      <w:r>
        <w:tab/>
        <w:t>Provision of information to the Commonwealth</w:t>
      </w:r>
      <w:r>
        <w:tab/>
      </w:r>
      <w:r>
        <w:fldChar w:fldCharType="begin"/>
      </w:r>
      <w:r>
        <w:instrText xml:space="preserve"> PAGEREF _Toc32332204 \h </w:instrText>
      </w:r>
      <w:r>
        <w:fldChar w:fldCharType="separate"/>
      </w:r>
      <w:r>
        <w:t>14</w:t>
      </w:r>
      <w:r>
        <w:fldChar w:fldCharType="end"/>
      </w:r>
    </w:p>
    <w:p>
      <w:pPr>
        <w:pStyle w:val="TOC8"/>
        <w:rPr>
          <w:rFonts w:asciiTheme="minorHAnsi" w:eastAsiaTheme="minorEastAsia" w:hAnsiTheme="minorHAnsi" w:cstheme="minorBidi"/>
          <w:szCs w:val="22"/>
        </w:rPr>
      </w:pPr>
      <w:r>
        <w:t>14.</w:t>
      </w:r>
      <w:r>
        <w:tab/>
        <w:t>Compensation not payable in respect of PPS transitional matters</w:t>
      </w:r>
      <w:r>
        <w:tab/>
      </w:r>
      <w:r>
        <w:fldChar w:fldCharType="begin"/>
      </w:r>
      <w:r>
        <w:instrText xml:space="preserve"> PAGEREF _Toc32332205 \h </w:instrText>
      </w:r>
      <w:r>
        <w:fldChar w:fldCharType="separate"/>
      </w:r>
      <w:r>
        <w:t>14</w:t>
      </w:r>
      <w:r>
        <w:fldChar w:fldCharType="end"/>
      </w:r>
    </w:p>
    <w:p>
      <w:pPr>
        <w:pStyle w:val="TOC8"/>
        <w:rPr>
          <w:rFonts w:asciiTheme="minorHAnsi" w:eastAsiaTheme="minorEastAsia" w:hAnsiTheme="minorHAnsi" w:cstheme="minorBidi"/>
          <w:szCs w:val="22"/>
        </w:rPr>
      </w:pPr>
      <w:r>
        <w:t>15.</w:t>
      </w:r>
      <w:r>
        <w:tab/>
        <w:t>Implied power to make declaration that licence etc. not personal property</w:t>
      </w:r>
      <w:r>
        <w:tab/>
      </w:r>
      <w:r>
        <w:fldChar w:fldCharType="begin"/>
      </w:r>
      <w:r>
        <w:instrText xml:space="preserve"> PAGEREF _Toc32332206 \h </w:instrText>
      </w:r>
      <w:r>
        <w:fldChar w:fldCharType="separate"/>
      </w:r>
      <w:r>
        <w:t>15</w:t>
      </w:r>
      <w:r>
        <w:fldChar w:fldCharType="end"/>
      </w:r>
    </w:p>
    <w:p>
      <w:pPr>
        <w:pStyle w:val="TOC8"/>
        <w:rPr>
          <w:rFonts w:asciiTheme="minorHAnsi" w:eastAsiaTheme="minorEastAsia" w:hAnsiTheme="minorHAnsi" w:cstheme="minorBidi"/>
          <w:szCs w:val="22"/>
        </w:rPr>
      </w:pPr>
      <w:r>
        <w:t>16.</w:t>
      </w:r>
      <w:r>
        <w:tab/>
        <w:t>References to charges and fixed and floating charges</w:t>
      </w:r>
      <w:r>
        <w:tab/>
      </w:r>
      <w:r>
        <w:fldChar w:fldCharType="begin"/>
      </w:r>
      <w:r>
        <w:instrText xml:space="preserve"> PAGEREF _Toc32332207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tab/>
        <w:t>Enforcement of and other dealings with PPS security interests restricted in certain circumstances</w:t>
      </w:r>
      <w:r>
        <w:tab/>
      </w:r>
      <w:r>
        <w:fldChar w:fldCharType="begin"/>
      </w:r>
      <w:r>
        <w:instrText xml:space="preserve"> PAGEREF _Toc32332208 \h </w:instrText>
      </w:r>
      <w:r>
        <w:fldChar w:fldCharType="separate"/>
      </w:r>
      <w:r>
        <w:t>16</w:t>
      </w:r>
      <w:r>
        <w:fldChar w:fldCharType="end"/>
      </w:r>
    </w:p>
    <w:p>
      <w:pPr>
        <w:pStyle w:val="TOC8"/>
        <w:rPr>
          <w:rFonts w:asciiTheme="minorHAnsi" w:eastAsiaTheme="minorEastAsia" w:hAnsiTheme="minorHAnsi" w:cstheme="minorBidi"/>
          <w:szCs w:val="22"/>
        </w:rPr>
      </w:pPr>
      <w:r>
        <w:t>18.</w:t>
      </w:r>
      <w:r>
        <w:tab/>
        <w:t>Bills of sale records</w:t>
      </w:r>
      <w:r>
        <w:tab/>
      </w:r>
      <w:r>
        <w:fldChar w:fldCharType="begin"/>
      </w:r>
      <w:r>
        <w:instrText xml:space="preserve"> PAGEREF _Toc32332209 \h </w:instrText>
      </w:r>
      <w:r>
        <w:fldChar w:fldCharType="separate"/>
      </w:r>
      <w:r>
        <w:t>18</w:t>
      </w:r>
      <w:r>
        <w:fldChar w:fldCharType="end"/>
      </w:r>
    </w:p>
    <w:p>
      <w:pPr>
        <w:pStyle w:val="TOC8"/>
        <w:rPr>
          <w:rFonts w:asciiTheme="minorHAnsi" w:eastAsiaTheme="minorEastAsia" w:hAnsiTheme="minorHAnsi" w:cstheme="minorBidi"/>
          <w:szCs w:val="22"/>
        </w:rPr>
      </w:pPr>
      <w:r>
        <w:t>19.</w:t>
      </w:r>
      <w:r>
        <w:tab/>
        <w:t>Regulations for transitional matters</w:t>
      </w:r>
      <w:r>
        <w:tab/>
      </w:r>
      <w:r>
        <w:fldChar w:fldCharType="begin"/>
      </w:r>
      <w:r>
        <w:instrText xml:space="preserve"> PAGEREF _Toc32332210 \h </w:instrText>
      </w:r>
      <w:r>
        <w:fldChar w:fldCharType="separate"/>
      </w:r>
      <w:r>
        <w:t>19</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_Toc32332211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_Toc32332213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_Toc32332214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7728" behindDoc="0" locked="0" layoutInCell="1" allowOverlap="1">
            <wp:simplePos x="0" y="0"/>
            <wp:positionH relativeFrom="page">
              <wp:posOffset>3455670</wp:posOffset>
            </wp:positionH>
            <wp:positionV relativeFrom="page">
              <wp:posOffset>827405</wp:posOffset>
            </wp:positionV>
            <wp:extent cx="647700" cy="473710"/>
            <wp:effectExtent l="0" t="0" r="0" b="254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7700" cy="47371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uppressLineNumbers/>
      </w:pPr>
      <w:r>
        <w:t>Personal Property Securities (Commonwealth Laws) Act 2011</w:t>
      </w:r>
    </w:p>
    <w:p>
      <w:pPr>
        <w:pStyle w:val="LongTitle"/>
        <w:suppressLineNumbers/>
        <w:rPr>
          <w:snapToGrid w:val="0"/>
        </w:rPr>
      </w:pPr>
      <w:bookmarkStart w:id="3" w:name="BillCited"/>
      <w:bookmarkEnd w:id="3"/>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22"/>
          <w:headerReference w:type="defaul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2332162"/>
      <w:bookmarkStart w:id="5" w:name="_Toc32332189"/>
      <w:r>
        <w:rPr>
          <w:rStyle w:val="CharPartNo"/>
        </w:rPr>
        <w:t>Part 1</w:t>
      </w:r>
      <w:r>
        <w:rPr>
          <w:rStyle w:val="CharDivNo"/>
        </w:rPr>
        <w:t> </w:t>
      </w:r>
      <w:r>
        <w:t>—</w:t>
      </w:r>
      <w:r>
        <w:rPr>
          <w:rStyle w:val="CharDivText"/>
        </w:rPr>
        <w:t> </w:t>
      </w:r>
      <w:r>
        <w:rPr>
          <w:rStyle w:val="CharPartText"/>
        </w:rPr>
        <w:t>Preliminary</w:t>
      </w:r>
      <w:bookmarkEnd w:id="4"/>
      <w:bookmarkEnd w:id="5"/>
    </w:p>
    <w:p>
      <w:pPr>
        <w:pStyle w:val="Heading5"/>
        <w:rPr>
          <w:snapToGrid w:val="0"/>
        </w:rPr>
      </w:pPr>
      <w:bookmarkStart w:id="6" w:name="_Toc32332190"/>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7" w:name="_Toc32332191"/>
      <w:r>
        <w:rPr>
          <w:rStyle w:val="CharSectno"/>
        </w:rPr>
        <w:t>2</w:t>
      </w:r>
      <w:r>
        <w:rPr>
          <w:snapToGrid w:val="0"/>
        </w:rPr>
        <w:t>.</w:t>
      </w:r>
      <w:r>
        <w:rPr>
          <w:snapToGrid w:val="0"/>
        </w:rPr>
        <w:tab/>
      </w:r>
      <w:r>
        <w:t>Commencement</w:t>
      </w:r>
      <w:bookmarkEnd w:id="7"/>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8" w:name="_Toc32332165"/>
      <w:bookmarkStart w:id="9" w:name="_Toc32332192"/>
      <w:r>
        <w:rPr>
          <w:rStyle w:val="CharPartNo"/>
        </w:rPr>
        <w:t>Part 2</w:t>
      </w:r>
      <w:r>
        <w:rPr>
          <w:rStyle w:val="CharDivNo"/>
        </w:rPr>
        <w:t> </w:t>
      </w:r>
      <w:r>
        <w:t>—</w:t>
      </w:r>
      <w:r>
        <w:rPr>
          <w:rStyle w:val="CharDivText"/>
        </w:rPr>
        <w:t> </w:t>
      </w:r>
      <w:r>
        <w:rPr>
          <w:rStyle w:val="CharPartText"/>
        </w:rPr>
        <w:t>Adoption and referral</w:t>
      </w:r>
      <w:bookmarkEnd w:id="8"/>
      <w:bookmarkEnd w:id="9"/>
    </w:p>
    <w:p>
      <w:pPr>
        <w:pStyle w:val="Heading5"/>
        <w:rPr>
          <w:snapToGrid w:val="0"/>
        </w:rPr>
      </w:pPr>
      <w:bookmarkStart w:id="10" w:name="_Toc32332193"/>
      <w:r>
        <w:rPr>
          <w:rStyle w:val="CharSectno"/>
        </w:rPr>
        <w:t>3</w:t>
      </w:r>
      <w:r>
        <w:rPr>
          <w:snapToGrid w:val="0"/>
        </w:rPr>
        <w:t>.</w:t>
      </w:r>
      <w:r>
        <w:rPr>
          <w:snapToGrid w:val="0"/>
        </w:rPr>
        <w:tab/>
        <w:t>Terms used</w:t>
      </w:r>
      <w:bookmarkEnd w:id="10"/>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11" w:name="_Toc32332194"/>
      <w:r>
        <w:rPr>
          <w:rStyle w:val="CharSectno"/>
        </w:rPr>
        <w:t>4</w:t>
      </w:r>
      <w:r>
        <w:t>.</w:t>
      </w:r>
      <w:r>
        <w:tab/>
        <w:t>Term used: referred PPS matters</w:t>
      </w:r>
      <w:bookmarkEnd w:id="11"/>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12" w:name="_Toc32332195"/>
      <w:r>
        <w:rPr>
          <w:rStyle w:val="CharSectno"/>
        </w:rPr>
        <w:t>5</w:t>
      </w:r>
      <w:r>
        <w:t>.</w:t>
      </w:r>
      <w:r>
        <w:tab/>
        <w:t>Term used: security interest</w:t>
      </w:r>
      <w:bookmarkEnd w:id="12"/>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13" w:name="_Toc32332196"/>
      <w:r>
        <w:rPr>
          <w:rStyle w:val="CharSectno"/>
        </w:rPr>
        <w:t>6</w:t>
      </w:r>
      <w:r>
        <w:t>.</w:t>
      </w:r>
      <w:r>
        <w:tab/>
        <w:t>Adoption of Commonwealth PPS Act</w:t>
      </w:r>
      <w:bookmarkEnd w:id="13"/>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14" w:name="_Toc32332197"/>
      <w:r>
        <w:rPr>
          <w:rStyle w:val="CharSectno"/>
        </w:rPr>
        <w:t>7</w:t>
      </w:r>
      <w:r>
        <w:t>.</w:t>
      </w:r>
      <w:r>
        <w:tab/>
        <w:t>Termination of adoption</w:t>
      </w:r>
      <w:bookmarkEnd w:id="14"/>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5" w:name="_Toc32332198"/>
      <w:r>
        <w:rPr>
          <w:rStyle w:val="CharSectno"/>
        </w:rPr>
        <w:t>8</w:t>
      </w:r>
      <w:r>
        <w:t>.</w:t>
      </w:r>
      <w:r>
        <w:tab/>
        <w:t>References of matters</w:t>
      </w:r>
      <w:bookmarkEnd w:id="15"/>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16" w:name="_Toc32332199"/>
      <w:r>
        <w:rPr>
          <w:rStyle w:val="CharSectno"/>
        </w:rPr>
        <w:t>9</w:t>
      </w:r>
      <w:r>
        <w:t>.</w:t>
      </w:r>
      <w:r>
        <w:tab/>
        <w:t>Termination of references</w:t>
      </w:r>
      <w:bookmarkEnd w:id="16"/>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7" w:name="_Toc32332200"/>
      <w:r>
        <w:rPr>
          <w:rStyle w:val="CharSectno"/>
        </w:rPr>
        <w:t>10</w:t>
      </w:r>
      <w:r>
        <w:t>.</w:t>
      </w:r>
      <w:r>
        <w:tab/>
        <w:t>Amendment of Commonwealth law</w:t>
      </w:r>
      <w:bookmarkEnd w:id="17"/>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18" w:name="_Toc32332201"/>
      <w:r>
        <w:rPr>
          <w:rStyle w:val="CharSectno"/>
        </w:rPr>
        <w:t>11</w:t>
      </w:r>
      <w:r>
        <w:t>.</w:t>
      </w:r>
      <w:r>
        <w:tab/>
        <w:t>Effect of termination of amendment references before termination of adoption of Commonwealth PPS Act</w:t>
      </w:r>
      <w:bookmarkEnd w:id="18"/>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19" w:name="_Toc32332175"/>
      <w:bookmarkStart w:id="20" w:name="_Toc32332202"/>
      <w:r>
        <w:rPr>
          <w:rStyle w:val="CharPartNo"/>
        </w:rPr>
        <w:t>Part 3</w:t>
      </w:r>
      <w:r>
        <w:t> — </w:t>
      </w:r>
      <w:r>
        <w:rPr>
          <w:rStyle w:val="CharPartText"/>
        </w:rPr>
        <w:t>Consequential provisions</w:t>
      </w:r>
      <w:bookmarkEnd w:id="19"/>
      <w:bookmarkEnd w:id="20"/>
    </w:p>
    <w:p>
      <w:pPr>
        <w:pStyle w:val="Heading5"/>
      </w:pPr>
      <w:bookmarkStart w:id="21" w:name="_Toc32332203"/>
      <w:r>
        <w:rPr>
          <w:rStyle w:val="CharSectno"/>
        </w:rPr>
        <w:t>12</w:t>
      </w:r>
      <w:r>
        <w:t>.</w:t>
      </w:r>
      <w:r>
        <w:tab/>
        <w:t>Terms used</w:t>
      </w:r>
      <w:bookmarkEnd w:id="21"/>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22" w:name="_Toc32332204"/>
      <w:r>
        <w:rPr>
          <w:rStyle w:val="CharSectno"/>
        </w:rPr>
        <w:t>13</w:t>
      </w:r>
      <w:r>
        <w:t>.</w:t>
      </w:r>
      <w:r>
        <w:tab/>
        <w:t>Provision of information to the Commonwealth</w:t>
      </w:r>
      <w:bookmarkEnd w:id="22"/>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23" w:name="_Toc32332205"/>
      <w:r>
        <w:rPr>
          <w:rStyle w:val="CharSectno"/>
        </w:rPr>
        <w:t>14</w:t>
      </w:r>
      <w:r>
        <w:t>.</w:t>
      </w:r>
      <w:r>
        <w:tab/>
        <w:t>Compensation not payable in respect of PPS transitional matters</w:t>
      </w:r>
      <w:bookmarkEnd w:id="23"/>
    </w:p>
    <w:p>
      <w:pPr>
        <w:pStyle w:val="Subsection"/>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24" w:name="_Toc32332206"/>
      <w:r>
        <w:rPr>
          <w:rStyle w:val="CharSectno"/>
        </w:rPr>
        <w:t>15</w:t>
      </w:r>
      <w:r>
        <w:t>.</w:t>
      </w:r>
      <w:r>
        <w:tab/>
        <w:t>Implied power to make declaration that licence etc. not personal property</w:t>
      </w:r>
      <w:bookmarkEnd w:id="24"/>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25" w:name="_Toc32332207"/>
      <w:r>
        <w:rPr>
          <w:rStyle w:val="CharSectno"/>
        </w:rPr>
        <w:t>16</w:t>
      </w:r>
      <w:r>
        <w:t>.</w:t>
      </w:r>
      <w:r>
        <w:tab/>
        <w:t>References to charges and fixed and floating charges</w:t>
      </w:r>
      <w:bookmarkEnd w:id="25"/>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26" w:name="_Toc32332208"/>
      <w:r>
        <w:rPr>
          <w:rStyle w:val="CharSectno"/>
        </w:rPr>
        <w:t>17</w:t>
      </w:r>
      <w:r>
        <w:t>.</w:t>
      </w:r>
      <w:r>
        <w:tab/>
        <w:t>Enforcement of and other dealings with PPS security interests restricted in certain circumstances</w:t>
      </w:r>
      <w:bookmarkEnd w:id="26"/>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National Law (WA) Act 2015</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section 62</w:t>
      </w:r>
      <w:r>
        <w:t>;</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pPr>
      <w:r>
        <w:tab/>
        <w:t>[Section 17 amended: No. 21 of 2015 s. 50.]</w:t>
      </w:r>
    </w:p>
    <w:p>
      <w:pPr>
        <w:pStyle w:val="Heading5"/>
      </w:pPr>
      <w:bookmarkStart w:id="27" w:name="_Toc32332209"/>
      <w:r>
        <w:rPr>
          <w:rStyle w:val="CharSectno"/>
        </w:rPr>
        <w:t>18</w:t>
      </w:r>
      <w:r>
        <w:t>.</w:t>
      </w:r>
      <w:r>
        <w:tab/>
        <w:t>Bills of sale records</w:t>
      </w:r>
      <w:bookmarkEnd w:id="27"/>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28" w:name="_Toc32332210"/>
      <w:r>
        <w:rPr>
          <w:rStyle w:val="CharSectno"/>
        </w:rPr>
        <w:t>19</w:t>
      </w:r>
      <w:r>
        <w:t>.</w:t>
      </w:r>
      <w:r>
        <w:tab/>
        <w:t>Regulations for transitional matters</w:t>
      </w:r>
      <w:bookmarkEnd w:id="28"/>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29" w:name="_Toc32332211"/>
      <w:r>
        <w:rPr>
          <w:rStyle w:val="CharSectno"/>
        </w:rPr>
        <w:t>20</w:t>
      </w:r>
      <w:r>
        <w:t>.</w:t>
      </w:r>
      <w:r>
        <w:tab/>
        <w:t>Regulations</w:t>
      </w:r>
      <w:bookmarkEnd w:id="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30" w:name="_Toc32332185"/>
      <w:bookmarkStart w:id="31" w:name="_Toc32332212"/>
      <w:r>
        <w:t>Notes</w:t>
      </w:r>
      <w:bookmarkEnd w:id="30"/>
      <w:bookmarkEnd w:id="31"/>
    </w:p>
    <w:p>
      <w:pPr>
        <w:pStyle w:val="nStatement"/>
      </w:pPr>
      <w:r>
        <w:t xml:space="preserve">This is a compilation of the </w:t>
      </w:r>
      <w:r>
        <w:rPr>
          <w:i/>
          <w:noProof/>
        </w:rPr>
        <w:t>Personal Property Securities (Commonwealth Laws)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2" w:name="_Toc32332213"/>
      <w: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r>
        <w:trPr>
          <w:cantSplit/>
        </w:trPr>
        <w:tc>
          <w:tcPr>
            <w:tcW w:w="2269" w:type="dxa"/>
            <w:tcBorders>
              <w:bottom w:val="single" w:sz="4" w:space="0" w:color="auto"/>
            </w:tcBorders>
          </w:tcPr>
          <w:p>
            <w:pPr>
              <w:pStyle w:val="nTable"/>
              <w:spacing w:after="40"/>
              <w:ind w:right="113"/>
              <w:rPr>
                <w:i/>
              </w:rPr>
            </w:pPr>
            <w:r>
              <w:rPr>
                <w:i/>
              </w:rPr>
              <w:t>Rail Safety National Law (WA) Act 2015</w:t>
            </w:r>
            <w:r>
              <w:t xml:space="preserve"> Pt. 5</w:t>
            </w:r>
          </w:p>
        </w:tc>
        <w:tc>
          <w:tcPr>
            <w:tcW w:w="1134" w:type="dxa"/>
            <w:tcBorders>
              <w:bottom w:val="single" w:sz="4" w:space="0" w:color="auto"/>
            </w:tcBorders>
          </w:tcPr>
          <w:p>
            <w:pPr>
              <w:pStyle w:val="nTable"/>
              <w:spacing w:after="40"/>
            </w:pPr>
            <w:r>
              <w:t>21 of 2015</w:t>
            </w:r>
          </w:p>
        </w:tc>
        <w:tc>
          <w:tcPr>
            <w:tcW w:w="1134" w:type="dxa"/>
            <w:tcBorders>
              <w:bottom w:val="single" w:sz="4" w:space="0" w:color="auto"/>
            </w:tcBorders>
          </w:tcPr>
          <w:p>
            <w:pPr>
              <w:pStyle w:val="nTable"/>
              <w:spacing w:after="40"/>
            </w:pPr>
            <w:r>
              <w:t>17 Sep 2015</w:t>
            </w:r>
          </w:p>
        </w:tc>
        <w:tc>
          <w:tcPr>
            <w:tcW w:w="2552" w:type="dxa"/>
            <w:tcBorders>
              <w:bottom w:val="single" w:sz="4" w:space="0" w:color="auto"/>
            </w:tcBorders>
          </w:tcPr>
          <w:p>
            <w:pPr>
              <w:pStyle w:val="nTable"/>
              <w:spacing w:after="40"/>
            </w:pPr>
            <w:r>
              <w:t xml:space="preserve">2 Nov 2015 (see s. 2(b) and </w:t>
            </w:r>
            <w:r>
              <w:rPr>
                <w:i/>
              </w:rPr>
              <w:t xml:space="preserve">Gazette </w:t>
            </w:r>
            <w:r>
              <w:t>16 Oct 2015 p. 4149)</w:t>
            </w:r>
          </w:p>
        </w:tc>
      </w:tr>
    </w:tbl>
    <w:p>
      <w:pPr>
        <w:pStyle w:val="nHeading3"/>
      </w:pPr>
      <w:bookmarkStart w:id="33" w:name="_Toc32332214"/>
      <w:r>
        <w:t>Uncommenced provisions table</w:t>
      </w:r>
      <w:bookmarkEnd w:id="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8" w:space="0" w:color="auto"/>
            </w:tcBorders>
          </w:tcPr>
          <w:p>
            <w:pPr>
              <w:pStyle w:val="nTable"/>
              <w:spacing w:after="40"/>
              <w:rPr>
                <w:snapToGrid w:val="0"/>
              </w:rPr>
            </w:pPr>
            <w:r>
              <w:rPr>
                <w:i/>
              </w:rPr>
              <w:t>Personal Property Securities (Commonwealth Laws) Act 2011</w:t>
            </w:r>
            <w:r>
              <w:t xml:space="preserve"> s. 8(2) and (3)</w:t>
            </w:r>
          </w:p>
        </w:tc>
        <w:tc>
          <w:tcPr>
            <w:tcW w:w="1118" w:type="dxa"/>
            <w:tcBorders>
              <w:bottom w:val="single" w:sz="8" w:space="0" w:color="auto"/>
            </w:tcBorders>
          </w:tcPr>
          <w:p>
            <w:pPr>
              <w:pStyle w:val="nTable"/>
              <w:spacing w:after="40"/>
              <w:rPr>
                <w:snapToGrid w:val="0"/>
              </w:rPr>
            </w:pPr>
            <w:r>
              <w:rPr>
                <w:snapToGrid w:val="0"/>
              </w:rPr>
              <w:t>41 of 2011</w:t>
            </w:r>
          </w:p>
        </w:tc>
        <w:tc>
          <w:tcPr>
            <w:tcW w:w="1134" w:type="dxa"/>
            <w:tcBorders>
              <w:bottom w:val="single" w:sz="8" w:space="0" w:color="auto"/>
            </w:tcBorders>
          </w:tcPr>
          <w:p>
            <w:pPr>
              <w:pStyle w:val="nTable"/>
              <w:spacing w:after="40"/>
              <w:rPr>
                <w:snapToGrid w:val="0"/>
              </w:rPr>
            </w:pPr>
            <w:r>
              <w:t>4 Oct 2011</w:t>
            </w:r>
          </w:p>
        </w:tc>
        <w:tc>
          <w:tcPr>
            <w:tcW w:w="2552" w:type="dxa"/>
            <w:tcBorders>
              <w:bottom w:val="single" w:sz="8" w:space="0" w:color="auto"/>
            </w:tcBorders>
          </w:tcPr>
          <w:p>
            <w:pPr>
              <w:pStyle w:val="nTable"/>
              <w:spacing w:after="40"/>
              <w:rPr>
                <w:snapToGrid w:val="0"/>
              </w:rPr>
            </w:pPr>
            <w:r>
              <w:rPr>
                <w:snapToGrid w:val="0"/>
              </w:rPr>
              <w:t>s. 8(2) and (3): to be proclaimed (see s. 2(1)(d) and 2(2))</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5" w:name="_Toc32332188"/>
      <w:bookmarkStart w:id="36" w:name="_Toc32332215"/>
      <w:r>
        <w:rPr>
          <w:sz w:val="28"/>
        </w:rPr>
        <w:t>Defined terms</w:t>
      </w:r>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w:t>
      </w:r>
    </w:p>
    <w:p>
      <w:pPr>
        <w:pStyle w:val="DefinedTerms"/>
      </w:pPr>
      <w:r>
        <w:t>amendment reference</w:t>
      </w:r>
      <w:r>
        <w:tab/>
        <w:t>3</w:t>
      </w:r>
    </w:p>
    <w:p>
      <w:pPr>
        <w:pStyle w:val="DefinedTerms"/>
      </w:pPr>
      <w:r>
        <w:t>chattel paper</w:t>
      </w:r>
      <w:r>
        <w:tab/>
        <w:t>5(4)</w:t>
      </w:r>
    </w:p>
    <w:p>
      <w:pPr>
        <w:pStyle w:val="DefinedTerms"/>
      </w:pPr>
      <w:r>
        <w:t>commencement day</w:t>
      </w:r>
      <w:r>
        <w:tab/>
        <w:t>19(1)</w:t>
      </w:r>
    </w:p>
    <w:p>
      <w:pPr>
        <w:pStyle w:val="DefinedTerms"/>
      </w:pPr>
      <w:r>
        <w:t>Commissioner</w:t>
      </w:r>
      <w:r>
        <w:tab/>
        <w:t>12(1)</w:t>
      </w:r>
    </w:p>
    <w:p>
      <w:pPr>
        <w:pStyle w:val="DefinedTerms"/>
      </w:pPr>
      <w:r>
        <w:t>Commonwealth PPS Act</w:t>
      </w:r>
      <w:r>
        <w:tab/>
        <w:t>3, 12(1)</w:t>
      </w:r>
    </w:p>
    <w:p>
      <w:pPr>
        <w:pStyle w:val="DefinedTerms"/>
      </w:pPr>
      <w:r>
        <w:t>Commonwealth PPS instrument</w:t>
      </w:r>
      <w:r>
        <w:tab/>
        <w:t>3</w:t>
      </w:r>
    </w:p>
    <w:p>
      <w:pPr>
        <w:pStyle w:val="DefinedTerms"/>
      </w:pPr>
      <w:r>
        <w:t>compensation</w:t>
      </w:r>
      <w:r>
        <w:tab/>
        <w:t>12(1)</w:t>
      </w:r>
    </w:p>
    <w:p>
      <w:pPr>
        <w:pStyle w:val="DefinedTerms"/>
      </w:pPr>
      <w:r>
        <w:t>crops</w:t>
      </w:r>
      <w:r>
        <w:tab/>
        <w:t>3</w:t>
      </w:r>
    </w:p>
    <w:p>
      <w:pPr>
        <w:pStyle w:val="DefinedTerms"/>
      </w:pPr>
      <w:r>
        <w:t>excluded State statutory right</w:t>
      </w:r>
      <w:r>
        <w:tab/>
        <w:t>3</w:t>
      </w:r>
    </w:p>
    <w:p>
      <w:pPr>
        <w:pStyle w:val="DefinedTerms"/>
      </w:pPr>
      <w:r>
        <w:t>express amendment</w:t>
      </w:r>
      <w:r>
        <w:tab/>
        <w:t>3</w:t>
      </w:r>
    </w:p>
    <w:p>
      <w:pPr>
        <w:pStyle w:val="DefinedTerms"/>
      </w:pPr>
      <w:r>
        <w:t>fixtures</w:t>
      </w:r>
      <w:r>
        <w:tab/>
        <w:t>3</w:t>
      </w:r>
    </w:p>
    <w:p>
      <w:pPr>
        <w:pStyle w:val="DefinedTerms"/>
      </w:pPr>
      <w:r>
        <w:t>forfeiture</w:t>
      </w:r>
      <w:r>
        <w:tab/>
        <w:t>4(3)</w:t>
      </w:r>
    </w:p>
    <w:p>
      <w:pPr>
        <w:pStyle w:val="DefinedTerms"/>
      </w:pPr>
      <w:r>
        <w:t>Gazettal day</w:t>
      </w:r>
      <w:r>
        <w:tab/>
        <w:t>19(1)</w:t>
      </w:r>
    </w:p>
    <w:p>
      <w:pPr>
        <w:pStyle w:val="DefinedTerms"/>
      </w:pPr>
      <w:r>
        <w:t>general law</w:t>
      </w:r>
      <w:r>
        <w:tab/>
        <w:t>3</w:t>
      </w:r>
    </w:p>
    <w:p>
      <w:pPr>
        <w:pStyle w:val="DefinedTerms"/>
      </w:pPr>
      <w:r>
        <w:t>goods</w:t>
      </w:r>
      <w:r>
        <w:tab/>
        <w:t>3</w:t>
      </w:r>
    </w:p>
    <w:p>
      <w:pPr>
        <w:pStyle w:val="DefinedTerms"/>
      </w:pPr>
      <w:r>
        <w:t>interest</w:t>
      </w:r>
      <w:r>
        <w:tab/>
        <w:t>3</w:t>
      </w:r>
    </w:p>
    <w:p>
      <w:pPr>
        <w:pStyle w:val="DefinedTerms"/>
      </w:pPr>
      <w:r>
        <w:t>land</w:t>
      </w:r>
      <w:r>
        <w:tab/>
        <w:t>3</w:t>
      </w:r>
    </w:p>
    <w:p>
      <w:pPr>
        <w:pStyle w:val="DefinedTerms"/>
      </w:pPr>
      <w:r>
        <w:t>law of the State</w:t>
      </w:r>
      <w:r>
        <w:tab/>
        <w:t>3</w:t>
      </w:r>
    </w:p>
    <w:p>
      <w:pPr>
        <w:pStyle w:val="DefinedTerms"/>
      </w:pPr>
      <w:r>
        <w:t>licence</w:t>
      </w:r>
      <w:r>
        <w:tab/>
        <w:t>3</w:t>
      </w:r>
    </w:p>
    <w:p>
      <w:pPr>
        <w:pStyle w:val="DefinedTerms"/>
      </w:pPr>
      <w:r>
        <w:t>operative day</w:t>
      </w:r>
      <w:r>
        <w:tab/>
        <w:t>19(4)</w:t>
      </w:r>
    </w:p>
    <w:p>
      <w:pPr>
        <w:pStyle w:val="DefinedTerms"/>
      </w:pPr>
      <w:r>
        <w:t>order</w:t>
      </w:r>
      <w:r>
        <w:tab/>
        <w:t>17(1)</w:t>
      </w:r>
    </w:p>
    <w:p>
      <w:pPr>
        <w:pStyle w:val="DefinedTerms"/>
      </w:pPr>
      <w:r>
        <w:t>personal property</w:t>
      </w:r>
      <w:r>
        <w:tab/>
        <w:t>3</w:t>
      </w:r>
    </w:p>
    <w:p>
      <w:pPr>
        <w:pStyle w:val="DefinedTerms"/>
      </w:pPr>
      <w:r>
        <w:t>PPS Register</w:t>
      </w:r>
      <w:r>
        <w:tab/>
        <w:t>12(1)</w:t>
      </w:r>
    </w:p>
    <w:p>
      <w:pPr>
        <w:pStyle w:val="DefinedTerms"/>
      </w:pPr>
      <w:r>
        <w:t>PPS Registrar</w:t>
      </w:r>
      <w:r>
        <w:tab/>
        <w:t>12(1)</w:t>
      </w:r>
    </w:p>
    <w:p>
      <w:pPr>
        <w:pStyle w:val="DefinedTerms"/>
      </w:pPr>
      <w:r>
        <w:t>PPS security interest</w:t>
      </w:r>
      <w:r>
        <w:tab/>
        <w:t>17(1)</w:t>
      </w:r>
    </w:p>
    <w:p>
      <w:pPr>
        <w:pStyle w:val="DefinedTerms"/>
      </w:pPr>
      <w:r>
        <w:t>PPS transitional matter</w:t>
      </w:r>
      <w:r>
        <w:tab/>
        <w:t>12(1)</w:t>
      </w:r>
    </w:p>
    <w:p>
      <w:pPr>
        <w:pStyle w:val="DefinedTerms"/>
      </w:pPr>
      <w:r>
        <w:t>record</w:t>
      </w:r>
      <w:r>
        <w:tab/>
        <w:t>18(1)</w:t>
      </w:r>
    </w:p>
    <w:p>
      <w:pPr>
        <w:pStyle w:val="DefinedTerms"/>
      </w:pPr>
      <w:r>
        <w:t>referred PPS matters</w:t>
      </w:r>
      <w:r>
        <w:tab/>
        <w:t>3, 4(1)</w:t>
      </w:r>
    </w:p>
    <w:p>
      <w:pPr>
        <w:pStyle w:val="DefinedTerms"/>
      </w:pPr>
      <w:r>
        <w:t>register</w:t>
      </w:r>
      <w:r>
        <w:tab/>
        <w:t>3</w:t>
      </w:r>
    </w:p>
    <w:p>
      <w:pPr>
        <w:pStyle w:val="DefinedTerms"/>
      </w:pPr>
      <w:r>
        <w:t>Register Book</w:t>
      </w:r>
      <w:r>
        <w:tab/>
        <w:t>12(1)</w:t>
      </w:r>
    </w:p>
    <w:p>
      <w:pPr>
        <w:pStyle w:val="DefinedTerms"/>
      </w:pPr>
      <w:r>
        <w:t>Registrar</w:t>
      </w:r>
      <w:r>
        <w:tab/>
        <w:t>12(1)</w:t>
      </w:r>
    </w:p>
    <w:p>
      <w:pPr>
        <w:pStyle w:val="DefinedTerms"/>
      </w:pPr>
      <w:r>
        <w:t>Registrar of Co</w:t>
      </w:r>
      <w:r>
        <w:noBreakHyphen/>
        <w:t>operatives</w:t>
      </w:r>
      <w:r>
        <w:tab/>
        <w:t>12(1)</w:t>
      </w:r>
    </w:p>
    <w:p>
      <w:pPr>
        <w:pStyle w:val="DefinedTerms"/>
      </w:pPr>
      <w:r>
        <w:t>relevant State property law</w:t>
      </w:r>
      <w:r>
        <w:tab/>
        <w:t>17(1)</w:t>
      </w:r>
    </w:p>
    <w:p>
      <w:pPr>
        <w:pStyle w:val="DefinedTerms"/>
      </w:pPr>
      <w:r>
        <w:t>relevant version of the Commonwealth PPS Act</w:t>
      </w:r>
      <w:r>
        <w:tab/>
        <w:t>3</w:t>
      </w:r>
    </w:p>
    <w:p>
      <w:pPr>
        <w:pStyle w:val="DefinedTerms"/>
      </w:pPr>
      <w:r>
        <w:t>security interest</w:t>
      </w:r>
      <w:r>
        <w:tab/>
        <w:t>3, 5(1)</w:t>
      </w:r>
    </w:p>
    <w:p>
      <w:pPr>
        <w:pStyle w:val="DefinedTerms"/>
      </w:pPr>
      <w:r>
        <w:t>State statutory right</w:t>
      </w:r>
      <w:r>
        <w:tab/>
        <w:t>3</w:t>
      </w:r>
    </w:p>
    <w:p>
      <w:pPr>
        <w:pStyle w:val="DefinedTerms"/>
      </w:pPr>
      <w:r>
        <w:t>transferable</w:t>
      </w:r>
      <w:r>
        <w:tab/>
        <w:t>3</w:t>
      </w:r>
    </w:p>
    <w:p>
      <w:pPr>
        <w:pStyle w:val="DefinedTerms"/>
      </w:pPr>
      <w:r>
        <w:t>transitional matter</w:t>
      </w:r>
      <w:r>
        <w:tab/>
        <w:t>19(1)</w:t>
      </w:r>
    </w:p>
    <w:p>
      <w:pPr>
        <w:pStyle w:val="DefinedTerms"/>
      </w:pPr>
      <w:r>
        <w:t>transitional regulations</w:t>
      </w:r>
      <w:r>
        <w:tab/>
        <w:t>19(1)</w:t>
      </w:r>
    </w:p>
    <w:p>
      <w:pPr>
        <w:pStyle w:val="DefinedTerms"/>
      </w:pPr>
      <w:r>
        <w:t>water right</w:t>
      </w:r>
      <w:r>
        <w:tab/>
        <w:t>3</w:t>
      </w:r>
    </w:p>
    <w:p>
      <w:pPr>
        <w:pStyle w:val="DefinedTerms"/>
      </w:pPr>
      <w:r>
        <w:t>writing</w:t>
      </w:r>
      <w:r>
        <w:tab/>
        <w:t>5(4)</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Adoption and referral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44734"/>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5098</Words>
  <Characters>25748</Characters>
  <Application>Microsoft Office Word</Application>
  <DocSecurity>0</DocSecurity>
  <Lines>735</Lines>
  <Paragraphs>400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30446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2011 - 00-d0-03</dc:title>
  <dc:subject/>
  <dc:creator/>
  <cp:keywords/>
  <dc:description/>
  <cp:lastModifiedBy>svcMRProcess</cp:lastModifiedBy>
  <cp:revision>4</cp:revision>
  <cp:lastPrinted>2011-08-19T09:01:00Z</cp:lastPrinted>
  <dcterms:created xsi:type="dcterms:W3CDTF">2020-02-25T01:39:00Z</dcterms:created>
  <dcterms:modified xsi:type="dcterms:W3CDTF">2020-02-25T01:39:00Z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20151102</vt:lpwstr>
  </property>
  <property fmtid="{D5CDD505-2E9C-101B-9397-08002B2CF9AE}" pid="3" name="ShortTitle">
    <vt:lpwstr>Personal Property Securities (Commonwealth Laws) Act 2011</vt:lpwstr>
  </property>
  <property fmtid="{D5CDD505-2E9C-101B-9397-08002B2CF9AE}" pid="4" name="DocumentType">
    <vt:lpwstr>Act</vt:lpwstr>
  </property>
  <property fmtid="{D5CDD505-2E9C-101B-9397-08002B2CF9AE}" pid="5" name="AsAtDate">
    <vt:lpwstr>02 Nov 2015</vt:lpwstr>
  </property>
  <property fmtid="{D5CDD505-2E9C-101B-9397-08002B2CF9AE}" pid="6" name="Suffix">
    <vt:lpwstr>00-d0-03</vt:lpwstr>
  </property>
</Properties>
</file>