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_Toc415232160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_Toc415232161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_Toc415232162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_Toc415232163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_Toc415232164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_Toc415232165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_Toc415232166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_Toc415232167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_Toc415232168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_Toc415232169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_Toc415232170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_Toc415232171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_Toc415232172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_Toc415232173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_Toc415232174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_Toc415232175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_Toc415232176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_Toc415232177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_Toc415232178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_Toc415232179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_Toc415232180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_Toc415232181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_Toc415232186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15232160"/>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15232161"/>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15232162"/>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15232163"/>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1" w:name="_Toc407626559"/>
      <w:bookmarkStart w:id="12" w:name="_Toc415232164"/>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15232165"/>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$445; and</w:t>
      </w:r>
    </w:p>
    <w:p>
      <w:pPr>
        <w:pStyle w:val="Indenta"/>
        <w:rPr>
          <w:snapToGrid w:val="0"/>
        </w:rPr>
      </w:pPr>
      <w:r>
        <w:rPr>
          <w:snapToGrid w:val="0"/>
        </w:rPr>
        <w:tab/>
        <w:t>(b)</w:t>
      </w:r>
      <w:r>
        <w:rPr>
          <w:snapToGrid w:val="0"/>
        </w:rPr>
        <w:tab/>
        <w:t xml:space="preserve">for a casino employee licence, is </w:t>
      </w:r>
      <w:r>
        <w:t>$279.</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$123; and</w:t>
      </w:r>
    </w:p>
    <w:p>
      <w:pPr>
        <w:pStyle w:val="Indenta"/>
        <w:rPr>
          <w:snapToGrid w:val="0"/>
        </w:rPr>
      </w:pPr>
      <w:r>
        <w:rPr>
          <w:snapToGrid w:val="0"/>
        </w:rPr>
        <w:tab/>
        <w:t>(b)</w:t>
      </w:r>
      <w:r>
        <w:rPr>
          <w:snapToGrid w:val="0"/>
        </w:rPr>
        <w:tab/>
        <w:t xml:space="preserve">for the renewal of a casino employee licence, is </w:t>
      </w:r>
      <w:r>
        <w:t>$123.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$322;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$52.</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w:t>
      </w:r>
    </w:p>
    <w:p>
      <w:pPr>
        <w:pStyle w:val="Heading5"/>
        <w:rPr>
          <w:snapToGrid w:val="0"/>
        </w:rPr>
      </w:pPr>
      <w:bookmarkStart w:id="15" w:name="_Toc407626561"/>
      <w:bookmarkStart w:id="16" w:name="_Toc415232166"/>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15232167"/>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15232168"/>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15232169"/>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15232170"/>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15232171"/>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15232172"/>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15232173"/>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15232174"/>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15232175"/>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35" w:name="_Toc407626571"/>
      <w:bookmarkStart w:id="36" w:name="_Toc415232176"/>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15232177"/>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15232178"/>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15232179"/>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15232180"/>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15232181"/>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r>
        <w:rPr>
          <w:rStyle w:val="CharSchNo"/>
        </w:rPr>
        <w:t>Schedule</w:t>
      </w:r>
      <w:bookmarkEnd w:id="47"/>
      <w:bookmarkEnd w:id="48"/>
      <w:bookmarkEnd w:id="49"/>
      <w:bookmarkEnd w:id="50"/>
    </w:p>
    <w:p>
      <w:pPr>
        <w:pStyle w:val="yEdnotedivision"/>
      </w:pPr>
      <w:r>
        <w:t>[Form 1 deleted in Gazette 14 Oct 2005 p. 4558.]</w:t>
      </w:r>
    </w:p>
    <w:p>
      <w:pPr>
        <w:pStyle w:val="yHeading3"/>
      </w:pPr>
      <w:bookmarkStart w:id="51" w:name="_Toc403720065"/>
      <w:bookmarkStart w:id="52" w:name="_Toc407626578"/>
      <w:bookmarkStart w:id="53" w:name="_Toc415232151"/>
      <w:bookmarkStart w:id="54" w:name="_Toc415232183"/>
      <w:r>
        <w:rPr>
          <w:rStyle w:val="CharSClsNo"/>
        </w:rPr>
        <w:t>Form 2</w:t>
      </w:r>
      <w:bookmarkEnd w:id="51"/>
      <w:bookmarkEnd w:id="52"/>
      <w:bookmarkEnd w:id="53"/>
      <w:bookmarkEnd w:id="5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55" w:name="_Toc403720066"/>
      <w:bookmarkStart w:id="56" w:name="_Toc407626579"/>
      <w:bookmarkStart w:id="57" w:name="_Toc415232152"/>
      <w:bookmarkStart w:id="58" w:name="_Toc415232184"/>
      <w:r>
        <w:rPr>
          <w:rStyle w:val="CharSClsNo"/>
        </w:rPr>
        <w:t>Form 3</w:t>
      </w:r>
      <w:bookmarkEnd w:id="55"/>
      <w:bookmarkEnd w:id="56"/>
      <w:bookmarkEnd w:id="57"/>
      <w:bookmarkEnd w:id="58"/>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0" w:name="_Toc403720067"/>
      <w:bookmarkStart w:id="61" w:name="_Toc407626580"/>
      <w:bookmarkStart w:id="62" w:name="_Toc415232153"/>
      <w:bookmarkStart w:id="63" w:name="_Toc415232185"/>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 w:name="_Toc407626581"/>
      <w:bookmarkStart w:id="65" w:name="_Toc415232186"/>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Borders>
              <w:bottom w:val="single" w:sz="4" w:space="0" w:color="auto"/>
            </w:tcBorders>
          </w:tcPr>
          <w:p>
            <w:pPr>
              <w:pStyle w:val="nTable"/>
              <w:spacing w:after="40"/>
            </w:pPr>
            <w:r>
              <w:t>14 Nov 2014 p. 4281</w:t>
            </w:r>
            <w:r>
              <w:noBreakHyphen/>
              <w:t>2</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3 </w:t>
            </w:r>
            <w:r>
              <w:rPr>
                <w:vertAlign w:val="superscript"/>
              </w:rPr>
              <w:t>2</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3</w:t>
      </w:r>
      <w:r>
        <w:rPr>
          <w:noProof/>
        </w:rPr>
        <w:t> </w:t>
      </w:r>
      <w:r>
        <w:rPr>
          <w:snapToGrid w:val="0"/>
        </w:rPr>
        <w:t>had not come into operation.  It reads as follows:</w:t>
      </w:r>
    </w:p>
    <w:p>
      <w:pPr>
        <w:pStyle w:val="BlankOpen"/>
        <w:rPr>
          <w:snapToGrid w:val="0"/>
        </w:rPr>
      </w:pPr>
    </w:p>
    <w:p>
      <w:pPr>
        <w:pStyle w:val="nzHeading2"/>
      </w:pPr>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p>
    <w:p>
      <w:pPr>
        <w:pStyle w:val="nzHeading5"/>
      </w:pPr>
      <w:r>
        <w:rPr>
          <w:rStyle w:val="CharSectno"/>
        </w:rPr>
        <w:t>5</w:t>
      </w:r>
      <w:r>
        <w:t>.</w:t>
      </w:r>
      <w:r>
        <w:tab/>
        <w:t>Regulations amended</w:t>
      </w:r>
    </w:p>
    <w:p>
      <w:pPr>
        <w:pStyle w:val="nzSubsection"/>
      </w:pPr>
      <w:r>
        <w:tab/>
      </w:r>
      <w:r>
        <w:tab/>
        <w:t xml:space="preserve">This Part amends the </w:t>
      </w:r>
      <w:r>
        <w:rPr>
          <w:i/>
        </w:rPr>
        <w:t>Casino Control (Burswood Island) (Licensing of Employees) Regulations 1985</w:t>
      </w:r>
      <w:r>
        <w:t>.</w:t>
      </w:r>
    </w:p>
    <w:p>
      <w:pPr>
        <w:pStyle w:val="nzHeading5"/>
      </w:pPr>
      <w:r>
        <w:rPr>
          <w:rStyle w:val="CharSectno"/>
        </w:rPr>
        <w:t>6</w:t>
      </w:r>
      <w:r>
        <w:t>.</w:t>
      </w:r>
      <w:r>
        <w:tab/>
        <w:t>Regulation 6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trPr>
        <w:tc>
          <w:tcPr>
            <w:tcW w:w="2019" w:type="dxa"/>
          </w:tcPr>
          <w:p>
            <w:pPr>
              <w:pStyle w:val="TableAm"/>
              <w:keepNext/>
              <w:jc w:val="center"/>
              <w:rPr>
                <w:b/>
                <w:bCs/>
                <w:sz w:val="20"/>
              </w:rPr>
            </w:pPr>
            <w:r>
              <w:rPr>
                <w:b/>
                <w:bCs/>
                <w:sz w:val="20"/>
              </w:rPr>
              <w:t>Provision</w:t>
            </w:r>
          </w:p>
        </w:tc>
        <w:tc>
          <w:tcPr>
            <w:tcW w:w="2019" w:type="dxa"/>
          </w:tcPr>
          <w:p>
            <w:pPr>
              <w:pStyle w:val="TableAm"/>
              <w:keepNext/>
              <w:jc w:val="center"/>
              <w:rPr>
                <w:b/>
                <w:bCs/>
                <w:sz w:val="20"/>
              </w:rPr>
            </w:pPr>
            <w:r>
              <w:rPr>
                <w:b/>
                <w:bCs/>
                <w:sz w:val="20"/>
              </w:rPr>
              <w:t>Delete</w:t>
            </w:r>
          </w:p>
        </w:tc>
        <w:tc>
          <w:tcPr>
            <w:tcW w:w="2019" w:type="dxa"/>
          </w:tcPr>
          <w:p>
            <w:pPr>
              <w:pStyle w:val="TableAm"/>
              <w:keepNext/>
              <w:jc w:val="center"/>
              <w:rPr>
                <w:b/>
                <w:bCs/>
                <w:sz w:val="20"/>
              </w:rPr>
            </w:pPr>
            <w:r>
              <w:rPr>
                <w:b/>
                <w:bCs/>
                <w:sz w:val="20"/>
              </w:rPr>
              <w:t>Insert</w:t>
            </w:r>
          </w:p>
        </w:tc>
      </w:tr>
      <w:tr>
        <w:trPr>
          <w:cantSplit/>
          <w:jc w:val="center"/>
        </w:trPr>
        <w:tc>
          <w:tcPr>
            <w:tcW w:w="2019" w:type="dxa"/>
          </w:tcPr>
          <w:p>
            <w:pPr>
              <w:pStyle w:val="TableAm"/>
              <w:rPr>
                <w:sz w:val="20"/>
              </w:rPr>
            </w:pPr>
            <w:r>
              <w:rPr>
                <w:sz w:val="20"/>
              </w:rPr>
              <w:t>r. 6(1)(a)</w:t>
            </w:r>
          </w:p>
        </w:tc>
        <w:tc>
          <w:tcPr>
            <w:tcW w:w="2019" w:type="dxa"/>
          </w:tcPr>
          <w:p>
            <w:pPr>
              <w:pStyle w:val="TableAm"/>
              <w:rPr>
                <w:sz w:val="20"/>
              </w:rPr>
            </w:pPr>
            <w:r>
              <w:rPr>
                <w:sz w:val="20"/>
              </w:rPr>
              <w:t>$445</w:t>
            </w:r>
          </w:p>
        </w:tc>
        <w:tc>
          <w:tcPr>
            <w:tcW w:w="2019" w:type="dxa"/>
          </w:tcPr>
          <w:p>
            <w:pPr>
              <w:pStyle w:val="TableAm"/>
              <w:rPr>
                <w:sz w:val="20"/>
              </w:rPr>
            </w:pPr>
            <w:r>
              <w:rPr>
                <w:sz w:val="20"/>
              </w:rPr>
              <w:t>$456</w:t>
            </w:r>
          </w:p>
        </w:tc>
      </w:tr>
      <w:tr>
        <w:trPr>
          <w:cantSplit/>
          <w:jc w:val="center"/>
        </w:trPr>
        <w:tc>
          <w:tcPr>
            <w:tcW w:w="2019" w:type="dxa"/>
          </w:tcPr>
          <w:p>
            <w:pPr>
              <w:pStyle w:val="TableAm"/>
              <w:rPr>
                <w:sz w:val="20"/>
              </w:rPr>
            </w:pPr>
            <w:r>
              <w:rPr>
                <w:sz w:val="20"/>
              </w:rPr>
              <w:t>r. 6(1)(b)</w:t>
            </w:r>
          </w:p>
        </w:tc>
        <w:tc>
          <w:tcPr>
            <w:tcW w:w="2019" w:type="dxa"/>
          </w:tcPr>
          <w:p>
            <w:pPr>
              <w:pStyle w:val="TableAm"/>
              <w:rPr>
                <w:sz w:val="20"/>
              </w:rPr>
            </w:pPr>
            <w:r>
              <w:rPr>
                <w:sz w:val="20"/>
              </w:rPr>
              <w:t>$279</w:t>
            </w:r>
          </w:p>
        </w:tc>
        <w:tc>
          <w:tcPr>
            <w:tcW w:w="2019" w:type="dxa"/>
          </w:tcPr>
          <w:p>
            <w:pPr>
              <w:pStyle w:val="TableAm"/>
              <w:rPr>
                <w:sz w:val="20"/>
              </w:rPr>
            </w:pPr>
            <w:r>
              <w:rPr>
                <w:sz w:val="20"/>
              </w:rPr>
              <w:t>$285</w:t>
            </w:r>
          </w:p>
        </w:tc>
      </w:tr>
      <w:tr>
        <w:trPr>
          <w:cantSplit/>
          <w:jc w:val="center"/>
        </w:trPr>
        <w:tc>
          <w:tcPr>
            <w:tcW w:w="2019" w:type="dxa"/>
          </w:tcPr>
          <w:p>
            <w:pPr>
              <w:pStyle w:val="TableAm"/>
              <w:rPr>
                <w:sz w:val="20"/>
              </w:rPr>
            </w:pPr>
            <w:r>
              <w:rPr>
                <w:sz w:val="20"/>
              </w:rPr>
              <w:t>r. 6(1a)(a)</w:t>
            </w:r>
          </w:p>
        </w:tc>
        <w:tc>
          <w:tcPr>
            <w:tcW w:w="2019" w:type="dxa"/>
          </w:tcPr>
          <w:p>
            <w:pPr>
              <w:pStyle w:val="TableAm"/>
              <w:rPr>
                <w:sz w:val="20"/>
              </w:rPr>
            </w:pPr>
            <w:r>
              <w:rPr>
                <w:sz w:val="20"/>
              </w:rPr>
              <w:t>$123</w:t>
            </w:r>
          </w:p>
        </w:tc>
        <w:tc>
          <w:tcPr>
            <w:tcW w:w="2019" w:type="dxa"/>
          </w:tcPr>
          <w:p>
            <w:pPr>
              <w:pStyle w:val="TableAm"/>
              <w:rPr>
                <w:sz w:val="20"/>
              </w:rPr>
            </w:pPr>
            <w:r>
              <w:rPr>
                <w:sz w:val="20"/>
              </w:rPr>
              <w:t>$126</w:t>
            </w:r>
          </w:p>
        </w:tc>
      </w:tr>
      <w:tr>
        <w:trPr>
          <w:cantSplit/>
          <w:jc w:val="center"/>
        </w:trPr>
        <w:tc>
          <w:tcPr>
            <w:tcW w:w="2019" w:type="dxa"/>
          </w:tcPr>
          <w:p>
            <w:pPr>
              <w:pStyle w:val="TableAm"/>
              <w:rPr>
                <w:sz w:val="20"/>
              </w:rPr>
            </w:pPr>
            <w:r>
              <w:rPr>
                <w:sz w:val="20"/>
              </w:rPr>
              <w:t>r. 6(1a)(b)</w:t>
            </w:r>
          </w:p>
        </w:tc>
        <w:tc>
          <w:tcPr>
            <w:tcW w:w="2019" w:type="dxa"/>
          </w:tcPr>
          <w:p>
            <w:pPr>
              <w:pStyle w:val="TableAm"/>
              <w:rPr>
                <w:sz w:val="20"/>
              </w:rPr>
            </w:pPr>
            <w:r>
              <w:rPr>
                <w:sz w:val="20"/>
              </w:rPr>
              <w:t>$123</w:t>
            </w:r>
          </w:p>
        </w:tc>
        <w:tc>
          <w:tcPr>
            <w:tcW w:w="2019" w:type="dxa"/>
          </w:tcPr>
          <w:p>
            <w:pPr>
              <w:pStyle w:val="TableAm"/>
              <w:rPr>
                <w:sz w:val="20"/>
              </w:rPr>
            </w:pPr>
            <w:r>
              <w:rPr>
                <w:sz w:val="20"/>
              </w:rPr>
              <w:t>$126</w:t>
            </w:r>
          </w:p>
        </w:tc>
      </w:tr>
      <w:tr>
        <w:trPr>
          <w:cantSplit/>
          <w:jc w:val="center"/>
        </w:trPr>
        <w:tc>
          <w:tcPr>
            <w:tcW w:w="2019" w:type="dxa"/>
          </w:tcPr>
          <w:p>
            <w:pPr>
              <w:pStyle w:val="TableAm"/>
              <w:rPr>
                <w:sz w:val="20"/>
              </w:rPr>
            </w:pPr>
            <w:r>
              <w:rPr>
                <w:sz w:val="20"/>
              </w:rPr>
              <w:t>r. 6(2)(a)</w:t>
            </w:r>
          </w:p>
        </w:tc>
        <w:tc>
          <w:tcPr>
            <w:tcW w:w="2019" w:type="dxa"/>
          </w:tcPr>
          <w:p>
            <w:pPr>
              <w:pStyle w:val="TableAm"/>
              <w:rPr>
                <w:sz w:val="20"/>
              </w:rPr>
            </w:pPr>
            <w:r>
              <w:rPr>
                <w:sz w:val="20"/>
              </w:rPr>
              <w:t>$322</w:t>
            </w:r>
          </w:p>
        </w:tc>
        <w:tc>
          <w:tcPr>
            <w:tcW w:w="2019" w:type="dxa"/>
          </w:tcPr>
          <w:p>
            <w:pPr>
              <w:pStyle w:val="TableAm"/>
              <w:rPr>
                <w:sz w:val="20"/>
              </w:rPr>
            </w:pPr>
            <w:r>
              <w:rPr>
                <w:sz w:val="20"/>
              </w:rPr>
              <w:t>$330</w:t>
            </w:r>
          </w:p>
        </w:tc>
      </w:tr>
      <w:tr>
        <w:trPr>
          <w:cantSplit/>
          <w:jc w:val="center"/>
        </w:trPr>
        <w:tc>
          <w:tcPr>
            <w:tcW w:w="2019" w:type="dxa"/>
          </w:tcPr>
          <w:p>
            <w:pPr>
              <w:pStyle w:val="TableAm"/>
              <w:rPr>
                <w:sz w:val="20"/>
              </w:rPr>
            </w:pPr>
            <w:r>
              <w:rPr>
                <w:sz w:val="20"/>
              </w:rPr>
              <w:t>r. 6(2)(c)</w:t>
            </w:r>
          </w:p>
        </w:tc>
        <w:tc>
          <w:tcPr>
            <w:tcW w:w="2019" w:type="dxa"/>
          </w:tcPr>
          <w:p>
            <w:pPr>
              <w:pStyle w:val="TableAm"/>
              <w:rPr>
                <w:sz w:val="20"/>
              </w:rPr>
            </w:pPr>
            <w:r>
              <w:rPr>
                <w:sz w:val="20"/>
              </w:rPr>
              <w:t>$52</w:t>
            </w:r>
          </w:p>
        </w:tc>
        <w:tc>
          <w:tcPr>
            <w:tcW w:w="2019" w:type="dxa"/>
          </w:tcPr>
          <w:p>
            <w:pPr>
              <w:pStyle w:val="TableAm"/>
              <w:rPr>
                <w:sz w:val="20"/>
              </w:rPr>
            </w:pPr>
            <w:r>
              <w:rPr>
                <w:sz w:val="20"/>
              </w:rPr>
              <w:t>$53</w:t>
            </w:r>
          </w:p>
        </w:tc>
      </w:tr>
    </w:tbl>
    <w:p>
      <w:pPr>
        <w:pStyle w:val="BlankClose"/>
        <w:rPr>
          <w:snapToGrid w:val="0"/>
        </w:rPr>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67" w:name="_Toc415232187"/>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7278</Words>
  <Characters>38725</Characters>
  <Application>Microsoft Office Word</Application>
  <DocSecurity>0</DocSecurity>
  <Lines>1106</Lines>
  <Paragraphs>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1985 - 04-d0-01</dc:title>
  <dc:subject/>
  <dc:creator/>
  <cp:keywords/>
  <dc:description/>
  <cp:lastModifiedBy>svcMRProcess</cp:lastModifiedBy>
  <cp:revision>4</cp:revision>
  <cp:lastPrinted>2014-06-09T07:53:00Z</cp:lastPrinted>
  <dcterms:created xsi:type="dcterms:W3CDTF">2018-09-10T05:32:00Z</dcterms:created>
  <dcterms:modified xsi:type="dcterms:W3CDTF">2018-09-10T05:32:00Z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AsAtDate">
    <vt:lpwstr>06 Nov 2015</vt:lpwstr>
  </property>
  <property fmtid="{D5CDD505-2E9C-101B-9397-08002B2CF9AE}" pid="9" name="Suffix">
    <vt:lpwstr>04-d0-01</vt:lpwstr>
  </property>
</Properties>
</file>