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_Toc424566857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_Toc424566858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_Toc424566859 \h </w:instrText>
      </w:r>
      <w:r>
        <w:fldChar w:fldCharType="separate"/>
      </w:r>
      <w:r>
        <w:t>2</w:t>
      </w:r>
      <w:r>
        <w:fldChar w:fldCharType="end"/>
      </w:r>
    </w:p>
    <w:p>
      <w:pPr>
        <w:pStyle w:val="TOC8"/>
        <w:rPr>
          <w:rFonts w:asciiTheme="minorHAnsi" w:eastAsiaTheme="minorEastAsia" w:hAnsiTheme="minorHAnsi" w:cstheme="minorBidi"/>
          <w:szCs w:val="22"/>
        </w:rPr>
      </w:pPr>
      <w:r>
        <w:t>4.</w:t>
      </w:r>
      <w:r>
        <w:tab/>
        <w:t>“Volunteer”, meaning of</w:t>
      </w:r>
      <w:r>
        <w:tab/>
      </w:r>
      <w:r>
        <w:fldChar w:fldCharType="begin"/>
      </w:r>
      <w:r>
        <w:instrText xml:space="preserve"> PAGEREF _Toc424566860 \h </w:instrText>
      </w:r>
      <w:r>
        <w:fldChar w:fldCharType="separate"/>
      </w:r>
      <w:r>
        <w:t>4</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_Toc424566861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Protection of volunteers from liability</w:t>
      </w:r>
    </w:p>
    <w:p>
      <w:pPr>
        <w:pStyle w:val="TOC8"/>
        <w:rPr>
          <w:rFonts w:asciiTheme="minorHAnsi" w:eastAsiaTheme="minorEastAsia" w:hAnsiTheme="minorHAnsi" w:cstheme="minorBidi"/>
          <w:szCs w:val="22"/>
        </w:rPr>
      </w:pPr>
      <w:r>
        <w:t>6.</w:t>
      </w:r>
      <w:r>
        <w:tab/>
        <w:t>Protection of volunteers from liability</w:t>
      </w:r>
      <w:r>
        <w:tab/>
      </w:r>
      <w:r>
        <w:fldChar w:fldCharType="begin"/>
      </w:r>
      <w:r>
        <w:instrText xml:space="preserve"> PAGEREF _Toc424566863 \h </w:instrText>
      </w:r>
      <w:r>
        <w:fldChar w:fldCharType="separate"/>
      </w:r>
      <w:r>
        <w:t>6</w:t>
      </w:r>
      <w:r>
        <w:fldChar w:fldCharType="end"/>
      </w:r>
    </w:p>
    <w:p>
      <w:pPr>
        <w:pStyle w:val="TOC8"/>
        <w:rPr>
          <w:rFonts w:asciiTheme="minorHAnsi" w:eastAsiaTheme="minorEastAsia" w:hAnsiTheme="minorHAnsi" w:cstheme="minorBidi"/>
          <w:szCs w:val="22"/>
        </w:rPr>
      </w:pPr>
      <w:r>
        <w:t>7.</w:t>
      </w:r>
      <w:r>
        <w:tab/>
        <w:t>Liability of community organisations</w:t>
      </w:r>
      <w:r>
        <w:tab/>
      </w:r>
      <w:r>
        <w:fldChar w:fldCharType="begin"/>
      </w:r>
      <w:r>
        <w:instrText xml:space="preserve"> PAGEREF _Toc424566864 \h </w:instrText>
      </w:r>
      <w:r>
        <w:fldChar w:fldCharType="separate"/>
      </w:r>
      <w:r>
        <w:t>7</w:t>
      </w:r>
      <w:r>
        <w:fldChar w:fldCharType="end"/>
      </w:r>
    </w:p>
    <w:p>
      <w:pPr>
        <w:pStyle w:val="TOC8"/>
        <w:rPr>
          <w:rFonts w:asciiTheme="minorHAnsi" w:eastAsiaTheme="minorEastAsia" w:hAnsiTheme="minorHAnsi" w:cstheme="minorBidi"/>
          <w:szCs w:val="22"/>
        </w:rPr>
      </w:pPr>
      <w:r>
        <w:t>8.</w:t>
      </w:r>
      <w:r>
        <w:tab/>
        <w:t>Certain volunteers’ indemnities etc. have no effect</w:t>
      </w:r>
      <w:r>
        <w:tab/>
      </w:r>
      <w:r>
        <w:fldChar w:fldCharType="begin"/>
      </w:r>
      <w:r>
        <w:instrText xml:space="preserve"> PAGEREF _Toc424566865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Protection of food donors and grocery product donors from liability</w:t>
      </w:r>
    </w:p>
    <w:p>
      <w:pPr>
        <w:pStyle w:val="TOC8"/>
        <w:rPr>
          <w:rFonts w:asciiTheme="minorHAnsi" w:eastAsiaTheme="minorEastAsia" w:hAnsiTheme="minorHAnsi" w:cstheme="minorBidi"/>
          <w:szCs w:val="22"/>
        </w:rPr>
      </w:pPr>
      <w:r>
        <w:t>8A.</w:t>
      </w:r>
      <w:r>
        <w:tab/>
        <w:t>Protection of donors of food and grocery products from liability</w:t>
      </w:r>
      <w:r>
        <w:tab/>
      </w:r>
      <w:r>
        <w:fldChar w:fldCharType="begin"/>
      </w:r>
      <w:r>
        <w:instrText xml:space="preserve"> PAGEREF _Toc424566867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Regulations</w:t>
      </w:r>
    </w:p>
    <w:p>
      <w:pPr>
        <w:pStyle w:val="TOC8"/>
        <w:rPr>
          <w:rFonts w:asciiTheme="minorHAnsi" w:eastAsiaTheme="minorEastAsia" w:hAnsiTheme="minorHAnsi" w:cstheme="minorBidi"/>
          <w:szCs w:val="22"/>
        </w:rPr>
      </w:pPr>
      <w:r>
        <w:t>9.</w:t>
      </w:r>
      <w:r>
        <w:tab/>
        <w:t>Regulations</w:t>
      </w:r>
      <w:r>
        <w:tab/>
      </w:r>
      <w:r>
        <w:fldChar w:fldCharType="begin"/>
      </w:r>
      <w:r>
        <w:instrText xml:space="preserve"> PAGEREF _Toc424566869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_Toc424566871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 xml:space="preserve">An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3" w:name="_Toc379271239"/>
      <w:bookmarkStart w:id="4" w:name="_Toc424566856"/>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by No. 53 of 2006 s. 5.]</w:t>
      </w:r>
    </w:p>
    <w:p>
      <w:pPr>
        <w:pStyle w:val="Heading5"/>
        <w:suppressLineNumbers/>
        <w:rPr>
          <w:snapToGrid w:val="0"/>
        </w:rPr>
      </w:pPr>
      <w:bookmarkStart w:id="5" w:name="_Toc379271240"/>
      <w:bookmarkStart w:id="6" w:name="_Toc424566857"/>
      <w:r>
        <w:rPr>
          <w:rStyle w:val="CharSectno"/>
        </w:rPr>
        <w:t>1</w:t>
      </w:r>
      <w:r>
        <w:rPr>
          <w:snapToGrid w:val="0"/>
        </w:rPr>
        <w:t>.</w:t>
      </w:r>
      <w:r>
        <w:rPr>
          <w:snapToGrid w:val="0"/>
        </w:rPr>
        <w:tab/>
        <w:t>Short title</w:t>
      </w:r>
      <w:bookmarkEnd w:id="5"/>
      <w:bookmarkEnd w:id="6"/>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7" w:name="_Toc379271241"/>
      <w:bookmarkStart w:id="8" w:name="_Toc424566858"/>
      <w:r>
        <w:rPr>
          <w:rStyle w:val="CharSectno"/>
        </w:rPr>
        <w:t>2</w:t>
      </w:r>
      <w:r>
        <w:rPr>
          <w:snapToGrid w:val="0"/>
        </w:rPr>
        <w:t>.</w:t>
      </w:r>
      <w:r>
        <w:rPr>
          <w:snapToGrid w:val="0"/>
        </w:rPr>
        <w:tab/>
        <w:t>Commencement</w:t>
      </w:r>
      <w:bookmarkEnd w:id="7"/>
      <w:bookmarkEnd w:id="8"/>
    </w:p>
    <w:p>
      <w:pPr>
        <w:pStyle w:val="Subsection"/>
      </w:pPr>
      <w:r>
        <w:tab/>
        <w:t>(1)</w:t>
      </w:r>
      <w:r>
        <w:tab/>
        <w:t>This Act comes into operation on a day to be fixed by proclamation</w:t>
      </w:r>
      <w:r>
        <w:rPr>
          <w:snapToGrid w:val="0"/>
        </w:rPr>
        <w:t xml:space="preserve">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9" w:name="_Toc379271242"/>
      <w:bookmarkStart w:id="10" w:name="_Toc424566859"/>
      <w:r>
        <w:rPr>
          <w:rStyle w:val="CharSectno"/>
        </w:rPr>
        <w:t>3</w:t>
      </w:r>
      <w:r>
        <w:t>.</w:t>
      </w:r>
      <w:r>
        <w:tab/>
        <w:t>Terms used in this Act</w:t>
      </w:r>
      <w:bookmarkEnd w:id="9"/>
      <w:bookmarkEnd w:id="10"/>
    </w:p>
    <w:p>
      <w:pPr>
        <w:pStyle w:val="Subsection"/>
      </w:pPr>
      <w:r>
        <w:tab/>
        <w:t>(1)</w:t>
      </w:r>
      <w:r>
        <w:tab/>
        <w:t xml:space="preserve">In this Act, unless the contrary intention appears — </w:t>
      </w:r>
    </w:p>
    <w:p>
      <w:pPr>
        <w:pStyle w:val="Defstart"/>
      </w:pPr>
      <w:r>
        <w:tab/>
      </w:r>
      <w:r>
        <w:rPr>
          <w:rStyle w:val="CharDefText"/>
        </w:rPr>
        <w:t>community organisation</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t>that organises the doing of community work by volunteers;</w:t>
      </w:r>
    </w:p>
    <w:p>
      <w:pPr>
        <w:pStyle w:val="Defstart"/>
      </w:pPr>
      <w:r>
        <w:tab/>
      </w:r>
      <w:r>
        <w:rPr>
          <w:rStyle w:val="CharDefText"/>
        </w:rPr>
        <w:t>community work</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t>but does not include work of a kind that is prescribed by the regulations as work that is not to be regarded as community work for the purposes of this Act;</w:t>
      </w:r>
    </w:p>
    <w:p>
      <w:pPr>
        <w:pStyle w:val="Defstart"/>
      </w:pPr>
      <w:r>
        <w:rPr>
          <w:b/>
        </w:rPr>
        <w:tab/>
      </w:r>
      <w:r>
        <w:rPr>
          <w:rStyle w:val="CharDefText"/>
        </w:rPr>
        <w:t>food</w:t>
      </w:r>
      <w:r>
        <w:t xml:space="preserve"> has the meaning given to that term in the </w:t>
      </w:r>
      <w:r>
        <w:rPr>
          <w:i/>
          <w:iCs/>
        </w:rPr>
        <w:t xml:space="preserve">Food Act 2008 </w:t>
      </w:r>
      <w:r>
        <w:t>section 9;</w:t>
      </w:r>
    </w:p>
    <w:p>
      <w:pPr>
        <w:pStyle w:val="Defstart"/>
      </w:pPr>
      <w:r>
        <w:rPr>
          <w:b/>
        </w:rPr>
        <w:tab/>
      </w:r>
      <w:r>
        <w:rPr>
          <w:rStyle w:val="CharDefText"/>
        </w:rPr>
        <w:t>grocery product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t>but does not include food;</w:t>
      </w:r>
    </w:p>
    <w:p>
      <w:pPr>
        <w:pStyle w:val="Defstart"/>
      </w:pPr>
      <w:r>
        <w:tab/>
      </w:r>
      <w:r>
        <w:rPr>
          <w:rStyle w:val="CharDefText"/>
        </w:rPr>
        <w:t>organised</w:t>
      </w:r>
      <w:r>
        <w:t xml:space="preserve"> includes directed and supervised;</w:t>
      </w:r>
    </w:p>
    <w:p>
      <w:pPr>
        <w:pStyle w:val="Defstart"/>
      </w:pPr>
      <w:r>
        <w:rPr>
          <w:b/>
        </w:rPr>
        <w:tab/>
      </w:r>
      <w:r>
        <w:rPr>
          <w:rStyle w:val="CharDefText"/>
        </w:rPr>
        <w:t>personal injury</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rStyle w:val="CharDefText"/>
        </w:rPr>
        <w:t>volunteer</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r>
        <w:tab/>
        <w:t>[Section 3 amended by No. 53 of 2006 s. 7; No. 43 of 2008 s. 149.]</w:t>
      </w:r>
    </w:p>
    <w:p>
      <w:pPr>
        <w:pStyle w:val="Heading5"/>
      </w:pPr>
      <w:bookmarkStart w:id="11" w:name="_Toc379271243"/>
      <w:bookmarkStart w:id="12" w:name="_Toc424566860"/>
      <w:r>
        <w:rPr>
          <w:rStyle w:val="CharSectno"/>
        </w:rPr>
        <w:t>4</w:t>
      </w:r>
      <w:r>
        <w:t>.</w:t>
      </w:r>
      <w:r>
        <w:tab/>
        <w:t>“Volunteer”, meaning of</w:t>
      </w:r>
      <w:bookmarkEnd w:id="11"/>
      <w:bookmarkEnd w:id="12"/>
    </w:p>
    <w:p>
      <w:pPr>
        <w:pStyle w:val="Subsection"/>
      </w:pPr>
      <w:r>
        <w:tab/>
        <w:t>(1)</w:t>
      </w:r>
      <w:r>
        <w:tab/>
        <w:t xml:space="preserve">In this Act — </w:t>
      </w:r>
    </w:p>
    <w:p>
      <w:pPr>
        <w:pStyle w:val="Defstart"/>
      </w:pPr>
      <w:r>
        <w:tab/>
      </w:r>
      <w:r>
        <w:rPr>
          <w:rStyle w:val="CharDefText"/>
        </w:rPr>
        <w:t>volunteer</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Footnotesection"/>
      </w:pPr>
      <w:r>
        <w:tab/>
        <w:t>[Section 4 amended by No. 22 of 2012 s. 145.]</w:t>
      </w:r>
    </w:p>
    <w:p>
      <w:pPr>
        <w:pStyle w:val="Heading5"/>
      </w:pPr>
      <w:bookmarkStart w:id="13" w:name="_Toc379271244"/>
      <w:bookmarkStart w:id="14" w:name="_Toc424566861"/>
      <w:r>
        <w:rPr>
          <w:rStyle w:val="CharSectno"/>
        </w:rPr>
        <w:t>5</w:t>
      </w:r>
      <w:r>
        <w:t>.</w:t>
      </w:r>
      <w:r>
        <w:tab/>
        <w:t>Application</w:t>
      </w:r>
      <w:bookmarkEnd w:id="13"/>
      <w:bookmarkEnd w:id="14"/>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pPr>
        <w:pStyle w:val="Subsection"/>
      </w:pPr>
      <w:r>
        <w:tab/>
        <w:t>(2)</w:t>
      </w:r>
      <w:r>
        <w:tab/>
        <w:t>This Act does not limit the protection from liability given by another written law.</w:t>
      </w:r>
    </w:p>
    <w:p>
      <w:pPr>
        <w:pStyle w:val="Footnotesection"/>
      </w:pPr>
      <w:r>
        <w:tab/>
        <w:t>[Section 5 amended by No. 53 of 2006 s. 8.]</w:t>
      </w:r>
    </w:p>
    <w:p>
      <w:pPr>
        <w:pStyle w:val="Heading2"/>
      </w:pPr>
      <w:bookmarkStart w:id="15" w:name="_Toc379271245"/>
      <w:bookmarkStart w:id="16" w:name="_Toc424566862"/>
      <w:r>
        <w:rPr>
          <w:rStyle w:val="CharPartNo"/>
        </w:rPr>
        <w:t>Part 2</w:t>
      </w:r>
      <w:r>
        <w:rPr>
          <w:b w:val="0"/>
        </w:rPr>
        <w:t> </w:t>
      </w:r>
      <w:r>
        <w:t>—</w:t>
      </w:r>
      <w:r>
        <w:rPr>
          <w:b w:val="0"/>
        </w:rPr>
        <w:t> </w:t>
      </w:r>
      <w:r>
        <w:rPr>
          <w:rStyle w:val="CharPartText"/>
        </w:rPr>
        <w:t>Protection of volunteers from liability</w:t>
      </w:r>
      <w:bookmarkEnd w:id="15"/>
      <w:bookmarkEnd w:id="16"/>
    </w:p>
    <w:p>
      <w:pPr>
        <w:pStyle w:val="Footnoteheading"/>
      </w:pPr>
      <w:r>
        <w:tab/>
        <w:t>[Heading inserted by No. 53 of 2006 s. 9.]</w:t>
      </w:r>
    </w:p>
    <w:p>
      <w:pPr>
        <w:pStyle w:val="Heading5"/>
      </w:pPr>
      <w:bookmarkStart w:id="17" w:name="_Toc379271246"/>
      <w:bookmarkStart w:id="18" w:name="_Toc424566863"/>
      <w:r>
        <w:rPr>
          <w:rStyle w:val="CharSectno"/>
        </w:rPr>
        <w:t>6</w:t>
      </w:r>
      <w:r>
        <w:t>.</w:t>
      </w:r>
      <w:r>
        <w:tab/>
        <w:t>Protection of volunteers from liability</w:t>
      </w:r>
      <w:bookmarkEnd w:id="17"/>
      <w:bookmarkEnd w:id="18"/>
    </w:p>
    <w:p>
      <w:pPr>
        <w:pStyle w:val="Subsection"/>
      </w:pPr>
      <w:r>
        <w:tab/>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rStyle w:val="CharDefText"/>
        </w:rPr>
        <w:t>drugs</w:t>
      </w:r>
      <w:r>
        <w:t xml:space="preserve"> means drugs that are taken voluntarily otherwise than for therapeutic purposes;</w:t>
      </w:r>
    </w:p>
    <w:p>
      <w:pPr>
        <w:pStyle w:val="Defstart"/>
      </w:pPr>
      <w:r>
        <w:tab/>
      </w:r>
      <w:r>
        <w:rPr>
          <w:rStyle w:val="CharDefText"/>
        </w:rPr>
        <w:t>motor vehicle</w:t>
      </w:r>
      <w:r>
        <w:t xml:space="preserve"> has the meaning given in section 3(1) of the </w:t>
      </w:r>
      <w:r>
        <w:rPr>
          <w:i/>
        </w:rPr>
        <w:t>Motor Vehicle (Third Party Insurance) Act 1943</w:t>
      </w:r>
      <w:r>
        <w:t>.</w:t>
      </w:r>
    </w:p>
    <w:p>
      <w:pPr>
        <w:pStyle w:val="Heading5"/>
      </w:pPr>
      <w:bookmarkStart w:id="19" w:name="_Toc379271247"/>
      <w:bookmarkStart w:id="20" w:name="_Toc424566864"/>
      <w:r>
        <w:rPr>
          <w:rStyle w:val="CharSectno"/>
        </w:rPr>
        <w:t>7</w:t>
      </w:r>
      <w:r>
        <w:t>.</w:t>
      </w:r>
      <w:r>
        <w:tab/>
        <w:t>Liability of community organisations</w:t>
      </w:r>
      <w:bookmarkEnd w:id="19"/>
      <w:bookmarkEnd w:id="20"/>
    </w:p>
    <w:p>
      <w:pPr>
        <w:pStyle w:val="Subsection"/>
      </w:pPr>
      <w:r>
        <w:tab/>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rStyle w:val="CharDefText"/>
        </w:rPr>
        <w:t>State agency</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21" w:name="_Toc379271248"/>
      <w:bookmarkStart w:id="22" w:name="_Toc424566865"/>
      <w:r>
        <w:rPr>
          <w:rStyle w:val="CharSectno"/>
        </w:rPr>
        <w:t>8</w:t>
      </w:r>
      <w:r>
        <w:t>.</w:t>
      </w:r>
      <w:r>
        <w:tab/>
        <w:t>Certain volunteers’ indemnities etc. have no effect</w:t>
      </w:r>
      <w:bookmarkEnd w:id="21"/>
      <w:bookmarkEnd w:id="22"/>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23" w:name="_Toc379271249"/>
      <w:bookmarkStart w:id="24" w:name="_Toc424566866"/>
      <w:r>
        <w:rPr>
          <w:rStyle w:val="CharPartNo"/>
        </w:rPr>
        <w:t>Part 3</w:t>
      </w:r>
      <w:r>
        <w:rPr>
          <w:b w:val="0"/>
        </w:rPr>
        <w:t> </w:t>
      </w:r>
      <w:r>
        <w:t>—</w:t>
      </w:r>
      <w:r>
        <w:rPr>
          <w:b w:val="0"/>
        </w:rPr>
        <w:t> </w:t>
      </w:r>
      <w:r>
        <w:rPr>
          <w:rStyle w:val="CharPartText"/>
        </w:rPr>
        <w:t>Protection of food donors and grocery product donors from liability</w:t>
      </w:r>
      <w:bookmarkEnd w:id="23"/>
      <w:bookmarkEnd w:id="24"/>
    </w:p>
    <w:p>
      <w:pPr>
        <w:pStyle w:val="Footnoteheading"/>
      </w:pPr>
      <w:r>
        <w:tab/>
        <w:t>[Heading inserted by No. 53 of 2006 s. 10.]</w:t>
      </w:r>
    </w:p>
    <w:p>
      <w:pPr>
        <w:pStyle w:val="Heading5"/>
      </w:pPr>
      <w:bookmarkStart w:id="25" w:name="_Toc379271250"/>
      <w:bookmarkStart w:id="26" w:name="_Toc424566867"/>
      <w:r>
        <w:rPr>
          <w:rStyle w:val="CharSectno"/>
        </w:rPr>
        <w:t>8A</w:t>
      </w:r>
      <w:r>
        <w:t>.</w:t>
      </w:r>
      <w:r>
        <w:tab/>
        <w:t>Protection of donors of food and grocery products from liability</w:t>
      </w:r>
      <w:bookmarkEnd w:id="25"/>
      <w:bookmarkEnd w:id="26"/>
    </w:p>
    <w:p>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r>
        <w:rPr>
          <w:rStyle w:val="CharDefText"/>
        </w:rPr>
        <w:t>person who donates food or a grocery product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27" w:name="_Toc379271251"/>
      <w:bookmarkStart w:id="28" w:name="_Toc424566868"/>
      <w:r>
        <w:rPr>
          <w:rStyle w:val="CharPartNo"/>
        </w:rPr>
        <w:t>Part 4</w:t>
      </w:r>
      <w:r>
        <w:rPr>
          <w:b w:val="0"/>
        </w:rPr>
        <w:t> </w:t>
      </w:r>
      <w:r>
        <w:t>—</w:t>
      </w:r>
      <w:r>
        <w:rPr>
          <w:b w:val="0"/>
        </w:rPr>
        <w:t> </w:t>
      </w:r>
      <w:r>
        <w:rPr>
          <w:rStyle w:val="CharPartText"/>
        </w:rPr>
        <w:t>Regulations</w:t>
      </w:r>
      <w:bookmarkEnd w:id="27"/>
      <w:bookmarkEnd w:id="28"/>
    </w:p>
    <w:p>
      <w:pPr>
        <w:pStyle w:val="Footnoteheading"/>
      </w:pPr>
      <w:r>
        <w:tab/>
        <w:t>[Heading inserted by No. 53 of 2006 s. 11.]</w:t>
      </w:r>
    </w:p>
    <w:p>
      <w:pPr>
        <w:pStyle w:val="Heading5"/>
      </w:pPr>
      <w:bookmarkStart w:id="29" w:name="_Toc379271252"/>
      <w:bookmarkStart w:id="30" w:name="_Toc424566869"/>
      <w:r>
        <w:rPr>
          <w:rStyle w:val="CharSectno"/>
        </w:rPr>
        <w:t>9</w:t>
      </w:r>
      <w:r>
        <w:t>.</w:t>
      </w:r>
      <w:r>
        <w:tab/>
        <w:t>Regulations</w:t>
      </w:r>
      <w:bookmarkEnd w:id="29"/>
      <w:bookmarkEnd w:id="3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1" w:name="_Toc379271253"/>
      <w:bookmarkStart w:id="32" w:name="_Toc424566870"/>
      <w:r>
        <w:t>Notes</w:t>
      </w:r>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 w:name="_Toc379271254"/>
      <w:bookmarkStart w:id="34" w:name="_Toc424566871"/>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Volunteers (Protection from Liability) Act 2002 </w:t>
            </w:r>
            <w:r>
              <w:rPr>
                <w:snapToGrid w:val="0"/>
                <w:vertAlign w:val="superscript"/>
              </w:rPr>
              <w:t>2</w:t>
            </w:r>
          </w:p>
        </w:tc>
        <w:tc>
          <w:tcPr>
            <w:tcW w:w="1134" w:type="dxa"/>
            <w:tcBorders>
              <w:top w:val="single" w:sz="8" w:space="0" w:color="auto"/>
            </w:tcBorders>
          </w:tcPr>
          <w:p>
            <w:pPr>
              <w:pStyle w:val="nTable"/>
              <w:spacing w:after="40"/>
            </w:pPr>
            <w:r>
              <w:t>32 of 2002</w:t>
            </w:r>
          </w:p>
        </w:tc>
        <w:tc>
          <w:tcPr>
            <w:tcW w:w="1134" w:type="dxa"/>
            <w:tcBorders>
              <w:top w:val="single" w:sz="8" w:space="0" w:color="auto"/>
            </w:tcBorders>
          </w:tcPr>
          <w:p>
            <w:pPr>
              <w:pStyle w:val="nTable"/>
              <w:spacing w:after="40"/>
            </w:pPr>
            <w:r>
              <w:t>14 Nov 2002</w:t>
            </w:r>
          </w:p>
        </w:tc>
        <w:tc>
          <w:tcPr>
            <w:tcW w:w="2552" w:type="dxa"/>
            <w:tcBorders>
              <w:top w:val="single" w:sz="8" w:space="0" w:color="auto"/>
            </w:tcBorders>
          </w:tcPr>
          <w:p>
            <w:pPr>
              <w:pStyle w:val="nTable"/>
              <w:spacing w:after="40"/>
            </w:pPr>
            <w:r>
              <w:t xml:space="preserve">1 Jan 2003 (see s. 2 and </w:t>
            </w:r>
            <w:r>
              <w:rPr>
                <w:i/>
              </w:rPr>
              <w:t>Gazette</w:t>
            </w:r>
            <w:r>
              <w:t xml:space="preserve"> 17 Dec 2002 p. 5905)</w:t>
            </w:r>
          </w:p>
        </w:tc>
      </w:tr>
      <w:tr>
        <w:tc>
          <w:tcPr>
            <w:tcW w:w="2268" w:type="dxa"/>
          </w:tcPr>
          <w:p>
            <w:pPr>
              <w:pStyle w:val="nTable"/>
              <w:spacing w:after="40"/>
              <w:ind w:right="113"/>
              <w:rPr>
                <w:snapToGrid w:val="0"/>
                <w:vertAlign w:val="superscript"/>
              </w:rPr>
            </w:pPr>
            <w:r>
              <w:rPr>
                <w:i/>
                <w:snapToGrid w:val="0"/>
              </w:rPr>
              <w:t>Volunteers (Protection from Liability) Amendment Act 2006</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rPr>
              <w:t>Gazette</w:t>
            </w:r>
            <w:r>
              <w:t xml:space="preserve"> 1 Dec 2006 p. 5297)</w:t>
            </w:r>
          </w:p>
        </w:tc>
      </w:tr>
      <w:tr>
        <w:trPr>
          <w:cantSplit/>
        </w:trPr>
        <w:tc>
          <w:tcPr>
            <w:tcW w:w="7088" w:type="dxa"/>
            <w:gridSpan w:val="4"/>
          </w:tcPr>
          <w:p>
            <w:pPr>
              <w:pStyle w:val="nTable"/>
              <w:keepNext/>
              <w:spacing w:after="40"/>
            </w:pPr>
            <w:r>
              <w:rPr>
                <w:b/>
              </w:rPr>
              <w:t xml:space="preserve">Reprint 1: The </w:t>
            </w:r>
            <w:r>
              <w:rPr>
                <w:b/>
                <w:i/>
                <w:snapToGrid w:val="0"/>
              </w:rPr>
              <w:t>Volunteers</w:t>
            </w:r>
            <w:r>
              <w:rPr>
                <w:b/>
                <w:i/>
              </w:rPr>
              <w:t xml:space="preserve"> and Food and Other Donors</w:t>
            </w:r>
            <w:r>
              <w:rPr>
                <w:b/>
                <w:i/>
                <w:snapToGrid w:val="0"/>
              </w:rPr>
              <w:t xml:space="preserve"> (Protection from Liability) Act 2002</w:t>
            </w:r>
            <w:r>
              <w:rPr>
                <w:b/>
              </w:rPr>
              <w:t xml:space="preserve"> as at 19 Jan 2007 </w:t>
            </w:r>
            <w:r>
              <w:t>(includes amendments listed above)</w:t>
            </w:r>
          </w:p>
        </w:tc>
      </w:tr>
      <w:tr>
        <w:trPr>
          <w:cantSplit/>
        </w:trPr>
        <w:tc>
          <w:tcPr>
            <w:tcW w:w="2268" w:type="dxa"/>
          </w:tcPr>
          <w:p>
            <w:pPr>
              <w:pStyle w:val="nTable"/>
              <w:spacing w:after="40"/>
              <w:rPr>
                <w:iCs/>
                <w:vertAlign w:val="superscript"/>
              </w:rPr>
            </w:pPr>
            <w:r>
              <w:rPr>
                <w:i/>
                <w:noProof/>
                <w:snapToGrid w:val="0"/>
              </w:rPr>
              <w:t>Food Act 2008</w:t>
            </w:r>
            <w:r>
              <w:rPr>
                <w:iCs/>
                <w:noProof/>
                <w:snapToGrid w:val="0"/>
              </w:rPr>
              <w:t xml:space="preserve"> s. 149 </w:t>
            </w:r>
          </w:p>
        </w:tc>
        <w:tc>
          <w:tcPr>
            <w:tcW w:w="1134" w:type="dxa"/>
          </w:tcPr>
          <w:p>
            <w:pPr>
              <w:pStyle w:val="nTable"/>
              <w:spacing w:after="40"/>
            </w:pPr>
            <w:r>
              <w:t>43 of 2008</w:t>
            </w:r>
          </w:p>
        </w:tc>
        <w:tc>
          <w:tcPr>
            <w:tcW w:w="1134" w:type="dxa"/>
          </w:tcPr>
          <w:p>
            <w:pPr>
              <w:pStyle w:val="nTable"/>
              <w:spacing w:after="40"/>
            </w:pPr>
            <w:r>
              <w:t>8 Jul 2008</w:t>
            </w:r>
          </w:p>
        </w:tc>
        <w:tc>
          <w:tcPr>
            <w:tcW w:w="2552" w:type="dxa"/>
          </w:tcPr>
          <w:p>
            <w:pPr>
              <w:pStyle w:val="nTable"/>
              <w:spacing w:after="40"/>
            </w:pPr>
            <w:r>
              <w:t xml:space="preserve">24 Oct 2009 (see s. 2(1)(b) and (2) and </w:t>
            </w:r>
            <w:r>
              <w:rPr>
                <w:i/>
                <w:iCs/>
              </w:rPr>
              <w:t>Gazette</w:t>
            </w:r>
            <w:r>
              <w:t xml:space="preserve"> 23 Oct 2009 p. 4157)</w:t>
            </w:r>
          </w:p>
        </w:tc>
      </w:tr>
      <w:tr>
        <w:trPr>
          <w:cantSplit/>
        </w:trPr>
        <w:tc>
          <w:tcPr>
            <w:tcW w:w="2268" w:type="dxa"/>
            <w:tcBorders>
              <w:bottom w:val="single" w:sz="8" w:space="0" w:color="auto"/>
            </w:tcBorders>
          </w:tcPr>
          <w:p>
            <w:pPr>
              <w:pStyle w:val="nTable"/>
              <w:spacing w:after="40"/>
              <w:rPr>
                <w:i/>
                <w:noProof/>
                <w:snapToGrid w:val="0"/>
              </w:rPr>
            </w:pPr>
            <w:r>
              <w:rPr>
                <w:i/>
                <w:snapToGrid w:val="0"/>
              </w:rPr>
              <w:t xml:space="preserve">Fire and Emergency Services Legislation Amendment Act 2012 </w:t>
            </w:r>
            <w:r>
              <w:rPr>
                <w:snapToGrid w:val="0"/>
              </w:rPr>
              <w:t>Pt. 7 Div. 16</w:t>
            </w:r>
          </w:p>
        </w:tc>
        <w:tc>
          <w:tcPr>
            <w:tcW w:w="1134" w:type="dxa"/>
            <w:tcBorders>
              <w:bottom w:val="single" w:sz="8" w:space="0" w:color="auto"/>
            </w:tcBorders>
          </w:tcPr>
          <w:p>
            <w:pPr>
              <w:pStyle w:val="nTable"/>
              <w:spacing w:after="40"/>
            </w:pPr>
            <w:r>
              <w:t>22 of 2012</w:t>
            </w:r>
          </w:p>
        </w:tc>
        <w:tc>
          <w:tcPr>
            <w:tcW w:w="1134" w:type="dxa"/>
            <w:tcBorders>
              <w:bottom w:val="single" w:sz="8" w:space="0" w:color="auto"/>
            </w:tcBorders>
          </w:tcPr>
          <w:p>
            <w:pPr>
              <w:pStyle w:val="nTable"/>
              <w:spacing w:after="40"/>
            </w:pPr>
            <w:r>
              <w:t>29 Aug 2012</w:t>
            </w:r>
          </w:p>
        </w:tc>
        <w:tc>
          <w:tcPr>
            <w:tcW w:w="2552" w:type="dxa"/>
            <w:tcBorders>
              <w:bottom w:val="single" w:sz="8" w:space="0" w:color="auto"/>
            </w:tcBorders>
          </w:tcPr>
          <w:p>
            <w:pPr>
              <w:pStyle w:val="nTable"/>
              <w:spacing w:after="40"/>
            </w:pPr>
            <w:r>
              <w:t xml:space="preserve">1 Nov 2012 (see s. 2(b) and </w:t>
            </w:r>
            <w:r>
              <w:rPr>
                <w:i/>
              </w:rPr>
              <w:t>Gazette</w:t>
            </w:r>
            <w:r>
              <w:t xml:space="preserve"> 31 Oct 2012 p. 5255)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Layout w:type="fixed"/>
        <w:tblCellMar>
          <w:left w:w="56" w:type="dxa"/>
          <w:right w:w="56" w:type="dxa"/>
        </w:tblCellMar>
        <w:tblLook w:val="04A0" w:firstRow="1" w:lastRow="0" w:firstColumn="1" w:lastColumn="0" w:noHBand="0" w:noVBand="1"/>
      </w:tblPr>
      <w:tblGrid>
        <w:gridCol w:w="21"/>
        <w:gridCol w:w="2247"/>
        <w:gridCol w:w="1134"/>
        <w:gridCol w:w="1134"/>
        <w:gridCol w:w="2547"/>
      </w:tblGrid>
      <w:tr>
        <w:trPr>
          <w:gridBefore w:val="1"/>
          <w:wBefore w:w="21" w:type="dxa"/>
          <w:cantSplit/>
          <w:tblHeader/>
        </w:trPr>
        <w:tc>
          <w:tcPr>
            <w:tcW w:w="2247" w:type="dxa"/>
            <w:tcBorders>
              <w:top w:val="single" w:sz="8" w:space="0" w:color="auto"/>
              <w:left w:val="nil"/>
              <w:bottom w:val="single" w:sz="8" w:space="0" w:color="auto"/>
              <w:right w:val="nil"/>
            </w:tcBorders>
            <w:hideMark/>
          </w:tcPr>
          <w:p>
            <w:pPr>
              <w:pStyle w:val="nTable"/>
              <w:spacing w:before="50" w:after="50"/>
              <w:ind w:right="113"/>
              <w:rPr>
                <w:b/>
              </w:rPr>
            </w:pPr>
            <w:r>
              <w:rPr>
                <w:b/>
              </w:rPr>
              <w:t>Short title</w:t>
            </w:r>
          </w:p>
        </w:tc>
        <w:tc>
          <w:tcPr>
            <w:tcW w:w="1134" w:type="dxa"/>
            <w:tcBorders>
              <w:top w:val="single" w:sz="8" w:space="0" w:color="auto"/>
              <w:left w:val="nil"/>
              <w:bottom w:val="single" w:sz="8" w:space="0" w:color="auto"/>
              <w:right w:val="nil"/>
            </w:tcBorders>
            <w:hideMark/>
          </w:tcPr>
          <w:p>
            <w:pPr>
              <w:pStyle w:val="nTable"/>
              <w:spacing w:before="50" w:after="50"/>
              <w:rPr>
                <w:b/>
              </w:rPr>
            </w:pPr>
            <w:r>
              <w:rPr>
                <w:b/>
              </w:rPr>
              <w:t>Number and year</w:t>
            </w:r>
          </w:p>
        </w:tc>
        <w:tc>
          <w:tcPr>
            <w:tcW w:w="1134" w:type="dxa"/>
            <w:tcBorders>
              <w:top w:val="single" w:sz="8" w:space="0" w:color="auto"/>
              <w:left w:val="nil"/>
              <w:bottom w:val="single" w:sz="8" w:space="0" w:color="auto"/>
              <w:right w:val="nil"/>
            </w:tcBorders>
            <w:hideMark/>
          </w:tcPr>
          <w:p>
            <w:pPr>
              <w:pStyle w:val="nTable"/>
              <w:spacing w:before="50" w:after="50"/>
              <w:rPr>
                <w:b/>
              </w:rPr>
            </w:pPr>
            <w:r>
              <w:rPr>
                <w:b/>
              </w:rPr>
              <w:t>Assent</w:t>
            </w:r>
          </w:p>
        </w:tc>
        <w:tc>
          <w:tcPr>
            <w:tcW w:w="2547" w:type="dxa"/>
            <w:tcBorders>
              <w:top w:val="single" w:sz="8" w:space="0" w:color="auto"/>
              <w:left w:val="nil"/>
              <w:bottom w:val="single" w:sz="8" w:space="0" w:color="auto"/>
              <w:right w:val="nil"/>
            </w:tcBorders>
            <w:hideMark/>
          </w:tcPr>
          <w:p>
            <w:pPr>
              <w:pStyle w:val="nTable"/>
              <w:spacing w:before="50" w:after="50"/>
              <w:rPr>
                <w:b/>
              </w:rPr>
            </w:pPr>
            <w:r>
              <w:rPr>
                <w:b/>
              </w:rPr>
              <w:t>Commencement</w:t>
            </w:r>
          </w:p>
        </w:tc>
      </w:tr>
      <w:tr>
        <w:tblPrEx>
          <w:tblBorders>
            <w:top w:val="single" w:sz="8" w:space="0" w:color="auto"/>
            <w:bottom w:val="single" w:sz="8" w:space="0" w:color="auto"/>
            <w:insideH w:val="single" w:sz="8" w:space="0" w:color="auto"/>
          </w:tblBorders>
          <w:tblLook w:val="0000" w:firstRow="0" w:lastRow="0" w:firstColumn="0" w:lastColumn="0" w:noHBand="0" w:noVBand="0"/>
        </w:tblPrEx>
        <w:tc>
          <w:tcPr>
            <w:tcW w:w="2268" w:type="dxa"/>
            <w:gridSpan w:val="2"/>
          </w:tcPr>
          <w:p>
            <w:pPr>
              <w:pStyle w:val="nTable"/>
              <w:spacing w:after="40"/>
              <w:rPr>
                <w:vertAlign w:val="superscript"/>
              </w:rPr>
            </w:pPr>
            <w:r>
              <w:rPr>
                <w:i/>
                <w:noProof/>
              </w:rPr>
              <w:t xml:space="preserve">Associations Incorporation Act 2015 </w:t>
            </w:r>
            <w:r>
              <w:rPr>
                <w:noProof/>
              </w:rPr>
              <w:t>s. 230 and 232 </w:t>
            </w:r>
            <w:r>
              <w:rPr>
                <w:noProof/>
                <w:vertAlign w:val="superscript"/>
              </w:rPr>
              <w:t>3</w:t>
            </w:r>
          </w:p>
        </w:tc>
        <w:tc>
          <w:tcPr>
            <w:tcW w:w="1134" w:type="dxa"/>
          </w:tcPr>
          <w:p>
            <w:pPr>
              <w:pStyle w:val="nTable"/>
              <w:spacing w:after="40"/>
            </w:pPr>
            <w:r>
              <w:t>30 of 2015</w:t>
            </w:r>
          </w:p>
        </w:tc>
        <w:tc>
          <w:tcPr>
            <w:tcW w:w="1134" w:type="dxa"/>
          </w:tcPr>
          <w:p>
            <w:pPr>
              <w:pStyle w:val="nTable"/>
              <w:spacing w:after="40"/>
            </w:pPr>
            <w:r>
              <w:t>2 Nov 2015</w:t>
            </w:r>
          </w:p>
        </w:tc>
        <w:tc>
          <w:tcPr>
            <w:tcW w:w="2547" w:type="dxa"/>
          </w:tcPr>
          <w:p>
            <w:pPr>
              <w:pStyle w:val="nTable"/>
              <w:spacing w:after="40"/>
            </w:pPr>
            <w:r>
              <w:t>To be proclaimed (see s. 2(b))</w:t>
            </w:r>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230 and 232 </w:t>
      </w:r>
      <w:r>
        <w:rPr>
          <w:snapToGrid w:val="0"/>
        </w:rPr>
        <w:t>had not come into operation.  They read as follows:</w:t>
      </w:r>
    </w:p>
    <w:p>
      <w:pPr>
        <w:pStyle w:val="BlankOpen"/>
      </w:pPr>
    </w:p>
    <w:p>
      <w:pPr>
        <w:pStyle w:val="nzHeading5"/>
      </w:pPr>
      <w:bookmarkStart w:id="35" w:name="_Toc433273733"/>
      <w:bookmarkStart w:id="36" w:name="_Toc434319295"/>
      <w:bookmarkStart w:id="37" w:name="_Toc434321347"/>
      <w:r>
        <w:rPr>
          <w:rStyle w:val="CharSectno"/>
        </w:rPr>
        <w:t>230</w:t>
      </w:r>
      <w:r>
        <w:t>.</w:t>
      </w:r>
      <w:r>
        <w:tab/>
      </w:r>
      <w:r>
        <w:rPr>
          <w:i/>
        </w:rPr>
        <w:t>Volunteers and Food and Other Donors (Protection from Liability) Act 2002</w:t>
      </w:r>
      <w:r>
        <w:t xml:space="preserve"> amended</w:t>
      </w:r>
      <w:bookmarkEnd w:id="35"/>
      <w:bookmarkEnd w:id="36"/>
      <w:bookmarkEnd w:id="37"/>
    </w:p>
    <w:p>
      <w:pPr>
        <w:pStyle w:val="nzSubsection"/>
      </w:pPr>
      <w:r>
        <w:tab/>
        <w:t>(1)</w:t>
      </w:r>
      <w:r>
        <w:tab/>
        <w:t xml:space="preserve">This section amends the </w:t>
      </w:r>
      <w:r>
        <w:rPr>
          <w:i/>
        </w:rPr>
        <w:t>Volunteers and Food and Other Donors (Protection from Liability) Act 2002</w:t>
      </w:r>
      <w:r>
        <w:t>.</w:t>
      </w:r>
    </w:p>
    <w:p>
      <w:pPr>
        <w:pStyle w:val="nzSubsection"/>
        <w:keepNext/>
      </w:pPr>
      <w:r>
        <w:tab/>
        <w:t>(2)</w:t>
      </w:r>
      <w:r>
        <w:tab/>
        <w:t xml:space="preserve">In section 3(1) in the definition of </w:t>
      </w:r>
      <w:r>
        <w:rPr>
          <w:b/>
          <w:i/>
        </w:rPr>
        <w:t>community work</w:t>
      </w:r>
      <w:r>
        <w:t>:</w:t>
      </w:r>
    </w:p>
    <w:p>
      <w:pPr>
        <w:pStyle w:val="nzIndenta"/>
      </w:pPr>
      <w:r>
        <w:tab/>
        <w:t>(a)</w:t>
      </w:r>
      <w:r>
        <w:tab/>
        <w:t>delete paragraph (j);</w:t>
      </w:r>
    </w:p>
    <w:p>
      <w:pPr>
        <w:pStyle w:val="nzIndenta"/>
      </w:pPr>
      <w:r>
        <w:tab/>
        <w:t>(b)</w:t>
      </w:r>
      <w:r>
        <w:tab/>
        <w:t>after each of paragraphs (a) to (i) insert:</w:t>
      </w:r>
    </w:p>
    <w:p>
      <w:pPr>
        <w:pStyle w:val="BlankOpen"/>
      </w:pPr>
    </w:p>
    <w:p>
      <w:pPr>
        <w:pStyle w:val="nzIndenta"/>
      </w:pPr>
      <w:r>
        <w:tab/>
      </w:r>
      <w:r>
        <w:tab/>
        <w:t>or</w:t>
      </w:r>
    </w:p>
    <w:p>
      <w:pPr>
        <w:pStyle w:val="BlankClose"/>
      </w:pPr>
    </w:p>
    <w:p>
      <w:pPr>
        <w:pStyle w:val="nzHeading5"/>
      </w:pPr>
      <w:bookmarkStart w:id="38" w:name="_Toc433273735"/>
      <w:bookmarkStart w:id="39" w:name="_Toc434319297"/>
      <w:bookmarkStart w:id="40" w:name="_Toc434321349"/>
      <w:r>
        <w:rPr>
          <w:rStyle w:val="CharSectno"/>
        </w:rPr>
        <w:t>232</w:t>
      </w:r>
      <w:r>
        <w:t>.</w:t>
      </w:r>
      <w:r>
        <w:tab/>
        <w:t>References to “</w:t>
      </w:r>
      <w:r>
        <w:rPr>
          <w:i/>
        </w:rPr>
        <w:t>1987</w:t>
      </w:r>
      <w:r>
        <w:t>” amended to “</w:t>
      </w:r>
      <w:r>
        <w:rPr>
          <w:i/>
        </w:rPr>
        <w:t>2015</w:t>
      </w:r>
      <w:r>
        <w:t>” in various Acts</w:t>
      </w:r>
      <w:bookmarkEnd w:id="38"/>
      <w:bookmarkEnd w:id="39"/>
      <w:bookmarkEnd w:id="40"/>
    </w:p>
    <w:p>
      <w:pPr>
        <w:pStyle w:val="nzSubsection"/>
      </w:pPr>
      <w:r>
        <w:tab/>
        <w:t>(1)</w:t>
      </w:r>
      <w:r>
        <w:tab/>
        <w:t>This section amends the Acts listed in the Table.</w:t>
      </w:r>
    </w:p>
    <w:p>
      <w:pPr>
        <w:pStyle w:val="nzSubsection"/>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iCs/>
                <w:sz w:val="20"/>
                <w:highlight w:val="green"/>
              </w:rPr>
            </w:pPr>
            <w:r>
              <w:rPr>
                <w:i/>
                <w:iCs/>
                <w:sz w:val="20"/>
              </w:rPr>
              <w:t>Volunteers and Food and Other Donors (Protection from Liability) Act 2002</w:t>
            </w:r>
          </w:p>
        </w:tc>
        <w:tc>
          <w:tcPr>
            <w:tcW w:w="3402" w:type="dxa"/>
          </w:tcPr>
          <w:p>
            <w:pPr>
              <w:pStyle w:val="TableAm"/>
              <w:keepNext/>
              <w:rPr>
                <w:sz w:val="20"/>
              </w:rPr>
            </w:pPr>
            <w:r>
              <w:rPr>
                <w:sz w:val="20"/>
              </w:rPr>
              <w:t xml:space="preserve">s. 3(1) def. of </w:t>
            </w:r>
            <w:r>
              <w:rPr>
                <w:b/>
                <w:i/>
                <w:sz w:val="20"/>
              </w:rPr>
              <w:t>community organisation</w:t>
            </w:r>
            <w:r>
              <w:rPr>
                <w:sz w:val="20"/>
              </w:rPr>
              <w:t xml:space="preserve"> par. (b)</w:t>
            </w:r>
          </w:p>
        </w:tc>
      </w:tr>
    </w:tbl>
    <w:p>
      <w:pPr>
        <w:pStyle w:val="BlankOpen"/>
      </w:pPr>
    </w:p>
    <w:p>
      <w:pPr>
        <w:pStyle w:val="nSubsection"/>
        <w:rPr>
          <w:vertAlign w:val="superscript"/>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 organisation</w:t>
      </w:r>
      <w:r>
        <w:tab/>
        <w:t>3(1)</w:t>
      </w:r>
    </w:p>
    <w:p>
      <w:pPr>
        <w:pStyle w:val="DefinedTerms"/>
      </w:pPr>
      <w:r>
        <w:t>community work</w:t>
      </w:r>
      <w:r>
        <w:tab/>
        <w:t>3(1)</w:t>
      </w:r>
    </w:p>
    <w:p>
      <w:pPr>
        <w:pStyle w:val="DefinedTerms"/>
      </w:pPr>
      <w:r>
        <w:t>donor</w:t>
      </w:r>
      <w:r>
        <w:tab/>
        <w:t>8A(1)</w:t>
      </w:r>
    </w:p>
    <w:p>
      <w:pPr>
        <w:pStyle w:val="DefinedTerms"/>
      </w:pPr>
      <w:r>
        <w:t>drugs</w:t>
      </w:r>
      <w:r>
        <w:tab/>
        <w:t>6(4)</w:t>
      </w:r>
    </w:p>
    <w:p>
      <w:pPr>
        <w:pStyle w:val="DefinedTerms"/>
      </w:pPr>
      <w:r>
        <w:t>food</w:t>
      </w:r>
      <w:r>
        <w:tab/>
        <w:t>3(1)</w:t>
      </w:r>
    </w:p>
    <w:p>
      <w:pPr>
        <w:pStyle w:val="DefinedTerms"/>
      </w:pPr>
      <w:r>
        <w:t>grocery product</w:t>
      </w:r>
      <w:r>
        <w:tab/>
        <w:t>3(1)</w:t>
      </w:r>
    </w:p>
    <w:p>
      <w:pPr>
        <w:pStyle w:val="DefinedTerms"/>
      </w:pPr>
      <w:r>
        <w:t>motor vehicle</w:t>
      </w:r>
      <w:r>
        <w:tab/>
        <w:t>6(4)</w:t>
      </w:r>
    </w:p>
    <w:p>
      <w:pPr>
        <w:pStyle w:val="DefinedTerms"/>
      </w:pPr>
      <w:r>
        <w:t>organised</w:t>
      </w:r>
      <w:r>
        <w:tab/>
        <w:t>3(1)</w:t>
      </w:r>
    </w:p>
    <w:p>
      <w:pPr>
        <w:pStyle w:val="DefinedTerms"/>
      </w:pPr>
      <w:r>
        <w:t>person who donates food or a grocery product</w:t>
      </w:r>
      <w:r>
        <w:tab/>
        <w:t>8A(3)</w:t>
      </w:r>
    </w:p>
    <w:p>
      <w:pPr>
        <w:pStyle w:val="DefinedTerms"/>
      </w:pPr>
      <w:r>
        <w:t>personal injury</w:t>
      </w:r>
      <w:r>
        <w:tab/>
        <w:t>3(1)</w:t>
      </w:r>
    </w:p>
    <w:p>
      <w:pPr>
        <w:pStyle w:val="DefinedTerms"/>
      </w:pPr>
      <w:r>
        <w:t>State agency</w:t>
      </w:r>
      <w:r>
        <w:tab/>
        <w:t>7(5)</w:t>
      </w:r>
    </w:p>
    <w:p>
      <w:pPr>
        <w:pStyle w:val="DefinedTerms"/>
      </w:pPr>
      <w:r>
        <w:t>volunteer</w:t>
      </w:r>
      <w:r>
        <w:tab/>
        <w:t>3(1), 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3"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63"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1"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lvlText w:val="%1."/>
      <w:lvlJc w:val="left"/>
      <w:pPr>
        <w:tabs>
          <w:tab w:val="num" w:pos="1800"/>
        </w:tabs>
        <w:ind w:left="1800" w:hanging="360"/>
      </w:pPr>
    </w:lvl>
  </w:abstractNum>
  <w:abstractNum w:abstractNumId="1">
    <w:nsid w:val="FFFFFF7D"/>
    <w:multiLevelType w:val="singleLevel"/>
    <w:tmpl w:val="4C025DEA"/>
    <w:lvl w:ilvl="0">
      <w:start w:val="1"/>
      <w:numFmt w:val="decimal"/>
      <w:lvlText w:val="%1."/>
      <w:lvlJc w:val="left"/>
      <w:pPr>
        <w:tabs>
          <w:tab w:val="num" w:pos="1440"/>
        </w:tabs>
        <w:ind w:left="1440" w:hanging="360"/>
      </w:pPr>
    </w:lvl>
  </w:abstractNum>
  <w:abstractNum w:abstractNumId="2">
    <w:nsid w:val="FFFFFF7E"/>
    <w:multiLevelType w:val="singleLevel"/>
    <w:tmpl w:val="38D80760"/>
    <w:lvl w:ilvl="0">
      <w:start w:val="1"/>
      <w:numFmt w:val="decimal"/>
      <w:lvlText w:val="%1."/>
      <w:lvlJc w:val="left"/>
      <w:pPr>
        <w:tabs>
          <w:tab w:val="num" w:pos="1080"/>
        </w:tabs>
        <w:ind w:left="1080" w:hanging="360"/>
      </w:pPr>
    </w:lvl>
  </w:abstractNum>
  <w:abstractNum w:abstractNumId="3">
    <w:nsid w:val="FFFFFF7F"/>
    <w:multiLevelType w:val="singleLevel"/>
    <w:tmpl w:val="D512D300"/>
    <w:lvl w:ilvl="0">
      <w:start w:val="1"/>
      <w:numFmt w:val="decimal"/>
      <w:lvlText w:val="%1."/>
      <w:lvlJc w:val="left"/>
      <w:pPr>
        <w:tabs>
          <w:tab w:val="num" w:pos="720"/>
        </w:tabs>
        <w:ind w:left="720" w:hanging="360"/>
      </w:pPr>
    </w:lvl>
  </w:abstractNum>
  <w:abstractNum w:abstractNumId="4">
    <w:nsid w:val="FFFFFF80"/>
    <w:multiLevelType w:val="singleLevel"/>
    <w:tmpl w:val="2FA6562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lvlText w:val="%1."/>
      <w:lvlJc w:val="left"/>
      <w:pPr>
        <w:tabs>
          <w:tab w:val="num" w:pos="360"/>
        </w:tabs>
        <w:ind w:left="360" w:hanging="360"/>
      </w:pPr>
    </w:lvl>
  </w:abstractNum>
  <w:abstractNum w:abstractNumId="9">
    <w:nsid w:val="FFFFFF89"/>
    <w:multiLevelType w:val="singleLevel"/>
    <w:tmpl w:val="B93A75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587F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08"/>
    <w:docVar w:name="WAFER_20140204094515" w:val="RemoveTocBookmarks,RemoveUnusedBookmarks,RemoveLanguageTags,UsedStyles,ResetPageSize,UpdateArrangement"/>
    <w:docVar w:name="WAFER_20140204094515_GUID" w:val="d11b5587-7919-4319-820f-2b044b92e821"/>
    <w:docVar w:name="WAFER_20140204095031" w:val="RemoveTocBookmarks,RunningHeaders"/>
    <w:docVar w:name="WAFER_20140204095031_GUID" w:val="97c8f1a1-e3c9-4bf0-992a-5ee1a33ec525"/>
    <w:docVar w:name="WAFER_20150713155807" w:val="ResetPageSize,UpdateArrangement,UpdateNTable"/>
    <w:docVar w:name="WAFER_20150713155807_GUID" w:val="03f9ddf9-be7f-4674-8a1e-ce8302b4bdbf"/>
    <w:docVar w:name="WAFER_20151104143108" w:val="UpdateStyles,UsedStyles"/>
    <w:docVar w:name="WAFER_20151104143108_GUID" w:val="a5a9f681-1099-47c6-b5ff-e4f03f037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758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2530</Words>
  <Characters>12272</Characters>
  <Application>Microsoft Office Word</Application>
  <DocSecurity>0</DocSecurity>
  <Lines>409</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2002 - 01-f0-01</dc:title>
  <dc:subject/>
  <dc:creator/>
  <cp:keywords/>
  <dc:description/>
  <cp:lastModifiedBy>svcMRProcess</cp:lastModifiedBy>
  <cp:revision>4</cp:revision>
  <cp:lastPrinted>2007-01-18T00:00:00Z</cp:lastPrinted>
  <dcterms:created xsi:type="dcterms:W3CDTF">2015-11-06T09:10:00Z</dcterms:created>
  <dcterms:modified xsi:type="dcterms:W3CDTF">2015-11-06T09:10:00Z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AsAtDate">
    <vt:lpwstr>02 Nov 2015</vt:lpwstr>
  </property>
  <property fmtid="{D5CDD505-2E9C-101B-9397-08002B2CF9AE}" pid="8" name="Suffix">
    <vt:lpwstr>01-f0-01</vt:lpwstr>
  </property>
</Properties>
</file>