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_Toc435450933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_Toc435450934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_Toc435450936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_Toc435450937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435450933"/>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35450934"/>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Ednotesection"/>
      </w:pPr>
      <w:r>
        <w:t>[</w:t>
      </w:r>
      <w:r>
        <w:rPr>
          <w:b/>
        </w:rPr>
        <w:t>3-10.</w:t>
      </w:r>
      <w:r>
        <w:tab/>
        <w:t>Have not come into operation</w:t>
      </w:r>
      <w:r>
        <w:rPr>
          <w:vertAlign w:val="superscript"/>
        </w:rPr>
        <w:t> 2</w:t>
      </w:r>
      <w:r>
        <w:t>.]</w:t>
      </w:r>
    </w:p>
    <w:p>
      <w:pPr>
        <w:pStyle w:val="yEdnoteschedule"/>
      </w:pPr>
      <w:r>
        <w:t>[Schedule 1 has not come into operation</w:t>
      </w:r>
      <w:r>
        <w:rPr>
          <w:vertAlign w:val="superscript"/>
        </w:rPr>
        <w:t> 2</w:t>
      </w:r>
      <w:r>
        <w:t>.]</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 w:name="_Toc435174054"/>
      <w:bookmarkStart w:id="7" w:name="_Toc435445461"/>
      <w:bookmarkStart w:id="8" w:name="_Toc435450935"/>
      <w:r>
        <w:t>Notes</w:t>
      </w:r>
      <w:bookmarkEnd w:id="6"/>
      <w:bookmarkEnd w:id="7"/>
      <w:bookmarkEnd w:id="8"/>
    </w:p>
    <w:p>
      <w:pPr>
        <w:pStyle w:val="nSubsection"/>
      </w:pPr>
      <w:r>
        <w:rPr>
          <w:vertAlign w:val="superscript"/>
        </w:rPr>
        <w:t>1</w:t>
      </w:r>
      <w:r>
        <w:tab/>
        <w:t xml:space="preserve">This is a compilation of the </w:t>
      </w:r>
      <w:r>
        <w:rPr>
          <w:i/>
          <w:noProof/>
        </w:rPr>
        <w:t>Mental Health Regulations 2015</w:t>
      </w:r>
      <w:r>
        <w:t>.  The following table contains information about those regulations </w:t>
      </w:r>
      <w:r>
        <w:rPr>
          <w:vertAlign w:val="superscript"/>
        </w:rPr>
        <w:t>1a</w:t>
      </w:r>
      <w:r>
        <w:t>.</w:t>
      </w:r>
    </w:p>
    <w:p>
      <w:pPr>
        <w:pStyle w:val="nHeading3"/>
      </w:pPr>
      <w:bookmarkStart w:id="9" w:name="_Toc435450936"/>
      <w:r>
        <w:t>Compilation table</w:t>
      </w:r>
      <w:bookmarkEnd w:id="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Mental Health Regulations 2015</w:t>
            </w:r>
            <w:r>
              <w:rPr>
                <w:noProof/>
              </w:rPr>
              <w:t xml:space="preserve"> r. 1 and 2</w:t>
            </w:r>
          </w:p>
        </w:tc>
        <w:tc>
          <w:tcPr>
            <w:tcW w:w="1276" w:type="dxa"/>
          </w:tcPr>
          <w:p>
            <w:pPr>
              <w:pStyle w:val="nTable"/>
              <w:spacing w:after="40"/>
            </w:pPr>
            <w:r>
              <w:t>13 Nov 2015</w:t>
            </w:r>
          </w:p>
        </w:tc>
        <w:tc>
          <w:tcPr>
            <w:tcW w:w="2693" w:type="dxa"/>
          </w:tcPr>
          <w:p>
            <w:pPr>
              <w:pStyle w:val="nTable"/>
              <w:spacing w:after="40"/>
            </w:pPr>
            <w:r>
              <w:t>13 Nov 2015 (see r. 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 w:name="_Toc435450937"/>
      <w:r>
        <w:t>Provisions that have not come into operation</w:t>
      </w:r>
      <w:bookmarkEnd w:id="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Mental Health Regulations 2015</w:t>
            </w:r>
            <w:r>
              <w:t xml:space="preserve"> r. 3</w:t>
            </w:r>
            <w:r>
              <w:noBreakHyphen/>
              <w:t>19 and Sch. 1 </w:t>
            </w:r>
            <w:r>
              <w:rPr>
                <w:vertAlign w:val="superscript"/>
              </w:rPr>
              <w:t>2</w:t>
            </w:r>
          </w:p>
        </w:tc>
        <w:tc>
          <w:tcPr>
            <w:tcW w:w="1276" w:type="dxa"/>
          </w:tcPr>
          <w:p>
            <w:pPr>
              <w:pStyle w:val="nTable"/>
              <w:spacing w:after="40"/>
            </w:pPr>
            <w:r>
              <w:t>13 Nov 2015</w:t>
            </w:r>
          </w:p>
        </w:tc>
        <w:tc>
          <w:tcPr>
            <w:tcW w:w="2693" w:type="dxa"/>
          </w:tcPr>
          <w:p>
            <w:pPr>
              <w:pStyle w:val="nTable"/>
              <w:spacing w:after="40"/>
            </w:pPr>
            <w:r>
              <w:t xml:space="preserve">30 Nov 2015 (see r. 2 and </w:t>
            </w:r>
            <w:r>
              <w:rPr>
                <w:i/>
              </w:rPr>
              <w:t>Gazette</w:t>
            </w:r>
            <w:r>
              <w:t xml:space="preserve"> 13 Nov 2015 p. 4632)</w:t>
            </w:r>
          </w:p>
        </w:tc>
      </w:tr>
    </w:tbl>
    <w:p>
      <w:pPr>
        <w:pStyle w:val="nSubsection"/>
      </w:pPr>
      <w:r>
        <w:rPr>
          <w:vertAlign w:val="superscript"/>
        </w:rPr>
        <w:t>2</w:t>
      </w:r>
      <w:r>
        <w:tab/>
        <w:t xml:space="preserve">On the date as at which this compilation was prepared, the </w:t>
      </w:r>
      <w:r>
        <w:rPr>
          <w:i/>
        </w:rPr>
        <w:t>Mental Health Regulations 2015</w:t>
      </w:r>
      <w:r>
        <w:t xml:space="preserve"> r. 3</w:t>
      </w:r>
      <w:r>
        <w:noBreakHyphen/>
        <w:t xml:space="preserve">19 and Sch. 1 had not come into operation.  They read as follows — </w:t>
      </w:r>
    </w:p>
    <w:p>
      <w:pPr>
        <w:pStyle w:val="BlankOpen"/>
      </w:pPr>
    </w:p>
    <w:p>
      <w:pPr>
        <w:pStyle w:val="nzHeading5"/>
      </w:pPr>
      <w:r>
        <w:rPr>
          <w:rStyle w:val="CharSectno"/>
        </w:rPr>
        <w:t>3</w:t>
      </w:r>
      <w:r>
        <w:t>.</w:t>
      </w:r>
      <w:r>
        <w:tab/>
        <w:t>Metropolitan area (Act s. 4)</w:t>
      </w:r>
    </w:p>
    <w:p>
      <w:pPr>
        <w:pStyle w:val="nzSubsection"/>
      </w:pPr>
      <w:r>
        <w:tab/>
        <w:t>(1)</w:t>
      </w:r>
      <w:r>
        <w:tab/>
        <w:t xml:space="preserve">In this regulation — </w:t>
      </w:r>
    </w:p>
    <w:p>
      <w:pPr>
        <w:pStyle w:val="nzDefstart"/>
      </w:pPr>
      <w:r>
        <w:tab/>
      </w:r>
      <w:r>
        <w:rPr>
          <w:rStyle w:val="CharDefText"/>
        </w:rPr>
        <w:t>WA Country Health Service</w:t>
      </w:r>
      <w:r>
        <w:t xml:space="preserve"> means the hospital board formed under the </w:t>
      </w:r>
      <w:r>
        <w:rPr>
          <w:i/>
        </w:rPr>
        <w:t>Hospitals and Health Services (Reorganisation of Hospital Boards) Notice 2006</w:t>
      </w:r>
      <w:r>
        <w:t xml:space="preserve"> published in the </w:t>
      </w:r>
      <w:r>
        <w:rPr>
          <w:i/>
        </w:rPr>
        <w:t>Gazette</w:t>
      </w:r>
      <w:r>
        <w:t xml:space="preserve"> on 27 June 2006 at p. 2290</w:t>
      </w:r>
      <w:r>
        <w:noBreakHyphen/>
        <w:t>2.</w:t>
      </w:r>
    </w:p>
    <w:p>
      <w:pPr>
        <w:pStyle w:val="nz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nzHeading5"/>
      </w:pPr>
      <w:r>
        <w:rPr>
          <w:rStyle w:val="CharSectno"/>
        </w:rPr>
        <w:t>4</w:t>
      </w:r>
      <w:r>
        <w:t>.</w:t>
      </w:r>
      <w:r>
        <w:tab/>
        <w:t xml:space="preserve">Standards for diagnosing mental illness (Act s. 6(4)) </w:t>
      </w:r>
    </w:p>
    <w:p>
      <w:pPr>
        <w:pStyle w:val="nzSubsection"/>
      </w:pPr>
      <w:r>
        <w:tab/>
      </w:r>
      <w:r>
        <w:tab/>
        <w:t xml:space="preserve">For section 6(4) of the Act, a decision whether or not a person has a mental illness must be made in accordance with the diagnostic standards set out in either or both of these publications — </w:t>
      </w:r>
    </w:p>
    <w:p>
      <w:pPr>
        <w:pStyle w:val="nzIndenta"/>
      </w:pPr>
      <w:r>
        <w:tab/>
        <w:t>(a)</w:t>
      </w:r>
      <w:r>
        <w:tab/>
        <w:t>the International Statistical Classification of Diseases and Related Health Problems published from time to time by the World Health Organisation;</w:t>
      </w:r>
    </w:p>
    <w:p>
      <w:pPr>
        <w:pStyle w:val="nzIndenta"/>
      </w:pPr>
      <w:r>
        <w:tab/>
        <w:t>(b)</w:t>
      </w:r>
      <w:r>
        <w:tab/>
        <w:t>the Diagnostic and Statistical Manual of Mental Disorders published from time to time by the American Psychiatric Association.</w:t>
      </w:r>
    </w:p>
    <w:p>
      <w:pPr>
        <w:pStyle w:val="nzHeading5"/>
      </w:pPr>
      <w:r>
        <w:rPr>
          <w:rStyle w:val="CharSectno"/>
        </w:rPr>
        <w:t>5</w:t>
      </w:r>
      <w:r>
        <w:t>.</w:t>
      </w:r>
      <w:r>
        <w:tab/>
        <w:t xml:space="preserve">Persons authorised to exercise powers under section 172 of the Act (Act s. 83(2)(c), 86(c), 130(3) and 225) </w:t>
      </w:r>
    </w:p>
    <w:p>
      <w:pPr>
        <w:pStyle w:val="nz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nzHeading5"/>
      </w:pPr>
      <w:r>
        <w:rPr>
          <w:rStyle w:val="CharSectno"/>
        </w:rPr>
        <w:t>6</w:t>
      </w:r>
      <w:r>
        <w:t>.</w:t>
      </w:r>
      <w:r>
        <w:tab/>
        <w:t xml:space="preserve">Persons authorised to carry out apprehension and return orders (Act s. 99) </w:t>
      </w:r>
    </w:p>
    <w:p>
      <w:pPr>
        <w:pStyle w:val="nzSubsection"/>
      </w:pPr>
      <w:r>
        <w:tab/>
      </w:r>
      <w:r>
        <w:tab/>
        <w:t xml:space="preserve">For section 99 of the Act, each of these people is authorised to carry out an apprehension and return order — </w:t>
      </w:r>
    </w:p>
    <w:p>
      <w:pPr>
        <w:pStyle w:val="nzIndenta"/>
      </w:pPr>
      <w:r>
        <w:tab/>
        <w:t>(a)</w:t>
      </w:r>
      <w:r>
        <w:tab/>
        <w:t>a transport officer;</w:t>
      </w:r>
    </w:p>
    <w:p>
      <w:pPr>
        <w:pStyle w:val="nzIndenta"/>
      </w:pPr>
      <w:r>
        <w:tab/>
        <w:t>(b)</w:t>
      </w:r>
      <w:r>
        <w:tab/>
        <w:t>a staff member of a mental health service.</w:t>
      </w:r>
    </w:p>
    <w:p>
      <w:pPr>
        <w:pStyle w:val="nzHeading5"/>
      </w:pPr>
      <w:r>
        <w:rPr>
          <w:rStyle w:val="CharSectno"/>
        </w:rPr>
        <w:t>7</w:t>
      </w:r>
      <w:r>
        <w:t>.</w:t>
      </w:r>
      <w:r>
        <w:tab/>
        <w:t xml:space="preserve">Transport officers (Act s. 147) </w:t>
      </w:r>
    </w:p>
    <w:p>
      <w:pPr>
        <w:pStyle w:val="nzSubsection"/>
      </w:pPr>
      <w:r>
        <w:tab/>
        <w:t>(1)</w:t>
      </w:r>
      <w:r>
        <w:tab/>
        <w:t xml:space="preserve">In this regulation — </w:t>
      </w:r>
    </w:p>
    <w:p>
      <w:pPr>
        <w:pStyle w:val="nzDefstart"/>
      </w:pPr>
      <w:r>
        <w:tab/>
      </w:r>
      <w:r>
        <w:rPr>
          <w:rStyle w:val="CharDefText"/>
        </w:rPr>
        <w:t>transport contractor</w:t>
      </w:r>
      <w:r>
        <w:t xml:space="preserve"> means a person engaged under a contract for services to provide transport services for the purposes of the Act.</w:t>
      </w:r>
    </w:p>
    <w:p>
      <w:pPr>
        <w:pStyle w:val="nz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nzHeading5"/>
      </w:pPr>
      <w:r>
        <w:rPr>
          <w:rStyle w:val="CharSectno"/>
        </w:rPr>
        <w:t>8</w:t>
      </w:r>
      <w:r>
        <w:t>.</w:t>
      </w:r>
      <w:r>
        <w:tab/>
        <w:t xml:space="preserve">Power of transport officers to enter premises (Act s. 159(3)) </w:t>
      </w:r>
    </w:p>
    <w:p>
      <w:pPr>
        <w:pStyle w:val="nzSubsection"/>
      </w:pPr>
      <w:r>
        <w:tab/>
      </w:r>
      <w:r>
        <w:tab/>
        <w:t xml:space="preserve">For section 159(3) of the Act, a transport officer can enter under section 159(2)(a) of the Act these premises, subject to the conditions specified — </w:t>
      </w:r>
    </w:p>
    <w:p>
      <w:pPr>
        <w:pStyle w:val="nzIndenta"/>
      </w:pPr>
      <w:r>
        <w:tab/>
        <w:t>(a)</w:t>
      </w:r>
      <w:r>
        <w:tab/>
        <w:t xml:space="preserve">residential premises at any time, but only with the consent of — </w:t>
      </w:r>
    </w:p>
    <w:p>
      <w:pPr>
        <w:pStyle w:val="nzIndenti"/>
      </w:pPr>
      <w:r>
        <w:tab/>
        <w:t>(i)</w:t>
      </w:r>
      <w:r>
        <w:tab/>
        <w:t>the person to be apprehended under the apprehension and return order or transport order that the transport officer is carrying out; or</w:t>
      </w:r>
    </w:p>
    <w:p>
      <w:pPr>
        <w:pStyle w:val="nzIndenti"/>
      </w:pPr>
      <w:r>
        <w:tab/>
        <w:t>(ii)</w:t>
      </w:r>
      <w:r>
        <w:tab/>
        <w:t>the occupier or person in charge of the premises;</w:t>
      </w:r>
    </w:p>
    <w:p>
      <w:pPr>
        <w:pStyle w:val="nzIndenta"/>
      </w:pPr>
      <w:r>
        <w:tab/>
        <w:t>(b)</w:t>
      </w:r>
      <w:r>
        <w:tab/>
        <w:t>premises other than residential premises at any time without the consent of any person.</w:t>
      </w:r>
    </w:p>
    <w:p>
      <w:pPr>
        <w:pStyle w:val="nzHeading5"/>
      </w:pPr>
      <w:r>
        <w:rPr>
          <w:rStyle w:val="CharSectno"/>
        </w:rPr>
        <w:t>9</w:t>
      </w:r>
      <w:r>
        <w:t>.</w:t>
      </w:r>
      <w:r>
        <w:tab/>
        <w:t xml:space="preserve">Persons authorised to exercise search and seizure powers (Act s. 161) </w:t>
      </w:r>
    </w:p>
    <w:p>
      <w:pPr>
        <w:pStyle w:val="nzSubsection"/>
      </w:pPr>
      <w:r>
        <w:tab/>
      </w:r>
      <w:r>
        <w:tab/>
        <w:t xml:space="preserve">For section 161 of the Act, each of these people is authorised to exercise the powers under Part 11 Division 2 of the Act — </w:t>
      </w:r>
    </w:p>
    <w:p>
      <w:pPr>
        <w:pStyle w:val="nzIndenta"/>
      </w:pPr>
      <w:r>
        <w:tab/>
        <w:t>(a)</w:t>
      </w:r>
      <w:r>
        <w:tab/>
        <w:t xml:space="preserve">if those powers are to be exercised in respect of a person who is at a hospital — </w:t>
      </w:r>
    </w:p>
    <w:p>
      <w:pPr>
        <w:pStyle w:val="nzIndenti"/>
      </w:pPr>
      <w:r>
        <w:tab/>
        <w:t>(i)</w:t>
      </w:r>
      <w:r>
        <w:tab/>
        <w:t>the person in charge of a ward; or</w:t>
      </w:r>
    </w:p>
    <w:p>
      <w:pPr>
        <w:pStyle w:val="nzIndenti"/>
      </w:pPr>
      <w:r>
        <w:tab/>
        <w:t>(ii)</w:t>
      </w:r>
      <w:r>
        <w:tab/>
        <w:t>a staff member of the hospital who, immediately before those powers are exercised, is authorised by the person in charge of a ward to do so;</w:t>
      </w:r>
    </w:p>
    <w:p>
      <w:pPr>
        <w:pStyle w:val="nzIndenta"/>
      </w:pPr>
      <w:r>
        <w:tab/>
        <w:t>(b)</w:t>
      </w:r>
      <w:r>
        <w:tab/>
        <w:t>if those powers are to be exercised in respect of a person who is at a mental health service other than a hospital — a staff member of the mental health service;</w:t>
      </w:r>
    </w:p>
    <w:p>
      <w:pPr>
        <w:pStyle w:val="nzIndenta"/>
      </w:pPr>
      <w:r>
        <w:tab/>
        <w:t>(c)</w:t>
      </w:r>
      <w:r>
        <w:tab/>
        <w:t>if those powers are to be exercised in respect of a person who is at a place other than a mental health service — a health professional at the place.</w:t>
      </w:r>
    </w:p>
    <w:p>
      <w:pPr>
        <w:pStyle w:val="nzHeading5"/>
      </w:pPr>
      <w:r>
        <w:rPr>
          <w:rStyle w:val="CharSectno"/>
        </w:rPr>
        <w:t>10</w:t>
      </w:r>
      <w:r>
        <w:t>.</w:t>
      </w:r>
      <w:r>
        <w:tab/>
        <w:t>Explanation of rights (Act s. 244 and 245)</w:t>
      </w:r>
    </w:p>
    <w:p>
      <w:pPr>
        <w:pStyle w:val="nzSubsection"/>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nzSubsection"/>
      </w:pPr>
      <w:r>
        <w:tab/>
        <w:t>(2)</w:t>
      </w:r>
      <w:r>
        <w:tab/>
        <w:t>The explanation described in subregulation (1) is to be given both orally and in writing in the language in which the person to whom it is given is used to communicating.</w:t>
      </w:r>
    </w:p>
    <w:p>
      <w:pPr>
        <w:pStyle w:val="nz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nzHeading5"/>
      </w:pPr>
      <w:r>
        <w:rPr>
          <w:rStyle w:val="CharSectno"/>
        </w:rPr>
        <w:t>11</w:t>
      </w:r>
      <w:r>
        <w:t>.</w:t>
      </w:r>
      <w:r>
        <w:tab/>
        <w:t>Provision of information to, or involvement of, patient’s nominated person by a person other than psychiatrist (Act s. 267)</w:t>
      </w:r>
    </w:p>
    <w:p>
      <w:pPr>
        <w:pStyle w:val="nz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nzHeading5"/>
      </w:pPr>
      <w:r>
        <w:rPr>
          <w:rStyle w:val="CharSectno"/>
        </w:rPr>
        <w:t>12</w:t>
      </w:r>
      <w:r>
        <w:t>.</w:t>
      </w:r>
      <w:r>
        <w:tab/>
        <w:t>Provision of information to, or involvement of, carer or close family member by a person other than psychiatrist (Act s. 290)</w:t>
      </w:r>
    </w:p>
    <w:p>
      <w:pPr>
        <w:pStyle w:val="nz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nzHeading5"/>
      </w:pPr>
      <w:r>
        <w:rPr>
          <w:rStyle w:val="CharSectno"/>
        </w:rPr>
        <w:t>13</w:t>
      </w:r>
      <w:r>
        <w:t>.</w:t>
      </w:r>
      <w:r>
        <w:tab/>
        <w:t xml:space="preserve">Standards for provision of mental health services (Act s. 333(3)(c)) </w:t>
      </w:r>
    </w:p>
    <w:p>
      <w:pPr>
        <w:pStyle w:val="nzSubsection"/>
      </w:pPr>
      <w:r>
        <w:tab/>
      </w:r>
      <w:r>
        <w:tab/>
        <w:t xml:space="preserve">For section 333(3)(c) of the Act, the Director must have regard to these standards for the provision of mental health services in making a decision under section 333(2) of the Act — </w:t>
      </w:r>
    </w:p>
    <w:p>
      <w:pPr>
        <w:pStyle w:val="nzIndenta"/>
      </w:pPr>
      <w:r>
        <w:tab/>
        <w:t>(a)</w:t>
      </w:r>
      <w:r>
        <w:tab/>
        <w:t>standards in the practice of a health profession that are commonly accepted by health professionals in the health profession;</w:t>
      </w:r>
    </w:p>
    <w:p>
      <w:pPr>
        <w:pStyle w:val="nz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nzIndenta"/>
      </w:pPr>
      <w:r>
        <w:tab/>
        <w:t>(c)</w:t>
      </w:r>
      <w:r>
        <w:tab/>
        <w:t>national standards for mental health services published from time to time by the Commonwealth.</w:t>
      </w:r>
    </w:p>
    <w:p>
      <w:pPr>
        <w:pStyle w:val="nzHeading5"/>
      </w:pPr>
      <w:r>
        <w:rPr>
          <w:rStyle w:val="CharSectno"/>
        </w:rPr>
        <w:t>14</w:t>
      </w:r>
      <w:r>
        <w:t>.</w:t>
      </w:r>
      <w:r>
        <w:tab/>
        <w:t>Specific powers of mental health advocates (Act s. 359(1)(g))</w:t>
      </w:r>
    </w:p>
    <w:p>
      <w:pPr>
        <w:pStyle w:val="nzSubsection"/>
      </w:pPr>
      <w:r>
        <w:tab/>
      </w:r>
      <w:r>
        <w:tab/>
        <w:t xml:space="preserve">For section 359(1)(g) of the Act, these classes of documents are prescribed — </w:t>
      </w:r>
    </w:p>
    <w:p>
      <w:pPr>
        <w:pStyle w:val="nzIndenta"/>
      </w:pPr>
      <w:r>
        <w:tab/>
        <w:t>(a)</w:t>
      </w:r>
      <w:r>
        <w:tab/>
        <w:t xml:space="preserve">documents (other than documents that contain the identifying information of a patient) that — </w:t>
      </w:r>
    </w:p>
    <w:p>
      <w:pPr>
        <w:pStyle w:val="nzIndenti"/>
      </w:pPr>
      <w:r>
        <w:tab/>
        <w:t>(i)</w:t>
      </w:r>
      <w:r>
        <w:tab/>
        <w:t>form part of a register that records the use of seclusion or bodily restraint on a person; or</w:t>
      </w:r>
    </w:p>
    <w:p>
      <w:pPr>
        <w:pStyle w:val="nzIndenti"/>
      </w:pPr>
      <w:r>
        <w:tab/>
        <w:t>(ii)</w:t>
      </w:r>
      <w:r>
        <w:tab/>
        <w:t>otherwise record the use of seclusion or bodily restraint on a person;</w:t>
      </w:r>
    </w:p>
    <w:p>
      <w:pPr>
        <w:pStyle w:val="nzIndenta"/>
      </w:pPr>
      <w:r>
        <w:tab/>
        <w:t>(b)</w:t>
      </w:r>
      <w:r>
        <w:tab/>
        <w:t xml:space="preserve">documents that contain statistical information about — </w:t>
      </w:r>
    </w:p>
    <w:p>
      <w:pPr>
        <w:pStyle w:val="nzIndenti"/>
      </w:pPr>
      <w:r>
        <w:tab/>
        <w:t>(i)</w:t>
      </w:r>
      <w:r>
        <w:tab/>
        <w:t>the number of involuntary treatment orders made or in force; or</w:t>
      </w:r>
    </w:p>
    <w:p>
      <w:pPr>
        <w:pStyle w:val="nzIndenti"/>
      </w:pPr>
      <w:r>
        <w:tab/>
        <w:t>(ii)</w:t>
      </w:r>
      <w:r>
        <w:tab/>
        <w:t>the average length of involuntary treatment orders; or</w:t>
      </w:r>
    </w:p>
    <w:p>
      <w:pPr>
        <w:pStyle w:val="nzIndenti"/>
      </w:pPr>
      <w:r>
        <w:tab/>
        <w:t>(iii)</w:t>
      </w:r>
      <w:r>
        <w:tab/>
        <w:t>the average length of admission to a mental health service; or</w:t>
      </w:r>
    </w:p>
    <w:p>
      <w:pPr>
        <w:pStyle w:val="nzIndenti"/>
      </w:pPr>
      <w:r>
        <w:tab/>
        <w:t>(iv)</w:t>
      </w:r>
      <w:r>
        <w:tab/>
        <w:t>the rate of readmission to a mental health service.</w:t>
      </w:r>
    </w:p>
    <w:p>
      <w:pPr>
        <w:pStyle w:val="nzHeading5"/>
      </w:pPr>
      <w:r>
        <w:rPr>
          <w:rStyle w:val="CharSectno"/>
        </w:rPr>
        <w:t>15</w:t>
      </w:r>
      <w:r>
        <w:t>.</w:t>
      </w:r>
      <w:r>
        <w:tab/>
        <w:t>Conflict of interest (Act s. 373(4)(f))</w:t>
      </w:r>
    </w:p>
    <w:p>
      <w:pPr>
        <w:pStyle w:val="nzSubsection"/>
      </w:pPr>
      <w:r>
        <w:tab/>
        <w:t>(1)</w:t>
      </w:r>
      <w:r>
        <w:tab/>
        <w:t>For section 373(4)(f)(i) of the Act, the amount prescribed is $10 000.</w:t>
      </w:r>
    </w:p>
    <w:p>
      <w:pPr>
        <w:pStyle w:val="nzSubsection"/>
      </w:pPr>
      <w:r>
        <w:tab/>
        <w:t>(2)</w:t>
      </w:r>
      <w:r>
        <w:tab/>
        <w:t>For section 373(4)(f)(ii) of the Act, the percentage prescribed is 1%.</w:t>
      </w:r>
    </w:p>
    <w:p>
      <w:pPr>
        <w:pStyle w:val="nzHeading5"/>
      </w:pPr>
      <w:r>
        <w:rPr>
          <w:rStyle w:val="CharSectno"/>
        </w:rPr>
        <w:t>16</w:t>
      </w:r>
      <w:r>
        <w:t>.</w:t>
      </w:r>
      <w:r>
        <w:tab/>
        <w:t xml:space="preserve">Particulars of involuntary patients to be kept by registrar of Mental Health Tribunal (Act s. 484(a)) </w:t>
      </w:r>
    </w:p>
    <w:p>
      <w:pPr>
        <w:pStyle w:val="nzSubsection"/>
      </w:pPr>
      <w:r>
        <w:tab/>
      </w:r>
      <w:r>
        <w:tab/>
        <w:t xml:space="preserve">For section 484(a) of the Act, the registrar of the Mental Health Tribunal must keep particulars of these things in respect of each involuntary patient — </w:t>
      </w:r>
    </w:p>
    <w:p>
      <w:pPr>
        <w:pStyle w:val="nzIndenta"/>
      </w:pPr>
      <w:r>
        <w:tab/>
        <w:t>(a)</w:t>
      </w:r>
      <w:r>
        <w:tab/>
        <w:t>the name, address and date of birth of the patient;</w:t>
      </w:r>
    </w:p>
    <w:p>
      <w:pPr>
        <w:pStyle w:val="nzIndenta"/>
      </w:pPr>
      <w:r>
        <w:tab/>
        <w:t>(b)</w:t>
      </w:r>
      <w:r>
        <w:tab/>
        <w:t>the name and contact details of any carer, close family member or other personal support person of the patient if provided to the Tribunal;</w:t>
      </w:r>
    </w:p>
    <w:p>
      <w:pPr>
        <w:pStyle w:val="nzIndenta"/>
      </w:pPr>
      <w:r>
        <w:tab/>
        <w:t>(c)</w:t>
      </w:r>
      <w:r>
        <w:tab/>
        <w:t>any inpatient treatment order made in respect of the patient and any continuation or revocation of the order;</w:t>
      </w:r>
    </w:p>
    <w:p>
      <w:pPr>
        <w:pStyle w:val="nzIndenta"/>
      </w:pPr>
      <w:r>
        <w:tab/>
        <w:t>(d)</w:t>
      </w:r>
      <w:r>
        <w:tab/>
        <w:t>any community treatment order made in respect of the patient and any continuation or revocation of the order;</w:t>
      </w:r>
    </w:p>
    <w:p>
      <w:pPr>
        <w:pStyle w:val="nzIndenta"/>
      </w:pPr>
      <w:r>
        <w:tab/>
        <w:t>(e)</w:t>
      </w:r>
      <w:r>
        <w:tab/>
        <w:t>any order or direction made by the Tribunal under section 395(1) of the Act in respect of the patient;</w:t>
      </w:r>
    </w:p>
    <w:p>
      <w:pPr>
        <w:pStyle w:val="nzIndenta"/>
      </w:pPr>
      <w:r>
        <w:tab/>
        <w:t>(f)</w:t>
      </w:r>
      <w:r>
        <w:tab/>
        <w:t>any recommendation made by the Tribunal under section 395(3) of the Act in respect of the patient’s treatment, support and discharge plan;</w:t>
      </w:r>
    </w:p>
    <w:p>
      <w:pPr>
        <w:pStyle w:val="nz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nzIndenta"/>
      </w:pPr>
      <w:r>
        <w:tab/>
        <w:t>(h)</w:t>
      </w:r>
      <w:r>
        <w:tab/>
        <w:t>any decision of the Tribunal made under section 415 of the Act approving, or refusing to approve, electroconvulsive therapy being performed on the patient;</w:t>
      </w:r>
    </w:p>
    <w:p>
      <w:pPr>
        <w:pStyle w:val="nzIndenta"/>
      </w:pPr>
      <w:r>
        <w:tab/>
        <w:t>(i)</w:t>
      </w:r>
      <w:r>
        <w:tab/>
        <w:t>any decision of the Tribunal made under section 421 of the Act approving, or refusing to approve, psychosurgery being performed on the patient;</w:t>
      </w:r>
    </w:p>
    <w:p>
      <w:pPr>
        <w:pStyle w:val="nz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nz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nz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nz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nzIndenta"/>
      </w:pPr>
      <w:r>
        <w:tab/>
        <w:t>(n)</w:t>
      </w:r>
      <w:r>
        <w:tab/>
        <w:t>any other particulars in respect of the patient that the President of the Tribunal directs the registrar to keep.</w:t>
      </w:r>
    </w:p>
    <w:p>
      <w:pPr>
        <w:pStyle w:val="nzHeading5"/>
      </w:pPr>
      <w:r>
        <w:rPr>
          <w:rStyle w:val="CharSectno"/>
        </w:rPr>
        <w:t>17</w:t>
      </w:r>
      <w:r>
        <w:t>.</w:t>
      </w:r>
      <w:r>
        <w:tab/>
        <w:t>Authorised mental health practitioners (Act s. 539(4))</w:t>
      </w:r>
    </w:p>
    <w:p>
      <w:pPr>
        <w:pStyle w:val="nzSubsection"/>
      </w:pPr>
      <w:r>
        <w:tab/>
        <w:t>(1)</w:t>
      </w:r>
      <w:r>
        <w:tab/>
        <w:t xml:space="preserve">For section 539(4)(a) of the Act, the Chief Psychiatrist must have regard to the following training when deciding whether to make or amend an order under section 539(1) — </w:t>
      </w:r>
    </w:p>
    <w:p>
      <w:pPr>
        <w:pStyle w:val="nzIndenta"/>
      </w:pPr>
      <w:r>
        <w:tab/>
        <w:t>(a)</w:t>
      </w:r>
      <w:r>
        <w:tab/>
        <w:t xml:space="preserve">the completion of a course of training approved by the Chief Psychiatrist; </w:t>
      </w:r>
    </w:p>
    <w:p>
      <w:pPr>
        <w:pStyle w:val="nzIndenta"/>
      </w:pPr>
      <w:r>
        <w:tab/>
        <w:t>(b)</w:t>
      </w:r>
      <w:r>
        <w:tab/>
        <w:t xml:space="preserve">the completion of annual continuing professional development approved by the Chief Psychiatrist; </w:t>
      </w:r>
    </w:p>
    <w:p>
      <w:pPr>
        <w:pStyle w:val="nzIndenta"/>
      </w:pPr>
      <w:r>
        <w:tab/>
        <w:t>(c)</w:t>
      </w:r>
      <w:r>
        <w:tab/>
        <w:t>the completion of annual clinical supervision approved by the Chief Psychiatrist.</w:t>
      </w:r>
    </w:p>
    <w:p>
      <w:pPr>
        <w:pStyle w:val="nzSubsection"/>
      </w:pPr>
      <w:r>
        <w:tab/>
        <w:t>(2)</w:t>
      </w:r>
      <w:r>
        <w:tab/>
        <w:t xml:space="preserve">For section 539(4)(c) of the Act, an authorised mental health practitioner must notify the Chief Psychiatrist in writing within 28 days if the authorised mental health practitioner — </w:t>
      </w:r>
    </w:p>
    <w:p>
      <w:pPr>
        <w:pStyle w:val="nzIndenta"/>
      </w:pPr>
      <w:r>
        <w:tab/>
        <w:t>(a)</w:t>
      </w:r>
      <w:r>
        <w:tab/>
        <w:t>completes, or fails to complete, annual continuing professional development approved by the Chief Psychiatrist; or</w:t>
      </w:r>
    </w:p>
    <w:p>
      <w:pPr>
        <w:pStyle w:val="nzIndenta"/>
      </w:pPr>
      <w:r>
        <w:tab/>
        <w:t>(b)</w:t>
      </w:r>
      <w:r>
        <w:tab/>
        <w:t>completes, or fails to complete, annual clinical supervision approved by the Chief Psychiatrist.</w:t>
      </w:r>
    </w:p>
    <w:p>
      <w:pPr>
        <w:pStyle w:val="nzSubsection"/>
      </w:pPr>
      <w:r>
        <w:tab/>
        <w:t>(3)</w:t>
      </w:r>
      <w:r>
        <w:tab/>
        <w:t>A notification under subregulation (2) must be accompanied by any documentary evidence that the Chief Psychiatrist directs.</w:t>
      </w:r>
    </w:p>
    <w:p>
      <w:pPr>
        <w:pStyle w:val="nzSubsection"/>
      </w:pPr>
      <w:r>
        <w:tab/>
        <w:t>(4)</w:t>
      </w:r>
      <w:r>
        <w:tab/>
        <w:t xml:space="preserve">For section 539(4)(d) of the Act, the Chief Psychiatrist must revoke the designation of an authorised mental health practitioner under section 539(3) if any of these grounds exist  — </w:t>
      </w:r>
    </w:p>
    <w:p>
      <w:pPr>
        <w:pStyle w:val="nzIndenta"/>
      </w:pPr>
      <w:r>
        <w:tab/>
        <w:t>(a)</w:t>
      </w:r>
      <w:r>
        <w:tab/>
        <w:t>the authorised mental health practitioner has requested in writing that the designation be revoked;</w:t>
      </w:r>
    </w:p>
    <w:p>
      <w:pPr>
        <w:pStyle w:val="nzIndenta"/>
      </w:pPr>
      <w:r>
        <w:tab/>
        <w:t>(b)</w:t>
      </w:r>
      <w:r>
        <w:tab/>
        <w:t>the authorised mental health practitioner is no longer a mental health practitioner;</w:t>
      </w:r>
    </w:p>
    <w:p>
      <w:pPr>
        <w:pStyle w:val="nzIndenta"/>
      </w:pPr>
      <w:r>
        <w:tab/>
        <w:t>(c)</w:t>
      </w:r>
      <w:r>
        <w:tab/>
        <w:t>the Chief Psychiatrist is notified in writing that the authorised mental health practitioner has resigned, retired or is deceased.</w:t>
      </w:r>
    </w:p>
    <w:p>
      <w:pPr>
        <w:pStyle w:val="nzSubsection"/>
      </w:pPr>
      <w:r>
        <w:tab/>
        <w:t>(5)</w:t>
      </w:r>
      <w:r>
        <w:tab/>
        <w:t xml:space="preserve">For section 539(4)(d) of the Act, the Chief Psychiatrist may revoke the designation of an authorised mental health practitioner under section 539(3) on any of these grounds — </w:t>
      </w:r>
    </w:p>
    <w:p>
      <w:pPr>
        <w:pStyle w:val="nzIndenta"/>
      </w:pPr>
      <w:r>
        <w:tab/>
        <w:t>(a)</w:t>
      </w:r>
      <w:r>
        <w:tab/>
        <w:t xml:space="preserve">the authorised mental health practitioner has failed to complete — </w:t>
      </w:r>
    </w:p>
    <w:p>
      <w:pPr>
        <w:pStyle w:val="nzIndenti"/>
      </w:pPr>
      <w:r>
        <w:tab/>
        <w:t>(i)</w:t>
      </w:r>
      <w:r>
        <w:tab/>
        <w:t>a course of training approved by the Chief Psychiatrist;  or</w:t>
      </w:r>
    </w:p>
    <w:p>
      <w:pPr>
        <w:pStyle w:val="nzIndenti"/>
      </w:pPr>
      <w:r>
        <w:tab/>
        <w:t>(ii)</w:t>
      </w:r>
      <w:r>
        <w:tab/>
        <w:t>annual continuing professional development approved by the Chief Psychiatrist; or</w:t>
      </w:r>
    </w:p>
    <w:p>
      <w:pPr>
        <w:pStyle w:val="nzIndenti"/>
      </w:pPr>
      <w:r>
        <w:tab/>
        <w:t>(iii)</w:t>
      </w:r>
      <w:r>
        <w:tab/>
        <w:t>annual clinical supervision approved by the Chief Psychiatrist;</w:t>
      </w:r>
    </w:p>
    <w:p>
      <w:pPr>
        <w:pStyle w:val="nzIndenta"/>
      </w:pPr>
      <w:r>
        <w:tab/>
        <w:t>(b)</w:t>
      </w:r>
      <w:r>
        <w:tab/>
        <w:t>mental or physical incapacity;</w:t>
      </w:r>
    </w:p>
    <w:p>
      <w:pPr>
        <w:pStyle w:val="nzIndenta"/>
      </w:pPr>
      <w:r>
        <w:tab/>
        <w:t>(c)</w:t>
      </w:r>
      <w:r>
        <w:tab/>
        <w:t>incompetence;</w:t>
      </w:r>
    </w:p>
    <w:p>
      <w:pPr>
        <w:pStyle w:val="nzIndenta"/>
      </w:pPr>
      <w:r>
        <w:tab/>
        <w:t>(d)</w:t>
      </w:r>
      <w:r>
        <w:tab/>
        <w:t>neglect of duty;</w:t>
      </w:r>
    </w:p>
    <w:p>
      <w:pPr>
        <w:pStyle w:val="nzIndenta"/>
      </w:pPr>
      <w:r>
        <w:tab/>
        <w:t>(e)</w:t>
      </w:r>
      <w:r>
        <w:tab/>
        <w:t>misconduct.</w:t>
      </w:r>
    </w:p>
    <w:p>
      <w:pPr>
        <w:pStyle w:val="nzHeading5"/>
      </w:pPr>
      <w:r>
        <w:rPr>
          <w:rStyle w:val="CharSectno"/>
        </w:rPr>
        <w:t>18</w:t>
      </w:r>
      <w:r>
        <w:t>.</w:t>
      </w:r>
      <w:r>
        <w:tab/>
        <w:t xml:space="preserve">Transfer of patients where public hospital no longer authorised (Act s. 543(2)) </w:t>
      </w:r>
    </w:p>
    <w:p>
      <w:pPr>
        <w:pStyle w:val="nzSubsection"/>
      </w:pPr>
      <w:r>
        <w:tab/>
        <w:t>(1)</w:t>
      </w:r>
      <w:r>
        <w:tab/>
        <w:t xml:space="preserve">In this regulation — </w:t>
      </w:r>
    </w:p>
    <w:p>
      <w:pPr>
        <w:pStyle w:val="nzDefstart"/>
      </w:pPr>
      <w:r>
        <w:tab/>
      </w:r>
      <w:r>
        <w:rPr>
          <w:rStyle w:val="CharDefText"/>
        </w:rPr>
        <w:t>public hospital</w:t>
      </w:r>
      <w:r>
        <w:t xml:space="preserve"> includes a part of a public hospital.</w:t>
      </w:r>
    </w:p>
    <w:p>
      <w:pPr>
        <w:pStyle w:val="nz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nz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nzSubsection"/>
      </w:pPr>
      <w:r>
        <w:tab/>
        <w:t>(4)</w:t>
      </w:r>
      <w:r>
        <w:tab/>
        <w:t xml:space="preserve">For subregulation (3), these people must be consulted — </w:t>
      </w:r>
    </w:p>
    <w:p>
      <w:pPr>
        <w:pStyle w:val="nzIndenta"/>
      </w:pPr>
      <w:r>
        <w:tab/>
        <w:t>(a)</w:t>
      </w:r>
      <w:r>
        <w:tab/>
        <w:t>the person in charge of the public hospital;</w:t>
      </w:r>
    </w:p>
    <w:p>
      <w:pPr>
        <w:pStyle w:val="nzIndenta"/>
      </w:pPr>
      <w:r>
        <w:tab/>
        <w:t>(b)</w:t>
      </w:r>
      <w:r>
        <w:tab/>
        <w:t>the person in charge of any authorised hospital or other place that may have facilities sufficient and appropriate for the treatment and care of a person referred to in subregulation (2).</w:t>
      </w:r>
    </w:p>
    <w:p>
      <w:pPr>
        <w:pStyle w:val="nzSubsection"/>
      </w:pPr>
      <w:r>
        <w:tab/>
        <w:t>(5)</w:t>
      </w:r>
      <w:r>
        <w:tab/>
        <w:t xml:space="preserve">The Chief Psychiatrist must give a copy of the direction to each of these people — </w:t>
      </w:r>
    </w:p>
    <w:p>
      <w:pPr>
        <w:pStyle w:val="nzIndenta"/>
      </w:pPr>
      <w:r>
        <w:tab/>
        <w:t>(a)</w:t>
      </w:r>
      <w:r>
        <w:tab/>
        <w:t>the person in charge of the public hospital;</w:t>
      </w:r>
    </w:p>
    <w:p>
      <w:pPr>
        <w:pStyle w:val="nzIndenta"/>
      </w:pPr>
      <w:r>
        <w:tab/>
        <w:t>(b)</w:t>
      </w:r>
      <w:r>
        <w:tab/>
        <w:t>the person in charge of the authorised hospital or other place to which a person referred to in subregulation (2) is to be transferred under the direction;</w:t>
      </w:r>
    </w:p>
    <w:p>
      <w:pPr>
        <w:pStyle w:val="nzIndenta"/>
      </w:pPr>
      <w:r>
        <w:tab/>
        <w:t>(c)</w:t>
      </w:r>
      <w:r>
        <w:tab/>
        <w:t>the registrar of the Mental Health Tribunal;</w:t>
      </w:r>
    </w:p>
    <w:p>
      <w:pPr>
        <w:pStyle w:val="nzIndenta"/>
      </w:pPr>
      <w:r>
        <w:tab/>
        <w:t>(d)</w:t>
      </w:r>
      <w:r>
        <w:tab/>
        <w:t>the Chief Mental Health Advocate;</w:t>
      </w:r>
    </w:p>
    <w:p>
      <w:pPr>
        <w:pStyle w:val="nzIndenta"/>
      </w:pPr>
      <w:r>
        <w:tab/>
        <w:t>(e)</w:t>
      </w:r>
      <w:r>
        <w:tab/>
        <w:t>if a person referred to in subregulation (2) is a mentally impaired accused — the Mentally Impaired Accused Review Board.</w:t>
      </w:r>
    </w:p>
    <w:p>
      <w:pPr>
        <w:pStyle w:val="nzSubsection"/>
      </w:pPr>
      <w:r>
        <w:tab/>
        <w:t>(6)</w:t>
      </w:r>
      <w:r>
        <w:tab/>
        <w:t xml:space="preserve">On receipt of a copy of the direction, the person in charge of the public hospital — </w:t>
      </w:r>
    </w:p>
    <w:p>
      <w:pPr>
        <w:pStyle w:val="nzIndenta"/>
      </w:pPr>
      <w:r>
        <w:tab/>
        <w:t>(a)</w:t>
      </w:r>
      <w:r>
        <w:tab/>
        <w:t>must give to a person referred to in subregulation (2) who is to be transferred in accordance with the direction written notice of the arrangements for the person’s transfer contained in the direction; and</w:t>
      </w:r>
    </w:p>
    <w:p>
      <w:pPr>
        <w:pStyle w:val="nzIndenta"/>
      </w:pPr>
      <w:r>
        <w:tab/>
        <w:t>(b)</w:t>
      </w:r>
      <w:r>
        <w:tab/>
        <w:t>must ensure that the copy of the direction and a copy of the notice are filed.</w:t>
      </w:r>
    </w:p>
    <w:p>
      <w:pPr>
        <w:pStyle w:val="nz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nz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nzHeading5"/>
      </w:pPr>
      <w:r>
        <w:rPr>
          <w:rStyle w:val="CharSectno"/>
        </w:rPr>
        <w:t>19</w:t>
      </w:r>
      <w:r>
        <w:t>.</w:t>
      </w:r>
      <w:r>
        <w:tab/>
        <w:t>Prescribed State authorities (Act s. 573(1))</w:t>
      </w:r>
    </w:p>
    <w:p>
      <w:pPr>
        <w:pStyle w:val="nzSubsection"/>
      </w:pPr>
      <w:r>
        <w:tab/>
      </w:r>
      <w:r>
        <w:tab/>
        <w:t xml:space="preserve">For the definition of </w:t>
      </w:r>
      <w:r>
        <w:rPr>
          <w:rStyle w:val="CharDefText"/>
        </w:rPr>
        <w:t>prescribed State authority</w:t>
      </w:r>
      <w:r>
        <w:t xml:space="preserve"> in section 573(1)(a) of the Act, the following are prescribed — </w:t>
      </w:r>
    </w:p>
    <w:p>
      <w:pPr>
        <w:pStyle w:val="nzIndenta"/>
      </w:pPr>
      <w:r>
        <w:tab/>
        <w:t>(a)</w:t>
      </w:r>
      <w:r>
        <w:tab/>
        <w:t xml:space="preserve">the department of the Public Service principally assisting in the administration of the </w:t>
      </w:r>
      <w:r>
        <w:rPr>
          <w:i/>
        </w:rPr>
        <w:t>Children and Community Services Act 2004</w:t>
      </w:r>
      <w:r>
        <w:t>;</w:t>
      </w:r>
    </w:p>
    <w:p>
      <w:pPr>
        <w:pStyle w:val="nzIndenta"/>
      </w:pPr>
      <w:r>
        <w:tab/>
        <w:t>(b)</w:t>
      </w:r>
      <w:r>
        <w:tab/>
        <w:t xml:space="preserve">the department of the Public Service principally assisting in the administration of the </w:t>
      </w:r>
      <w:r>
        <w:rPr>
          <w:i/>
        </w:rPr>
        <w:t>Criminal Procedure Act 2004</w:t>
      </w:r>
      <w:r>
        <w:t>;</w:t>
      </w:r>
    </w:p>
    <w:p>
      <w:pPr>
        <w:pStyle w:val="nzIndenta"/>
      </w:pPr>
      <w:r>
        <w:tab/>
        <w:t>(c)</w:t>
      </w:r>
      <w:r>
        <w:tab/>
        <w:t xml:space="preserve">the department of the Public Service principally assisting in the administration of the </w:t>
      </w:r>
      <w:r>
        <w:rPr>
          <w:i/>
        </w:rPr>
        <w:t>Prisons Act 1981</w:t>
      </w:r>
      <w:r>
        <w:t>;</w:t>
      </w:r>
    </w:p>
    <w:p>
      <w:pPr>
        <w:pStyle w:val="nzIndenta"/>
      </w:pPr>
      <w:r>
        <w:tab/>
        <w:t>(d)</w:t>
      </w:r>
      <w:r>
        <w:tab/>
        <w:t xml:space="preserve">the Disability Services Commission referred to in the </w:t>
      </w:r>
      <w:r>
        <w:rPr>
          <w:i/>
        </w:rPr>
        <w:t>Disability Services Act 1993</w:t>
      </w:r>
      <w:r>
        <w:t xml:space="preserve"> section 6; </w:t>
      </w:r>
    </w:p>
    <w:p>
      <w:pPr>
        <w:pStyle w:val="nzIndenta"/>
      </w:pPr>
      <w:r>
        <w:tab/>
        <w:t>(e)</w:t>
      </w:r>
      <w:r>
        <w:tab/>
        <w:t xml:space="preserve">the Health and Disability Services Complaints Office referred to in the </w:t>
      </w:r>
      <w:r>
        <w:rPr>
          <w:i/>
        </w:rPr>
        <w:t>Health and Disability Services (Complaints) Act 1995</w:t>
      </w:r>
      <w:r>
        <w:t xml:space="preserve"> section 6;</w:t>
      </w:r>
    </w:p>
    <w:p>
      <w:pPr>
        <w:pStyle w:val="nzIndenta"/>
      </w:pPr>
      <w:r>
        <w:tab/>
        <w:t>(f)</w:t>
      </w:r>
      <w:r>
        <w:tab/>
        <w:t xml:space="preserve">the department of the Public Service principally assisting in the administration of the </w:t>
      </w:r>
      <w:r>
        <w:rPr>
          <w:i/>
        </w:rPr>
        <w:t>Higher Education Act 2004</w:t>
      </w:r>
      <w:r>
        <w:t>;</w:t>
      </w:r>
    </w:p>
    <w:p>
      <w:pPr>
        <w:pStyle w:val="nzIndenta"/>
      </w:pPr>
      <w:r>
        <w:tab/>
        <w:t>(g)</w:t>
      </w:r>
      <w:r>
        <w:tab/>
        <w:t xml:space="preserve">the Housing Authority preserved and continued under the </w:t>
      </w:r>
      <w:r>
        <w:rPr>
          <w:i/>
        </w:rPr>
        <w:t>Housing Act 1980</w:t>
      </w:r>
      <w:r>
        <w:t xml:space="preserve"> section 6;</w:t>
      </w:r>
    </w:p>
    <w:p>
      <w:pPr>
        <w:pStyle w:val="nzIndenta"/>
      </w:pPr>
      <w:r>
        <w:tab/>
        <w:t>(h)</w:t>
      </w:r>
      <w:r>
        <w:tab/>
        <w:t xml:space="preserve">the Police Force of Western Australia. </w:t>
      </w:r>
    </w:p>
    <w:p>
      <w:pPr>
        <w:pStyle w:val="nzHeading2"/>
      </w:pPr>
      <w:r>
        <w:rPr>
          <w:rStyle w:val="CharSchNo"/>
        </w:rPr>
        <w:t>Schedule 1</w:t>
      </w:r>
      <w:r>
        <w:rPr>
          <w:rStyle w:val="CharSDivNo"/>
        </w:rPr>
        <w:t> </w:t>
      </w:r>
      <w:r>
        <w:t>—</w:t>
      </w:r>
      <w:r>
        <w:rPr>
          <w:rStyle w:val="CharSDivText"/>
        </w:rPr>
        <w:t> </w:t>
      </w:r>
      <w:r>
        <w:rPr>
          <w:rStyle w:val="CharSchText"/>
        </w:rPr>
        <w:t>Persons authorised to exercise powers under section 172 of the Act</w:t>
      </w:r>
    </w:p>
    <w:p>
      <w:pPr>
        <w:pStyle w:val="nz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BlankClose"/>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D9626-FDB4-4BE8-AFC0-3682F4C17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3401</Words>
  <Characters>16767</Characters>
  <Application>Microsoft Office Word</Application>
  <DocSecurity>0</DocSecurity>
  <Lines>508</Lines>
  <Paragraphs>245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2015 - 00-a0-01</dc:title>
  <dc:subject/>
  <dc:creator/>
  <cp:keywords/>
  <dc:description/>
  <cp:lastModifiedBy>svcMRProcess</cp:lastModifiedBy>
  <cp:revision>4</cp:revision>
  <cp:lastPrinted>2015-11-04T03:29:00Z</cp:lastPrinted>
  <dcterms:created xsi:type="dcterms:W3CDTF">2015-11-16T08:52:00Z</dcterms:created>
  <dcterms:modified xsi:type="dcterms:W3CDTF">2015-11-16T08:52:00Z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13 Nov 2015</vt:lpwstr>
  </property>
  <property fmtid="{D5CDD505-2E9C-101B-9397-08002B2CF9AE}" pid="4" name="Suffix">
    <vt:lpwstr>00-a0-01</vt:lpwstr>
  </property>
  <property fmtid="{D5CDD505-2E9C-101B-9397-08002B2CF9AE}" pid="5" name="ID">
    <vt:lpwstr>13 Nov 2015 p 4675-90</vt:lpwstr>
  </property>
  <property fmtid="{D5CDD505-2E9C-101B-9397-08002B2CF9AE}" pid="6" name="CommencementDate">
    <vt:lpwstr>20151113</vt:lpwstr>
  </property>
  <property fmtid="{D5CDD505-2E9C-101B-9397-08002B2CF9AE}" pid="7" name="OwlsUID">
    <vt:lpwstr>45962</vt:lpwstr>
  </property>
</Properties>
</file>