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Teaching Hospitals, Act 1955</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_Toc436131192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_Toc436131193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Declaration of teaching hospitals</w:t>
      </w:r>
      <w:r>
        <w:tab/>
      </w:r>
      <w:r>
        <w:fldChar w:fldCharType="begin"/>
      </w:r>
      <w:r>
        <w:instrText xml:space="preserve"> PAGEREF _Toc436131194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managing body or Minister to enter into agreement with Senate</w:t>
      </w:r>
      <w:r>
        <w:tab/>
      </w:r>
      <w:r>
        <w:fldChar w:fldCharType="begin"/>
      </w:r>
      <w:r>
        <w:instrText xml:space="preserve"> PAGEREF _Toc436131195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Advisory Committees to advise Minister</w:t>
      </w:r>
      <w:r>
        <w:tab/>
      </w:r>
      <w:r>
        <w:fldChar w:fldCharType="begin"/>
      </w:r>
      <w:r>
        <w:instrText xml:space="preserve"> PAGEREF _Toc436131196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Provisions as to Advisory Committees</w:t>
      </w:r>
      <w:r>
        <w:tab/>
      </w:r>
      <w:r>
        <w:fldChar w:fldCharType="begin"/>
      </w:r>
      <w:r>
        <w:instrText xml:space="preserve"> PAGEREF _Toc436131197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_Toc436131198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_Toc436131200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3" w:name="_Toc402970395"/>
      <w:bookmarkStart w:id="4" w:name="_Toc43613119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36131193"/>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managing body</w:t>
      </w:r>
      <w:r>
        <w:t xml:space="preserve"> means a board as defined by section 2 of the </w:t>
      </w:r>
      <w:r>
        <w:rPr>
          <w:i/>
        </w:rPr>
        <w:t>Hospitals and Health Services Act 1927</w:t>
      </w:r>
      <w:r>
        <w:t>, but does not include the Minister to whom the administration of that Act is committed in relation to any public hospital controlled by him under section 7 of that Act;</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same meaning as in section 2 of the </w:t>
      </w:r>
      <w:r>
        <w:rPr>
          <w:i/>
        </w:rPr>
        <w:t>Hospitals and Health Services Act 1927</w:t>
      </w:r>
      <w:r>
        <w:t>, 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w:t>
      </w:r>
    </w:p>
    <w:p>
      <w:pPr>
        <w:pStyle w:val="Heading5"/>
        <w:rPr>
          <w:snapToGrid w:val="0"/>
        </w:rPr>
      </w:pPr>
      <w:bookmarkStart w:id="7" w:name="_Toc402970397"/>
      <w:bookmarkStart w:id="8" w:name="_Toc436131194"/>
      <w:r>
        <w:rPr>
          <w:rStyle w:val="CharSectno"/>
        </w:rPr>
        <w:t>3</w:t>
      </w:r>
      <w:r>
        <w:rPr>
          <w:snapToGrid w:val="0"/>
        </w:rPr>
        <w:t>.</w:t>
      </w:r>
      <w:r>
        <w:rPr>
          <w:snapToGrid w:val="0"/>
        </w:rPr>
        <w:tab/>
        <w:t>Declaration of teaching hospitals</w:t>
      </w:r>
      <w:bookmarkEnd w:id="7"/>
      <w:bookmarkEnd w:id="8"/>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9" w:name="_Toc402970398"/>
      <w:bookmarkStart w:id="10" w:name="_Toc436131195"/>
      <w:r>
        <w:rPr>
          <w:rStyle w:val="CharSectno"/>
        </w:rPr>
        <w:t>4</w:t>
      </w:r>
      <w:r>
        <w:rPr>
          <w:snapToGrid w:val="0"/>
        </w:rPr>
        <w:t>.</w:t>
      </w:r>
      <w:r>
        <w:rPr>
          <w:snapToGrid w:val="0"/>
        </w:rPr>
        <w:tab/>
        <w:t>Power of managing body or Minister to enter into agreement with Senate</w:t>
      </w:r>
      <w:bookmarkEnd w:id="9"/>
      <w:bookmarkEnd w:id="10"/>
      <w:r>
        <w:rPr>
          <w:snapToGrid w:val="0"/>
        </w:rPr>
        <w:t xml:space="preserve"> </w:t>
      </w:r>
    </w:p>
    <w:p>
      <w:pPr>
        <w:pStyle w:val="Subsection"/>
        <w:rPr>
          <w:snapToGrid w:val="0"/>
        </w:rPr>
      </w:pPr>
      <w:r>
        <w:rPr>
          <w:snapToGrid w:val="0"/>
        </w:rPr>
        <w:tab/>
        <w:t>(1)</w:t>
      </w:r>
      <w:r>
        <w:rPr>
          <w:snapToGrid w:val="0"/>
        </w:rPr>
        <w:tab/>
        <w:t>Subject to subsection (2) and to section 5 — </w:t>
      </w:r>
    </w:p>
    <w:p>
      <w:pPr>
        <w:pStyle w:val="Indenta"/>
        <w:rPr>
          <w:snapToGrid w:val="0"/>
        </w:rPr>
      </w:pPr>
      <w:r>
        <w:rPr>
          <w:snapToGrid w:val="0"/>
        </w:rPr>
        <w:tab/>
        <w:t>(a)</w:t>
      </w:r>
      <w:r>
        <w:rPr>
          <w:snapToGrid w:val="0"/>
        </w:rPr>
        <w:tab/>
        <w:t>if a teaching hospital has a managing body, its managing body; or</w:t>
      </w:r>
    </w:p>
    <w:p>
      <w:pPr>
        <w:pStyle w:val="Indenta"/>
        <w:rPr>
          <w:snapToGrid w:val="0"/>
        </w:rPr>
      </w:pPr>
      <w:r>
        <w:rPr>
          <w:snapToGrid w:val="0"/>
        </w:rPr>
        <w:tab/>
        <w:t>(b)</w:t>
      </w:r>
      <w:r>
        <w:rPr>
          <w:snapToGrid w:val="0"/>
        </w:rPr>
        <w:tab/>
        <w:t>if a teaching hospital does not have a managing body, the Minister,</w:t>
      </w:r>
    </w:p>
    <w:p>
      <w:pPr>
        <w:pStyle w:val="Subsection"/>
        <w:rPr>
          <w:snapToGrid w:val="0"/>
        </w:rPr>
      </w:pPr>
      <w:r>
        <w:rPr>
          <w:snapToGrid w:val="0"/>
        </w:rPr>
        <w:tab/>
      </w:r>
      <w:r>
        <w:rPr>
          <w:snapToGrid w:val="0"/>
        </w:rPr>
        <w:tab/>
        <w:t>may — </w:t>
      </w:r>
    </w:p>
    <w:p>
      <w:pPr>
        <w:pStyle w:val="Indenta"/>
        <w:rPr>
          <w:snapToGrid w:val="0"/>
        </w:rPr>
      </w:pPr>
      <w:r>
        <w:rPr>
          <w:snapToGrid w:val="0"/>
        </w:rPr>
        <w:tab/>
        <w:t>(c)</w:t>
      </w:r>
      <w:r>
        <w:rPr>
          <w:snapToGrid w:val="0"/>
        </w:rPr>
        <w:tab/>
        <w:t>enter into an agreement with the Senate in relation to — </w:t>
      </w:r>
    </w:p>
    <w:p>
      <w:pPr>
        <w:pStyle w:val="Indenti"/>
        <w:rPr>
          <w:snapToGrid w:val="0"/>
        </w:rPr>
      </w:pPr>
      <w:r>
        <w:rPr>
          <w:snapToGrid w:val="0"/>
        </w:rPr>
        <w:tab/>
        <w:t>(i)</w:t>
      </w:r>
      <w:r>
        <w:rPr>
          <w:snapToGrid w:val="0"/>
        </w:rPr>
        <w:tab/>
        <w:t>the provision in the teaching hospital of facilities for research and for the teaching of medicine, including the use of land under the control of the teaching hospital and the erection of buildings thereon;</w:t>
      </w:r>
    </w:p>
    <w:p>
      <w:pPr>
        <w:pStyle w:val="Indenti"/>
        <w:rPr>
          <w:snapToGrid w:val="0"/>
        </w:rPr>
      </w:pPr>
      <w:r>
        <w:rPr>
          <w:snapToGrid w:val="0"/>
        </w:rPr>
        <w:tab/>
        <w:t>(ii)</w:t>
      </w:r>
      <w:r>
        <w:rPr>
          <w:snapToGrid w:val="0"/>
        </w:rPr>
        <w:tab/>
        <w:t>the admission of medical students to the practice, referred to in that agreement, of the teaching hospital;</w:t>
      </w:r>
    </w:p>
    <w:p>
      <w:pPr>
        <w:pStyle w:val="Indenti"/>
        <w:rPr>
          <w:snapToGrid w:val="0"/>
        </w:rPr>
      </w:pPr>
      <w:r>
        <w:rPr>
          <w:snapToGrid w:val="0"/>
        </w:rPr>
        <w:tab/>
        <w:t>(iii)</w:t>
      </w:r>
      <w:r>
        <w:rPr>
          <w:snapToGrid w:val="0"/>
        </w:rPr>
        <w:tab/>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Indenti"/>
        <w:rPr>
          <w:snapToGrid w:val="0"/>
        </w:rPr>
      </w:pPr>
      <w:r>
        <w:rPr>
          <w:snapToGrid w:val="0"/>
        </w:rPr>
        <w:tab/>
        <w:t>(iv)</w:t>
      </w:r>
      <w:r>
        <w:rPr>
          <w:snapToGrid w:val="0"/>
        </w:rPr>
        <w:tab/>
        <w:t>the making of arrangements whereby — </w:t>
      </w:r>
    </w:p>
    <w:p>
      <w:pPr>
        <w:pStyle w:val="IndentI0"/>
        <w:rPr>
          <w:snapToGrid w:val="0"/>
        </w:rPr>
      </w:pPr>
      <w:r>
        <w:rPr>
          <w:snapToGrid w:val="0"/>
        </w:rPr>
        <w:tab/>
        <w:t>(A)</w:t>
      </w:r>
      <w:r>
        <w:rPr>
          <w:snapToGrid w:val="0"/>
        </w:rPr>
        <w:tab/>
        <w:t>members of the medical staff of the Faculty of Medicine of; and</w:t>
      </w:r>
    </w:p>
    <w:p>
      <w:pPr>
        <w:pStyle w:val="IndentI0"/>
        <w:rPr>
          <w:snapToGrid w:val="0"/>
        </w:rPr>
      </w:pPr>
      <w:r>
        <w:rPr>
          <w:snapToGrid w:val="0"/>
        </w:rPr>
        <w:tab/>
        <w:t>(B)</w:t>
      </w:r>
      <w:r>
        <w:rPr>
          <w:snapToGrid w:val="0"/>
        </w:rPr>
        <w:tab/>
        <w:t>other staff of, or persons nominated by,</w:t>
      </w:r>
    </w:p>
    <w:p>
      <w:pPr>
        <w:pStyle w:val="Indenti"/>
        <w:rPr>
          <w:snapToGrid w:val="0"/>
        </w:rPr>
      </w:pPr>
      <w:r>
        <w:rPr>
          <w:snapToGrid w:val="0"/>
        </w:rPr>
        <w:tab/>
      </w:r>
      <w:r>
        <w:rPr>
          <w:snapToGrid w:val="0"/>
        </w:rPr>
        <w:tab/>
        <w:t>The University of Western Australia who are recommended by — </w:t>
      </w:r>
    </w:p>
    <w:p>
      <w:pPr>
        <w:pStyle w:val="IndentI0"/>
        <w:rPr>
          <w:snapToGrid w:val="0"/>
        </w:rPr>
      </w:pPr>
      <w:r>
        <w:rPr>
          <w:snapToGrid w:val="0"/>
        </w:rPr>
        <w:tab/>
        <w:t>(C)</w:t>
      </w:r>
      <w:r>
        <w:rPr>
          <w:snapToGrid w:val="0"/>
        </w:rPr>
        <w:tab/>
        <w:t>the electoral committee of the teaching hospital referred to in subparagraph (iii); or</w:t>
      </w:r>
    </w:p>
    <w:p>
      <w:pPr>
        <w:pStyle w:val="IndentI0"/>
        <w:rPr>
          <w:snapToGrid w:val="0"/>
        </w:rPr>
      </w:pPr>
      <w:r>
        <w:rPr>
          <w:snapToGrid w:val="0"/>
        </w:rPr>
        <w:tab/>
        <w:t>(D)</w:t>
      </w:r>
      <w:r>
        <w:rPr>
          <w:snapToGrid w:val="0"/>
        </w:rPr>
        <w:tab/>
        <w:t xml:space="preserve">in the case of a teaching hospital which is on the reserve within the meaning of the </w:t>
      </w:r>
      <w:r>
        <w:rPr>
          <w:i/>
          <w:snapToGrid w:val="0"/>
        </w:rPr>
        <w:t>Queen Elizabeth II Medical Centre Act 1966</w:t>
      </w:r>
      <w:r>
        <w:rPr>
          <w:snapToGrid w:val="0"/>
        </w:rPr>
        <w:t>, the appointments committee of that teaching hospital referred to in section 16 of that Act,</w:t>
      </w:r>
    </w:p>
    <w:p>
      <w:pPr>
        <w:pStyle w:val="Indenti"/>
        <w:rPr>
          <w:snapToGrid w:val="0"/>
        </w:rPr>
      </w:pPr>
      <w:r>
        <w:rPr>
          <w:snapToGrid w:val="0"/>
        </w:rPr>
        <w:tab/>
      </w:r>
      <w:r>
        <w:rPr>
          <w:snapToGrid w:val="0"/>
        </w:rPr>
        <w:tab/>
        <w:t>may practise within the teaching hospital and participate in the teaching of medical students; and</w:t>
      </w:r>
    </w:p>
    <w:p>
      <w:pPr>
        <w:pStyle w:val="Indenti"/>
        <w:rPr>
          <w:snapToGrid w:val="0"/>
        </w:rPr>
      </w:pPr>
      <w:r>
        <w:rPr>
          <w:snapToGrid w:val="0"/>
        </w:rPr>
        <w:tab/>
        <w:t>(v)</w:t>
      </w:r>
      <w:r>
        <w:rPr>
          <w:snapToGrid w:val="0"/>
        </w:rPr>
        <w:tab/>
        <w:t xml:space="preserve">any other matter necessary or convenient for the establishment or carrying on of the research, practice and teaching function, referred to in that agreement, of the teaching hospital;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by</w:t>
      </w:r>
      <w:r>
        <w:rPr>
          <w:snapToGrid w:val="0"/>
        </w:rPr>
        <w:noBreakHyphen/>
        <w:t>laws — </w:t>
      </w:r>
    </w:p>
    <w:p>
      <w:pPr>
        <w:pStyle w:val="Indenti"/>
        <w:rPr>
          <w:snapToGrid w:val="0"/>
        </w:rPr>
      </w:pPr>
      <w:r>
        <w:rPr>
          <w:snapToGrid w:val="0"/>
        </w:rPr>
        <w:tab/>
        <w:t>(i)</w:t>
      </w:r>
      <w:r>
        <w:rPr>
          <w:snapToGrid w:val="0"/>
        </w:rPr>
        <w:tab/>
        <w:t>regulating the admission, duties and discipline of medical students; and</w:t>
      </w:r>
    </w:p>
    <w:p>
      <w:pPr>
        <w:pStyle w:val="Indenti"/>
        <w:rPr>
          <w:snapToGrid w:val="0"/>
        </w:rPr>
      </w:pPr>
      <w:r>
        <w:rPr>
          <w:snapToGrid w:val="0"/>
        </w:rPr>
        <w:tab/>
        <w:t>(ii)</w:t>
      </w:r>
      <w:r>
        <w:rPr>
          <w:snapToGrid w:val="0"/>
        </w:rPr>
        <w:tab/>
        <w:t>fixing clinical fees for medical students admitted to the practice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w:t>
      </w:r>
    </w:p>
    <w:p>
      <w:pPr>
        <w:pStyle w:val="Heading5"/>
        <w:rPr>
          <w:snapToGrid w:val="0"/>
        </w:rPr>
      </w:pPr>
      <w:bookmarkStart w:id="11" w:name="_Toc402970399"/>
      <w:bookmarkStart w:id="12" w:name="_Toc436131196"/>
      <w:r>
        <w:rPr>
          <w:rStyle w:val="CharSectno"/>
        </w:rPr>
        <w:t>5</w:t>
      </w:r>
      <w:r>
        <w:rPr>
          <w:snapToGrid w:val="0"/>
        </w:rPr>
        <w:t>.</w:t>
      </w:r>
      <w:r>
        <w:rPr>
          <w:snapToGrid w:val="0"/>
        </w:rPr>
        <w:tab/>
        <w:t>Advisory Committees to advise Minister</w:t>
      </w:r>
      <w:bookmarkEnd w:id="11"/>
      <w:bookmarkEnd w:id="12"/>
      <w:r>
        <w:rPr>
          <w:snapToGrid w:val="0"/>
        </w:rPr>
        <w:t xml:space="preserve"> </w:t>
      </w:r>
    </w:p>
    <w:p>
      <w:pPr>
        <w:pStyle w:val="Subsection"/>
        <w:rPr>
          <w:snapToGrid w:val="0"/>
        </w:rPr>
      </w:pPr>
      <w:r>
        <w:rPr>
          <w:snapToGrid w:val="0"/>
        </w:rPr>
        <w:tab/>
        <w:t>(1)</w:t>
      </w:r>
      <w:r>
        <w:rPr>
          <w:snapToGrid w:val="0"/>
        </w:rPr>
        <w:tab/>
        <w: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t>
      </w:r>
    </w:p>
    <w:p>
      <w:pPr>
        <w:pStyle w:val="Subsection"/>
        <w:keepNext/>
        <w:rPr>
          <w:snapToGrid w:val="0"/>
        </w:rPr>
      </w:pPr>
      <w:r>
        <w:rPr>
          <w:snapToGrid w:val="0"/>
        </w:rPr>
        <w:tab/>
        <w:t>(2)</w:t>
      </w:r>
      <w:r>
        <w:rPr>
          <w:snapToGrid w:val="0"/>
        </w:rPr>
        <w:tab/>
        <w:t>If a teaching hospital referred to in subsection (1) is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nominated by the Faculty of Medicine of The University of Western Australia;</w:t>
      </w:r>
    </w:p>
    <w:p>
      <w:pPr>
        <w:pStyle w:val="Indenta"/>
      </w:pPr>
      <w:r>
        <w:tab/>
        <w:t>(c)</w:t>
      </w:r>
      <w:r>
        <w:tab/>
        <w:t xml:space="preserve">the Chief Psychiatrist (as defined in the </w:t>
      </w:r>
      <w:r>
        <w:rPr>
          <w:i/>
        </w:rPr>
        <w:t>Mental Health Act 2014</w:t>
      </w:r>
      <w:r>
        <w:t xml:space="preserve"> section 4) or a person nominated by the Chief Psychiatrist; and</w:t>
      </w:r>
    </w:p>
    <w:p>
      <w:pPr>
        <w:pStyle w:val="Indenta"/>
        <w:rPr>
          <w:snapToGrid w:val="0"/>
        </w:rPr>
      </w:pPr>
      <w:r>
        <w:rPr>
          <w:snapToGrid w:val="0"/>
        </w:rPr>
        <w:tab/>
        <w:t>(d)</w:t>
      </w:r>
      <w:r>
        <w:rPr>
          <w:snapToGrid w:val="0"/>
        </w:rPr>
        <w:tab/>
        <w:t xml:space="preserve">a medical practitioner nominated by the Minister charged with the administration of the </w:t>
      </w:r>
      <w:r>
        <w:rPr>
          <w:i/>
          <w:snapToGrid w:val="0"/>
        </w:rPr>
        <w:t>Mental Health Act 2014</w:t>
      </w:r>
      <w:r>
        <w:rPr>
          <w:snapToGrid w:val="0"/>
        </w:rPr>
        <w:t>.</w:t>
      </w:r>
    </w:p>
    <w:p>
      <w:pPr>
        <w:pStyle w:val="Subsection"/>
        <w:rPr>
          <w:snapToGrid w:val="0"/>
        </w:rPr>
      </w:pPr>
      <w:r>
        <w:rPr>
          <w:snapToGrid w:val="0"/>
        </w:rPr>
        <w:tab/>
        <w:t>(3)</w:t>
      </w:r>
      <w:r>
        <w:rPr>
          <w:snapToGrid w:val="0"/>
        </w:rPr>
        <w:tab/>
        <w:t>If a teaching hospital referred to in subsection (1) is not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well versed in hospital administration (not being a medical practitioner) nominated by the Minister;</w:t>
      </w:r>
    </w:p>
    <w:p>
      <w:pPr>
        <w:pStyle w:val="Indenta"/>
        <w:rPr>
          <w:snapToGrid w:val="0"/>
        </w:rPr>
      </w:pPr>
      <w:r>
        <w:rPr>
          <w:snapToGrid w:val="0"/>
        </w:rPr>
        <w:tab/>
        <w:t>(c)</w:t>
      </w:r>
      <w:r>
        <w:rPr>
          <w:snapToGrid w:val="0"/>
        </w:rPr>
        <w:tab/>
        <w:t>a person nominated by the Faculty of Medicine of The University of Western Australia;</w:t>
      </w:r>
    </w:p>
    <w:p>
      <w:pPr>
        <w:pStyle w:val="Indenta"/>
        <w:rPr>
          <w:snapToGrid w:val="0"/>
        </w:rPr>
      </w:pPr>
      <w:r>
        <w:rPr>
          <w:snapToGrid w:val="0"/>
        </w:rPr>
        <w:tab/>
        <w:t>(d)</w:t>
      </w:r>
      <w:r>
        <w:rPr>
          <w:snapToGrid w:val="0"/>
        </w:rPr>
        <w:tab/>
        <w:t xml:space="preserve">the Executive Director, Personal Health Services, in the department of the Public Service of the State principally assisting the Minister charged with the administration of the </w:t>
      </w:r>
      <w:r>
        <w:rPr>
          <w:i/>
          <w:snapToGrid w:val="0"/>
        </w:rPr>
        <w:t>Hospitals and Health Services Act 1927</w:t>
      </w:r>
      <w:r>
        <w:rPr>
          <w:snapToGrid w:val="0"/>
          <w:vertAlign w:val="superscript"/>
        </w:rPr>
        <w:t> 2</w:t>
      </w:r>
      <w:r>
        <w:rPr>
          <w:snapToGrid w:val="0"/>
        </w:rPr>
        <w:t xml:space="preserve"> or a person nominated by him; and</w:t>
      </w:r>
    </w:p>
    <w:p>
      <w:pPr>
        <w:pStyle w:val="Indenta"/>
        <w:rPr>
          <w:snapToGrid w:val="0"/>
        </w:rPr>
      </w:pPr>
      <w:r>
        <w:rPr>
          <w:snapToGrid w:val="0"/>
        </w:rPr>
        <w:tab/>
        <w:t>(e)</w:t>
      </w:r>
      <w:r>
        <w:rPr>
          <w:snapToGrid w:val="0"/>
        </w:rPr>
        <w:tab/>
        <w:t>a medical practitioner nominated by the Minister.</w:t>
      </w:r>
    </w:p>
    <w:p>
      <w:pPr>
        <w:pStyle w:val="Subsection"/>
        <w:rPr>
          <w:snapToGrid w:val="0"/>
        </w:rPr>
      </w:pPr>
      <w:r>
        <w:rPr>
          <w:snapToGrid w:val="0"/>
        </w:rPr>
        <w:tab/>
        <w:t>(4)</w:t>
      </w:r>
      <w:r>
        <w:rPr>
          <w:snapToGrid w:val="0"/>
        </w:rPr>
        <w:tab/>
        <w:t>The Advisory Committee shall, as soon as is practicable after receiving notification of the proposal from the Minister, consider the proposal and give to the Minister a written report of their advice on the proposal.</w:t>
      </w:r>
    </w:p>
    <w:p>
      <w:pPr>
        <w:pStyle w:val="Subsection"/>
        <w:rPr>
          <w:snapToGrid w:val="0"/>
        </w:rPr>
      </w:pPr>
      <w:r>
        <w:rPr>
          <w:snapToGrid w:val="0"/>
        </w:rPr>
        <w:tab/>
        <w:t>(5)</w:t>
      </w:r>
      <w:r>
        <w:rPr>
          <w:snapToGrid w:val="0"/>
        </w:rPr>
        <w:tab/>
        <w:t>The Minister may request the advice of the appropriate Advisory Committee on any other matter related to the provisions or operations of this Act and thereupon the Committee shall consider the matter and give to the Minister a written report of their advice upon it.</w:t>
      </w:r>
    </w:p>
    <w:p>
      <w:pPr>
        <w:pStyle w:val="Footnotesection"/>
        <w:keepLines w:val="0"/>
      </w:pPr>
      <w:r>
        <w:tab/>
        <w:t xml:space="preserve">[Section 5 amended by No. 28 of 1984 s. 99; No. 21 of 1985 s. 5; No. 69 of 1996 s. 93; No. 25 of 2014 s. 88.] </w:t>
      </w:r>
    </w:p>
    <w:p>
      <w:pPr>
        <w:pStyle w:val="Heading5"/>
        <w:rPr>
          <w:snapToGrid w:val="0"/>
        </w:rPr>
      </w:pPr>
      <w:bookmarkStart w:id="13" w:name="_Toc402970400"/>
      <w:bookmarkStart w:id="14" w:name="_Toc436131197"/>
      <w:r>
        <w:rPr>
          <w:rStyle w:val="CharSectno"/>
        </w:rPr>
        <w:t>6</w:t>
      </w:r>
      <w:r>
        <w:rPr>
          <w:snapToGrid w:val="0"/>
        </w:rPr>
        <w:t>.</w:t>
      </w:r>
      <w:r>
        <w:rPr>
          <w:snapToGrid w:val="0"/>
        </w:rPr>
        <w:tab/>
        <w:t>Provisions as to Advisory Committees</w:t>
      </w:r>
      <w:bookmarkEnd w:id="13"/>
      <w:bookmarkEnd w:id="14"/>
      <w:r>
        <w:rPr>
          <w:snapToGrid w:val="0"/>
        </w:rPr>
        <w:t xml:space="preserve"> </w:t>
      </w:r>
    </w:p>
    <w:p>
      <w:pPr>
        <w:pStyle w:val="Subsection"/>
        <w:rPr>
          <w:snapToGrid w:val="0"/>
        </w:rPr>
      </w:pPr>
      <w:r>
        <w:rPr>
          <w:snapToGrid w:val="0"/>
        </w:rPr>
        <w:tab/>
      </w:r>
      <w:r>
        <w:rPr>
          <w:snapToGrid w:val="0"/>
        </w:rPr>
        <w:tab/>
        <w:t xml:space="preserve">The members of the respective Advisory Committees — </w:t>
      </w:r>
    </w:p>
    <w:p>
      <w:pPr>
        <w:pStyle w:val="Indenta"/>
        <w:rPr>
          <w:snapToGrid w:val="0"/>
        </w:rPr>
      </w:pPr>
      <w:r>
        <w:rPr>
          <w:snapToGrid w:val="0"/>
        </w:rPr>
        <w:tab/>
        <w:t>(a)</w:t>
      </w:r>
      <w:r>
        <w:rPr>
          <w:snapToGrid w:val="0"/>
        </w:rPr>
        <w:tab/>
        <w:t>are entitled to such remuneration, leave of absence, travelling and other allowances as are prescribed by the regulations;</w:t>
      </w:r>
    </w:p>
    <w:p>
      <w:pPr>
        <w:pStyle w:val="Indenta"/>
        <w:rPr>
          <w:snapToGrid w:val="0"/>
        </w:rPr>
      </w:pPr>
      <w:r>
        <w:rPr>
          <w:snapToGrid w:val="0"/>
        </w:rPr>
        <w:tab/>
        <w:t>(b)</w:t>
      </w:r>
      <w:r>
        <w:rPr>
          <w:snapToGrid w:val="0"/>
        </w:rPr>
        <w:tab/>
        <w:t>shall keep proper minutes of their proceedings and cause the minutes to be available for inspection by the Minister or any person nominated by him; and</w:t>
      </w:r>
    </w:p>
    <w:p>
      <w:pPr>
        <w:pStyle w:val="Indenta"/>
        <w:rPr>
          <w:snapToGrid w:val="0"/>
        </w:rPr>
      </w:pPr>
      <w:r>
        <w:rPr>
          <w:snapToGrid w:val="0"/>
        </w:rPr>
        <w:tab/>
        <w:t>(c)</w:t>
      </w:r>
      <w:r>
        <w:rPr>
          <w:snapToGrid w:val="0"/>
        </w:rPr>
        <w:tab/>
        <w:t xml:space="preserve">may — </w:t>
      </w:r>
    </w:p>
    <w:p>
      <w:pPr>
        <w:pStyle w:val="Indenti"/>
        <w:rPr>
          <w:snapToGrid w:val="0"/>
        </w:rPr>
      </w:pPr>
      <w:r>
        <w:rPr>
          <w:snapToGrid w:val="0"/>
        </w:rPr>
        <w:tab/>
        <w:t>(i)</w:t>
      </w:r>
      <w:r>
        <w:rPr>
          <w:snapToGrid w:val="0"/>
        </w:rPr>
        <w:tab/>
        <w:t>appoint deputies to act for them when they are unable to act;</w:t>
      </w:r>
    </w:p>
    <w:p>
      <w:pPr>
        <w:pStyle w:val="Indenti"/>
        <w:rPr>
          <w:snapToGrid w:val="0"/>
        </w:rPr>
      </w:pPr>
      <w:r>
        <w:rPr>
          <w:snapToGrid w:val="0"/>
        </w:rPr>
        <w:tab/>
        <w:t>(ii)</w:t>
      </w:r>
      <w:r>
        <w:rPr>
          <w:snapToGrid w:val="0"/>
        </w:rPr>
        <w:tab/>
        <w:t>convene meetings;</w:t>
      </w:r>
    </w:p>
    <w:p>
      <w:pPr>
        <w:pStyle w:val="Indenti"/>
        <w:rPr>
          <w:snapToGrid w:val="0"/>
        </w:rPr>
      </w:pPr>
      <w:r>
        <w:rPr>
          <w:snapToGrid w:val="0"/>
        </w:rPr>
        <w:tab/>
        <w:t>(iii)</w:t>
      </w:r>
      <w:r>
        <w:rPr>
          <w:snapToGrid w:val="0"/>
        </w:rPr>
        <w:tab/>
        <w:t>appoint their chairman;</w:t>
      </w:r>
    </w:p>
    <w:p>
      <w:pPr>
        <w:pStyle w:val="Indenti"/>
        <w:rPr>
          <w:snapToGrid w:val="0"/>
        </w:rPr>
      </w:pPr>
      <w:r>
        <w:rPr>
          <w:snapToGrid w:val="0"/>
        </w:rPr>
        <w:tab/>
        <w:t>(iv)</w:t>
      </w:r>
      <w:r>
        <w:rPr>
          <w:snapToGrid w:val="0"/>
        </w:rPr>
        <w:tab/>
        <w:t>fix a quorum;</w:t>
      </w:r>
    </w:p>
    <w:p>
      <w:pPr>
        <w:pStyle w:val="Indenti"/>
        <w:rPr>
          <w:snapToGrid w:val="0"/>
        </w:rPr>
      </w:pPr>
      <w:r>
        <w:rPr>
          <w:snapToGrid w:val="0"/>
        </w:rPr>
        <w:tab/>
        <w:t>(v)</w:t>
      </w:r>
      <w:r>
        <w:rPr>
          <w:snapToGrid w:val="0"/>
        </w:rPr>
        <w:tab/>
        <w:t>determine voting rights; and</w:t>
      </w:r>
    </w:p>
    <w:p>
      <w:pPr>
        <w:pStyle w:val="Indenti"/>
        <w:rPr>
          <w:snapToGrid w:val="0"/>
        </w:rPr>
      </w:pPr>
      <w:r>
        <w:rPr>
          <w:snapToGrid w:val="0"/>
        </w:rPr>
        <w:tab/>
        <w:t>(vi)</w:t>
      </w:r>
      <w:r>
        <w:rPr>
          <w:snapToGrid w:val="0"/>
        </w:rPr>
        <w:tab/>
        <w:t>otherwise regulate their proceedings,</w:t>
      </w:r>
    </w:p>
    <w:p>
      <w:pPr>
        <w:pStyle w:val="Indenta"/>
        <w:rPr>
          <w:snapToGrid w:val="0"/>
        </w:rPr>
      </w:pPr>
      <w:r>
        <w:rPr>
          <w:snapToGrid w:val="0"/>
        </w:rPr>
        <w:tab/>
      </w:r>
      <w:r>
        <w:rPr>
          <w:snapToGrid w:val="0"/>
        </w:rPr>
        <w:tab/>
        <w:t>in such manner as they think fit, or if the regulations relating to those matters or any of them are made, in accordance with the regulations.</w:t>
      </w:r>
    </w:p>
    <w:p>
      <w:pPr>
        <w:pStyle w:val="Heading5"/>
        <w:spacing w:before="120"/>
        <w:rPr>
          <w:snapToGrid w:val="0"/>
        </w:rPr>
      </w:pPr>
      <w:bookmarkStart w:id="15" w:name="_Toc402970401"/>
      <w:bookmarkStart w:id="16" w:name="_Toc436131198"/>
      <w:r>
        <w:rPr>
          <w:rStyle w:val="CharSectno"/>
        </w:rPr>
        <w:t>7</w:t>
      </w:r>
      <w:r>
        <w:rPr>
          <w:snapToGrid w:val="0"/>
        </w:rPr>
        <w:t>.</w:t>
      </w:r>
      <w:r>
        <w:rPr>
          <w:snapToGrid w:val="0"/>
        </w:rPr>
        <w:tab/>
        <w:t>Regulations</w:t>
      </w:r>
      <w:bookmarkEnd w:id="15"/>
      <w:bookmarkEnd w:id="16"/>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 w:name="_Toc402970402"/>
      <w:bookmarkStart w:id="18" w:name="_Toc424558556"/>
      <w:bookmarkStart w:id="19" w:name="_Toc434933916"/>
      <w:bookmarkStart w:id="20" w:name="_Toc435784117"/>
      <w:bookmarkStart w:id="21" w:name="_Toc436131166"/>
      <w:bookmarkStart w:id="22" w:name="_Toc436131199"/>
      <w:r>
        <w:t>Notes</w:t>
      </w:r>
      <w:bookmarkEnd w:id="17"/>
      <w:bookmarkEnd w:id="18"/>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402970403"/>
      <w:bookmarkStart w:id="24" w:name="_Toc436131200"/>
      <w:r>
        <w:rPr>
          <w:snapToGrid w:val="0"/>
        </w:rPr>
        <w:t>Compilation table</w:t>
      </w:r>
      <w:bookmarkEnd w:id="23"/>
      <w:bookmarkEnd w:id="24"/>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1"/>
      </w:tblGrid>
      <w:tr>
        <w:trPr>
          <w:gridBefore w:val="1"/>
          <w:wBefore w:w="14"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rPr>
          <w:gridBefore w:val="1"/>
          <w:wBefore w:w="14" w:type="dxa"/>
        </w:trP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rPr>
          <w:gridBefore w:val="1"/>
          <w:wBefore w:w="14" w:type="dxa"/>
        </w:trP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rPr>
          <w:gridBefore w:val="1"/>
          <w:wBefore w:w="14" w:type="dxa"/>
        </w:trP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gridBefore w:val="1"/>
          <w:wBefore w:w="14" w:type="dxa"/>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rPr>
          <w:gridBefore w:val="1"/>
          <w:wBefore w:w="14" w:type="dxa"/>
        </w:trP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rPr>
          <w:gridBefore w:val="1"/>
          <w:wBefore w:w="14" w:type="dxa"/>
        </w:trP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gridBefore w:val="1"/>
          <w:wBefore w:w="14" w:type="dxa"/>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single" w:sz="4" w:space="0" w:color="auto"/>
            </w:tcBorders>
          </w:tcPr>
          <w:p>
            <w:pPr>
              <w:pStyle w:val="nTable"/>
              <w:spacing w:after="40"/>
              <w:rPr>
                <w:snapToGrid w:val="0"/>
                <w:lang w:val="en-US"/>
              </w:rPr>
            </w:pPr>
            <w:r>
              <w:rPr>
                <w:snapToGrid w:val="0"/>
                <w:lang w:val="en-US"/>
              </w:rPr>
              <w:t>25 of 2014</w:t>
            </w:r>
          </w:p>
        </w:tc>
        <w:tc>
          <w:tcPr>
            <w:tcW w:w="1134" w:type="dxa"/>
            <w:gridSpan w:val="2"/>
            <w:tcBorders>
              <w:top w:val="nil"/>
              <w:bottom w:val="single" w:sz="4" w:space="0" w:color="auto"/>
            </w:tcBorders>
          </w:tcPr>
          <w:p>
            <w:pPr>
              <w:pStyle w:val="nTable"/>
              <w:spacing w:after="40"/>
              <w:rPr>
                <w:snapToGrid w:val="0"/>
                <w:lang w:val="en-US"/>
              </w:rPr>
            </w:pPr>
            <w:r>
              <w:t>3 Nov 2014</w:t>
            </w:r>
          </w:p>
        </w:tc>
        <w:tc>
          <w:tcPr>
            <w:tcW w:w="2561" w:type="dxa"/>
            <w:gridSpan w:val="2"/>
            <w:tcBorders>
              <w:top w:val="nil"/>
              <w:bottom w:val="single" w:sz="4" w:space="0" w:color="auto"/>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bl>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6" w:name="_Toc434933919"/>
      <w:bookmarkStart w:id="27" w:name="_Toc435784119"/>
      <w:bookmarkStart w:id="28" w:name="_Toc436131168"/>
      <w:bookmarkStart w:id="29" w:name="_Toc436131201"/>
      <w:r>
        <w:rPr>
          <w:sz w:val="28"/>
        </w:rPr>
        <w:t>Defined terms</w:t>
      </w:r>
      <w:bookmarkEnd w:id="26"/>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managing body</w:t>
      </w:r>
      <w:r>
        <w:tab/>
        <w:t>2</w:t>
      </w:r>
    </w:p>
    <w:p>
      <w:pPr>
        <w:pStyle w:val="DefinedTerms"/>
      </w:pPr>
      <w:r>
        <w:t>medical student</w:t>
      </w:r>
      <w:r>
        <w:tab/>
        <w:t>2</w:t>
      </w:r>
    </w:p>
    <w:p>
      <w:pPr>
        <w:pStyle w:val="DefinedTerms"/>
      </w:pPr>
      <w:r>
        <w:t>medicine</w:t>
      </w:r>
      <w:r>
        <w:tab/>
        <w:t>2</w:t>
      </w:r>
    </w:p>
    <w:p>
      <w:pPr>
        <w:pStyle w:val="DefinedTerms"/>
      </w:pPr>
      <w:r>
        <w:t>mental health hospital</w:t>
      </w:r>
      <w:r>
        <w:tab/>
        <w:t>2</w:t>
      </w:r>
    </w:p>
    <w:p>
      <w:pPr>
        <w:pStyle w:val="DefinedTerms"/>
      </w:pPr>
      <w:r>
        <w:t>public hospital</w:t>
      </w:r>
      <w:r>
        <w:tab/>
        <w:t>2</w:t>
      </w:r>
    </w:p>
    <w:p>
      <w:pPr>
        <w:pStyle w:val="DefinedTerms"/>
      </w:pPr>
      <w:r>
        <w:t>Senate</w:t>
      </w:r>
      <w:r>
        <w:tab/>
        <w:t>2</w:t>
      </w:r>
    </w:p>
    <w:p>
      <w:pPr>
        <w:pStyle w:val="DefinedTerms"/>
      </w:pPr>
      <w:r>
        <w:t>teaching hospital</w:t>
      </w:r>
      <w:r>
        <w:tab/>
        <w:t>2</w:t>
      </w:r>
    </w:p>
    <w:p>
      <w:pPr>
        <w:pStyle w:val="DefinedTerms"/>
      </w:pPr>
      <w:r>
        <w:t>the public hospital name</w:t>
      </w:r>
      <w:r>
        <w:tab/>
        <w:t>3(3)</w:t>
      </w:r>
    </w:p>
    <w:p>
      <w:pPr>
        <w:pStyle w:val="DefinedTerms"/>
      </w:pPr>
      <w:r>
        <w:t>the teaching hospital name</w:t>
      </w:r>
      <w:r>
        <w:tab/>
        <w:t>3(3)</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2145</Words>
  <Characters>10469</Characters>
  <Application>Microsoft Office Word</Application>
  <DocSecurity>0</DocSecurity>
  <Lines>327</Lines>
  <Paragraphs>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1955 - 02-d0-00</dc:title>
  <dc:subject/>
  <dc:creator/>
  <cp:keywords/>
  <dc:description/>
  <cp:lastModifiedBy>svcMRProcess</cp:lastModifiedBy>
  <cp:revision>4</cp:revision>
  <cp:lastPrinted>2004-04-07T02:17:00Z</cp:lastPrinted>
  <dcterms:created xsi:type="dcterms:W3CDTF">2015-11-25T02:56:00Z</dcterms:created>
  <dcterms:modified xsi:type="dcterms:W3CDTF">2015-11-25T02:56:00Z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AsAtDate">
    <vt:lpwstr>30 Nov 2015</vt:lpwstr>
  </property>
  <property fmtid="{D5CDD505-2E9C-101B-9397-08002B2CF9AE}" pid="6" name="Suffix">
    <vt:lpwstr>02-d0-00</vt:lpwstr>
  </property>
  <property fmtid="{D5CDD505-2E9C-101B-9397-08002B2CF9AE}" pid="7" name="CommencementDate">
    <vt:lpwstr>20151130</vt:lpwstr>
  </property>
</Properties>
</file>