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Subsection"/>
        <w:tabs>
          <w:tab w:val="clear" w:pos="879"/>
          <w:tab w:val="left" w:pos="812"/>
          <w:tab w:val="left" w:pos="1568"/>
        </w:tabs>
        <w:ind w:left="1582" w:hanging="1582"/>
        <w:rPr>
          <w:color w:val="000000"/>
          <w:sz w:val="22"/>
          <w:szCs w:val="22"/>
        </w:rPr>
      </w:pPr>
      <w:r>
        <w:rPr>
          <w:color w:val="000000"/>
          <w:sz w:val="22"/>
          <w:szCs w:val="22"/>
        </w:rPr>
        <w:tab/>
      </w:r>
      <w:r>
        <w:rPr>
          <w:color w:val="000000"/>
          <w:sz w:val="22"/>
          <w:szCs w:val="22"/>
        </w:rPr>
        <w:tab/>
      </w:r>
      <w:r>
        <w:rPr>
          <w:b/>
          <w:color w:val="000000"/>
          <w:sz w:val="22"/>
          <w:szCs w:val="22"/>
        </w:rPr>
        <w:t>Note:</w:t>
      </w:r>
      <w:r>
        <w:rPr>
          <w:color w:val="000000"/>
          <w:sz w:val="22"/>
          <w:szCs w:val="22"/>
        </w:rPr>
        <w:tab/>
        <w:t xml:space="preserve">On 16 May 2016 the High Court of Australia declared this Act to be invalid in its entirety.  (See </w:t>
      </w:r>
      <w:r>
        <w:rPr>
          <w:b/>
          <w:color w:val="000000"/>
          <w:sz w:val="22"/>
          <w:szCs w:val="22"/>
        </w:rPr>
        <w:t>Bell Group N.V. (in liquidation) v Western Australia</w:t>
      </w:r>
      <w:r>
        <w:rPr>
          <w:color w:val="000000"/>
          <w:sz w:val="22"/>
          <w:szCs w:val="22"/>
        </w:rPr>
        <w:t xml:space="preserve"> [2016] HCA 21.)</w:t>
      </w:r>
    </w:p>
    <w:p>
      <w:pPr>
        <w:pStyle w:val="NameofActRegPage1"/>
        <w:spacing w:after="0"/>
        <w:jc w:val="left"/>
        <w:outlineLvl w:val="0"/>
        <w:rPr>
          <w:sz w:val="24"/>
          <w:szCs w:val="24"/>
        </w:rPr>
      </w:pP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_Toc438650075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_Toc438650076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_Toc438650077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_Toc438650078 \h </w:instrText>
      </w:r>
      <w:r>
        <w:fldChar w:fldCharType="separate"/>
      </w:r>
      <w:r>
        <w:t>10</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_Toc438650079 \h </w:instrText>
      </w:r>
      <w:r>
        <w:fldChar w:fldCharType="separate"/>
      </w:r>
      <w:r>
        <w:t>11</w:t>
      </w:r>
      <w:r>
        <w:fldChar w:fldCharType="end"/>
      </w:r>
    </w:p>
    <w:p>
      <w:pPr>
        <w:pStyle w:val="TOC8"/>
        <w:rPr>
          <w:rFonts w:asciiTheme="minorHAnsi" w:eastAsiaTheme="minorEastAsia" w:hAnsiTheme="minorHAnsi" w:cstheme="minorBidi"/>
          <w:szCs w:val="22"/>
        </w:rPr>
      </w:pPr>
      <w:r>
        <w:t>6.</w:t>
      </w:r>
      <w:r>
        <w:tab/>
        <w:t>Extraterritorial operation</w:t>
      </w:r>
      <w:r>
        <w:tab/>
      </w:r>
      <w:r>
        <w:fldChar w:fldCharType="begin"/>
      </w:r>
      <w:r>
        <w:instrText xml:space="preserve"> PAGEREF _Toc438650080 \h </w:instrText>
      </w:r>
      <w:r>
        <w:fldChar w:fldCharType="separate"/>
      </w:r>
      <w:r>
        <w:t>11</w:t>
      </w:r>
      <w:r>
        <w:fldChar w:fldCharType="end"/>
      </w:r>
    </w:p>
    <w:p>
      <w:pPr>
        <w:pStyle w:val="TOC8"/>
        <w:rPr>
          <w:rFonts w:asciiTheme="minorHAnsi" w:eastAsiaTheme="minorEastAsia" w:hAnsiTheme="minorHAnsi" w:cstheme="minorBidi"/>
          <w:szCs w:val="22"/>
        </w:rPr>
      </w:pPr>
      <w:r>
        <w:t>54.</w:t>
      </w:r>
      <w:r>
        <w:tab/>
        <w:t>Scheme to avoid operation of Act or achievement of its objects</w:t>
      </w:r>
      <w:r>
        <w:tab/>
      </w:r>
      <w:r>
        <w:fldChar w:fldCharType="begin"/>
      </w:r>
      <w:r>
        <w:instrText xml:space="preserve"> PAGEREF _Toc438650081 \h </w:instrText>
      </w:r>
      <w:r>
        <w:fldChar w:fldCharType="separate"/>
      </w:r>
      <w:r>
        <w:t>11</w:t>
      </w:r>
      <w:r>
        <w:fldChar w:fldCharType="end"/>
      </w:r>
    </w:p>
    <w:p>
      <w:pPr>
        <w:pStyle w:val="TOC8"/>
        <w:rPr>
          <w:rFonts w:asciiTheme="minorHAnsi" w:eastAsiaTheme="minorEastAsia" w:hAnsiTheme="minorHAnsi" w:cstheme="minorBidi"/>
          <w:szCs w:val="22"/>
        </w:rPr>
      </w:pPr>
      <w:r>
        <w:t>55.</w:t>
      </w:r>
      <w:r>
        <w:tab/>
        <w:t>Certain deregistered companies not to be reinstated by certain persons</w:t>
      </w:r>
      <w:r>
        <w:tab/>
      </w:r>
      <w:r>
        <w:fldChar w:fldCharType="begin"/>
      </w:r>
      <w:r>
        <w:instrText xml:space="preserve"> PAGEREF _Toc438650082 \h </w:instrText>
      </w:r>
      <w:r>
        <w:fldChar w:fldCharType="separate"/>
      </w:r>
      <w:r>
        <w:t>12</w:t>
      </w:r>
      <w:r>
        <w:fldChar w:fldCharType="end"/>
      </w:r>
    </w:p>
    <w:p>
      <w:pPr>
        <w:pStyle w:val="TOC8"/>
        <w:rPr>
          <w:rFonts w:asciiTheme="minorHAnsi" w:eastAsiaTheme="minorEastAsia" w:hAnsiTheme="minorHAnsi" w:cstheme="minorBidi"/>
          <w:szCs w:val="22"/>
        </w:rPr>
      </w:pPr>
      <w:r>
        <w:t>56.</w:t>
      </w:r>
      <w:r>
        <w:tab/>
        <w:t>Dealings with property</w:t>
      </w:r>
      <w:r>
        <w:tab/>
      </w:r>
      <w:r>
        <w:fldChar w:fldCharType="begin"/>
      </w:r>
      <w:r>
        <w:instrText xml:space="preserve"> PAGEREF _Toc438650083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_Toc438650085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_Toc438650086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Bell Group Companies (Finalisation of Matters and Distribution of Proceeds) Act 2015</w:t>
      </w:r>
    </w:p>
    <w:p>
      <w:pPr>
        <w:pStyle w:val="ABillFor"/>
        <w:pBdr>
          <w:top w:val="single" w:sz="4" w:space="6" w:color="auto"/>
          <w:bottom w:val="single" w:sz="4" w:space="6" w:color="auto"/>
        </w:pBdr>
        <w:spacing w:before="0" w:after="240"/>
        <w:ind w:left="2551" w:right="2551"/>
      </w:pPr>
      <w:bookmarkStart w:id="3" w:name="BillCited"/>
      <w:bookmarkEnd w:id="3"/>
      <w:r>
        <w:t>No. 38 of 2015</w:t>
      </w:r>
    </w:p>
    <w:p>
      <w:pPr>
        <w:pStyle w:val="LongTitle"/>
        <w:suppressLineNumbers/>
      </w:pPr>
      <w:r>
        <w:t>An Act to provide a legislative framework for the dissolution, and administration of the property, of The Bell Group Ltd ACN 008 666 993 (In Liquidation) and certain of its subsidiaries and for related purposes.</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18506832"/>
      <w:bookmarkStart w:id="5" w:name="_Toc418506933"/>
      <w:bookmarkStart w:id="6" w:name="_Toc418592007"/>
      <w:bookmarkStart w:id="7" w:name="_Toc422488886"/>
      <w:bookmarkStart w:id="8" w:name="_Toc436042767"/>
      <w:bookmarkStart w:id="9" w:name="_Toc436131185"/>
      <w:bookmarkStart w:id="10" w:name="_Toc436217570"/>
      <w:bookmarkStart w:id="11" w:name="_Toc436292843"/>
      <w:bookmarkStart w:id="12" w:name="_Toc436314091"/>
      <w:bookmarkStart w:id="13" w:name="_Toc436314333"/>
      <w:bookmarkStart w:id="14" w:name="_Toc436317220"/>
      <w:bookmarkStart w:id="15" w:name="_Toc436317332"/>
      <w:bookmarkStart w:id="16" w:name="_Toc438649619"/>
      <w:bookmarkStart w:id="17" w:name="_Toc438649721"/>
      <w:bookmarkStart w:id="18" w:name="_Toc43865007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36292844"/>
      <w:bookmarkStart w:id="20" w:name="_Toc436314092"/>
      <w:bookmarkStart w:id="21" w:name="_Toc438650075"/>
      <w:r>
        <w:rPr>
          <w:rStyle w:val="CharSectno"/>
        </w:rPr>
        <w:t>1</w:t>
      </w:r>
      <w:r>
        <w:t>.</w:t>
      </w:r>
      <w:r>
        <w:tab/>
        <w:t>Short title</w:t>
      </w:r>
      <w:bookmarkEnd w:id="19"/>
      <w:bookmarkEnd w:id="20"/>
      <w:bookmarkEnd w:id="21"/>
    </w:p>
    <w:p>
      <w:pPr>
        <w:pStyle w:val="Subsection"/>
      </w:pPr>
      <w:r>
        <w:tab/>
      </w:r>
      <w:r>
        <w:tab/>
        <w:t>This is the</w:t>
      </w:r>
      <w:r>
        <w:rPr>
          <w:i/>
        </w:rPr>
        <w:t xml:space="preserve"> Bell Group Companies (Finalisation of Matters and Distribution of Proceeds) Act 2015</w:t>
      </w:r>
      <w:r>
        <w:t>.</w:t>
      </w:r>
    </w:p>
    <w:p>
      <w:pPr>
        <w:pStyle w:val="Heading5"/>
      </w:pPr>
      <w:bookmarkStart w:id="22" w:name="_Toc436292845"/>
      <w:bookmarkStart w:id="23" w:name="_Toc436314093"/>
      <w:bookmarkStart w:id="24" w:name="_Toc438650076"/>
      <w:r>
        <w:rPr>
          <w:rStyle w:val="CharSectno"/>
        </w:rPr>
        <w:t>2</w:t>
      </w:r>
      <w:r>
        <w:t>.</w:t>
      </w:r>
      <w:r>
        <w:tab/>
        <w:t>Commencement</w:t>
      </w:r>
      <w:bookmarkEnd w:id="22"/>
      <w:bookmarkEnd w:id="23"/>
      <w:bookmarkEnd w:id="24"/>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25" w:name="_Toc436292846"/>
      <w:bookmarkStart w:id="26" w:name="_Toc436314094"/>
      <w:bookmarkStart w:id="27" w:name="_Toc438650077"/>
      <w:r>
        <w:rPr>
          <w:rStyle w:val="CharSectno"/>
        </w:rPr>
        <w:t>3</w:t>
      </w:r>
      <w:r>
        <w:t>.</w:t>
      </w:r>
      <w:r>
        <w:tab/>
        <w:t>Terms used</w:t>
      </w:r>
      <w:bookmarkEnd w:id="25"/>
      <w:bookmarkEnd w:id="26"/>
      <w:bookmarkEnd w:id="27"/>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the Deed of Indemnity dated 11 July 2011 between ICWA, LDTC and Antony Leslie John Woodings as liquidator of TBGL and BGF, as amended by an Amendment Deed dated June 2013 between ICWA, LDTC and Antony Leslie John Woodings as liquidator of TBGL and BGF;</w:t>
      </w:r>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Heading5"/>
        <w:pageBreakBefore/>
      </w:pPr>
      <w:bookmarkStart w:id="28" w:name="_Toc436292847"/>
      <w:bookmarkStart w:id="29" w:name="_Toc436314095"/>
      <w:bookmarkStart w:id="30" w:name="_Toc438650078"/>
      <w:r>
        <w:rPr>
          <w:rStyle w:val="CharSectno"/>
        </w:rPr>
        <w:t>4</w:t>
      </w:r>
      <w:r>
        <w:t>.</w:t>
      </w:r>
      <w:r>
        <w:tab/>
        <w:t>Objects of this Act</w:t>
      </w:r>
      <w:bookmarkEnd w:id="28"/>
      <w:bookmarkEnd w:id="29"/>
      <w:bookmarkEnd w:id="30"/>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to distribute the Bell litigation funds generally in accordance with the commercial substance of the agreements between the liquidator and the creditors who 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31" w:name="_Toc436292848"/>
      <w:bookmarkStart w:id="32" w:name="_Toc436314096"/>
      <w:bookmarkStart w:id="33" w:name="_Toc438650079"/>
      <w:r>
        <w:rPr>
          <w:rStyle w:val="CharSectno"/>
        </w:rPr>
        <w:t>5</w:t>
      </w:r>
      <w:r>
        <w:t>.</w:t>
      </w:r>
      <w:r>
        <w:tab/>
        <w:t>Crown bound</w:t>
      </w:r>
      <w:bookmarkEnd w:id="31"/>
      <w:bookmarkEnd w:id="32"/>
      <w:bookmarkEnd w:id="33"/>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34" w:name="_Toc436292849"/>
      <w:bookmarkStart w:id="35" w:name="_Toc436314097"/>
      <w:bookmarkStart w:id="36" w:name="_Toc438650080"/>
      <w:r>
        <w:rPr>
          <w:rStyle w:val="CharSectno"/>
        </w:rPr>
        <w:t>6</w:t>
      </w:r>
      <w:r>
        <w:t>.</w:t>
      </w:r>
      <w:r>
        <w:tab/>
        <w:t>Extraterritorial operation</w:t>
      </w:r>
      <w:bookmarkEnd w:id="34"/>
      <w:bookmarkEnd w:id="35"/>
      <w:bookmarkEnd w:id="36"/>
    </w:p>
    <w:p>
      <w:pPr>
        <w:pStyle w:val="Subsection"/>
      </w:pPr>
      <w:r>
        <w:tab/>
      </w:r>
      <w:r>
        <w:tab/>
        <w:t>It is the intention of the Parliament that this Act should, so far as possible, operate to the full extent of the extraterritorial legislative power of the State.</w:t>
      </w:r>
    </w:p>
    <w:p>
      <w:pPr>
        <w:pStyle w:val="Ednotepart"/>
      </w:pPr>
      <w:bookmarkStart w:id="37" w:name="_Toc436292918"/>
      <w:bookmarkStart w:id="38" w:name="_Toc436314166"/>
      <w:r>
        <w:t>[Parts 2</w:t>
      </w:r>
      <w:r>
        <w:noBreakHyphen/>
        <w:t>6 have not come into operation </w:t>
      </w:r>
      <w:r>
        <w:rPr>
          <w:i w:val="0"/>
          <w:vertAlign w:val="superscript"/>
        </w:rPr>
        <w:t>2</w:t>
      </w:r>
      <w:r>
        <w:t>.]</w:t>
      </w:r>
    </w:p>
    <w:p>
      <w:pPr>
        <w:pStyle w:val="Ednotepart"/>
      </w:pPr>
      <w:r>
        <w:t>[Part 7 heading has not come into operation </w:t>
      </w:r>
      <w:r>
        <w:rPr>
          <w:i w:val="0"/>
          <w:vertAlign w:val="superscript"/>
        </w:rPr>
        <w:t>2</w:t>
      </w:r>
      <w:r>
        <w:t>.]</w:t>
      </w:r>
    </w:p>
    <w:p>
      <w:pPr>
        <w:pStyle w:val="Heading5"/>
      </w:pPr>
      <w:bookmarkStart w:id="39" w:name="_Toc438650081"/>
      <w:r>
        <w:rPr>
          <w:rStyle w:val="CharSectno"/>
        </w:rPr>
        <w:t>54</w:t>
      </w:r>
      <w:r>
        <w:t>.</w:t>
      </w:r>
      <w:r>
        <w:tab/>
        <w:t>Scheme to avoid operation of Act or achievement of its objects</w:t>
      </w:r>
      <w:bookmarkEnd w:id="37"/>
      <w:bookmarkEnd w:id="38"/>
      <w:bookmarkEnd w:id="39"/>
    </w:p>
    <w:p>
      <w:pPr>
        <w:pStyle w:val="Subsection"/>
      </w:pPr>
      <w:r>
        <w:tab/>
        <w:t>(1)</w:t>
      </w:r>
      <w:r>
        <w:tab/>
        <w:t xml:space="preserve">In this section — </w:t>
      </w:r>
    </w:p>
    <w:p>
      <w:pPr>
        <w:pStyle w:val="Defstart"/>
      </w:pPr>
      <w:r>
        <w:tab/>
      </w:r>
      <w:r>
        <w:rPr>
          <w:rStyle w:val="CharDefText"/>
        </w:rPr>
        <w:t>scheme</w:t>
      </w:r>
      <w:r>
        <w:t xml:space="preserve"> means — </w:t>
      </w:r>
    </w:p>
    <w:p>
      <w:pPr>
        <w:pStyle w:val="Defpara"/>
      </w:pPr>
      <w:r>
        <w:tab/>
        <w:t>(a)</w:t>
      </w:r>
      <w:r>
        <w:tab/>
        <w:t>any agreement, promise or undertaking, whether express or implied and whether or not enforceable or intended to be enforceable by a legal proceeding; or</w:t>
      </w:r>
    </w:p>
    <w:p>
      <w:pPr>
        <w:pStyle w:val="Defpara"/>
      </w:pPr>
      <w:r>
        <w:tab/>
        <w:t>(b)</w:t>
      </w:r>
      <w:r>
        <w:tab/>
        <w:t>any plan, proposal, action, course of action or course of conduct.</w:t>
      </w:r>
    </w:p>
    <w:p>
      <w:pPr>
        <w:pStyle w:val="Subsection"/>
      </w:pPr>
      <w:r>
        <w:tab/>
        <w:t>(2)</w:t>
      </w:r>
      <w:r>
        <w:tab/>
        <w:t>A person must not enter into or carry out a scheme for the purpose of directly or indirectly defeating, avoiding, preventing or impeding the operation of this Act or the achievement of its objects.</w:t>
      </w:r>
    </w:p>
    <w:p>
      <w:pPr>
        <w:pStyle w:val="Penstart"/>
      </w:pPr>
      <w:r>
        <w:tab/>
        <w:t>Penalty: a fine of $200 000 or imprisonment for 5 years, or both.</w:t>
      </w:r>
    </w:p>
    <w:p>
      <w:pPr>
        <w:pStyle w:val="Subsection"/>
      </w:pPr>
      <w:r>
        <w:tab/>
        <w:t>(3)</w:t>
      </w:r>
      <w:r>
        <w:tab/>
        <w:t>This section applies to a scheme —</w:t>
      </w:r>
    </w:p>
    <w:p>
      <w:pPr>
        <w:pStyle w:val="Indenta"/>
      </w:pPr>
      <w:r>
        <w:tab/>
        <w:t>(a)</w:t>
      </w:r>
      <w:r>
        <w:tab/>
        <w:t>whether the scheme is entered into or made before or after the enactment of this Act; and</w:t>
      </w:r>
    </w:p>
    <w:p>
      <w:pPr>
        <w:pStyle w:val="Indenta"/>
      </w:pPr>
      <w:r>
        <w:tab/>
        <w:t>(b)</w:t>
      </w:r>
      <w:r>
        <w:tab/>
        <w:t>even if the purpose referred to in subsection (2) was not the only or dominant purpose for the scheme, so long as it was a substantial purpose.</w:t>
      </w:r>
    </w:p>
    <w:p>
      <w:pPr>
        <w:pStyle w:val="Subsection"/>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Subsection"/>
      </w:pPr>
      <w:r>
        <w:tab/>
        <w:t>(5)</w:t>
      </w:r>
      <w:r>
        <w:tab/>
        <w:t>This section does not apply to the extent (if any) to which it would infringe any constitutional doctrine of implied freedom of political communication.</w:t>
      </w:r>
    </w:p>
    <w:p>
      <w:pPr>
        <w:pStyle w:val="Subsection"/>
      </w:pPr>
      <w:r>
        <w:tab/>
        <w:t>(6)</w:t>
      </w:r>
      <w:r>
        <w:tab/>
        <w:t xml:space="preserve">This section does not apply to or in relation to — </w:t>
      </w:r>
    </w:p>
    <w:p>
      <w:pPr>
        <w:pStyle w:val="Indenta"/>
      </w:pPr>
      <w:r>
        <w:tab/>
        <w:t>(a)</w:t>
      </w:r>
      <w:r>
        <w:tab/>
        <w:t>proceedings in a court to challenge the constitutional validity of this Act; or</w:t>
      </w:r>
    </w:p>
    <w:p>
      <w:pPr>
        <w:pStyle w:val="Indenta"/>
      </w:pPr>
      <w:r>
        <w:tab/>
        <w:t>(b)</w:t>
      </w:r>
      <w:r>
        <w:tab/>
        <w:t>proceedings in a court contemplated by this Act.</w:t>
      </w:r>
    </w:p>
    <w:p>
      <w:pPr>
        <w:pStyle w:val="PermNoteHeading"/>
      </w:pPr>
      <w:r>
        <w:tab/>
        <w:t>Example for this subsection:</w:t>
      </w:r>
    </w:p>
    <w:p>
      <w:pPr>
        <w:pStyle w:val="PermNoteText"/>
      </w:pPr>
      <w:r>
        <w:tab/>
      </w:r>
      <w:r>
        <w:tab/>
        <w:t>For the purposes of subsection (6)(b), proceedings referred to in sections 73 and 74 are examples of proceedings contemplated by this Act.</w:t>
      </w:r>
    </w:p>
    <w:p>
      <w:pPr>
        <w:pStyle w:val="Heading5"/>
      </w:pPr>
      <w:bookmarkStart w:id="40" w:name="_Toc436292919"/>
      <w:bookmarkStart w:id="41" w:name="_Toc436314167"/>
      <w:bookmarkStart w:id="42" w:name="_Toc438650082"/>
      <w:r>
        <w:rPr>
          <w:rStyle w:val="CharSectno"/>
        </w:rPr>
        <w:t>55</w:t>
      </w:r>
      <w:r>
        <w:t>.</w:t>
      </w:r>
      <w:r>
        <w:tab/>
        <w:t>Certain deregistered companies not to be reinstated by certain persons</w:t>
      </w:r>
      <w:bookmarkEnd w:id="40"/>
      <w:bookmarkEnd w:id="41"/>
      <w:bookmarkEnd w:id="42"/>
    </w:p>
    <w:p>
      <w:pPr>
        <w:pStyle w:val="Subsection"/>
      </w:pPr>
      <w:r>
        <w:tab/>
        <w:t>(1)</w:t>
      </w:r>
      <w:r>
        <w:tab/>
        <w:t>A person (other than the Authority) must not take any step for achieving the reinstatement of the registration of a deregistered company listed in Schedule 1.</w:t>
      </w:r>
    </w:p>
    <w:p>
      <w:pPr>
        <w:pStyle w:val="Penstart"/>
      </w:pPr>
      <w:r>
        <w:tab/>
        <w:t>Penalty: a fine of $10 000.</w:t>
      </w:r>
    </w:p>
    <w:p>
      <w:pPr>
        <w:pStyle w:val="Subsection"/>
      </w:pPr>
      <w:r>
        <w:tab/>
        <w:t>(2)</w:t>
      </w:r>
      <w:r>
        <w:tab/>
        <w:t>Before the day on which section 7 comes into operation, subsection (1) does not apply to a WA Bell Company, a liquidator of a WA Bell Company or a former liquidator of a deregistered company.</w:t>
      </w:r>
    </w:p>
    <w:p>
      <w:pPr>
        <w:pStyle w:val="Subsection"/>
      </w:pPr>
      <w:r>
        <w:tab/>
        <w:t>(3)</w:t>
      </w:r>
      <w:r>
        <w:tab/>
        <w:t>On and after the day on which section 7 comes into operation, subsection (1) does not apply to a person if the person has the written approval of the Authority to take the step referred to in subsection (1).</w:t>
      </w:r>
    </w:p>
    <w:p>
      <w:pPr>
        <w:pStyle w:val="Heading5"/>
      </w:pPr>
      <w:bookmarkStart w:id="43" w:name="_Toc436292920"/>
      <w:bookmarkStart w:id="44" w:name="_Toc436314168"/>
      <w:bookmarkStart w:id="45" w:name="_Toc438650083"/>
      <w:r>
        <w:rPr>
          <w:rStyle w:val="CharSectno"/>
        </w:rPr>
        <w:t>56</w:t>
      </w:r>
      <w:r>
        <w:t>.</w:t>
      </w:r>
      <w:r>
        <w:tab/>
        <w:t>Dealings with property</w:t>
      </w:r>
      <w:bookmarkEnd w:id="43"/>
      <w:bookmarkEnd w:id="44"/>
      <w:bookmarkEnd w:id="45"/>
    </w:p>
    <w:p>
      <w:pPr>
        <w:pStyle w:val="Subsection"/>
        <w:keepNext/>
      </w:pPr>
      <w:r>
        <w:tab/>
        <w:t>(1)</w:t>
      </w:r>
      <w:r>
        <w:tab/>
        <w:t xml:space="preserve">In this section — </w:t>
      </w:r>
    </w:p>
    <w:p>
      <w:pPr>
        <w:pStyle w:val="Defstart"/>
      </w:pPr>
      <w:r>
        <w:tab/>
      </w:r>
      <w:r>
        <w:rPr>
          <w:rStyle w:val="CharDefText"/>
        </w:rPr>
        <w:t>conceal</w:t>
      </w:r>
      <w:r>
        <w:t xml:space="preserve"> includes transfer outside the State.</w:t>
      </w:r>
    </w:p>
    <w:p>
      <w:pPr>
        <w:pStyle w:val="Subsection"/>
      </w:pPr>
      <w:r>
        <w:tab/>
        <w:t>(2)</w:t>
      </w:r>
      <w:r>
        <w:tab/>
        <w: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t>
      </w:r>
    </w:p>
    <w:p>
      <w:pPr>
        <w:pStyle w:val="Penstart"/>
      </w:pPr>
      <w:r>
        <w:tab/>
        <w:t>Penalty: a fine of $200 000 or imprisonment for 5 years, or both.</w:t>
      </w:r>
    </w:p>
    <w:p>
      <w:pPr>
        <w:pStyle w:val="Subsection"/>
      </w:pPr>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p>
    <w:p>
      <w:pPr>
        <w:pStyle w:val="Penstart"/>
      </w:pPr>
      <w:r>
        <w:tab/>
        <w:t>Penalty: a fine of $200 000 or imprisonment for 5 years, or both.</w:t>
      </w:r>
    </w:p>
    <w:p>
      <w:pPr>
        <w:pStyle w:val="Subsection"/>
        <w:keepNext/>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Ednotesection"/>
      </w:pPr>
      <w:r>
        <w:t>[</w:t>
      </w:r>
      <w:r>
        <w:rPr>
          <w:b/>
        </w:rPr>
        <w:t>57-66</w:t>
      </w:r>
      <w:r>
        <w:tab/>
        <w:t xml:space="preserve"> have not come into operation </w:t>
      </w:r>
      <w:r>
        <w:rPr>
          <w:vertAlign w:val="superscript"/>
        </w:rPr>
        <w:t>2</w:t>
      </w:r>
      <w:r>
        <w:t>.]</w:t>
      </w:r>
    </w:p>
    <w:p>
      <w:pPr>
        <w:pStyle w:val="Ednotepart"/>
      </w:pPr>
      <w:r>
        <w:t>[Part 8 has not come into operation </w:t>
      </w:r>
      <w:r>
        <w:rPr>
          <w:i w:val="0"/>
          <w:vertAlign w:val="superscript"/>
        </w:rPr>
        <w:t>2</w:t>
      </w:r>
      <w:r>
        <w:t>.]</w:t>
      </w:r>
    </w:p>
    <w:p>
      <w:pPr>
        <w:pStyle w:val="yEdnoteschedule"/>
      </w:pPr>
      <w:r>
        <w:t>[Sch. 1 and 2 have not come into operation </w:t>
      </w:r>
      <w:r>
        <w:rPr>
          <w:vertAlign w:val="superscript"/>
        </w:rPr>
        <w:t>2</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47" w:name="_Toc436317328"/>
      <w:bookmarkStart w:id="48" w:name="_Toc436317440"/>
      <w:bookmarkStart w:id="49" w:name="_Toc438649629"/>
      <w:bookmarkStart w:id="50" w:name="_Toc438649731"/>
      <w:bookmarkStart w:id="51" w:name="_Toc438650084"/>
      <w:bookmarkStart w:id="52" w:name="_Toc436292952"/>
      <w:bookmarkStart w:id="53" w:name="_Toc436314200"/>
      <w:bookmarkStart w:id="54" w:name="_Toc436314442"/>
      <w:r>
        <w:t>Notes</w:t>
      </w:r>
      <w:bookmarkEnd w:id="47"/>
      <w:bookmarkEnd w:id="48"/>
      <w:bookmarkEnd w:id="49"/>
      <w:bookmarkEnd w:id="50"/>
      <w:bookmarkEnd w:id="51"/>
    </w:p>
    <w:p>
      <w:pPr>
        <w:pStyle w:val="nSubsection"/>
      </w:pPr>
      <w:r>
        <w:rPr>
          <w:vertAlign w:val="superscript"/>
        </w:rPr>
        <w:t>1</w:t>
      </w:r>
      <w:r>
        <w:tab/>
        <w:t xml:space="preserve">This is a compilation of the </w:t>
      </w:r>
      <w:r>
        <w:rPr>
          <w:i/>
          <w:noProof/>
        </w:rPr>
        <w:t>Bell Group Companies (Finalisation of Matters and Distribution of Proceeds) Act 2015</w:t>
      </w:r>
      <w:r>
        <w:t>.  The following table contains information about that Act</w:t>
      </w:r>
      <w:r>
        <w:rPr>
          <w:vertAlign w:val="superscript"/>
        </w:rPr>
        <w:t> 1a</w:t>
      </w:r>
      <w:r>
        <w:t>.</w:t>
      </w:r>
    </w:p>
    <w:p>
      <w:pPr>
        <w:pStyle w:val="nHeading3"/>
      </w:pPr>
      <w:bookmarkStart w:id="55" w:name="_Toc438650085"/>
      <w:r>
        <w:t>Compilation table</w:t>
      </w:r>
      <w:bookmarkEnd w:id="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Bell Group Companies (Finalisation of Matters and Distribution of Proceeds) Act 2015</w:t>
            </w:r>
          </w:p>
        </w:tc>
        <w:tc>
          <w:tcPr>
            <w:tcW w:w="1134" w:type="dxa"/>
            <w:tcBorders>
              <w:bottom w:val="nil"/>
            </w:tcBorders>
          </w:tcPr>
          <w:p>
            <w:pPr>
              <w:pStyle w:val="nTable"/>
              <w:spacing w:after="40"/>
            </w:pPr>
            <w:r>
              <w:t>38 of 2015</w:t>
            </w:r>
          </w:p>
        </w:tc>
        <w:tc>
          <w:tcPr>
            <w:tcW w:w="1134" w:type="dxa"/>
            <w:tcBorders>
              <w:bottom w:val="nil"/>
            </w:tcBorders>
          </w:tcPr>
          <w:p>
            <w:pPr>
              <w:pStyle w:val="nTable"/>
              <w:spacing w:after="40"/>
            </w:pPr>
            <w:r>
              <w:t>26 Nov 2015</w:t>
            </w:r>
          </w:p>
        </w:tc>
        <w:tc>
          <w:tcPr>
            <w:tcW w:w="2552" w:type="dxa"/>
            <w:tcBorders>
              <w:bottom w:val="nil"/>
            </w:tcBorders>
          </w:tcPr>
          <w:p>
            <w:pPr>
              <w:pStyle w:val="nTable"/>
              <w:spacing w:after="40"/>
            </w:pPr>
            <w:r>
              <w:t>s. 54</w:t>
            </w:r>
            <w:r>
              <w:noBreakHyphen/>
              <w:t>56: 12 noon on 5 May 2015 (see s. 2(1)(c));</w:t>
            </w:r>
            <w:r>
              <w:br/>
              <w:t>Pt. 1: 26 Nov 2015 (see s. 2(1)(a))</w:t>
            </w:r>
          </w:p>
        </w:tc>
      </w:tr>
      <w:tr>
        <w:tc>
          <w:tcPr>
            <w:tcW w:w="7088" w:type="dxa"/>
            <w:gridSpan w:val="4"/>
            <w:tcBorders>
              <w:top w:val="nil"/>
            </w:tcBorders>
          </w:tcPr>
          <w:p>
            <w:pPr>
              <w:pStyle w:val="nTable"/>
              <w:tabs>
                <w:tab w:val="left" w:pos="546"/>
              </w:tabs>
              <w:spacing w:after="40"/>
              <w:ind w:left="574" w:hanging="574"/>
              <w:rPr>
                <w:rFonts w:ascii="Times New Roman" w:hAnsi="Times New Roman"/>
                <w:color w:val="FF0000"/>
              </w:rPr>
            </w:pPr>
            <w:r>
              <w:rPr>
                <w:rFonts w:ascii="Times New Roman" w:hAnsi="Times New Roman"/>
                <w:b/>
                <w:color w:val="FF0000"/>
              </w:rPr>
              <w:t>Note:</w:t>
            </w:r>
            <w:r>
              <w:rPr>
                <w:rFonts w:ascii="Times New Roman" w:hAnsi="Times New Roman"/>
                <w:color w:val="FF0000"/>
              </w:rPr>
              <w:tab/>
              <w:t xml:space="preserve">On 16 May 2016 the High Court of Australia declared this Act to be invalid in its entirety.  (See </w:t>
            </w:r>
            <w:r>
              <w:rPr>
                <w:rFonts w:ascii="Times New Roman" w:hAnsi="Times New Roman"/>
                <w:b/>
                <w:color w:val="FF0000"/>
              </w:rPr>
              <w:t>Bell Group N.V. (in liquidation) v Western Australia</w:t>
            </w:r>
            <w:r>
              <w:rPr>
                <w:rFonts w:ascii="Times New Roman" w:hAnsi="Times New Roman"/>
                <w:color w:val="FF0000"/>
              </w:rPr>
              <w:t xml:space="preserve"> [2016] HCA 21.)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438650086"/>
      <w:r>
        <w:t>Provisions that have not come into operation</w:t>
      </w:r>
      <w:bookmarkEnd w:id="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spacing w:before="40" w:after="40"/>
              <w:rPr>
                <w:rFonts w:ascii="CG Times" w:hAnsi="CG Times"/>
                <w:sz w:val="19"/>
              </w:rPr>
            </w:pPr>
            <w:r>
              <w:rPr>
                <w:rFonts w:ascii="CG Times" w:hAnsi="CG Times"/>
                <w:i/>
                <w:noProof/>
                <w:sz w:val="19"/>
              </w:rPr>
              <w:t>Bell Group Companies (Finalisation of Matters and Distribution of Proceeds) Act 2015</w:t>
            </w:r>
            <w:r>
              <w:rPr>
                <w:rFonts w:ascii="CG Times" w:hAnsi="CG Times"/>
                <w:noProof/>
                <w:sz w:val="19"/>
              </w:rPr>
              <w:t xml:space="preserve"> Pt. 2-4, Pt. 5 (other than s. 47), Pt. 6, Pt. 7 (57-66) and Pt. 8 and Sch. 1 and 2 </w:t>
            </w:r>
            <w:r>
              <w:rPr>
                <w:rFonts w:ascii="CG Times" w:hAnsi="CG Times"/>
                <w:noProof/>
                <w:sz w:val="19"/>
                <w:vertAlign w:val="superscript"/>
              </w:rPr>
              <w:t>2</w:t>
            </w:r>
          </w:p>
        </w:tc>
        <w:tc>
          <w:tcPr>
            <w:tcW w:w="1134" w:type="dxa"/>
          </w:tcPr>
          <w:p>
            <w:pPr>
              <w:spacing w:before="40" w:after="40"/>
              <w:rPr>
                <w:rFonts w:ascii="CG Times" w:hAnsi="CG Times"/>
                <w:sz w:val="19"/>
              </w:rPr>
            </w:pPr>
            <w:r>
              <w:rPr>
                <w:rFonts w:ascii="CG Times" w:hAnsi="CG Times"/>
                <w:sz w:val="19"/>
              </w:rPr>
              <w:t>38 of 2015</w:t>
            </w:r>
          </w:p>
        </w:tc>
        <w:tc>
          <w:tcPr>
            <w:tcW w:w="1134" w:type="dxa"/>
          </w:tcPr>
          <w:p>
            <w:pPr>
              <w:spacing w:before="40" w:after="40"/>
              <w:rPr>
                <w:rFonts w:ascii="CG Times" w:hAnsi="CG Times"/>
                <w:sz w:val="19"/>
              </w:rPr>
            </w:pPr>
            <w:r>
              <w:rPr>
                <w:rFonts w:ascii="CG Times" w:hAnsi="CG Times"/>
                <w:sz w:val="19"/>
              </w:rPr>
              <w:t>26 Nov 2015</w:t>
            </w:r>
          </w:p>
        </w:tc>
        <w:tc>
          <w:tcPr>
            <w:tcW w:w="2552" w:type="dxa"/>
          </w:tcPr>
          <w:p>
            <w:pPr>
              <w:spacing w:before="40" w:after="40"/>
              <w:rPr>
                <w:rFonts w:ascii="CG Times" w:hAnsi="CG Times"/>
                <w:sz w:val="19"/>
              </w:rPr>
            </w:pPr>
            <w:r>
              <w:rPr>
                <w:rFonts w:ascii="CG Times" w:hAnsi="CG Times"/>
                <w:noProof/>
                <w:sz w:val="19"/>
              </w:rPr>
              <w:t>Pt. 2-4, Pt. 5 (other than s. 47), Pt. 6, Pt. 7 (s. 57-66) and Pt. 8 and Sch. 1 and 2</w:t>
            </w:r>
            <w:r>
              <w:rPr>
                <w:rFonts w:ascii="CG Times" w:hAnsi="CG Times"/>
                <w:sz w:val="19"/>
              </w:rPr>
              <w:t>: 27 Nov 2015 (see s. 2(1)(d));</w:t>
            </w:r>
            <w:r>
              <w:rPr>
                <w:rFonts w:ascii="CG Times" w:hAnsi="CG Times"/>
                <w:sz w:val="19"/>
              </w:rPr>
              <w:br/>
              <w:t>s. 47: On the day that is 14 days after the day on which the Fund is closed by s. 46 (see s. 2(1)(b))</w:t>
            </w:r>
          </w:p>
        </w:tc>
      </w:tr>
    </w:tbl>
    <w:p>
      <w:pPr>
        <w:tabs>
          <w:tab w:val="left" w:pos="454"/>
        </w:tabs>
        <w:spacing w:before="80"/>
        <w:ind w:left="454" w:hanging="454"/>
        <w:rPr>
          <w:sz w:val="20"/>
        </w:rPr>
      </w:pPr>
      <w:r>
        <w:rPr>
          <w:sz w:val="20"/>
          <w:vertAlign w:val="superscript"/>
        </w:rPr>
        <w:t>2</w:t>
      </w:r>
      <w:r>
        <w:rPr>
          <w:sz w:val="20"/>
        </w:rPr>
        <w:tab/>
      </w:r>
      <w:r>
        <w:rPr>
          <w:snapToGrid w:val="0"/>
          <w:sz w:val="20"/>
        </w:rPr>
        <w:t xml:space="preserve">On the date as at which this compilation was prepared, the </w:t>
      </w:r>
      <w:r>
        <w:rPr>
          <w:i/>
          <w:noProof/>
          <w:sz w:val="20"/>
        </w:rPr>
        <w:t>Bell Group Companies (Finalisation of Matters and Distribution of Proceeds) Act 2015</w:t>
      </w:r>
      <w:r>
        <w:rPr>
          <w:noProof/>
          <w:sz w:val="20"/>
        </w:rPr>
        <w:t xml:space="preserve"> Pt. 2-4, Pt. 5 (other than s. 47), Pt. 6, Pt. 7 (s. </w:t>
      </w:r>
      <w:r>
        <w:rPr>
          <w:rFonts w:ascii="CG Times" w:hAnsi="CG Times"/>
          <w:noProof/>
          <w:sz w:val="19"/>
        </w:rPr>
        <w:t>57-66</w:t>
      </w:r>
      <w:r>
        <w:rPr>
          <w:noProof/>
          <w:sz w:val="20"/>
        </w:rPr>
        <w:t xml:space="preserve">) and Pt. 8 </w:t>
      </w:r>
      <w:r>
        <w:rPr>
          <w:rFonts w:ascii="CG Times" w:hAnsi="CG Times"/>
          <w:noProof/>
          <w:sz w:val="19"/>
        </w:rPr>
        <w:t>and Sch. 1 and 2 </w:t>
      </w:r>
      <w:r>
        <w:rPr>
          <w:snapToGrid w:val="0"/>
          <w:sz w:val="20"/>
        </w:rPr>
        <w:t>had not come into operation.  They read as follows:</w:t>
      </w:r>
    </w:p>
    <w:p>
      <w:pPr>
        <w:pStyle w:val="BlankOpen"/>
      </w:pPr>
    </w:p>
    <w:p>
      <w:pPr>
        <w:pStyle w:val="nzHeading2"/>
      </w:pPr>
      <w:bookmarkStart w:id="57" w:name="_Toc418506839"/>
      <w:bookmarkStart w:id="58" w:name="_Toc418506940"/>
      <w:bookmarkStart w:id="59" w:name="_Toc418592014"/>
      <w:bookmarkStart w:id="60" w:name="_Toc422488893"/>
      <w:bookmarkStart w:id="61" w:name="_Toc436042774"/>
      <w:bookmarkStart w:id="62" w:name="_Toc436131192"/>
      <w:bookmarkStart w:id="63" w:name="_Toc436217577"/>
      <w:bookmarkStart w:id="64" w:name="_Toc436292850"/>
      <w:bookmarkStart w:id="65" w:name="_Toc436314098"/>
      <w:bookmarkStart w:id="66" w:name="_Toc436292909"/>
      <w:bookmarkStart w:id="67" w:name="_Toc436314157"/>
      <w:r>
        <w:rPr>
          <w:rStyle w:val="CharPartNo"/>
        </w:rPr>
        <w:t>Part 2</w:t>
      </w:r>
      <w:r>
        <w:t> — </w:t>
      </w:r>
      <w:r>
        <w:rPr>
          <w:rStyle w:val="CharPartText"/>
        </w:rPr>
        <w:t>Authority and Fund</w:t>
      </w:r>
      <w:bookmarkEnd w:id="57"/>
      <w:bookmarkEnd w:id="58"/>
      <w:bookmarkEnd w:id="59"/>
      <w:bookmarkEnd w:id="60"/>
      <w:bookmarkEnd w:id="61"/>
      <w:bookmarkEnd w:id="62"/>
      <w:bookmarkEnd w:id="63"/>
      <w:bookmarkEnd w:id="64"/>
      <w:bookmarkEnd w:id="65"/>
    </w:p>
    <w:p>
      <w:pPr>
        <w:pStyle w:val="nzHeading3"/>
      </w:pPr>
      <w:bookmarkStart w:id="68" w:name="_Toc418506840"/>
      <w:bookmarkStart w:id="69" w:name="_Toc418506941"/>
      <w:bookmarkStart w:id="70" w:name="_Toc418592015"/>
      <w:bookmarkStart w:id="71" w:name="_Toc422488894"/>
      <w:bookmarkStart w:id="72" w:name="_Toc436042775"/>
      <w:bookmarkStart w:id="73" w:name="_Toc436131193"/>
      <w:bookmarkStart w:id="74" w:name="_Toc436217578"/>
      <w:bookmarkStart w:id="75" w:name="_Toc436292851"/>
      <w:bookmarkStart w:id="76" w:name="_Toc436314099"/>
      <w:r>
        <w:rPr>
          <w:rStyle w:val="CharDivNo"/>
        </w:rPr>
        <w:t>Division 1</w:t>
      </w:r>
      <w:r>
        <w:t> — </w:t>
      </w:r>
      <w:r>
        <w:rPr>
          <w:rStyle w:val="CharDivText"/>
        </w:rPr>
        <w:t>WA Bell Companies Administrator Authority</w:t>
      </w:r>
      <w:bookmarkEnd w:id="68"/>
      <w:bookmarkEnd w:id="69"/>
      <w:bookmarkEnd w:id="70"/>
      <w:bookmarkEnd w:id="71"/>
      <w:bookmarkEnd w:id="72"/>
      <w:bookmarkEnd w:id="73"/>
      <w:bookmarkEnd w:id="74"/>
      <w:bookmarkEnd w:id="75"/>
      <w:bookmarkEnd w:id="76"/>
    </w:p>
    <w:p>
      <w:pPr>
        <w:pStyle w:val="nzHeading5"/>
      </w:pPr>
      <w:bookmarkStart w:id="77" w:name="_Toc436292852"/>
      <w:bookmarkStart w:id="78" w:name="_Toc436314100"/>
      <w:r>
        <w:rPr>
          <w:rStyle w:val="CharSectno"/>
        </w:rPr>
        <w:t>7</w:t>
      </w:r>
      <w:r>
        <w:t>.</w:t>
      </w:r>
      <w:r>
        <w:tab/>
        <w:t>Authority established</w:t>
      </w:r>
      <w:bookmarkEnd w:id="77"/>
      <w:bookmarkEnd w:id="78"/>
    </w:p>
    <w:p>
      <w:pPr>
        <w:pStyle w:val="nzSubsection"/>
      </w:pPr>
      <w:r>
        <w:tab/>
        <w:t>(1)</w:t>
      </w:r>
      <w:r>
        <w:tab/>
        <w:t>The WA Bell Companies Administrator Authority is established.</w:t>
      </w:r>
    </w:p>
    <w:p>
      <w:pPr>
        <w:pStyle w:val="nzSubsection"/>
      </w:pPr>
      <w:r>
        <w:tab/>
        <w:t>(2)</w:t>
      </w:r>
      <w:r>
        <w:tab/>
        <w:t>The Authority is a body corporate with perpetual succession.</w:t>
      </w:r>
    </w:p>
    <w:p>
      <w:pPr>
        <w:pStyle w:val="nzSubsection"/>
      </w:pPr>
      <w:r>
        <w:tab/>
        <w:t>(3)</w:t>
      </w:r>
      <w:r>
        <w:tab/>
        <w:t>The Authority has, both within and outside the State, the legal capacity of an individual.</w:t>
      </w:r>
    </w:p>
    <w:p>
      <w:pPr>
        <w:pStyle w:val="nzSubsection"/>
      </w:pPr>
      <w:r>
        <w:tab/>
        <w:t>(4)</w:t>
      </w:r>
      <w:r>
        <w:tab/>
        <w:t>The Authority has an official seal and may sue and be sued in its corporate name.</w:t>
      </w:r>
    </w:p>
    <w:p>
      <w:pPr>
        <w:pStyle w:val="nzSubsection"/>
      </w:pPr>
      <w:r>
        <w:tab/>
        <w:t>(5)</w:t>
      </w:r>
      <w:r>
        <w:tab/>
        <w:t>The Authority is to be governed by the Administrator.</w:t>
      </w:r>
    </w:p>
    <w:p>
      <w:pPr>
        <w:pStyle w:val="nzSubsection"/>
      </w:pPr>
      <w:r>
        <w:tab/>
        <w:t>(6)</w:t>
      </w:r>
      <w:r>
        <w:tab/>
        <w:t>The Authority has the status, immunities and privileges of the State.</w:t>
      </w:r>
    </w:p>
    <w:p>
      <w:pPr>
        <w:pStyle w:val="nzSubsection"/>
      </w:pPr>
      <w:r>
        <w:tab/>
        <w:t>(7)</w:t>
      </w:r>
      <w:r>
        <w:tab/>
        <w:t xml:space="preserve">The Authority is not an organisation for the purposes of the </w:t>
      </w:r>
      <w:r>
        <w:rPr>
          <w:i/>
        </w:rPr>
        <w:t>Public Sector Management Act 1994</w:t>
      </w:r>
      <w:r>
        <w:t>.</w:t>
      </w:r>
    </w:p>
    <w:p>
      <w:pPr>
        <w:pStyle w:val="nzHeading5"/>
      </w:pPr>
      <w:bookmarkStart w:id="79" w:name="_Toc436292853"/>
      <w:bookmarkStart w:id="80" w:name="_Toc436314101"/>
      <w:r>
        <w:rPr>
          <w:rStyle w:val="CharSectno"/>
        </w:rPr>
        <w:t>8</w:t>
      </w:r>
      <w:r>
        <w:t>.</w:t>
      </w:r>
      <w:r>
        <w:tab/>
        <w:t>Administrator appointed</w:t>
      </w:r>
      <w:bookmarkEnd w:id="79"/>
      <w:bookmarkEnd w:id="80"/>
    </w:p>
    <w:p>
      <w:pPr>
        <w:pStyle w:val="nzSubsection"/>
      </w:pPr>
      <w:r>
        <w:tab/>
        <w:t>(1)</w:t>
      </w:r>
      <w:r>
        <w:tab/>
        <w:t>An office called the Administrator of the WA Bell Companies is established.</w:t>
      </w:r>
    </w:p>
    <w:p>
      <w:pPr>
        <w:pStyle w:val="nzSubsection"/>
      </w:pPr>
      <w:r>
        <w:tab/>
        <w:t>(2)</w:t>
      </w:r>
      <w:r>
        <w:tab/>
        <w:t>The office is not an office in the Public Service.</w:t>
      </w:r>
    </w:p>
    <w:p>
      <w:pPr>
        <w:pStyle w:val="nzSubsection"/>
      </w:pPr>
      <w:r>
        <w:tab/>
        <w:t>(3)</w:t>
      </w:r>
      <w:r>
        <w:tab/>
        <w:t xml:space="preserve">The office is not an organisation for the purposes of the </w:t>
      </w:r>
      <w:r>
        <w:rPr>
          <w:i/>
        </w:rPr>
        <w:t>Public Sector Management Act 1994</w:t>
      </w:r>
      <w:r>
        <w:t>.</w:t>
      </w:r>
    </w:p>
    <w:p>
      <w:pPr>
        <w:pStyle w:val="nzSubsection"/>
      </w:pPr>
      <w:r>
        <w:tab/>
        <w:t>(4)</w:t>
      </w:r>
      <w:r>
        <w:tab/>
        <w:t>The Minister may appoint a person to the office.</w:t>
      </w:r>
    </w:p>
    <w:p>
      <w:pPr>
        <w:pStyle w:val="nzSubsection"/>
      </w:pPr>
      <w:r>
        <w:tab/>
        <w:t>(5)</w:t>
      </w:r>
      <w:r>
        <w:tab/>
        <w:t>Subject to this Act, the Administrator holds office for the term specified in the instrument of appointment and is eligible for reappointment.</w:t>
      </w:r>
    </w:p>
    <w:p>
      <w:pPr>
        <w:pStyle w:val="nzSubsection"/>
      </w:pPr>
      <w:r>
        <w:tab/>
        <w:t>(6)</w:t>
      </w:r>
      <w:r>
        <w:tab/>
        <w:t>The Minister may determine the remuneration that the Administrator is entitled to receive and the other terms and conditions of appointment that apply to the Administrator.</w:t>
      </w:r>
    </w:p>
    <w:p>
      <w:pPr>
        <w:pStyle w:val="nzSubsection"/>
      </w:pPr>
      <w:r>
        <w:tab/>
        <w:t>(7)</w:t>
      </w:r>
      <w:r>
        <w:tab/>
        <w:t>The Administrator may resign from office by notice in writing given to the Minister.</w:t>
      </w:r>
    </w:p>
    <w:p>
      <w:pPr>
        <w:pStyle w:val="nzHeading5"/>
      </w:pPr>
      <w:bookmarkStart w:id="81" w:name="_Toc436292854"/>
      <w:bookmarkStart w:id="82" w:name="_Toc436314102"/>
      <w:r>
        <w:rPr>
          <w:rStyle w:val="CharSectno"/>
        </w:rPr>
        <w:t>9</w:t>
      </w:r>
      <w:r>
        <w:t>.</w:t>
      </w:r>
      <w:r>
        <w:tab/>
        <w:t>Functions of the Authority</w:t>
      </w:r>
      <w:bookmarkEnd w:id="81"/>
      <w:bookmarkEnd w:id="82"/>
    </w:p>
    <w:p>
      <w:pPr>
        <w:pStyle w:val="nzSubsection"/>
      </w:pPr>
      <w:r>
        <w:tab/>
        <w:t>(1)</w:t>
      </w:r>
      <w:r>
        <w:tab/>
        <w:t xml:space="preserve">The functions of the Authority are — </w:t>
      </w:r>
    </w:p>
    <w:p>
      <w:pPr>
        <w:pStyle w:val="nzIndenta"/>
      </w:pPr>
      <w:r>
        <w:tab/>
        <w:t>(a)</w:t>
      </w:r>
      <w:r>
        <w:tab/>
        <w:t>to collect, and realise or otherwise deal with, the property of the WA Bell Companies in accordance with the objects of this Act; and</w:t>
      </w:r>
    </w:p>
    <w:p>
      <w:pPr>
        <w:pStyle w:val="nzIndenta"/>
      </w:pPr>
      <w:r>
        <w:tab/>
        <w:t>(b)</w:t>
      </w:r>
      <w:r>
        <w:tab/>
        <w:t>to administer each WA Bell Company until it is dissolved; and</w:t>
      </w:r>
    </w:p>
    <w:p>
      <w:pPr>
        <w:pStyle w:val="nzIndenta"/>
      </w:pPr>
      <w:r>
        <w:tab/>
        <w:t>(c)</w:t>
      </w:r>
      <w:r>
        <w:tab/>
        <w:t>to administer, invest and manage the Fund; and</w:t>
      </w:r>
    </w:p>
    <w:p>
      <w:pPr>
        <w:pStyle w:val="nzIndenta"/>
      </w:pPr>
      <w:r>
        <w:tab/>
        <w:t>(d)</w:t>
      </w:r>
      <w:r>
        <w:tab/>
        <w:t>to perform any other functions that are conferred on it by this Act.</w:t>
      </w:r>
    </w:p>
    <w:p>
      <w:pPr>
        <w:pStyle w:val="nzSubsection"/>
      </w:pPr>
      <w:r>
        <w:tab/>
        <w:t>(2)</w:t>
      </w:r>
      <w:r>
        <w:tab/>
        <w:t>The Authority may perform any of its functions in the State or elsewhere.</w:t>
      </w:r>
    </w:p>
    <w:p>
      <w:pPr>
        <w:pStyle w:val="nzHeading5"/>
      </w:pPr>
      <w:bookmarkStart w:id="83" w:name="_Toc436292855"/>
      <w:bookmarkStart w:id="84" w:name="_Toc436314103"/>
      <w:r>
        <w:rPr>
          <w:rStyle w:val="CharSectno"/>
        </w:rPr>
        <w:t>10</w:t>
      </w:r>
      <w:r>
        <w:t>.</w:t>
      </w:r>
      <w:r>
        <w:tab/>
        <w:t>Powers of the Authority</w:t>
      </w:r>
      <w:bookmarkEnd w:id="83"/>
      <w:bookmarkEnd w:id="84"/>
    </w:p>
    <w:p>
      <w:pPr>
        <w:pStyle w:val="nzSubsection"/>
      </w:pPr>
      <w:r>
        <w:tab/>
        <w:t>(1)</w:t>
      </w:r>
      <w:r>
        <w:tab/>
        <w:t>The Authority may do all things necessary to perform its functions.</w:t>
      </w:r>
    </w:p>
    <w:p>
      <w:pPr>
        <w:pStyle w:val="nzSubsection"/>
      </w:pPr>
      <w:r>
        <w:tab/>
        <w:t>(2)</w:t>
      </w:r>
      <w:r>
        <w:tab/>
        <w:t>Without limiting subsection (1), the Authority may, both within and outside the State —</w:t>
      </w:r>
    </w:p>
    <w:p>
      <w:pPr>
        <w:pStyle w:val="nzIndenta"/>
      </w:pPr>
      <w:r>
        <w:tab/>
        <w:t>(a)</w:t>
      </w:r>
      <w:r>
        <w:tab/>
        <w:t>acquire, hold, manage or dispose of real or personal property;</w:t>
      </w:r>
    </w:p>
    <w:p>
      <w:pPr>
        <w:pStyle w:val="nzIndenta"/>
      </w:pPr>
      <w:r>
        <w:tab/>
        <w:t>(b)</w:t>
      </w:r>
      <w:r>
        <w:tab/>
        <w:t>enter into a contract or other arrangement;</w:t>
      </w:r>
    </w:p>
    <w:p>
      <w:pPr>
        <w:pStyle w:val="nzIndenta"/>
      </w:pPr>
      <w:r>
        <w:tab/>
        <w:t>(c)</w:t>
      </w:r>
      <w:r>
        <w:tab/>
        <w:t>employ, or engage under a contract for services, any persons that are necessary to assist it to perform its functions;</w:t>
      </w:r>
    </w:p>
    <w:p>
      <w:pPr>
        <w:pStyle w:val="nzIndenta"/>
      </w:pPr>
      <w:r>
        <w:tab/>
        <w:t>(d)</w:t>
      </w:r>
      <w:r>
        <w:tab/>
        <w:t>exercise any power that a liquidator of a company can exercise under the Corporations Act section 477;</w:t>
      </w:r>
    </w:p>
    <w:p>
      <w:pPr>
        <w:pStyle w:val="nzIndenta"/>
      </w:pPr>
      <w:r>
        <w:tab/>
        <w:t>(e)</w:t>
      </w:r>
      <w:r>
        <w:tab/>
        <w:t>seek the reinstatement of the registration of a WA Bell Company;</w:t>
      </w:r>
    </w:p>
    <w:p>
      <w:pPr>
        <w:pStyle w:val="nzIndenta"/>
      </w:pPr>
      <w:r>
        <w:tab/>
        <w:t>(f)</w:t>
      </w:r>
      <w:r>
        <w:tab/>
        <w:t>indemnify a liquidator of a WA Bell Company against costs or liability in relation to the performance of a function as liquidator of the company, on the terms and conditions determined by the Authority;</w:t>
      </w:r>
    </w:p>
    <w:p>
      <w:pPr>
        <w:pStyle w:val="nzIndenta"/>
      </w:pPr>
      <w:r>
        <w:tab/>
        <w:t>(g)</w:t>
      </w:r>
      <w:r>
        <w:tab/>
        <w:t>exercise any other power conferred on the Authority by or under the law of the State or the law of a place other than the State.</w:t>
      </w:r>
    </w:p>
    <w:p>
      <w:pPr>
        <w:pStyle w:val="nzSubsection"/>
      </w:pPr>
      <w:r>
        <w:tab/>
        <w:t>(3)</w:t>
      </w:r>
      <w:r>
        <w:tab/>
        <w:t>Nothing in this section limits any other power of the Authority under this Act or any other written law.</w:t>
      </w:r>
    </w:p>
    <w:p>
      <w:pPr>
        <w:pStyle w:val="nzHeading5"/>
      </w:pPr>
      <w:bookmarkStart w:id="85" w:name="_Toc436292856"/>
      <w:bookmarkStart w:id="86" w:name="_Toc436314104"/>
      <w:r>
        <w:rPr>
          <w:rStyle w:val="CharSectno"/>
        </w:rPr>
        <w:t>11</w:t>
      </w:r>
      <w:r>
        <w:t>.</w:t>
      </w:r>
      <w:r>
        <w:tab/>
        <w:t>Use of government staff</w:t>
      </w:r>
      <w:bookmarkEnd w:id="85"/>
      <w:bookmarkEnd w:id="86"/>
    </w:p>
    <w:p>
      <w:pPr>
        <w:pStyle w:val="nz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nzIndenta"/>
      </w:pPr>
      <w:r>
        <w:tab/>
        <w:t>(a)</w:t>
      </w:r>
      <w:r>
        <w:tab/>
        <w:t>in the Public Service; or</w:t>
      </w:r>
    </w:p>
    <w:p>
      <w:pPr>
        <w:pStyle w:val="nzIndenta"/>
      </w:pPr>
      <w:r>
        <w:tab/>
        <w:t>(b)</w:t>
      </w:r>
      <w:r>
        <w:tab/>
        <w:t>in a State agency or instrumentality; or</w:t>
      </w:r>
    </w:p>
    <w:p>
      <w:pPr>
        <w:pStyle w:val="nzIndenta"/>
      </w:pPr>
      <w:r>
        <w:tab/>
        <w:t>(c)</w:t>
      </w:r>
      <w:r>
        <w:tab/>
        <w:t>otherwise in the service of the State.</w:t>
      </w:r>
    </w:p>
    <w:p>
      <w:pPr>
        <w:pStyle w:val="nzSubsection"/>
      </w:pPr>
      <w:r>
        <w:tab/>
        <w:t>(2)</w:t>
      </w:r>
      <w:r>
        <w:tab/>
        <w:t xml:space="preserve">The Authority may, by arrangement, make use of the facilities of — </w:t>
      </w:r>
    </w:p>
    <w:p>
      <w:pPr>
        <w:pStyle w:val="nzIndenta"/>
      </w:pPr>
      <w:r>
        <w:tab/>
        <w:t>(a)</w:t>
      </w:r>
      <w:r>
        <w:tab/>
        <w:t>a department of the Public Service; or</w:t>
      </w:r>
    </w:p>
    <w:p>
      <w:pPr>
        <w:pStyle w:val="nzIndenta"/>
      </w:pPr>
      <w:r>
        <w:tab/>
        <w:t>(b)</w:t>
      </w:r>
      <w:r>
        <w:tab/>
        <w:t>a State agency or instrumentality.</w:t>
      </w:r>
    </w:p>
    <w:p>
      <w:pPr>
        <w:pStyle w:val="nzSubsection"/>
      </w:pPr>
      <w:r>
        <w:tab/>
        <w:t>(3)</w:t>
      </w:r>
      <w:r>
        <w:tab/>
        <w:t>An arrangement under subsection (1) or (2) is to be made on terms agreed to by the parties.</w:t>
      </w:r>
    </w:p>
    <w:p>
      <w:pPr>
        <w:pStyle w:val="nzHeading5"/>
      </w:pPr>
      <w:bookmarkStart w:id="87" w:name="_Toc436292857"/>
      <w:bookmarkStart w:id="88" w:name="_Toc436314105"/>
      <w:r>
        <w:rPr>
          <w:rStyle w:val="CharSectno"/>
        </w:rPr>
        <w:t>12</w:t>
      </w:r>
      <w:r>
        <w:t>.</w:t>
      </w:r>
      <w:r>
        <w:tab/>
        <w:t>Delegation</w:t>
      </w:r>
      <w:bookmarkEnd w:id="87"/>
      <w:bookmarkEnd w:id="88"/>
    </w:p>
    <w:p>
      <w:pPr>
        <w:pStyle w:val="nzSubsection"/>
      </w:pPr>
      <w:r>
        <w:tab/>
        <w:t>(1)</w:t>
      </w:r>
      <w:r>
        <w:tab/>
        <w:t>The Authority may, by instrument in writing, delegate to any person any of the powers or duties of the Authority under this Act or any other written law, other than this power of delegation.</w:t>
      </w:r>
    </w:p>
    <w:p>
      <w:pPr>
        <w:pStyle w:val="nzSubsection"/>
      </w:pPr>
      <w:r>
        <w:tab/>
        <w:t>(2)</w:t>
      </w:r>
      <w:r>
        <w:tab/>
        <w:t>A person exercising a power or performing a duty that has been delegated to the person under this section is taken to do so in accordance with the terms of the delegation, unless the contrary is shown.</w:t>
      </w:r>
    </w:p>
    <w:p>
      <w:pPr>
        <w:pStyle w:val="nzSubsection"/>
      </w:pPr>
      <w:r>
        <w:tab/>
        <w:t>(3)</w:t>
      </w:r>
      <w:r>
        <w:tab/>
        <w:t>Nothing in this section limits the ability of the Authority to perform a function through an employee or agent.</w:t>
      </w:r>
    </w:p>
    <w:p>
      <w:pPr>
        <w:pStyle w:val="nzHeading5"/>
      </w:pPr>
      <w:bookmarkStart w:id="89" w:name="_Toc436292858"/>
      <w:bookmarkStart w:id="90" w:name="_Toc436314106"/>
      <w:r>
        <w:rPr>
          <w:rStyle w:val="CharSectno"/>
        </w:rPr>
        <w:t>13</w:t>
      </w:r>
      <w:r>
        <w:t>.</w:t>
      </w:r>
      <w:r>
        <w:tab/>
        <w:t>Execution of documents by the Authority</w:t>
      </w:r>
      <w:bookmarkEnd w:id="89"/>
      <w:bookmarkEnd w:id="90"/>
    </w:p>
    <w:p>
      <w:pPr>
        <w:pStyle w:val="nzSubsection"/>
      </w:pPr>
      <w:r>
        <w:tab/>
        <w:t>(1)</w:t>
      </w:r>
      <w:r>
        <w:tab/>
        <w:t xml:space="preserve">A document is duly executed by the Authority if — </w:t>
      </w:r>
    </w:p>
    <w:p>
      <w:pPr>
        <w:pStyle w:val="nzIndenta"/>
      </w:pPr>
      <w:r>
        <w:tab/>
        <w:t>(a)</w:t>
      </w:r>
      <w:r>
        <w:tab/>
        <w:t>the official seal of the Authority is affixed to it in the presence of the Administrator and the Administrator signs the document to attest that it was so affixed; or</w:t>
      </w:r>
    </w:p>
    <w:p>
      <w:pPr>
        <w:pStyle w:val="nzIndenta"/>
      </w:pPr>
      <w:r>
        <w:tab/>
        <w:t>(b)</w:t>
      </w:r>
      <w:r>
        <w:tab/>
        <w:t>it is signed on behalf of the Authority by —</w:t>
      </w:r>
    </w:p>
    <w:p>
      <w:pPr>
        <w:pStyle w:val="nzIndenti"/>
      </w:pPr>
      <w:r>
        <w:tab/>
        <w:t>(i)</w:t>
      </w:r>
      <w:r>
        <w:tab/>
        <w:t>the Administrator; or</w:t>
      </w:r>
    </w:p>
    <w:p>
      <w:pPr>
        <w:pStyle w:val="nzIndenti"/>
      </w:pPr>
      <w:r>
        <w:tab/>
        <w:t>(ii)</w:t>
      </w:r>
      <w:r>
        <w:tab/>
        <w:t>a person authorised by the Authority to sign the document on its behalf.</w:t>
      </w:r>
    </w:p>
    <w:p>
      <w:pPr>
        <w:pStyle w:val="nz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nzSubsection"/>
      </w:pPr>
      <w:r>
        <w:tab/>
        <w:t>(3)</w:t>
      </w:r>
      <w:r>
        <w:tab/>
        <w:t>A document purporting to be executed in accordance with this section must be presumed to be duly executed, unless the contrary is shown.</w:t>
      </w:r>
    </w:p>
    <w:p>
      <w:pPr>
        <w:pStyle w:val="nzSubsection"/>
      </w:pPr>
      <w:r>
        <w:tab/>
        <w:t>(4)</w:t>
      </w:r>
      <w:r>
        <w:tab/>
        <w:t>If a document is produced bearing a seal purporting to be the official seal of the Authority, it must be presumed that the seal is the official seal of the Authority, unless the contrary is shown.</w:t>
      </w:r>
    </w:p>
    <w:p>
      <w:pPr>
        <w:pStyle w:val="nzHeading5"/>
      </w:pPr>
      <w:bookmarkStart w:id="91" w:name="_Toc436292859"/>
      <w:bookmarkStart w:id="92" w:name="_Toc436314107"/>
      <w:r>
        <w:rPr>
          <w:rStyle w:val="CharSectno"/>
        </w:rPr>
        <w:t>14</w:t>
      </w:r>
      <w:r>
        <w:t>.</w:t>
      </w:r>
      <w:r>
        <w:tab/>
        <w:t>Annual and final reports</w:t>
      </w:r>
      <w:bookmarkEnd w:id="91"/>
      <w:bookmarkEnd w:id="92"/>
    </w:p>
    <w:p>
      <w:pPr>
        <w:pStyle w:val="nz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nzSubsection"/>
      </w:pPr>
      <w:r>
        <w:tab/>
        <w:t>(2)</w:t>
      </w:r>
      <w:r>
        <w:tab/>
        <w:t>However, that Part does not apply so as to require reporting on key performance indicators.</w:t>
      </w:r>
    </w:p>
    <w:p>
      <w:pPr>
        <w:pStyle w:val="nzHeading5"/>
      </w:pPr>
      <w:bookmarkStart w:id="93" w:name="_Toc436292860"/>
      <w:bookmarkStart w:id="94" w:name="_Toc436314108"/>
      <w:r>
        <w:rPr>
          <w:rStyle w:val="CharSectno"/>
        </w:rPr>
        <w:t>15</w:t>
      </w:r>
      <w:r>
        <w:t>.</w:t>
      </w:r>
      <w:r>
        <w:tab/>
        <w:t>Special reports</w:t>
      </w:r>
      <w:bookmarkEnd w:id="93"/>
      <w:bookmarkEnd w:id="94"/>
    </w:p>
    <w:p>
      <w:pPr>
        <w:pStyle w:val="nzSubsection"/>
      </w:pPr>
      <w:r>
        <w:tab/>
        <w:t>(1)</w:t>
      </w:r>
      <w:r>
        <w:tab/>
        <w:t xml:space="preserve">The Minister may, by order in writing, require the Administrator to prepare a report for the Minister that contains — </w:t>
      </w:r>
    </w:p>
    <w:p>
      <w:pPr>
        <w:pStyle w:val="nzIndenta"/>
      </w:pPr>
      <w:r>
        <w:tab/>
        <w:t>(a)</w:t>
      </w:r>
      <w:r>
        <w:tab/>
        <w:t>a report on the operations of the Authority over the period specified in the order; and</w:t>
      </w:r>
    </w:p>
    <w:p>
      <w:pPr>
        <w:pStyle w:val="nzIndenta"/>
      </w:pPr>
      <w:r>
        <w:tab/>
        <w:t>(b)</w:t>
      </w:r>
      <w:r>
        <w:tab/>
        <w:t xml:space="preserve">financial statements for the period specified in the order, prepared in accordance with the </w:t>
      </w:r>
      <w:r>
        <w:rPr>
          <w:i/>
        </w:rPr>
        <w:t>Financial Management Act 2006</w:t>
      </w:r>
      <w:r>
        <w:t xml:space="preserve"> section 62; and</w:t>
      </w:r>
    </w:p>
    <w:p>
      <w:pPr>
        <w:pStyle w:val="nzIndenta"/>
      </w:pPr>
      <w:r>
        <w:tab/>
        <w:t>(c)</w:t>
      </w:r>
      <w:r>
        <w:tab/>
        <w:t>any other information required by the Minister in the order.</w:t>
      </w:r>
    </w:p>
    <w:p>
      <w:pPr>
        <w:pStyle w:val="nzSubsection"/>
      </w:pPr>
      <w:r>
        <w:tab/>
        <w:t>(2)</w:t>
      </w:r>
      <w:r>
        <w:tab/>
        <w:t>The Minister may, in the order, require that the report be submitted to the Auditor General for audit.</w:t>
      </w:r>
    </w:p>
    <w:p>
      <w:pPr>
        <w:pStyle w:val="nzSubsection"/>
      </w:pPr>
      <w:r>
        <w:tab/>
        <w:t>(3)</w:t>
      </w:r>
      <w:r>
        <w:tab/>
        <w:t>The Administrator must submit the report to the Minister within 90 days after the day on which the order is made, or any extension of that period granted by the Minister.</w:t>
      </w:r>
    </w:p>
    <w:p>
      <w:pPr>
        <w:pStyle w:val="nzSubsection"/>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nzHeading3"/>
      </w:pPr>
      <w:bookmarkStart w:id="95" w:name="_Toc418506850"/>
      <w:bookmarkStart w:id="96" w:name="_Toc418506951"/>
      <w:bookmarkStart w:id="97" w:name="_Toc418592025"/>
      <w:bookmarkStart w:id="98" w:name="_Toc422488904"/>
      <w:bookmarkStart w:id="99" w:name="_Toc436042785"/>
      <w:bookmarkStart w:id="100" w:name="_Toc436131203"/>
      <w:bookmarkStart w:id="101" w:name="_Toc436217588"/>
      <w:bookmarkStart w:id="102" w:name="_Toc436292861"/>
      <w:bookmarkStart w:id="103" w:name="_Toc436314109"/>
      <w:r>
        <w:rPr>
          <w:rStyle w:val="CharDivNo"/>
        </w:rPr>
        <w:t>Division 2</w:t>
      </w:r>
      <w:r>
        <w:t> — </w:t>
      </w:r>
      <w:r>
        <w:rPr>
          <w:rStyle w:val="CharDivText"/>
        </w:rPr>
        <w:t>The WA Bell Companies Administrator Authority Fund</w:t>
      </w:r>
      <w:bookmarkEnd w:id="95"/>
      <w:bookmarkEnd w:id="96"/>
      <w:bookmarkEnd w:id="97"/>
      <w:bookmarkEnd w:id="98"/>
      <w:bookmarkEnd w:id="99"/>
      <w:bookmarkEnd w:id="100"/>
      <w:bookmarkEnd w:id="101"/>
      <w:bookmarkEnd w:id="102"/>
      <w:bookmarkEnd w:id="103"/>
    </w:p>
    <w:p>
      <w:pPr>
        <w:pStyle w:val="nzHeading5"/>
      </w:pPr>
      <w:bookmarkStart w:id="104" w:name="_Toc436292862"/>
      <w:bookmarkStart w:id="105" w:name="_Toc436314110"/>
      <w:r>
        <w:rPr>
          <w:rStyle w:val="CharSectno"/>
        </w:rPr>
        <w:t>16</w:t>
      </w:r>
      <w:r>
        <w:t>.</w:t>
      </w:r>
      <w:r>
        <w:tab/>
        <w:t>Establishment of Fund</w:t>
      </w:r>
      <w:bookmarkEnd w:id="104"/>
      <w:bookmarkEnd w:id="105"/>
    </w:p>
    <w:p>
      <w:pPr>
        <w:pStyle w:val="nzSubsection"/>
      </w:pPr>
      <w:r>
        <w:tab/>
        <w:t>(1)</w:t>
      </w:r>
      <w:r>
        <w:tab/>
        <w:t>The WA Bell Companies Administrator Authority Fund is established.</w:t>
      </w:r>
    </w:p>
    <w:p>
      <w:pPr>
        <w:pStyle w:val="nzSubsection"/>
      </w:pPr>
      <w:r>
        <w:tab/>
        <w:t>(2)</w:t>
      </w:r>
      <w:r>
        <w:tab/>
        <w:t>The Fund is to be administered by the Authority.</w:t>
      </w:r>
    </w:p>
    <w:p>
      <w:pPr>
        <w:pStyle w:val="nzSubsection"/>
      </w:pPr>
      <w:r>
        <w:tab/>
        <w:t>(3)</w:t>
      </w:r>
      <w:r>
        <w:tab/>
        <w:t xml:space="preserve">The following must be credited to the Fund — </w:t>
      </w:r>
    </w:p>
    <w:p>
      <w:pPr>
        <w:pStyle w:val="nzIndenta"/>
      </w:pPr>
      <w:r>
        <w:tab/>
        <w:t>(a)</w:t>
      </w:r>
      <w:r>
        <w:tab/>
        <w:t>all money transferred to the Authority under Part 3 or realised out of other property transferred to, or vested in, the Authority under that Part;</w:t>
      </w:r>
    </w:p>
    <w:p>
      <w:pPr>
        <w:pStyle w:val="nzIndenta"/>
      </w:pPr>
      <w:r>
        <w:tab/>
        <w:t>(b)</w:t>
      </w:r>
      <w:r>
        <w:tab/>
        <w:t>money received from the investment of the Fund;</w:t>
      </w:r>
    </w:p>
    <w:p>
      <w:pPr>
        <w:pStyle w:val="nzIndenta"/>
      </w:pPr>
      <w:r>
        <w:tab/>
        <w:t>(c)</w:t>
      </w:r>
      <w:r>
        <w:tab/>
        <w:t xml:space="preserve">any advances made to the Authority under the </w:t>
      </w:r>
      <w:r>
        <w:rPr>
          <w:i/>
        </w:rPr>
        <w:t>Financial Management Act 2006</w:t>
      </w:r>
      <w:r>
        <w:t xml:space="preserve"> section 28.</w:t>
      </w:r>
    </w:p>
    <w:p>
      <w:pPr>
        <w:pStyle w:val="nzSubsection"/>
      </w:pPr>
      <w:r>
        <w:tab/>
        <w:t>(4)</w:t>
      </w:r>
      <w:r>
        <w:tab/>
        <w:t xml:space="preserve">The following are to be paid out of the Fund — </w:t>
      </w:r>
    </w:p>
    <w:p>
      <w:pPr>
        <w:pStyle w:val="nzIndenta"/>
      </w:pPr>
      <w:r>
        <w:tab/>
        <w:t>(a)</w:t>
      </w:r>
      <w:r>
        <w:tab/>
        <w:t>amounts recoverable from the Authority as a consequence of an advance referred to in subsection (3)(c);</w:t>
      </w:r>
    </w:p>
    <w:p>
      <w:pPr>
        <w:pStyle w:val="nzIndenta"/>
      </w:pPr>
      <w:r>
        <w:tab/>
        <w:t>(b)</w:t>
      </w:r>
      <w:r>
        <w:tab/>
        <w:t>expenses payable out of it under section 18;</w:t>
      </w:r>
    </w:p>
    <w:p>
      <w:pPr>
        <w:pStyle w:val="nzIndenta"/>
      </w:pPr>
      <w:r>
        <w:tab/>
        <w:t>(c)</w:t>
      </w:r>
      <w:r>
        <w:tab/>
        <w:t>amounts payable out of it under section 44.</w:t>
      </w:r>
    </w:p>
    <w:p>
      <w:pPr>
        <w:pStyle w:val="nz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nzHeading5"/>
      </w:pPr>
      <w:bookmarkStart w:id="106" w:name="_Toc436292863"/>
      <w:bookmarkStart w:id="107" w:name="_Toc436314111"/>
      <w:r>
        <w:rPr>
          <w:rStyle w:val="CharSectno"/>
        </w:rPr>
        <w:t>17</w:t>
      </w:r>
      <w:r>
        <w:t>.</w:t>
      </w:r>
      <w:r>
        <w:tab/>
        <w:t>Investment of Fund</w:t>
      </w:r>
      <w:bookmarkEnd w:id="106"/>
      <w:bookmarkEnd w:id="107"/>
    </w:p>
    <w:p>
      <w:pPr>
        <w:pStyle w:val="nz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nzHeading5"/>
      </w:pPr>
      <w:bookmarkStart w:id="108" w:name="_Toc436292864"/>
      <w:bookmarkStart w:id="109" w:name="_Toc436314112"/>
      <w:r>
        <w:rPr>
          <w:rStyle w:val="CharSectno"/>
        </w:rPr>
        <w:t>18</w:t>
      </w:r>
      <w:r>
        <w:t>.</w:t>
      </w:r>
      <w:r>
        <w:tab/>
        <w:t>Administration expenses</w:t>
      </w:r>
      <w:bookmarkEnd w:id="108"/>
      <w:bookmarkEnd w:id="109"/>
    </w:p>
    <w:p>
      <w:pPr>
        <w:pStyle w:val="nzSubsection"/>
      </w:pPr>
      <w:r>
        <w:tab/>
        <w:t>(1)</w:t>
      </w:r>
      <w:r>
        <w:tab/>
        <w:t xml:space="preserve">The following expenses, as determined by the Authority, are payable out of the Fund — </w:t>
      </w:r>
    </w:p>
    <w:p>
      <w:pPr>
        <w:pStyle w:val="nzIndenta"/>
      </w:pPr>
      <w:r>
        <w:tab/>
        <w:t>(a)</w:t>
      </w:r>
      <w:r>
        <w:tab/>
        <w:t>expenses of, and incidental to, the administration of this Act by the Authority;</w:t>
      </w:r>
    </w:p>
    <w:p>
      <w:pPr>
        <w:pStyle w:val="nzIndenta"/>
      </w:pPr>
      <w:r>
        <w:tab/>
        <w:t>(b)</w:t>
      </w:r>
      <w:r>
        <w:tab/>
        <w:t>expenses of, and incidental to, the administration of a WA Bell Company by the Authority;</w:t>
      </w:r>
    </w:p>
    <w:p>
      <w:pPr>
        <w:pStyle w:val="nzIndenta"/>
      </w:pPr>
      <w:r>
        <w:tab/>
        <w:t>(c)</w:t>
      </w:r>
      <w:r>
        <w:tab/>
        <w:t>any amount payable under an indemnity under section 10(2)(f);</w:t>
      </w:r>
    </w:p>
    <w:p>
      <w:pPr>
        <w:pStyle w:val="nzIndenta"/>
      </w:pPr>
      <w:r>
        <w:tab/>
        <w:t>(d)</w:t>
      </w:r>
      <w:r>
        <w:tab/>
        <w:t>any remuneration or expenses payable to, or in respect of, the Administrator;</w:t>
      </w:r>
    </w:p>
    <w:p>
      <w:pPr>
        <w:pStyle w:val="nzIndenta"/>
      </w:pPr>
      <w:r>
        <w:tab/>
        <w:t>(e)</w:t>
      </w:r>
      <w:r>
        <w:tab/>
        <w:t>expenses reasonably incurred by a liquidator of a WA Bell Company in complying with an obligation under this Act.</w:t>
      </w:r>
    </w:p>
    <w:p>
      <w:pPr>
        <w:pStyle w:val="nzSubsection"/>
      </w:pPr>
      <w:r>
        <w:tab/>
        <w:t>(2)</w:t>
      </w:r>
      <w:r>
        <w:tab/>
        <w:t>Expenses payable under this section are to be paid out of the Fund before the payment of amounts specified in the determination of the Governor under section 42(2).</w:t>
      </w:r>
    </w:p>
    <w:p>
      <w:pPr>
        <w:pStyle w:val="nzHeading5"/>
      </w:pPr>
      <w:bookmarkStart w:id="110" w:name="_Toc436292865"/>
      <w:bookmarkStart w:id="111" w:name="_Toc436314113"/>
      <w:r>
        <w:rPr>
          <w:rStyle w:val="CharSectno"/>
        </w:rPr>
        <w:t>19</w:t>
      </w:r>
      <w:r>
        <w:t>.</w:t>
      </w:r>
      <w:r>
        <w:tab/>
        <w:t>Accounting for losses</w:t>
      </w:r>
      <w:bookmarkEnd w:id="110"/>
      <w:bookmarkEnd w:id="111"/>
    </w:p>
    <w:p>
      <w:pPr>
        <w:pStyle w:val="nzSubsection"/>
      </w:pPr>
      <w:r>
        <w:tab/>
        <w:t>(1)</w:t>
      </w:r>
      <w:r>
        <w:tab/>
        <w:t>If the Fund incurs any loss because of any fraud, dishonesty, negligence or wilful failure to comply with this Act by the Administrator, the Administrator is liable for the loss.</w:t>
      </w:r>
    </w:p>
    <w:p>
      <w:pPr>
        <w:pStyle w:val="nz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nzSubsection"/>
      </w:pPr>
      <w:r>
        <w:tab/>
        <w:t>(3)</w:t>
      </w:r>
      <w:r>
        <w:tab/>
        <w:t>A failure to comply with subsection (2) does not make the Administrator liable for the loss.</w:t>
      </w:r>
    </w:p>
    <w:p>
      <w:pPr>
        <w:pStyle w:val="nzSubsection"/>
      </w:pPr>
      <w:r>
        <w:tab/>
        <w:t>(4)</w:t>
      </w:r>
      <w:r>
        <w:tab/>
        <w:t>Only the Minister may bring a proceeding in relation to a liability for a loss covered by subsection (1).</w:t>
      </w:r>
    </w:p>
    <w:p>
      <w:pPr>
        <w:pStyle w:val="nzHeading3"/>
      </w:pPr>
      <w:bookmarkStart w:id="112" w:name="_Toc418506855"/>
      <w:bookmarkStart w:id="113" w:name="_Toc418506956"/>
      <w:bookmarkStart w:id="114" w:name="_Toc418592030"/>
      <w:bookmarkStart w:id="115" w:name="_Toc422488909"/>
      <w:bookmarkStart w:id="116" w:name="_Toc436042790"/>
      <w:bookmarkStart w:id="117" w:name="_Toc436131208"/>
      <w:bookmarkStart w:id="118" w:name="_Toc436217593"/>
      <w:bookmarkStart w:id="119" w:name="_Toc436292866"/>
      <w:bookmarkStart w:id="120" w:name="_Toc436314114"/>
      <w:r>
        <w:rPr>
          <w:rStyle w:val="CharDivNo"/>
        </w:rPr>
        <w:t>Division 3</w:t>
      </w:r>
      <w:r>
        <w:t> — </w:t>
      </w:r>
      <w:r>
        <w:rPr>
          <w:rStyle w:val="CharDivText"/>
        </w:rPr>
        <w:t>Assumptions</w:t>
      </w:r>
      <w:bookmarkEnd w:id="112"/>
      <w:bookmarkEnd w:id="113"/>
      <w:bookmarkEnd w:id="114"/>
      <w:bookmarkEnd w:id="115"/>
      <w:bookmarkEnd w:id="116"/>
      <w:bookmarkEnd w:id="117"/>
      <w:bookmarkEnd w:id="118"/>
      <w:bookmarkEnd w:id="119"/>
      <w:bookmarkEnd w:id="120"/>
    </w:p>
    <w:p>
      <w:pPr>
        <w:pStyle w:val="nzHeading5"/>
      </w:pPr>
      <w:bookmarkStart w:id="121" w:name="_Toc436292867"/>
      <w:bookmarkStart w:id="122" w:name="_Toc436314115"/>
      <w:r>
        <w:rPr>
          <w:rStyle w:val="CharSectno"/>
        </w:rPr>
        <w:t>20</w:t>
      </w:r>
      <w:r>
        <w:t>.</w:t>
      </w:r>
      <w:r>
        <w:tab/>
        <w:t>Assumptions entitled to be made</w:t>
      </w:r>
      <w:bookmarkEnd w:id="121"/>
      <w:bookmarkEnd w:id="122"/>
    </w:p>
    <w:p>
      <w:pPr>
        <w:pStyle w:val="nzSubsection"/>
      </w:pPr>
      <w:r>
        <w:tab/>
        <w:t>(1)</w:t>
      </w:r>
      <w:r>
        <w:tab/>
        <w:t xml:space="preserve">A person is entitled to make the assumptions in section 21 in relation to — </w:t>
      </w:r>
    </w:p>
    <w:p>
      <w:pPr>
        <w:pStyle w:val="nzIndenta"/>
      </w:pPr>
      <w:r>
        <w:tab/>
        <w:t>(a)</w:t>
      </w:r>
      <w:r>
        <w:tab/>
        <w:t>dealings with the Authority; or</w:t>
      </w:r>
    </w:p>
    <w:p>
      <w:pPr>
        <w:pStyle w:val="nzIndenta"/>
      </w:pPr>
      <w:r>
        <w:tab/>
        <w:t>(b)</w:t>
      </w:r>
      <w:r>
        <w:tab/>
        <w:t>dealings with a person who has, or purports to have, directly or indirectly acquired title to property from the Authority.</w:t>
      </w:r>
    </w:p>
    <w:p>
      <w:pPr>
        <w:pStyle w:val="nzSubsection"/>
      </w:pPr>
      <w:r>
        <w:tab/>
        <w:t>(2)</w:t>
      </w:r>
      <w:r>
        <w:tab/>
        <w:t>If a person is entitled to assume a matter, the Authority or anyone referred to in subsection (1)(b) is not entitled to assert in proceedings in relation to the dealings that the matter is incorrect.</w:t>
      </w:r>
    </w:p>
    <w:p>
      <w:pPr>
        <w:pStyle w:val="nzSubsection"/>
      </w:pPr>
      <w:r>
        <w:tab/>
        <w:t>(3)</w:t>
      </w:r>
      <w:r>
        <w:tab/>
        <w:t xml:space="preserve">This section does not entitle a person to make an assumption, and does not prevent an assertion being made in relation to an assumption, if — </w:t>
      </w:r>
    </w:p>
    <w:p>
      <w:pPr>
        <w:pStyle w:val="nzIndenta"/>
      </w:pPr>
      <w:r>
        <w:tab/>
        <w:t>(a)</w:t>
      </w:r>
      <w:r>
        <w:tab/>
        <w:t>the person has actual knowledge that the assumption is not correct; or</w:t>
      </w:r>
    </w:p>
    <w:p>
      <w:pPr>
        <w:pStyle w:val="nzIndenta"/>
      </w:pPr>
      <w:r>
        <w:tab/>
        <w:t>(b)</w:t>
      </w:r>
      <w:r>
        <w:tab/>
        <w:t>the person’s connection or relationship with the Authority is such that the person ought to know that the assumption is not correct.</w:t>
      </w:r>
    </w:p>
    <w:p>
      <w:pPr>
        <w:pStyle w:val="nzHeading5"/>
      </w:pPr>
      <w:bookmarkStart w:id="123" w:name="_Toc436292868"/>
      <w:bookmarkStart w:id="124" w:name="_Toc436314116"/>
      <w:r>
        <w:rPr>
          <w:rStyle w:val="CharSectno"/>
        </w:rPr>
        <w:t>21</w:t>
      </w:r>
      <w:r>
        <w:t>.</w:t>
      </w:r>
      <w:r>
        <w:tab/>
        <w:t>Assumptions</w:t>
      </w:r>
      <w:bookmarkEnd w:id="123"/>
      <w:bookmarkEnd w:id="124"/>
    </w:p>
    <w:p>
      <w:pPr>
        <w:pStyle w:val="nzSubsection"/>
      </w:pPr>
      <w:r>
        <w:tab/>
        <w:t>(1)</w:t>
      </w:r>
      <w:r>
        <w:tab/>
        <w:t>A person may assume that, at all relevant times, this Act has been complied with.</w:t>
      </w:r>
    </w:p>
    <w:p>
      <w:pPr>
        <w:pStyle w:val="nzSubsection"/>
      </w:pPr>
      <w:r>
        <w:tab/>
        <w:t>(2)</w:t>
      </w:r>
      <w:r>
        <w:tab/>
        <w:t>A person may assume that anyone who appears, from information made publicly available by the Authority, to be an employee, agent or delegate of the Authority has been properly appointed.</w:t>
      </w:r>
    </w:p>
    <w:p>
      <w:pPr>
        <w:pStyle w:val="nz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nzSubsection"/>
      </w:pPr>
      <w:r>
        <w:tab/>
        <w:t>(4)</w:t>
      </w:r>
      <w:r>
        <w:tab/>
        <w:t>A person may assume that the Administrator and any employee, agent or delegate of the Authority properly performs their duties to the Authority.</w:t>
      </w:r>
    </w:p>
    <w:p>
      <w:pPr>
        <w:pStyle w:val="nzHeading2"/>
      </w:pPr>
      <w:bookmarkStart w:id="125" w:name="_Toc418506858"/>
      <w:bookmarkStart w:id="126" w:name="_Toc418506959"/>
      <w:bookmarkStart w:id="127" w:name="_Toc418592033"/>
      <w:bookmarkStart w:id="128" w:name="_Toc422488912"/>
      <w:bookmarkStart w:id="129" w:name="_Toc436042793"/>
      <w:bookmarkStart w:id="130" w:name="_Toc436131211"/>
      <w:bookmarkStart w:id="131" w:name="_Toc436217596"/>
      <w:bookmarkStart w:id="132" w:name="_Toc436292869"/>
      <w:bookmarkStart w:id="133" w:name="_Toc436314117"/>
      <w:r>
        <w:rPr>
          <w:rStyle w:val="CharPartNo"/>
        </w:rPr>
        <w:t>Part 3</w:t>
      </w:r>
      <w:r>
        <w:t> — </w:t>
      </w:r>
      <w:r>
        <w:rPr>
          <w:rStyle w:val="CharPartText"/>
        </w:rPr>
        <w:t>WA Bell Companies</w:t>
      </w:r>
      <w:bookmarkEnd w:id="125"/>
      <w:bookmarkEnd w:id="126"/>
      <w:bookmarkEnd w:id="127"/>
      <w:bookmarkEnd w:id="128"/>
      <w:bookmarkEnd w:id="129"/>
      <w:bookmarkEnd w:id="130"/>
      <w:bookmarkEnd w:id="131"/>
      <w:bookmarkEnd w:id="132"/>
      <w:bookmarkEnd w:id="133"/>
    </w:p>
    <w:p>
      <w:pPr>
        <w:pStyle w:val="nzHeading3"/>
      </w:pPr>
      <w:bookmarkStart w:id="134" w:name="_Toc418506859"/>
      <w:bookmarkStart w:id="135" w:name="_Toc418506960"/>
      <w:bookmarkStart w:id="136" w:name="_Toc418592034"/>
      <w:bookmarkStart w:id="137" w:name="_Toc422488913"/>
      <w:bookmarkStart w:id="138" w:name="_Toc436042794"/>
      <w:bookmarkStart w:id="139" w:name="_Toc436131212"/>
      <w:bookmarkStart w:id="140" w:name="_Toc436217597"/>
      <w:bookmarkStart w:id="141" w:name="_Toc436292870"/>
      <w:bookmarkStart w:id="142" w:name="_Toc436314118"/>
      <w:r>
        <w:rPr>
          <w:rStyle w:val="CharDivNo"/>
        </w:rPr>
        <w:t>Division 1</w:t>
      </w:r>
      <w:r>
        <w:t> — </w:t>
      </w:r>
      <w:r>
        <w:rPr>
          <w:rStyle w:val="CharDivText"/>
        </w:rPr>
        <w:t>Transfer of property</w:t>
      </w:r>
      <w:bookmarkEnd w:id="134"/>
      <w:bookmarkEnd w:id="135"/>
      <w:bookmarkEnd w:id="136"/>
      <w:bookmarkEnd w:id="137"/>
      <w:bookmarkEnd w:id="138"/>
      <w:bookmarkEnd w:id="139"/>
      <w:bookmarkEnd w:id="140"/>
      <w:bookmarkEnd w:id="141"/>
      <w:bookmarkEnd w:id="142"/>
    </w:p>
    <w:p>
      <w:pPr>
        <w:pStyle w:val="nzHeading5"/>
      </w:pPr>
      <w:bookmarkStart w:id="143" w:name="_Toc436292871"/>
      <w:bookmarkStart w:id="144" w:name="_Toc436314119"/>
      <w:r>
        <w:rPr>
          <w:rStyle w:val="CharSectno"/>
        </w:rPr>
        <w:t>22</w:t>
      </w:r>
      <w:r>
        <w:t>.</w:t>
      </w:r>
      <w:r>
        <w:tab/>
        <w:t>Transfer of property</w:t>
      </w:r>
      <w:bookmarkEnd w:id="143"/>
      <w:bookmarkEnd w:id="144"/>
    </w:p>
    <w:p>
      <w:pPr>
        <w:pStyle w:val="nzSubsection"/>
      </w:pPr>
      <w:r>
        <w:tab/>
        <w:t>(1)</w:t>
      </w:r>
      <w:r>
        <w:tab/>
        <w:t xml:space="preserve">At the beginning of the transfer day the following are transferred to, and vested in, the Authority by force of this section — </w:t>
      </w:r>
    </w:p>
    <w:p>
      <w:pPr>
        <w:pStyle w:val="nzIndenta"/>
      </w:pPr>
      <w:r>
        <w:tab/>
        <w:t>(a)</w:t>
      </w:r>
      <w:r>
        <w:tab/>
        <w:t>all property vested in a WA Bell Company, including property held by it on trust for any person;</w:t>
      </w:r>
    </w:p>
    <w:p>
      <w:pPr>
        <w:pStyle w:val="nzIndenta"/>
      </w:pPr>
      <w:r>
        <w:tab/>
        <w:t>(b)</w:t>
      </w:r>
      <w:r>
        <w:tab/>
        <w:t>all property held by any person (including a liquidator of a WA Bell Company) on behalf of or on trust for a WA Bell Company;</w:t>
      </w:r>
    </w:p>
    <w:p>
      <w:pPr>
        <w:pStyle w:val="nzIndenta"/>
      </w:pPr>
      <w:r>
        <w:tab/>
        <w:t>(c)</w:t>
      </w:r>
      <w:r>
        <w:tab/>
        <w:t>all property held (in any capacity) by a person who is a liquidator of a WA Bell Company on trust for any person, other than property held in a capacity that does not relate to the liquidation of a WA Bell Company.</w:t>
      </w:r>
    </w:p>
    <w:p>
      <w:pPr>
        <w:pStyle w:val="nz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nzSubsection"/>
      </w:pPr>
      <w:r>
        <w:tab/>
        <w:t>(3)</w:t>
      </w:r>
      <w:r>
        <w:tab/>
        <w:t>In relation to a reinstated WA Bell Company, property revested in the company as a consequence of its reinstatement is taken to have been received by the company for the purposes of subsection (2).</w:t>
      </w:r>
    </w:p>
    <w:p>
      <w:pPr>
        <w:pStyle w:val="nzSubsection"/>
      </w:pPr>
      <w:r>
        <w:tab/>
        <w:t>(4)</w:t>
      </w:r>
      <w:r>
        <w:tab/>
        <w:t xml:space="preserve">Subsection (1) or (2), whichever is relevant, does not apply to a share in a company that was a subsidiary of TBGL — </w:t>
      </w:r>
    </w:p>
    <w:p>
      <w:pPr>
        <w:pStyle w:val="nzIndenta"/>
      </w:pPr>
      <w:r>
        <w:tab/>
        <w:t>(a)</w:t>
      </w:r>
      <w:r>
        <w:tab/>
        <w:t>immediately before the transfer day; or</w:t>
      </w:r>
    </w:p>
    <w:p>
      <w:pPr>
        <w:pStyle w:val="nzIndenta"/>
      </w:pPr>
      <w:r>
        <w:tab/>
        <w:t>(b)</w:t>
      </w:r>
      <w:r>
        <w:tab/>
        <w:t>if the company was deregistered before the transfer day — immediately before the time at which the company was deregistered.</w:t>
      </w:r>
    </w:p>
    <w:p>
      <w:pPr>
        <w:pStyle w:val="nzSubsection"/>
      </w:pPr>
      <w:r>
        <w:tab/>
        <w:t>(5)</w:t>
      </w:r>
      <w:r>
        <w:tab/>
        <w:t xml:space="preserve">A share to which subsection (1) or (2) would have applied but for subsection (4), is transferred to, and vested in, the Authority by force of this section immediately before the earlier of — </w:t>
      </w:r>
    </w:p>
    <w:p>
      <w:pPr>
        <w:pStyle w:val="nzIndenta"/>
      </w:pPr>
      <w:r>
        <w:tab/>
        <w:t>(a)</w:t>
      </w:r>
      <w:r>
        <w:tab/>
        <w:t xml:space="preserve">the day specified by the Authority, by instrument published in the </w:t>
      </w:r>
      <w:r>
        <w:rPr>
          <w:i/>
        </w:rPr>
        <w:t>Gazette</w:t>
      </w:r>
      <w:r>
        <w:t>, for the purposes of this paragraph; and</w:t>
      </w:r>
    </w:p>
    <w:p>
      <w:pPr>
        <w:pStyle w:val="nzIndenta"/>
      </w:pPr>
      <w:r>
        <w:tab/>
        <w:t>(b)</w:t>
      </w:r>
      <w:r>
        <w:tab/>
        <w:t>the day on which the WA Bell Company is dissolved under section 30.</w:t>
      </w:r>
    </w:p>
    <w:p>
      <w:pPr>
        <w:pStyle w:val="nz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nz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nzSubsection"/>
      </w:pPr>
      <w:r>
        <w:tab/>
        <w:t>(8)</w:t>
      </w:r>
      <w:r>
        <w:tab/>
        <w:t>This section applies to property whether situated in or outside the State.</w:t>
      </w:r>
    </w:p>
    <w:p>
      <w:pPr>
        <w:pStyle w:val="nzSubsection"/>
      </w:pPr>
      <w:r>
        <w:tab/>
        <w:t>(9)</w:t>
      </w:r>
      <w:r>
        <w:tab/>
        <w:t>A transfer takes effect despite any restriction arising under contract, written law, the common law or in any other way.</w:t>
      </w:r>
    </w:p>
    <w:p>
      <w:pPr>
        <w:pStyle w:val="nz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nzSubsection"/>
      </w:pPr>
      <w:r>
        <w:tab/>
        <w:t>(11)</w:t>
      </w:r>
      <w:r>
        <w:tab/>
        <w:t>The Authority has all the powers of an owner over property vested in it under this section.</w:t>
      </w:r>
    </w:p>
    <w:p>
      <w:pPr>
        <w:pStyle w:val="nzSubsection"/>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nzSubsection"/>
      </w:pPr>
      <w:r>
        <w:tab/>
        <w:t>(13)</w:t>
      </w:r>
      <w:r>
        <w:tab/>
        <w:t>The Administrator may allow a person whom the Administrator is satisfied has a proper interest in a certificate under subsection (12) to have access to it.</w:t>
      </w:r>
    </w:p>
    <w:p>
      <w:pPr>
        <w:pStyle w:val="nz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nzSubsection"/>
      </w:pPr>
      <w:r>
        <w:tab/>
        <w:t>(15)</w:t>
      </w:r>
      <w:r>
        <w:tab/>
        <w:t>The Administrator may correct any error in a certificate under subsection (12) and, for that purpose, may issue a replacement certificate.</w:t>
      </w:r>
    </w:p>
    <w:p>
      <w:pPr>
        <w:pStyle w:val="nzHeading5"/>
      </w:pPr>
      <w:bookmarkStart w:id="145" w:name="_Toc436292872"/>
      <w:bookmarkStart w:id="146" w:name="_Toc436314120"/>
      <w:r>
        <w:rPr>
          <w:rStyle w:val="CharSectno"/>
        </w:rPr>
        <w:t>23</w:t>
      </w:r>
      <w:r>
        <w:t>.</w:t>
      </w:r>
      <w:r>
        <w:tab/>
        <w:t>Notice to property holder</w:t>
      </w:r>
      <w:bookmarkEnd w:id="145"/>
      <w:bookmarkEnd w:id="146"/>
    </w:p>
    <w:p>
      <w:pPr>
        <w:pStyle w:val="nzSubsection"/>
      </w:pPr>
      <w:r>
        <w:tab/>
        <w:t>(1)</w:t>
      </w:r>
      <w:r>
        <w:tab/>
        <w:t xml:space="preserve">The Administrator may give notice to any person who the Administrator believes may hold, or may at any time have held — </w:t>
      </w:r>
    </w:p>
    <w:p>
      <w:pPr>
        <w:pStyle w:val="nzIndenta"/>
      </w:pPr>
      <w:r>
        <w:tab/>
        <w:t>(a)</w:t>
      </w:r>
      <w:r>
        <w:tab/>
        <w:t>property that, before the transfer day, was property of a kind referred to in section 22(1); or</w:t>
      </w:r>
    </w:p>
    <w:p>
      <w:pPr>
        <w:pStyle w:val="nzIndenta"/>
      </w:pPr>
      <w:r>
        <w:tab/>
        <w:t>(b)</w:t>
      </w:r>
      <w:r>
        <w:tab/>
        <w:t>in relation to a reinstated WA Bell Company — property that, before the day on which the company was deregistered, was property of a kind referred to in section 22(1); or</w:t>
      </w:r>
    </w:p>
    <w:p>
      <w:pPr>
        <w:pStyle w:val="nzIndenta"/>
      </w:pPr>
      <w:r>
        <w:tab/>
        <w:t>(c)</w:t>
      </w:r>
      <w:r>
        <w:tab/>
        <w:t>property to which section 22(2) applies.</w:t>
      </w:r>
    </w:p>
    <w:p>
      <w:pPr>
        <w:pStyle w:val="nzSubsection"/>
      </w:pPr>
      <w:r>
        <w:tab/>
        <w:t>(2)</w:t>
      </w:r>
      <w:r>
        <w:tab/>
        <w:t xml:space="preserve">A notice under subsection (1) may require the person to whom it is given to do one or more of the following — </w:t>
      </w:r>
    </w:p>
    <w:p>
      <w:pPr>
        <w:pStyle w:val="nzIndenta"/>
      </w:pPr>
      <w:r>
        <w:tab/>
        <w:t>(a)</w:t>
      </w:r>
      <w:r>
        <w:tab/>
        <w:t>provide access to all records of that person relating to the property;</w:t>
      </w:r>
    </w:p>
    <w:p>
      <w:pPr>
        <w:pStyle w:val="nzIndenta"/>
      </w:pPr>
      <w:r>
        <w:tab/>
        <w:t>(b)</w:t>
      </w:r>
      <w:r>
        <w:tab/>
        <w:t>account for all dealings with the property by or on behalf of that person;</w:t>
      </w:r>
    </w:p>
    <w:p>
      <w:pPr>
        <w:pStyle w:val="nzIndenta"/>
      </w:pPr>
      <w:r>
        <w:tab/>
        <w:t>(c)</w:t>
      </w:r>
      <w:r>
        <w:tab/>
        <w:t>do all things necessary to deliver to the Authority the property specified in the notice.</w:t>
      </w:r>
    </w:p>
    <w:p>
      <w:pPr>
        <w:pStyle w:val="NotesPerm"/>
        <w:tabs>
          <w:tab w:val="clear" w:pos="879"/>
          <w:tab w:val="left" w:pos="851"/>
        </w:tabs>
        <w:ind w:left="1418" w:hanging="1418"/>
      </w:pPr>
      <w:r>
        <w:tab/>
        <w:t>Note:</w:t>
      </w:r>
      <w:r>
        <w:tab/>
        <w:t>Under section 58(1) a failure to comply with a requirement may be an offence.</w:t>
      </w:r>
    </w:p>
    <w:p>
      <w:pPr>
        <w:pStyle w:val="nzHeading5"/>
      </w:pPr>
      <w:bookmarkStart w:id="147" w:name="_Toc436292873"/>
      <w:bookmarkStart w:id="148" w:name="_Toc436314121"/>
      <w:r>
        <w:rPr>
          <w:rStyle w:val="CharSectno"/>
        </w:rPr>
        <w:t>24</w:t>
      </w:r>
      <w:r>
        <w:t>.</w:t>
      </w:r>
      <w:r>
        <w:tab/>
        <w:t>Steps to be taken to perfect transfer</w:t>
      </w:r>
      <w:bookmarkEnd w:id="147"/>
      <w:bookmarkEnd w:id="148"/>
    </w:p>
    <w:p>
      <w:pPr>
        <w:pStyle w:val="nz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nzHeading3"/>
      </w:pPr>
      <w:bookmarkStart w:id="149" w:name="_Toc418506863"/>
      <w:bookmarkStart w:id="150" w:name="_Toc418506964"/>
      <w:bookmarkStart w:id="151" w:name="_Toc418592038"/>
      <w:bookmarkStart w:id="152" w:name="_Toc422488917"/>
      <w:bookmarkStart w:id="153" w:name="_Toc436042798"/>
      <w:bookmarkStart w:id="154" w:name="_Toc436131216"/>
      <w:bookmarkStart w:id="155" w:name="_Toc436217601"/>
      <w:bookmarkStart w:id="156" w:name="_Toc436292874"/>
      <w:bookmarkStart w:id="157" w:name="_Toc436314122"/>
      <w:r>
        <w:rPr>
          <w:rStyle w:val="CharDivNo"/>
        </w:rPr>
        <w:t>Division 2</w:t>
      </w:r>
      <w:r>
        <w:t> — </w:t>
      </w:r>
      <w:r>
        <w:rPr>
          <w:rStyle w:val="CharDivText"/>
        </w:rPr>
        <w:t>Treatment of liabilities</w:t>
      </w:r>
      <w:bookmarkEnd w:id="149"/>
      <w:bookmarkEnd w:id="150"/>
      <w:bookmarkEnd w:id="151"/>
      <w:bookmarkEnd w:id="152"/>
      <w:bookmarkEnd w:id="153"/>
      <w:bookmarkEnd w:id="154"/>
      <w:bookmarkEnd w:id="155"/>
      <w:bookmarkEnd w:id="156"/>
      <w:bookmarkEnd w:id="157"/>
    </w:p>
    <w:p>
      <w:pPr>
        <w:pStyle w:val="nzHeading5"/>
      </w:pPr>
      <w:bookmarkStart w:id="158" w:name="_Toc436292875"/>
      <w:bookmarkStart w:id="159" w:name="_Toc436314123"/>
      <w:r>
        <w:rPr>
          <w:rStyle w:val="CharSectno"/>
        </w:rPr>
        <w:t>25</w:t>
      </w:r>
      <w:r>
        <w:t>.</w:t>
      </w:r>
      <w:r>
        <w:tab/>
        <w:t>Treatment of liabilities</w:t>
      </w:r>
      <w:bookmarkEnd w:id="158"/>
      <w:bookmarkEnd w:id="159"/>
    </w:p>
    <w:p>
      <w:pPr>
        <w:pStyle w:val="nzSubsection"/>
      </w:pPr>
      <w:r>
        <w:tab/>
        <w:t>(1)</w:t>
      </w:r>
      <w:r>
        <w:tab/>
        <w:t>If, immediately before the transfer day, a liability of a WA Bell Company was admissible to proof against the company in the winding up of the company under the Corporations Act Part 5.6, that liability may be proved in accordance with Part 4 Division 2 of this Act.</w:t>
      </w:r>
    </w:p>
    <w:p>
      <w:pPr>
        <w:pStyle w:val="nz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nzSubsection"/>
      </w:pPr>
      <w:r>
        <w:tab/>
        <w:t>(3)</w:t>
      </w:r>
      <w:r>
        <w:tab/>
        <w:t>The liabilities may be proved by the liquidator (or by a creditor of a WA Bell Company or the liquidator if they have not been paid or satisfied) in accordance with Part 4 Division 2.</w:t>
      </w:r>
    </w:p>
    <w:p>
      <w:pPr>
        <w:pStyle w:val="nz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nzSubsection"/>
      </w:pPr>
      <w:r>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nzIndenta"/>
      </w:pPr>
      <w:r>
        <w:tab/>
        <w:t>(a)</w:t>
      </w:r>
      <w:r>
        <w:tab/>
        <w:t>the Authority; or</w:t>
      </w:r>
    </w:p>
    <w:p>
      <w:pPr>
        <w:pStyle w:val="nzIndenta"/>
      </w:pPr>
      <w:r>
        <w:tab/>
        <w:t>(b)</w:t>
      </w:r>
      <w:r>
        <w:tab/>
        <w:t>the Fund; or</w:t>
      </w:r>
    </w:p>
    <w:p>
      <w:pPr>
        <w:pStyle w:val="nzIndenta"/>
      </w:pPr>
      <w:r>
        <w:tab/>
        <w:t>(c)</w:t>
      </w:r>
      <w:r>
        <w:tab/>
        <w:t>a WA Bell Company; or</w:t>
      </w:r>
    </w:p>
    <w:p>
      <w:pPr>
        <w:pStyle w:val="nzIndenta"/>
      </w:pPr>
      <w:r>
        <w:tab/>
        <w:t>(d)</w:t>
      </w:r>
      <w:r>
        <w:tab/>
        <w:t>a liquidator of a WA Bell Company; or</w:t>
      </w:r>
    </w:p>
    <w:p>
      <w:pPr>
        <w:pStyle w:val="nzIndenta"/>
      </w:pPr>
      <w:r>
        <w:tab/>
        <w:t>(e)</w:t>
      </w:r>
      <w:r>
        <w:tab/>
        <w:t>the Administrator; or</w:t>
      </w:r>
    </w:p>
    <w:p>
      <w:pPr>
        <w:pStyle w:val="nzIndenta"/>
      </w:pPr>
      <w:r>
        <w:tab/>
        <w:t>(f)</w:t>
      </w:r>
      <w:r>
        <w:tab/>
        <w:t>the State.</w:t>
      </w:r>
    </w:p>
    <w:p>
      <w:pPr>
        <w:pStyle w:val="nzHeading3"/>
      </w:pPr>
      <w:bookmarkStart w:id="160" w:name="_Toc418506865"/>
      <w:bookmarkStart w:id="161" w:name="_Toc418506966"/>
      <w:bookmarkStart w:id="162" w:name="_Toc418592040"/>
      <w:bookmarkStart w:id="163" w:name="_Toc422488919"/>
      <w:bookmarkStart w:id="164" w:name="_Toc436042800"/>
      <w:bookmarkStart w:id="165" w:name="_Toc436131218"/>
      <w:bookmarkStart w:id="166" w:name="_Toc436217603"/>
      <w:bookmarkStart w:id="167" w:name="_Toc436292876"/>
      <w:bookmarkStart w:id="168" w:name="_Toc436314124"/>
      <w:r>
        <w:rPr>
          <w:rStyle w:val="CharDivNo"/>
        </w:rPr>
        <w:t>Division 3</w:t>
      </w:r>
      <w:r>
        <w:t> — </w:t>
      </w:r>
      <w:r>
        <w:rPr>
          <w:rStyle w:val="CharDivText"/>
        </w:rPr>
        <w:t>Voiding of Agreements</w:t>
      </w:r>
      <w:bookmarkEnd w:id="160"/>
      <w:bookmarkEnd w:id="161"/>
      <w:bookmarkEnd w:id="162"/>
      <w:bookmarkEnd w:id="163"/>
      <w:bookmarkEnd w:id="164"/>
      <w:bookmarkEnd w:id="165"/>
      <w:bookmarkEnd w:id="166"/>
      <w:bookmarkEnd w:id="167"/>
      <w:bookmarkEnd w:id="168"/>
    </w:p>
    <w:p>
      <w:pPr>
        <w:pStyle w:val="nzHeading5"/>
      </w:pPr>
      <w:bookmarkStart w:id="169" w:name="_Toc436292877"/>
      <w:bookmarkStart w:id="170" w:name="_Toc436314125"/>
      <w:r>
        <w:rPr>
          <w:rStyle w:val="CharSectno"/>
        </w:rPr>
        <w:t>26</w:t>
      </w:r>
      <w:r>
        <w:t>.</w:t>
      </w:r>
      <w:r>
        <w:tab/>
        <w:t>Certain agreements voided</w:t>
      </w:r>
      <w:bookmarkEnd w:id="169"/>
      <w:bookmarkEnd w:id="170"/>
    </w:p>
    <w:p>
      <w:pPr>
        <w:pStyle w:val="nzSubsection"/>
      </w:pPr>
      <w:r>
        <w:tab/>
        <w:t>(1)</w:t>
      </w:r>
      <w:r>
        <w:tab/>
        <w:t xml:space="preserve">Each of the following is, and is taken to have always been, void — </w:t>
      </w:r>
    </w:p>
    <w:p>
      <w:pPr>
        <w:pStyle w:val="nzIndenta"/>
      </w:pPr>
      <w:r>
        <w:tab/>
        <w:t>(a)</w:t>
      </w:r>
      <w:r>
        <w:tab/>
        <w:t>the Bell Group Subsidiary Indemnity Agreements;</w:t>
      </w:r>
    </w:p>
    <w:p>
      <w:pPr>
        <w:pStyle w:val="nzIndenta"/>
      </w:pPr>
      <w:r>
        <w:tab/>
        <w:t>(b)</w:t>
      </w:r>
      <w:r>
        <w:tab/>
        <w:t>the BGF AFI;</w:t>
      </w:r>
    </w:p>
    <w:p>
      <w:pPr>
        <w:pStyle w:val="nzIndenta"/>
      </w:pPr>
      <w:r>
        <w:tab/>
        <w:t>(c)</w:t>
      </w:r>
      <w:r>
        <w:tab/>
        <w:t>the BGNV Indemnity;</w:t>
      </w:r>
    </w:p>
    <w:p>
      <w:pPr>
        <w:pStyle w:val="nzIndenta"/>
      </w:pPr>
      <w:r>
        <w:tab/>
        <w:t>(d)</w:t>
      </w:r>
      <w:r>
        <w:tab/>
        <w:t>the BGUK Liquidator’s Indemnity Agreement;</w:t>
      </w:r>
    </w:p>
    <w:p>
      <w:pPr>
        <w:pStyle w:val="nzIndenta"/>
      </w:pPr>
      <w:r>
        <w:tab/>
        <w:t>(e)</w:t>
      </w:r>
      <w:r>
        <w:tab/>
        <w:t>the Gentra Indemnity;</w:t>
      </w:r>
    </w:p>
    <w:p>
      <w:pPr>
        <w:pStyle w:val="nzIndenta"/>
      </w:pPr>
      <w:r>
        <w:tab/>
        <w:t>(f)</w:t>
      </w:r>
      <w:r>
        <w:tab/>
        <w:t>the Indemnity and Distribution Agreement;</w:t>
      </w:r>
    </w:p>
    <w:p>
      <w:pPr>
        <w:pStyle w:val="nzIndenta"/>
      </w:pPr>
      <w:r>
        <w:tab/>
        <w:t>(g)</w:t>
      </w:r>
      <w:r>
        <w:tab/>
        <w:t>the Liquidators’ Indemnity Agreement;</w:t>
      </w:r>
    </w:p>
    <w:p>
      <w:pPr>
        <w:pStyle w:val="nzIndenta"/>
      </w:pPr>
      <w:r>
        <w:tab/>
        <w:t>(h)</w:t>
      </w:r>
      <w:r>
        <w:tab/>
        <w:t>the Main Proceeding Indemnity Agreements;</w:t>
      </w:r>
    </w:p>
    <w:p>
      <w:pPr>
        <w:pStyle w:val="nzIndenta"/>
      </w:pPr>
      <w:r>
        <w:tab/>
        <w:t>(i)</w:t>
      </w:r>
      <w:r>
        <w:tab/>
        <w:t>the PTICA;</w:t>
      </w:r>
    </w:p>
    <w:p>
      <w:pPr>
        <w:pStyle w:val="nzIndenta"/>
      </w:pPr>
      <w:r>
        <w:tab/>
        <w:t>(j)</w:t>
      </w:r>
      <w:r>
        <w:tab/>
        <w:t>the TBGL AFI;</w:t>
      </w:r>
    </w:p>
    <w:p>
      <w:pPr>
        <w:pStyle w:val="nzIndenta"/>
      </w:pPr>
      <w:r>
        <w:tab/>
        <w:t>(k)</w:t>
      </w:r>
      <w:r>
        <w:tab/>
        <w:t>the TBGL Inter</w:t>
      </w:r>
      <w:r>
        <w:noBreakHyphen/>
        <w:t>Creditor Agreement;</w:t>
      </w:r>
    </w:p>
    <w:p>
      <w:pPr>
        <w:pStyle w:val="nzIndenta"/>
      </w:pPr>
      <w:r>
        <w:tab/>
        <w:t>(l)</w:t>
      </w:r>
      <w:r>
        <w:tab/>
        <w:t>the Trust Deed Indemnity Agreements;</w:t>
      </w:r>
    </w:p>
    <w:p>
      <w:pPr>
        <w:pStyle w:val="nzIndenta"/>
      </w:pPr>
      <w:r>
        <w:tab/>
        <w:t>(m)</w:t>
      </w:r>
      <w:r>
        <w:tab/>
        <w:t>the Western Interstate Assignment Agreement;</w:t>
      </w:r>
    </w:p>
    <w:p>
      <w:pPr>
        <w:pStyle w:val="nzIndenta"/>
      </w:pPr>
      <w:r>
        <w:tab/>
        <w:t>(n)</w:t>
      </w:r>
      <w:r>
        <w:tab/>
        <w:t>the Western Interstate Indemnity Agreement;</w:t>
      </w:r>
    </w:p>
    <w:p>
      <w:pPr>
        <w:pStyle w:val="nzIndenta"/>
      </w:pPr>
      <w:r>
        <w:tab/>
        <w:t>(o)</w:t>
      </w:r>
      <w:r>
        <w:tab/>
        <w:t>the Western Interstate Inter</w:t>
      </w:r>
      <w:r>
        <w:noBreakHyphen/>
        <w:t>Creditor Agreement.</w:t>
      </w:r>
    </w:p>
    <w:p>
      <w:pPr>
        <w:pStyle w:val="nz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nzSubsection"/>
      </w:pPr>
      <w:r>
        <w:tab/>
        <w:t>(3)</w:t>
      </w:r>
      <w:r>
        <w:tab/>
        <w:t>The claim that a person, according to the terms of the agreement, had to be repaid, may be proved in accordance with Part 4 Division 2.</w:t>
      </w:r>
    </w:p>
    <w:p>
      <w:pPr>
        <w:pStyle w:val="nzHeading3"/>
        <w:rPr>
          <w:rStyle w:val="CharDivText"/>
        </w:rPr>
      </w:pPr>
      <w:bookmarkStart w:id="171" w:name="_Toc436042802"/>
      <w:bookmarkStart w:id="172" w:name="_Toc436131220"/>
      <w:bookmarkStart w:id="173" w:name="_Toc436217605"/>
      <w:bookmarkStart w:id="174" w:name="_Toc436292878"/>
      <w:bookmarkStart w:id="175" w:name="_Toc436314126"/>
      <w:r>
        <w:rPr>
          <w:rStyle w:val="CharDivNo"/>
        </w:rPr>
        <w:t>Division 4</w:t>
      </w:r>
      <w:r>
        <w:t> — </w:t>
      </w:r>
      <w:r>
        <w:rPr>
          <w:rStyle w:val="CharDivText"/>
        </w:rPr>
        <w:t>Administration of WA Bell Companies</w:t>
      </w:r>
      <w:bookmarkEnd w:id="171"/>
      <w:bookmarkEnd w:id="172"/>
      <w:bookmarkEnd w:id="173"/>
      <w:bookmarkEnd w:id="174"/>
      <w:bookmarkEnd w:id="175"/>
    </w:p>
    <w:p>
      <w:pPr>
        <w:pStyle w:val="nzHeading5"/>
      </w:pPr>
      <w:bookmarkStart w:id="176" w:name="_Toc436292879"/>
      <w:bookmarkStart w:id="177" w:name="_Toc436314127"/>
      <w:r>
        <w:rPr>
          <w:rStyle w:val="CharSectno"/>
        </w:rPr>
        <w:t>27</w:t>
      </w:r>
      <w:r>
        <w:t>.</w:t>
      </w:r>
      <w:r>
        <w:tab/>
        <w:t>Authority to administer WA Bell Companies</w:t>
      </w:r>
      <w:bookmarkEnd w:id="176"/>
      <w:bookmarkEnd w:id="177"/>
    </w:p>
    <w:p>
      <w:pPr>
        <w:pStyle w:val="nzSubsection"/>
      </w:pPr>
      <w:r>
        <w:tab/>
        <w:t>(1)</w:t>
      </w:r>
      <w:r>
        <w:tab/>
        <w:t>The Authority is, by force of this section, the administrator of each WA Bell Company.</w:t>
      </w:r>
    </w:p>
    <w:p>
      <w:pPr>
        <w:pStyle w:val="nzSubsection"/>
      </w:pPr>
      <w:r>
        <w:tab/>
        <w:t>(2)</w:t>
      </w:r>
      <w:r>
        <w:tab/>
        <w:t xml:space="preserve">Subsection (1) has effect — </w:t>
      </w:r>
    </w:p>
    <w:p>
      <w:pPr>
        <w:pStyle w:val="nzIndenta"/>
      </w:pPr>
      <w:r>
        <w:tab/>
        <w:t>(a)</w:t>
      </w:r>
      <w:r>
        <w:tab/>
        <w:t>for a WA Bell Company that was registered immediately before the transfer day — from the beginning of the transfer day; and</w:t>
      </w:r>
    </w:p>
    <w:p>
      <w:pPr>
        <w:pStyle w:val="nzIndenta"/>
      </w:pPr>
      <w:r>
        <w:tab/>
        <w:t>(b)</w:t>
      </w:r>
      <w:r>
        <w:tab/>
        <w:t>for a reinstated WA Bell Company — from the time at which the company’s registration is reinstated.</w:t>
      </w:r>
    </w:p>
    <w:p>
      <w:pPr>
        <w:pStyle w:val="nzSubsection"/>
      </w:pPr>
      <w:r>
        <w:tab/>
        <w:t>(3)</w:t>
      </w:r>
      <w:r>
        <w:tab/>
        <w:t xml:space="preserve">The Authority’s administration of a WA Bell Company ceases on the earlier of — </w:t>
      </w:r>
    </w:p>
    <w:p>
      <w:pPr>
        <w:pStyle w:val="nzIndenta"/>
      </w:pPr>
      <w:r>
        <w:tab/>
        <w:t>(a)</w:t>
      </w:r>
      <w:r>
        <w:tab/>
        <w:t>the dissolution of the company; and</w:t>
      </w:r>
    </w:p>
    <w:p>
      <w:pPr>
        <w:pStyle w:val="nzIndenta"/>
      </w:pPr>
      <w:r>
        <w:tab/>
        <w:t>(b)</w:t>
      </w:r>
      <w:r>
        <w:tab/>
        <w:t>the day specified in a notice given by the Authority to the liquidator (or other officer if there is no liquidator) of the company that the Authority will cease to be the administrator of the company on that day.</w:t>
      </w:r>
    </w:p>
    <w:p>
      <w:pPr>
        <w:pStyle w:val="nzHeading5"/>
      </w:pPr>
      <w:bookmarkStart w:id="178" w:name="_Toc436292880"/>
      <w:bookmarkStart w:id="179" w:name="_Toc436314128"/>
      <w:r>
        <w:rPr>
          <w:rStyle w:val="CharSectno"/>
        </w:rPr>
        <w:t>28</w:t>
      </w:r>
      <w:r>
        <w:t>.</w:t>
      </w:r>
      <w:r>
        <w:tab/>
        <w:t>Role of Authority as administrator of WA Bell Companies</w:t>
      </w:r>
      <w:bookmarkEnd w:id="178"/>
      <w:bookmarkEnd w:id="179"/>
    </w:p>
    <w:p>
      <w:pPr>
        <w:pStyle w:val="nzSubsection"/>
      </w:pPr>
      <w:r>
        <w:tab/>
        <w:t>(1)</w:t>
      </w:r>
      <w:r>
        <w:tab/>
        <w:t xml:space="preserve">While a WA Bell Company is under the administration of the Authority, the Authority — </w:t>
      </w:r>
    </w:p>
    <w:p>
      <w:pPr>
        <w:pStyle w:val="nzIndenta"/>
      </w:pPr>
      <w:r>
        <w:tab/>
        <w:t>(a)</w:t>
      </w:r>
      <w:r>
        <w:tab/>
        <w:t>has control of the company’s property and affairs; and</w:t>
      </w:r>
    </w:p>
    <w:p>
      <w:pPr>
        <w:pStyle w:val="nzIndenta"/>
      </w:pPr>
      <w:r>
        <w:tab/>
        <w:t>(b)</w:t>
      </w:r>
      <w:r>
        <w:tab/>
        <w:t>may manage that property and those affairs; and</w:t>
      </w:r>
    </w:p>
    <w:p>
      <w:pPr>
        <w:pStyle w:val="nzIndenta"/>
      </w:pPr>
      <w:r>
        <w:tab/>
        <w:t>(c)</w:t>
      </w:r>
      <w:r>
        <w:tab/>
        <w:t>may dispose of any of that property; and</w:t>
      </w:r>
    </w:p>
    <w:p>
      <w:pPr>
        <w:pStyle w:val="nzIndenta"/>
      </w:pPr>
      <w:r>
        <w:tab/>
        <w:t>(d)</w:t>
      </w:r>
      <w:r>
        <w:tab/>
        <w:t>may perform any function, and exercise any power, that the company or any of its officers could perform or exercise if the company were not under the administration of the Authority.</w:t>
      </w:r>
    </w:p>
    <w:p>
      <w:pPr>
        <w:pStyle w:val="nzSubsection"/>
      </w:pPr>
      <w:r>
        <w:tab/>
        <w:t>(2)</w:t>
      </w:r>
      <w:r>
        <w:tab/>
        <w:t>Nothing in subsection (1) limits the generality of anything else in it.</w:t>
      </w:r>
    </w:p>
    <w:p>
      <w:pPr>
        <w:pStyle w:val="nzSubsection"/>
      </w:pPr>
      <w:r>
        <w:tab/>
        <w:t>(3)</w:t>
      </w:r>
      <w:r>
        <w:tab/>
        <w:t>Nothing in this section limits any other power of the Authority under this Act or any other written law.</w:t>
      </w:r>
    </w:p>
    <w:p>
      <w:pPr>
        <w:pStyle w:val="nzHeading5"/>
      </w:pPr>
      <w:bookmarkStart w:id="180" w:name="_Toc436292881"/>
      <w:bookmarkStart w:id="181" w:name="_Toc436314129"/>
      <w:r>
        <w:rPr>
          <w:rStyle w:val="CharSectno"/>
        </w:rPr>
        <w:t>29</w:t>
      </w:r>
      <w:r>
        <w:t>.</w:t>
      </w:r>
      <w:r>
        <w:tab/>
        <w:t>Powers of other officers</w:t>
      </w:r>
      <w:bookmarkEnd w:id="180"/>
      <w:bookmarkEnd w:id="181"/>
    </w:p>
    <w:p>
      <w:pPr>
        <w:pStyle w:val="nz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nzSubsection"/>
      </w:pPr>
      <w:r>
        <w:tab/>
        <w:t>(2)</w:t>
      </w:r>
      <w:r>
        <w:tab/>
        <w:t>Subsection (1) does not apply to the extent that the performance or exercise is with the Authority’s written approval or is in the exercise of a power or duty under this Act.</w:t>
      </w:r>
    </w:p>
    <w:p>
      <w:pPr>
        <w:pStyle w:val="nzSubsection"/>
      </w:pPr>
      <w:r>
        <w:tab/>
        <w:t>(3)</w:t>
      </w:r>
      <w:r>
        <w:tab/>
        <w:t>Subsection (1) does not remove a director or the liquidator of a WA Bell Company from his or her office.</w:t>
      </w:r>
    </w:p>
    <w:p>
      <w:pPr>
        <w:pStyle w:val="nzHeading3"/>
      </w:pPr>
      <w:bookmarkStart w:id="182" w:name="_Toc418506867"/>
      <w:bookmarkStart w:id="183" w:name="_Toc418506968"/>
      <w:bookmarkStart w:id="184" w:name="_Toc418592042"/>
      <w:bookmarkStart w:id="185" w:name="_Toc422488921"/>
      <w:bookmarkStart w:id="186" w:name="_Toc436042806"/>
      <w:bookmarkStart w:id="187" w:name="_Toc436131224"/>
      <w:bookmarkStart w:id="188" w:name="_Toc436217609"/>
      <w:bookmarkStart w:id="189" w:name="_Toc436292882"/>
      <w:bookmarkStart w:id="190" w:name="_Toc436314130"/>
      <w:r>
        <w:rPr>
          <w:rStyle w:val="CharDivNo"/>
        </w:rPr>
        <w:t>Division 5</w:t>
      </w:r>
      <w:r>
        <w:t> — </w:t>
      </w:r>
      <w:r>
        <w:rPr>
          <w:rStyle w:val="CharDivText"/>
        </w:rPr>
        <w:t>Dissolution of WA Bell Companies</w:t>
      </w:r>
      <w:bookmarkEnd w:id="182"/>
      <w:bookmarkEnd w:id="183"/>
      <w:bookmarkEnd w:id="184"/>
      <w:bookmarkEnd w:id="185"/>
      <w:bookmarkEnd w:id="186"/>
      <w:bookmarkEnd w:id="187"/>
      <w:bookmarkEnd w:id="188"/>
      <w:bookmarkEnd w:id="189"/>
      <w:bookmarkEnd w:id="190"/>
    </w:p>
    <w:p>
      <w:pPr>
        <w:pStyle w:val="nzHeading5"/>
      </w:pPr>
      <w:bookmarkStart w:id="191" w:name="_Toc436292883"/>
      <w:bookmarkStart w:id="192" w:name="_Toc436314131"/>
      <w:r>
        <w:rPr>
          <w:rStyle w:val="CharSectno"/>
        </w:rPr>
        <w:t>30</w:t>
      </w:r>
      <w:r>
        <w:t>.</w:t>
      </w:r>
      <w:r>
        <w:tab/>
        <w:t>Dissolution of companies</w:t>
      </w:r>
      <w:bookmarkEnd w:id="191"/>
      <w:bookmarkEnd w:id="192"/>
    </w:p>
    <w:p>
      <w:pPr>
        <w:pStyle w:val="nzSubsection"/>
      </w:pPr>
      <w:r>
        <w:tab/>
        <w:t>(1)</w:t>
      </w:r>
      <w:r>
        <w:tab/>
        <w:t>The Governor may, by proclamation, dissolve a WA Bell Company.</w:t>
      </w:r>
    </w:p>
    <w:p>
      <w:pPr>
        <w:pStyle w:val="nzSubsection"/>
      </w:pPr>
      <w:r>
        <w:tab/>
        <w:t>(2)</w:t>
      </w:r>
      <w:r>
        <w:tab/>
        <w:t>On dissolution, the WA Bell Company ceases to exist.</w:t>
      </w:r>
    </w:p>
    <w:p>
      <w:pPr>
        <w:pStyle w:val="nz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nz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nzIndenta"/>
      </w:pPr>
      <w:r>
        <w:tab/>
        <w:t>(a)</w:t>
      </w:r>
      <w:r>
        <w:tab/>
        <w:t>to which the company was a party; or</w:t>
      </w:r>
    </w:p>
    <w:p>
      <w:pPr>
        <w:pStyle w:val="nzIndenta"/>
      </w:pPr>
      <w:r>
        <w:tab/>
        <w:t>(b)</w:t>
      </w:r>
      <w:r>
        <w:tab/>
        <w:t>that was given to, or in favour of, the company; or</w:t>
      </w:r>
    </w:p>
    <w:p>
      <w:pPr>
        <w:pStyle w:val="nzIndenta"/>
      </w:pPr>
      <w:r>
        <w:tab/>
        <w:t>(c)</w:t>
      </w:r>
      <w:r>
        <w:tab/>
        <w:t>that refers to the company; or</w:t>
      </w:r>
    </w:p>
    <w:p>
      <w:pPr>
        <w:pStyle w:val="nzIndenta"/>
      </w:pPr>
      <w:r>
        <w:tab/>
        <w:t>(d)</w:t>
      </w:r>
      <w:r>
        <w:tab/>
        <w:t>that refers to the liquidator of the company, but to which the liquidator is not a party.</w:t>
      </w:r>
    </w:p>
    <w:p>
      <w:pPr>
        <w:pStyle w:val="nzSubsection"/>
      </w:pPr>
      <w:r>
        <w:tab/>
        <w:t>(5)</w:t>
      </w:r>
      <w:r>
        <w:tab/>
        <w:t xml:space="preserve">The agreement or instrument continues to have effect according to its tenor on and after the dissolution as if a reference in it to — </w:t>
      </w:r>
    </w:p>
    <w:p>
      <w:pPr>
        <w:pStyle w:val="nzIndenta"/>
      </w:pPr>
      <w:r>
        <w:tab/>
        <w:t>(a)</w:t>
      </w:r>
      <w:r>
        <w:tab/>
        <w:t>the WA Bell Company were a reference to the Authority; and</w:t>
      </w:r>
    </w:p>
    <w:p>
      <w:pPr>
        <w:pStyle w:val="nzIndenta"/>
      </w:pPr>
      <w:r>
        <w:tab/>
        <w:t>(b)</w:t>
      </w:r>
      <w:r>
        <w:tab/>
        <w:t>the liquidator were a reference to the Authority.</w:t>
      </w:r>
    </w:p>
    <w:p>
      <w:pPr>
        <w:pStyle w:val="nzHeading3"/>
      </w:pPr>
      <w:bookmarkStart w:id="193" w:name="_Toc418506869"/>
      <w:bookmarkStart w:id="194" w:name="_Toc418506970"/>
      <w:bookmarkStart w:id="195" w:name="_Toc418592044"/>
      <w:bookmarkStart w:id="196" w:name="_Toc422488923"/>
      <w:bookmarkStart w:id="197" w:name="_Toc436042808"/>
      <w:bookmarkStart w:id="198" w:name="_Toc436131226"/>
      <w:bookmarkStart w:id="199" w:name="_Toc436217611"/>
      <w:bookmarkStart w:id="200" w:name="_Toc436292884"/>
      <w:bookmarkStart w:id="201" w:name="_Toc436314132"/>
      <w:r>
        <w:rPr>
          <w:rStyle w:val="CharDivNo"/>
        </w:rPr>
        <w:t>Division 6</w:t>
      </w:r>
      <w:r>
        <w:t> — </w:t>
      </w:r>
      <w:r>
        <w:rPr>
          <w:rStyle w:val="CharDivText"/>
        </w:rPr>
        <w:t>Miscellaneous</w:t>
      </w:r>
      <w:bookmarkEnd w:id="193"/>
      <w:bookmarkEnd w:id="194"/>
      <w:bookmarkEnd w:id="195"/>
      <w:bookmarkEnd w:id="196"/>
      <w:bookmarkEnd w:id="197"/>
      <w:bookmarkEnd w:id="198"/>
      <w:bookmarkEnd w:id="199"/>
      <w:bookmarkEnd w:id="200"/>
      <w:bookmarkEnd w:id="201"/>
    </w:p>
    <w:p>
      <w:pPr>
        <w:pStyle w:val="nzHeading5"/>
      </w:pPr>
      <w:bookmarkStart w:id="202" w:name="_Toc436292885"/>
      <w:bookmarkStart w:id="203" w:name="_Toc436314133"/>
      <w:r>
        <w:rPr>
          <w:rStyle w:val="CharSectno"/>
        </w:rPr>
        <w:t>31</w:t>
      </w:r>
      <w:r>
        <w:t>.</w:t>
      </w:r>
      <w:r>
        <w:tab/>
        <w:t>Registration of documents to show effect of this Part</w:t>
      </w:r>
      <w:bookmarkEnd w:id="202"/>
      <w:bookmarkEnd w:id="203"/>
    </w:p>
    <w:p>
      <w:pPr>
        <w:pStyle w:val="nzSubsection"/>
      </w:pPr>
      <w:r>
        <w:tab/>
        <w:t>(1)</w:t>
      </w:r>
      <w:r>
        <w:tab/>
        <w:t>In this section —</w:t>
      </w:r>
    </w:p>
    <w:p>
      <w:pPr>
        <w:pStyle w:val="nzDefstart"/>
      </w:pPr>
      <w:r>
        <w:tab/>
      </w:r>
      <w:r>
        <w:rPr>
          <w:rStyle w:val="CharDefText"/>
        </w:rPr>
        <w:t>relevant official</w:t>
      </w:r>
      <w:r>
        <w:t xml:space="preserve"> means —</w:t>
      </w:r>
    </w:p>
    <w:p>
      <w:pPr>
        <w:pStyle w:val="nzDefpara"/>
      </w:pPr>
      <w:r>
        <w:tab/>
        <w:t>(a)</w:t>
      </w:r>
      <w:r>
        <w:tab/>
        <w:t>the Registrar of Titles; or</w:t>
      </w:r>
    </w:p>
    <w:p>
      <w:pPr>
        <w:pStyle w:val="nzDefpara"/>
      </w:pPr>
      <w:r>
        <w:tab/>
        <w:t>(b)</w:t>
      </w:r>
      <w:r>
        <w:tab/>
        <w:t>the Registrar of Deeds and Transfers; or</w:t>
      </w:r>
    </w:p>
    <w:p>
      <w:pPr>
        <w:pStyle w:val="nzDefpara"/>
      </w:pPr>
      <w:r>
        <w:tab/>
        <w:t>(c)</w:t>
      </w:r>
      <w:r>
        <w:tab/>
        <w:t>any other person authorised by a written law to record and give effect to the registration of documents relating to transactions affecting relevant property; or</w:t>
      </w:r>
    </w:p>
    <w:p>
      <w:pPr>
        <w:pStyle w:val="nz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nz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nzSubsection"/>
      </w:pPr>
      <w:r>
        <w:tab/>
        <w:t>(2)</w:t>
      </w:r>
      <w:r>
        <w:tab/>
        <w:t>The Administrator may give a copy of a certificate under section 22(12) to a relevant official.</w:t>
      </w:r>
    </w:p>
    <w:p>
      <w:pPr>
        <w:pStyle w:val="nz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nzHeading2"/>
      </w:pPr>
      <w:bookmarkStart w:id="204" w:name="_Toc418506871"/>
      <w:bookmarkStart w:id="205" w:name="_Toc418506972"/>
      <w:bookmarkStart w:id="206" w:name="_Toc418592046"/>
      <w:bookmarkStart w:id="207" w:name="_Toc422488925"/>
      <w:bookmarkStart w:id="208" w:name="_Toc436042810"/>
      <w:bookmarkStart w:id="209" w:name="_Toc436131228"/>
      <w:bookmarkStart w:id="210" w:name="_Toc436217613"/>
      <w:bookmarkStart w:id="211" w:name="_Toc436292886"/>
      <w:bookmarkStart w:id="212" w:name="_Toc436314134"/>
      <w:r>
        <w:rPr>
          <w:rStyle w:val="CharPartNo"/>
        </w:rPr>
        <w:t>Part 4</w:t>
      </w:r>
      <w:r>
        <w:t> — </w:t>
      </w:r>
      <w:r>
        <w:rPr>
          <w:rStyle w:val="CharPartText"/>
        </w:rPr>
        <w:t>Completion of winding up of WA Bell Companies</w:t>
      </w:r>
      <w:bookmarkEnd w:id="204"/>
      <w:bookmarkEnd w:id="205"/>
      <w:bookmarkEnd w:id="206"/>
      <w:bookmarkEnd w:id="207"/>
      <w:bookmarkEnd w:id="208"/>
      <w:bookmarkEnd w:id="209"/>
      <w:bookmarkEnd w:id="210"/>
      <w:bookmarkEnd w:id="211"/>
      <w:bookmarkEnd w:id="212"/>
    </w:p>
    <w:p>
      <w:pPr>
        <w:pStyle w:val="nzHeading3"/>
        <w:rPr>
          <w:rStyle w:val="CharDivText"/>
        </w:rPr>
      </w:pPr>
      <w:bookmarkStart w:id="213" w:name="_Toc436042811"/>
      <w:bookmarkStart w:id="214" w:name="_Toc436131229"/>
      <w:bookmarkStart w:id="215" w:name="_Toc436217614"/>
      <w:bookmarkStart w:id="216" w:name="_Toc436292887"/>
      <w:bookmarkStart w:id="217" w:name="_Toc436314135"/>
      <w:bookmarkStart w:id="218" w:name="_Toc418506872"/>
      <w:bookmarkStart w:id="219" w:name="_Toc418506973"/>
      <w:bookmarkStart w:id="220" w:name="_Toc418592047"/>
      <w:bookmarkStart w:id="221" w:name="_Toc422488926"/>
      <w:r>
        <w:rPr>
          <w:rStyle w:val="CharDivNo"/>
        </w:rPr>
        <w:t>Division 1</w:t>
      </w:r>
      <w:r>
        <w:t> — </w:t>
      </w:r>
      <w:r>
        <w:rPr>
          <w:rStyle w:val="CharDivText"/>
        </w:rPr>
        <w:t>Application of this Part</w:t>
      </w:r>
      <w:bookmarkEnd w:id="213"/>
      <w:bookmarkEnd w:id="214"/>
      <w:bookmarkEnd w:id="215"/>
      <w:bookmarkEnd w:id="216"/>
      <w:bookmarkEnd w:id="217"/>
    </w:p>
    <w:p>
      <w:pPr>
        <w:pStyle w:val="nzHeading5"/>
      </w:pPr>
      <w:bookmarkStart w:id="222" w:name="_Toc436292888"/>
      <w:bookmarkStart w:id="223" w:name="_Toc436314136"/>
      <w:r>
        <w:rPr>
          <w:rStyle w:val="CharSectno"/>
        </w:rPr>
        <w:t>32</w:t>
      </w:r>
      <w:r>
        <w:t>.</w:t>
      </w:r>
      <w:r>
        <w:tab/>
        <w:t>Application of this Part in relation to certain interests</w:t>
      </w:r>
      <w:bookmarkEnd w:id="222"/>
      <w:bookmarkEnd w:id="223"/>
    </w:p>
    <w:p>
      <w:pPr>
        <w:pStyle w:val="nzSubsection"/>
      </w:pPr>
      <w:r>
        <w:tab/>
        <w:t>(1)</w:t>
      </w:r>
      <w:r>
        <w:tab/>
        <w:t xml:space="preserve">In relation to a liability referred to in section 25(3), this Part has effect as if — </w:t>
      </w:r>
    </w:p>
    <w:p>
      <w:pPr>
        <w:pStyle w:val="nzIndenta"/>
      </w:pPr>
      <w:r>
        <w:tab/>
        <w:t>(a)</w:t>
      </w:r>
      <w:r>
        <w:tab/>
        <w:t>the liability were, immediately before the transfer day, a liability of the WA Bell Company referred to in section 25(2) in relation to the liability; and</w:t>
      </w:r>
    </w:p>
    <w:p>
      <w:pPr>
        <w:pStyle w:val="nzIndenta"/>
      </w:pPr>
      <w:r>
        <w:tab/>
        <w:t>(b)</w:t>
      </w:r>
      <w:r>
        <w:tab/>
        <w:t>the person who, immediately before the transfer day, had the benefit of the liability were, immediately before the transfer day, a creditor of the WA Bell Company.</w:t>
      </w:r>
    </w:p>
    <w:p>
      <w:pPr>
        <w:pStyle w:val="nz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nzIndenta"/>
      </w:pPr>
      <w:r>
        <w:tab/>
        <w:t>(a)</w:t>
      </w:r>
      <w:r>
        <w:tab/>
        <w:t>the interest were, immediately before the transfer day, a liability of the WA Bell Company; and</w:t>
      </w:r>
    </w:p>
    <w:p>
      <w:pPr>
        <w:pStyle w:val="nzIndenta"/>
      </w:pPr>
      <w:r>
        <w:tab/>
        <w:t>(b)</w:t>
      </w:r>
      <w:r>
        <w:tab/>
        <w:t>the person who, immediately before the transfer day, had the benefit of the interest were, immediately before the transfer day, a creditor of the WA Bell Company.</w:t>
      </w:r>
    </w:p>
    <w:p>
      <w:pPr>
        <w:pStyle w:val="nz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nzIndenta"/>
      </w:pPr>
      <w:r>
        <w:tab/>
        <w:t>(a)</w:t>
      </w:r>
      <w:r>
        <w:tab/>
        <w:t>the interest were, immediately before the transfer day, a liability of each WA Bell Company; and</w:t>
      </w:r>
    </w:p>
    <w:p>
      <w:pPr>
        <w:pStyle w:val="nzIndenta"/>
      </w:pPr>
      <w:r>
        <w:tab/>
        <w:t>(b)</w:t>
      </w:r>
      <w:r>
        <w:tab/>
        <w:t>the person who, immediately before the transfer day, had the benefit of the interest were, immediately before the transfer day, a creditor of each WA Bell Company.</w:t>
      </w:r>
    </w:p>
    <w:p>
      <w:pPr>
        <w:pStyle w:val="nzSubsection"/>
      </w:pPr>
      <w:r>
        <w:tab/>
        <w:t>(4)</w:t>
      </w:r>
      <w:r>
        <w:tab/>
        <w:t xml:space="preserve">In relation to a claim referred to in section 26(3), this Part has effect as if — </w:t>
      </w:r>
    </w:p>
    <w:p>
      <w:pPr>
        <w:pStyle w:val="nzIndenta"/>
      </w:pPr>
      <w:r>
        <w:tab/>
        <w:t>(a)</w:t>
      </w:r>
      <w:r>
        <w:tab/>
        <w:t>the claim were, immediately before the transfer day, a liability of the WA Bell Company referred to in section 26(2) in relation to the claim; and</w:t>
      </w:r>
    </w:p>
    <w:p>
      <w:pPr>
        <w:pStyle w:val="nzIndenta"/>
      </w:pPr>
      <w:r>
        <w:tab/>
        <w:t>(b)</w:t>
      </w:r>
      <w:r>
        <w:tab/>
        <w:t>the person who, immediately before the transfer day, had the benefit of the claim were, immediately before the transfer day, a creditor of the WA Bell Company.</w:t>
      </w:r>
    </w:p>
    <w:p>
      <w:pPr>
        <w:pStyle w:val="nzSubsection"/>
      </w:pPr>
      <w:r>
        <w:tab/>
        <w:t>(5)</w:t>
      </w:r>
      <w:r>
        <w:tab/>
        <w:t>If the Authority determines, under section 37, that an interest to which subsection (3) applies is a liability of each WA Bell Company, each company is jointly and severally liable.</w:t>
      </w:r>
    </w:p>
    <w:p>
      <w:pPr>
        <w:pStyle w:val="nzHeading3"/>
      </w:pPr>
      <w:bookmarkStart w:id="224" w:name="_Toc436042813"/>
      <w:bookmarkStart w:id="225" w:name="_Toc436131231"/>
      <w:bookmarkStart w:id="226" w:name="_Toc436217616"/>
      <w:bookmarkStart w:id="227" w:name="_Toc436292889"/>
      <w:bookmarkStart w:id="228" w:name="_Toc436314137"/>
      <w:r>
        <w:rPr>
          <w:rStyle w:val="CharDivNo"/>
        </w:rPr>
        <w:t>Division 2</w:t>
      </w:r>
      <w:r>
        <w:t> — </w:t>
      </w:r>
      <w:r>
        <w:rPr>
          <w:rStyle w:val="CharDivText"/>
        </w:rPr>
        <w:t>Information gathering</w:t>
      </w:r>
      <w:bookmarkEnd w:id="218"/>
      <w:bookmarkEnd w:id="219"/>
      <w:bookmarkEnd w:id="220"/>
      <w:bookmarkEnd w:id="221"/>
      <w:bookmarkEnd w:id="224"/>
      <w:bookmarkEnd w:id="225"/>
      <w:bookmarkEnd w:id="226"/>
      <w:bookmarkEnd w:id="227"/>
      <w:bookmarkEnd w:id="228"/>
    </w:p>
    <w:p>
      <w:pPr>
        <w:pStyle w:val="nzHeading5"/>
      </w:pPr>
      <w:bookmarkStart w:id="229" w:name="_Toc436292890"/>
      <w:bookmarkStart w:id="230" w:name="_Toc436314138"/>
      <w:r>
        <w:rPr>
          <w:rStyle w:val="CharSectno"/>
        </w:rPr>
        <w:t>33</w:t>
      </w:r>
      <w:r>
        <w:t>.</w:t>
      </w:r>
      <w:r>
        <w:tab/>
        <w:t>Requirements on liquidator</w:t>
      </w:r>
      <w:bookmarkEnd w:id="229"/>
      <w:bookmarkEnd w:id="230"/>
    </w:p>
    <w:p>
      <w:pPr>
        <w:pStyle w:val="nz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nzIndenta"/>
      </w:pPr>
      <w:r>
        <w:tab/>
        <w:t>(a)</w:t>
      </w:r>
      <w:r>
        <w:tab/>
        <w:t>this Act had not been passed; and</w:t>
      </w:r>
    </w:p>
    <w:p>
      <w:pPr>
        <w:pStyle w:val="nzIndenta"/>
      </w:pPr>
      <w:r>
        <w:tab/>
        <w:t>(b)</w:t>
      </w:r>
      <w:r>
        <w:tab/>
        <w:t>the liquidator had ceased to act as liquidator on the transfer day.</w:t>
      </w:r>
    </w:p>
    <w:p>
      <w:pPr>
        <w:pStyle w:val="nzSubsection"/>
      </w:pPr>
      <w:r>
        <w:tab/>
        <w:t>(2)</w:t>
      </w:r>
      <w:r>
        <w:tab/>
        <w:t>The Authority may cause the account and statement to be audited by a registered company auditor (as defined in the Corporations Act section 9), who must prepare a report on the account and the statement (if any).</w:t>
      </w:r>
    </w:p>
    <w:p>
      <w:pPr>
        <w:pStyle w:val="nzSubsection"/>
      </w:pPr>
      <w:r>
        <w:tab/>
        <w:t>(3)</w:t>
      </w:r>
      <w:r>
        <w:tab/>
        <w:t>For the purposes of the audit, the liquidator must give the auditor any books and information that the auditor requires.</w:t>
      </w:r>
    </w:p>
    <w:p>
      <w:pPr>
        <w:pStyle w:val="nzSubsection"/>
      </w:pPr>
      <w:r>
        <w:tab/>
        <w:t>(4)</w:t>
      </w:r>
      <w:r>
        <w:tab/>
        <w:t>The auditor has qualified privilege in relation to a report prepared by the auditor under subsection (2) to the same extent as the auditor would have if the report were one prepared under the Corporations Act section 539.</w:t>
      </w:r>
    </w:p>
    <w:p>
      <w:pPr>
        <w:pStyle w:val="nzSubsection"/>
      </w:pPr>
      <w:r>
        <w:tab/>
        <w:t>(5)</w:t>
      </w:r>
      <w:r>
        <w:tab/>
        <w:t xml:space="preserve">The costs of an audit under subsection (2) — </w:t>
      </w:r>
    </w:p>
    <w:p>
      <w:pPr>
        <w:pStyle w:val="nzIndenta"/>
      </w:pPr>
      <w:r>
        <w:tab/>
        <w:t>(a)</w:t>
      </w:r>
      <w:r>
        <w:tab/>
        <w:t>must be fixed by the Authority; and</w:t>
      </w:r>
    </w:p>
    <w:p>
      <w:pPr>
        <w:pStyle w:val="nzIndenta"/>
      </w:pPr>
      <w:r>
        <w:tab/>
        <w:t>(b)</w:t>
      </w:r>
      <w:r>
        <w:tab/>
        <w:t>form part of the expenses of the administration of this Act.</w:t>
      </w:r>
    </w:p>
    <w:p>
      <w:pPr>
        <w:pStyle w:val="nzSubsection"/>
      </w:pPr>
      <w:r>
        <w:tab/>
        <w:t>(6)</w:t>
      </w:r>
      <w:r>
        <w:tab/>
        <w:t>If the Authority causes an account, or an account and statement, to be audited under subsection (2), the Authority must give the liquidator a copy of the report.</w:t>
      </w:r>
    </w:p>
    <w:p>
      <w:pPr>
        <w:pStyle w:val="nz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nz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nzIndenta"/>
      </w:pPr>
      <w:r>
        <w:tab/>
        <w:t>(a)</w:t>
      </w:r>
      <w:r>
        <w:tab/>
        <w:t>all property vested in the company, including property held by it on trust for any person;</w:t>
      </w:r>
    </w:p>
    <w:p>
      <w:pPr>
        <w:pStyle w:val="nzIndenta"/>
      </w:pPr>
      <w:r>
        <w:tab/>
        <w:t>(b)</w:t>
      </w:r>
      <w:r>
        <w:tab/>
        <w:t>all property held by any person (including the liquidator) on behalf of or on trust for the company;</w:t>
      </w:r>
    </w:p>
    <w:p>
      <w:pPr>
        <w:pStyle w:val="nzIndenta"/>
      </w:pPr>
      <w:r>
        <w:tab/>
        <w:t>(c)</w:t>
      </w:r>
      <w:r>
        <w:tab/>
        <w:t>all property held by the liquidator referred to in section 22(1)(c);</w:t>
      </w:r>
    </w:p>
    <w:p>
      <w:pPr>
        <w:pStyle w:val="nzIndenta"/>
      </w:pPr>
      <w:r>
        <w:tab/>
        <w:t>(d)</w:t>
      </w:r>
      <w:r>
        <w:tab/>
        <w:t>any liability of the company.</w:t>
      </w:r>
    </w:p>
    <w:p>
      <w:pPr>
        <w:pStyle w:val="nzSubsection"/>
      </w:pPr>
      <w:r>
        <w:tab/>
        <w:t>(9)</w:t>
      </w:r>
      <w:r>
        <w:tab/>
        <w:t>The report must be in the form, and contain the information, specified by the Authority.</w:t>
      </w:r>
    </w:p>
    <w:p>
      <w:pPr>
        <w:pStyle w:val="nzSubsection"/>
      </w:pPr>
      <w:r>
        <w:tab/>
        <w:t>(10)</w:t>
      </w:r>
      <w:r>
        <w:tab/>
        <w:t>A liquidator of a WA Bell Company must comply with a notice under subsection (8) within 14 days after receiving it.</w:t>
      </w:r>
    </w:p>
    <w:p>
      <w:pPr>
        <w:pStyle w:val="nzSubsection"/>
      </w:pPr>
      <w:r>
        <w:tab/>
        <w:t>(11)</w:t>
      </w:r>
      <w:r>
        <w:tab/>
        <w:t>A liquidator of a WA Bell Company has qualified privilege in making a report under subsection (8) and in relation to any fact or matter stated in the report.</w:t>
      </w:r>
    </w:p>
    <w:p>
      <w:pPr>
        <w:pStyle w:val="nzSubsection"/>
      </w:pPr>
      <w:r>
        <w:tab/>
        <w:t>(12)</w:t>
      </w:r>
      <w:r>
        <w:tab/>
        <w:t>This section has effect in relation to a reinstated WA Bell Company as if references in it to the transfer day were references to the day on which the registration of the company was reinstated.</w:t>
      </w:r>
    </w:p>
    <w:p>
      <w:pPr>
        <w:pStyle w:val="nzHeading5"/>
      </w:pPr>
      <w:bookmarkStart w:id="231" w:name="_Toc436292891"/>
      <w:bookmarkStart w:id="232" w:name="_Toc436314139"/>
      <w:r>
        <w:rPr>
          <w:rStyle w:val="CharSectno"/>
        </w:rPr>
        <w:t>34</w:t>
      </w:r>
      <w:r>
        <w:t>.</w:t>
      </w:r>
      <w:r>
        <w:tab/>
        <w:t>Call for proof of liabilities</w:t>
      </w:r>
      <w:bookmarkEnd w:id="231"/>
      <w:bookmarkEnd w:id="232"/>
    </w:p>
    <w:p>
      <w:pPr>
        <w:pStyle w:val="nz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nz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nzSubsection"/>
      </w:pPr>
      <w:r>
        <w:tab/>
        <w:t>(3)</w:t>
      </w:r>
      <w:r>
        <w:tab/>
        <w:t>The Authority may also publish the notice referred to in subsection (2) by any other means that the Authority thinks necessary to bring it to the attention of the persons referred to in that subsection.</w:t>
      </w:r>
    </w:p>
    <w:p>
      <w:pPr>
        <w:pStyle w:val="nzSubsection"/>
      </w:pPr>
      <w:r>
        <w:tab/>
        <w:t>(4)</w:t>
      </w:r>
      <w:r>
        <w:tab/>
        <w:t xml:space="preserve">The Authority must specify in a notice under subsection (1) or (2) — </w:t>
      </w:r>
    </w:p>
    <w:p>
      <w:pPr>
        <w:pStyle w:val="nzIndenta"/>
      </w:pPr>
      <w:r>
        <w:tab/>
        <w:t>(a)</w:t>
      </w:r>
      <w:r>
        <w:tab/>
        <w:t>the manner in which a liability may be proved; or</w:t>
      </w:r>
    </w:p>
    <w:p>
      <w:pPr>
        <w:pStyle w:val="nzIndenta"/>
      </w:pPr>
      <w:r>
        <w:tab/>
        <w:t>(b)</w:t>
      </w:r>
      <w:r>
        <w:tab/>
        <w:t>how that manner may be ascertained.</w:t>
      </w:r>
    </w:p>
    <w:p>
      <w:pPr>
        <w:pStyle w:val="nzHeading3"/>
      </w:pPr>
      <w:bookmarkStart w:id="233" w:name="_Toc418506875"/>
      <w:bookmarkStart w:id="234" w:name="_Toc418506976"/>
      <w:bookmarkStart w:id="235" w:name="_Toc418592050"/>
      <w:bookmarkStart w:id="236" w:name="_Toc422488929"/>
      <w:bookmarkStart w:id="237" w:name="_Toc436042816"/>
      <w:bookmarkStart w:id="238" w:name="_Toc436131234"/>
      <w:bookmarkStart w:id="239" w:name="_Toc436217619"/>
      <w:bookmarkStart w:id="240" w:name="_Toc436292892"/>
      <w:bookmarkStart w:id="241" w:name="_Toc436314140"/>
      <w:r>
        <w:rPr>
          <w:rStyle w:val="CharDivNo"/>
        </w:rPr>
        <w:t>Division 3</w:t>
      </w:r>
      <w:r>
        <w:t> — </w:t>
      </w:r>
      <w:r>
        <w:rPr>
          <w:rStyle w:val="CharDivText"/>
        </w:rPr>
        <w:t>Reports and recommendations by the Authority</w:t>
      </w:r>
      <w:bookmarkEnd w:id="233"/>
      <w:bookmarkEnd w:id="234"/>
      <w:bookmarkEnd w:id="235"/>
      <w:bookmarkEnd w:id="236"/>
      <w:bookmarkEnd w:id="237"/>
      <w:bookmarkEnd w:id="238"/>
      <w:bookmarkEnd w:id="239"/>
      <w:bookmarkEnd w:id="240"/>
      <w:bookmarkEnd w:id="241"/>
    </w:p>
    <w:p>
      <w:pPr>
        <w:pStyle w:val="nzHeading5"/>
      </w:pPr>
      <w:bookmarkStart w:id="242" w:name="_Toc436292893"/>
      <w:bookmarkStart w:id="243" w:name="_Toc436314141"/>
      <w:r>
        <w:rPr>
          <w:rStyle w:val="CharSectno"/>
        </w:rPr>
        <w:t>35</w:t>
      </w:r>
      <w:r>
        <w:t>.</w:t>
      </w:r>
      <w:r>
        <w:tab/>
        <w:t>Role of the Authority</w:t>
      </w:r>
      <w:bookmarkEnd w:id="242"/>
      <w:bookmarkEnd w:id="243"/>
    </w:p>
    <w:p>
      <w:pPr>
        <w:pStyle w:val="nzSubsection"/>
      </w:pPr>
      <w:r>
        <w:tab/>
      </w:r>
      <w:r>
        <w:tab/>
        <w:t xml:space="preserve">The role of the Authority under this Division is to — </w:t>
      </w:r>
    </w:p>
    <w:p>
      <w:pPr>
        <w:pStyle w:val="nzIndenta"/>
      </w:pPr>
      <w:r>
        <w:tab/>
        <w:t>(a)</w:t>
      </w:r>
      <w:r>
        <w:tab/>
        <w:t>determine the property and liabilities of each WA Bell Company, and report to the Minister on that, under sections 37 and 38; and</w:t>
      </w:r>
    </w:p>
    <w:p>
      <w:pPr>
        <w:pStyle w:val="nzIndenta"/>
      </w:pPr>
      <w:r>
        <w:tab/>
        <w:t>(b)</w:t>
      </w:r>
      <w:r>
        <w:tab/>
        <w:t>make recommendations to the Minister under sections 39 and 40.</w:t>
      </w:r>
    </w:p>
    <w:p>
      <w:pPr>
        <w:pStyle w:val="nzHeading5"/>
      </w:pPr>
      <w:bookmarkStart w:id="244" w:name="_Toc436292894"/>
      <w:bookmarkStart w:id="245" w:name="_Toc436314142"/>
      <w:r>
        <w:rPr>
          <w:rStyle w:val="CharSectno"/>
        </w:rPr>
        <w:t>36</w:t>
      </w:r>
      <w:r>
        <w:t>.</w:t>
      </w:r>
      <w:r>
        <w:tab/>
        <w:t>Authority must seek submissions from affected creditors</w:t>
      </w:r>
      <w:bookmarkEnd w:id="244"/>
      <w:bookmarkEnd w:id="245"/>
    </w:p>
    <w:p>
      <w:pPr>
        <w:pStyle w:val="nzSubsection"/>
      </w:pPr>
      <w:r>
        <w:tab/>
        <w:t>(1)</w:t>
      </w:r>
      <w:r>
        <w:tab/>
        <w:t xml:space="preserve">The Authority must comply with this section before — </w:t>
      </w:r>
    </w:p>
    <w:p>
      <w:pPr>
        <w:pStyle w:val="nzIndenta"/>
      </w:pPr>
      <w:r>
        <w:tab/>
        <w:t>(a)</w:t>
      </w:r>
      <w:r>
        <w:tab/>
        <w:t>finalising its determination of the property and liabilities of each WA Bell Company under section 37; and</w:t>
      </w:r>
    </w:p>
    <w:p>
      <w:pPr>
        <w:pStyle w:val="nzIndenta"/>
      </w:pPr>
      <w:r>
        <w:tab/>
        <w:t>(b)</w:t>
      </w:r>
      <w:r>
        <w:tab/>
        <w:t>finalising the recommendations that it is to make to the Minister under sections 39 and 40.</w:t>
      </w:r>
    </w:p>
    <w:p>
      <w:pPr>
        <w:pStyle w:val="nzSubsection"/>
      </w:pPr>
      <w:r>
        <w:tab/>
        <w:t>(2)</w:t>
      </w:r>
      <w:r>
        <w:tab/>
        <w:t xml:space="preserve">The Authority must prepare a document (a </w:t>
      </w:r>
      <w:r>
        <w:rPr>
          <w:rStyle w:val="CharDefText"/>
        </w:rPr>
        <w:t>draft report</w:t>
      </w:r>
      <w:r>
        <w:t xml:space="preserve">) that sets out — </w:t>
      </w:r>
    </w:p>
    <w:p>
      <w:pPr>
        <w:pStyle w:val="nzIndenta"/>
      </w:pPr>
      <w:r>
        <w:tab/>
        <w:t>(a)</w:t>
      </w:r>
      <w:r>
        <w:tab/>
        <w:t>its preliminary determination of the property and liabilities of each WA Bell Company under section 37; and</w:t>
      </w:r>
    </w:p>
    <w:p>
      <w:pPr>
        <w:pStyle w:val="nzIndenta"/>
      </w:pPr>
      <w:r>
        <w:tab/>
        <w:t>(b)</w:t>
      </w:r>
      <w:r>
        <w:tab/>
        <w:t>the recommendations that it is proposing to make to the Minister under sections 39 and 40.</w:t>
      </w:r>
    </w:p>
    <w:p>
      <w:pPr>
        <w:pStyle w:val="nzSubsection"/>
      </w:pPr>
      <w:r>
        <w:tab/>
        <w:t>(3)</w:t>
      </w:r>
      <w:r>
        <w:tab/>
        <w:t>The Authority may prepare more than one draft report.</w:t>
      </w:r>
    </w:p>
    <w:p>
      <w:pPr>
        <w:pStyle w:val="nzSubsection"/>
      </w:pPr>
      <w:r>
        <w:tab/>
        <w:t>(4)</w:t>
      </w:r>
      <w:r>
        <w:tab/>
        <w:t>The Authority must provide each draft report to each person who gave particulars of a liability under section 34.</w:t>
      </w:r>
    </w:p>
    <w:p>
      <w:pPr>
        <w:pStyle w:val="nzSubsection"/>
      </w:pPr>
      <w:r>
        <w:tab/>
        <w:t>(5)</w:t>
      </w:r>
      <w:r>
        <w:tab/>
        <w:t>The first draft report under subsection (2) must be prepared, and provided in accordance with subsection (4), within the period of 150 days beginning on the transfer day.</w:t>
      </w:r>
    </w:p>
    <w:p>
      <w:pPr>
        <w:pStyle w:val="nzSubsection"/>
      </w:pPr>
      <w:r>
        <w:tab/>
        <w:t>(6)</w:t>
      </w:r>
      <w:r>
        <w:tab/>
        <w:t>A person to whom a draft report is provided under subsection (4) may make a written submission to the Authority, within 14 days after receiving the draft report, in respect of any matter relating to that person arising out of the draft report.</w:t>
      </w:r>
    </w:p>
    <w:p>
      <w:pPr>
        <w:pStyle w:val="nzHeading5"/>
      </w:pPr>
      <w:bookmarkStart w:id="246" w:name="_Toc436292895"/>
      <w:bookmarkStart w:id="247" w:name="_Toc436314143"/>
      <w:r>
        <w:rPr>
          <w:rStyle w:val="CharSectno"/>
        </w:rPr>
        <w:t>37</w:t>
      </w:r>
      <w:r>
        <w:t>.</w:t>
      </w:r>
      <w:r>
        <w:tab/>
        <w:t>Determination of property and liabilities</w:t>
      </w:r>
      <w:bookmarkEnd w:id="246"/>
      <w:bookmarkEnd w:id="247"/>
    </w:p>
    <w:p>
      <w:pPr>
        <w:pStyle w:val="nzSubsection"/>
      </w:pPr>
      <w:r>
        <w:tab/>
        <w:t>(1)</w:t>
      </w:r>
      <w:r>
        <w:tab/>
        <w:t>The Authority must determine the property and liabilities of each WA Bell Company.</w:t>
      </w:r>
    </w:p>
    <w:p>
      <w:pPr>
        <w:pStyle w:val="nzSubsection"/>
      </w:pPr>
      <w:r>
        <w:tab/>
        <w:t>(2)</w:t>
      </w:r>
      <w:r>
        <w:tab/>
        <w:t xml:space="preserve">In doing so, the Authority must have regard to — </w:t>
      </w:r>
    </w:p>
    <w:p>
      <w:pPr>
        <w:pStyle w:val="nzIndenta"/>
      </w:pPr>
      <w:r>
        <w:tab/>
        <w:t>(a)</w:t>
      </w:r>
      <w:r>
        <w:tab/>
        <w:t>any account and statement given under section 33(1); and</w:t>
      </w:r>
    </w:p>
    <w:p>
      <w:pPr>
        <w:pStyle w:val="nzIndenta"/>
      </w:pPr>
      <w:r>
        <w:tab/>
        <w:t>(b)</w:t>
      </w:r>
      <w:r>
        <w:tab/>
        <w:t>any books given under section 33(7); and</w:t>
      </w:r>
    </w:p>
    <w:p>
      <w:pPr>
        <w:pStyle w:val="nzIndenta"/>
      </w:pPr>
      <w:r>
        <w:tab/>
        <w:t>(c)</w:t>
      </w:r>
      <w:r>
        <w:tab/>
        <w:t>any report given under section 33(8); and</w:t>
      </w:r>
    </w:p>
    <w:p>
      <w:pPr>
        <w:pStyle w:val="nzIndenta"/>
      </w:pPr>
      <w:r>
        <w:tab/>
        <w:t>(d)</w:t>
      </w:r>
      <w:r>
        <w:tab/>
        <w:t>any particulars of a liability given under section 34; and</w:t>
      </w:r>
    </w:p>
    <w:p>
      <w:pPr>
        <w:pStyle w:val="nzIndenta"/>
      </w:pPr>
      <w:r>
        <w:tab/>
        <w:t>(e)</w:t>
      </w:r>
      <w:r>
        <w:tab/>
        <w:t>any submissions made under section 36(6); and</w:t>
      </w:r>
    </w:p>
    <w:p>
      <w:pPr>
        <w:pStyle w:val="nzIndenta"/>
      </w:pPr>
      <w:r>
        <w:tab/>
        <w:t>(f)</w:t>
      </w:r>
      <w:r>
        <w:tab/>
        <w:t>any other matters that the Authority in its discretion considers appropriate.</w:t>
      </w:r>
    </w:p>
    <w:p>
      <w:pPr>
        <w:pStyle w:val="nzSubsection"/>
      </w:pPr>
      <w:r>
        <w:tab/>
        <w:t>(3)</w:t>
      </w:r>
      <w:r>
        <w:tab/>
        <w:t>The Authority has an absolute discretion in determining the property and liabilities of each WA Bell Company.</w:t>
      </w:r>
    </w:p>
    <w:p>
      <w:pPr>
        <w:pStyle w:val="nzHeading5"/>
      </w:pPr>
      <w:bookmarkStart w:id="248" w:name="_Toc436292896"/>
      <w:bookmarkStart w:id="249" w:name="_Toc436314144"/>
      <w:r>
        <w:rPr>
          <w:rStyle w:val="CharSectno"/>
        </w:rPr>
        <w:t>38</w:t>
      </w:r>
      <w:r>
        <w:t>.</w:t>
      </w:r>
      <w:r>
        <w:tab/>
        <w:t>Reports to the Minister on property and liabilities</w:t>
      </w:r>
      <w:bookmarkEnd w:id="248"/>
      <w:bookmarkEnd w:id="249"/>
    </w:p>
    <w:p>
      <w:pPr>
        <w:pStyle w:val="nzSubsection"/>
      </w:pPr>
      <w:r>
        <w:tab/>
        <w:t>(1)</w:t>
      </w:r>
      <w:r>
        <w:tab/>
        <w:t>The Authority must report to the Minister on the property and liabilities of each WA Bell Company, as finally determined by it under section 37, as soon as practicable after making the determination.</w:t>
      </w:r>
    </w:p>
    <w:p>
      <w:pPr>
        <w:pStyle w:val="nzSubsection"/>
      </w:pPr>
      <w:r>
        <w:tab/>
        <w:t>(2)</w:t>
      </w:r>
      <w:r>
        <w:tab/>
        <w:t>The report under subsection (1) must contain any recommendations of the Authority under section 39 or 40.</w:t>
      </w:r>
    </w:p>
    <w:p>
      <w:pPr>
        <w:pStyle w:val="nz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nzSubsection"/>
      </w:pPr>
      <w:r>
        <w:tab/>
        <w:t>(4)</w:t>
      </w:r>
      <w:r>
        <w:tab/>
        <w:t>The Authority must make a report under subsection (3) if directed to do so by the Minister.</w:t>
      </w:r>
    </w:p>
    <w:p>
      <w:pPr>
        <w:pStyle w:val="nzSubsection"/>
      </w:pPr>
      <w:r>
        <w:tab/>
        <w:t>(5)</w:t>
      </w:r>
      <w:r>
        <w:tab/>
        <w:t>A report under subsection (3) may contain a description of any contingencies and uncertainties and any interim recommendations of the Authority under section 39 or 40.</w:t>
      </w:r>
    </w:p>
    <w:p>
      <w:pPr>
        <w:pStyle w:val="nzSubsection"/>
      </w:pPr>
      <w:r>
        <w:tab/>
        <w:t>(6)</w:t>
      </w:r>
      <w:r>
        <w:tab/>
        <w:t>The Authority has absolute privilege in making a report under this section and in relation to any fact or matter stated in the report.</w:t>
      </w:r>
    </w:p>
    <w:p>
      <w:pPr>
        <w:pStyle w:val="nzSubsection"/>
      </w:pPr>
      <w:r>
        <w:tab/>
        <w:t>(7)</w:t>
      </w:r>
      <w:r>
        <w:tab/>
        <w:t>A failure by the Authority to comply with any provision of this section does not invalidate a report made by it under this section.</w:t>
      </w:r>
    </w:p>
    <w:p>
      <w:pPr>
        <w:pStyle w:val="nzHeading5"/>
      </w:pPr>
      <w:bookmarkStart w:id="250" w:name="_Toc436292897"/>
      <w:bookmarkStart w:id="251" w:name="_Toc436314145"/>
      <w:r>
        <w:rPr>
          <w:rStyle w:val="CharSectno"/>
        </w:rPr>
        <w:t>39</w:t>
      </w:r>
      <w:r>
        <w:t>.</w:t>
      </w:r>
      <w:r>
        <w:tab/>
        <w:t>Recommendations with respect to liabilities</w:t>
      </w:r>
      <w:bookmarkEnd w:id="250"/>
      <w:bookmarkEnd w:id="251"/>
    </w:p>
    <w:p>
      <w:pPr>
        <w:pStyle w:val="nz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nzSubsection"/>
      </w:pPr>
      <w:r>
        <w:tab/>
        <w:t>(2)</w:t>
      </w:r>
      <w:r>
        <w:tab/>
        <w:t xml:space="preserve">In making a recommendation under this section, the Authority — </w:t>
      </w:r>
    </w:p>
    <w:p>
      <w:pPr>
        <w:pStyle w:val="nzIndenta"/>
      </w:pPr>
      <w:r>
        <w:tab/>
        <w:t>(a)</w:t>
      </w:r>
      <w:r>
        <w:tab/>
        <w:t>must have regard to the objects of this Act; and</w:t>
      </w:r>
    </w:p>
    <w:p>
      <w:pPr>
        <w:pStyle w:val="nz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nzIndenta"/>
      </w:pPr>
      <w:r>
        <w:tab/>
        <w:t>(c)</w:t>
      </w:r>
      <w:r>
        <w:tab/>
        <w:t>must have regard to any submissions made under section 36(6); and</w:t>
      </w:r>
    </w:p>
    <w:p>
      <w:pPr>
        <w:pStyle w:val="nz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nzIndenta"/>
      </w:pPr>
      <w:r>
        <w:tab/>
        <w:t>(e)</w:t>
      </w:r>
      <w:r>
        <w:tab/>
        <w:t xml:space="preserve">may have regard to the following — </w:t>
      </w:r>
    </w:p>
    <w:p>
      <w:pPr>
        <w:pStyle w:val="nzIndenti"/>
      </w:pPr>
      <w:r>
        <w:tab/>
        <w:t>(i)</w:t>
      </w:r>
      <w:r>
        <w:tab/>
        <w:t>liabilities under any guarantee or indemnity so as to avoid double recovery;</w:t>
      </w:r>
    </w:p>
    <w:p>
      <w:pPr>
        <w:pStyle w:val="nzIndenti"/>
      </w:pPr>
      <w:r>
        <w:tab/>
        <w:t>(ii)</w:t>
      </w:r>
      <w:r>
        <w:tab/>
        <w:t>the Authority’s assessment of the value of unliquidated liabilities;</w:t>
      </w:r>
    </w:p>
    <w:p>
      <w:pPr>
        <w:pStyle w:val="nzIndenti"/>
      </w:pPr>
      <w:r>
        <w:tab/>
        <w:t>(iii)</w:t>
      </w:r>
      <w:r>
        <w:tab/>
        <w:t>recoveries that might be made by a creditor from subsidiaries of TBGL that are not WA Bell Companies;</w:t>
      </w:r>
    </w:p>
    <w:p>
      <w:pPr>
        <w:pStyle w:val="nzIndenti"/>
      </w:pPr>
      <w:r>
        <w:tab/>
        <w:t>(iv)</w:t>
      </w:r>
      <w:r>
        <w:tab/>
        <w:t>the relative size of each liability and the relative importance of the satisfaction of that liability to the relevant creditor;</w:t>
      </w:r>
    </w:p>
    <w:p>
      <w:pPr>
        <w:pStyle w:val="nzIndenti"/>
      </w:pPr>
      <w:r>
        <w:tab/>
        <w:t>(v)</w:t>
      </w:r>
      <w:r>
        <w:tab/>
        <w:t>the detriment to a creditor of not receiving payment of any liability in full;</w:t>
      </w:r>
    </w:p>
    <w:p>
      <w:pPr>
        <w:pStyle w:val="nzIndenti"/>
      </w:pPr>
      <w:r>
        <w:tab/>
        <w:t>(vi)</w:t>
      </w:r>
      <w:r>
        <w:tab/>
        <w:t>any amount paid by a creditor for the acquisition of, or of any interest in, a liability;</w:t>
      </w:r>
    </w:p>
    <w:p>
      <w:pPr>
        <w:pStyle w:val="nzIndenti"/>
      </w:pPr>
      <w:r>
        <w:tab/>
        <w:t>(vii)</w:t>
      </w:r>
      <w:r>
        <w:tab/>
        <w:t>any recommendation as to the payment of compensation under section 40.</w:t>
      </w:r>
    </w:p>
    <w:p>
      <w:pPr>
        <w:pStyle w:val="nzSubsection"/>
      </w:pPr>
      <w:r>
        <w:tab/>
        <w:t>(3)</w:t>
      </w:r>
      <w:r>
        <w:tab/>
        <w:t>A recommendation in an interim report under section 38(3) is an interim recommendation.</w:t>
      </w:r>
    </w:p>
    <w:p>
      <w:pPr>
        <w:pStyle w:val="nz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nzSubsection"/>
      </w:pPr>
      <w:r>
        <w:tab/>
        <w:t>(5)</w:t>
      </w:r>
      <w:r>
        <w:tab/>
        <w:t>A recommendation need not contain reasons.</w:t>
      </w:r>
    </w:p>
    <w:p>
      <w:pPr>
        <w:pStyle w:val="nzSubsection"/>
      </w:pPr>
      <w:r>
        <w:tab/>
        <w:t>(6)</w:t>
      </w:r>
      <w:r>
        <w:tab/>
        <w:t xml:space="preserve">The Authority has an absolute discretion as to — </w:t>
      </w:r>
    </w:p>
    <w:p>
      <w:pPr>
        <w:pStyle w:val="nzIndenta"/>
      </w:pPr>
      <w:r>
        <w:tab/>
        <w:t>(a)</w:t>
      </w:r>
      <w:r>
        <w:tab/>
        <w:t>the quantification of any liability; and</w:t>
      </w:r>
    </w:p>
    <w:p>
      <w:pPr>
        <w:pStyle w:val="nzIndenta"/>
      </w:pPr>
      <w:r>
        <w:tab/>
        <w:t>(b)</w:t>
      </w:r>
      <w:r>
        <w:tab/>
        <w:t>the amount recommended to be paid to a person or the property recommended to be transferred to, or vested in, a person; and</w:t>
      </w:r>
    </w:p>
    <w:p>
      <w:pPr>
        <w:pStyle w:val="nzIndenta"/>
      </w:pPr>
      <w:r>
        <w:tab/>
        <w:t>(c)</w:t>
      </w:r>
      <w:r>
        <w:tab/>
        <w:t>the priority to give to that payment, transfer or vesting.</w:t>
      </w:r>
    </w:p>
    <w:p>
      <w:pPr>
        <w:pStyle w:val="nzSubsection"/>
      </w:pPr>
      <w:r>
        <w:tab/>
        <w:t>(7)</w:t>
      </w:r>
      <w:r>
        <w:tab/>
        <w:t>Nothing in this section requires that the aggregate value of all money recommended to be paid, and all property recommended to be transferred or vested, under this section must be equal to the value of the money or property held by the Authority or the total liabilities of all WA Bell Companies as determined under section 37.</w:t>
      </w:r>
    </w:p>
    <w:p>
      <w:pPr>
        <w:pStyle w:val="nzSubsection"/>
      </w:pPr>
      <w:r>
        <w:tab/>
        <w:t>(8)</w:t>
      </w:r>
      <w:r>
        <w:tab/>
        <w:t>Nothing in this section creates any right in, or for the benefit of, a creditor of a WA Bell Company or any other person.</w:t>
      </w:r>
    </w:p>
    <w:p>
      <w:pPr>
        <w:pStyle w:val="nzSubsection"/>
      </w:pPr>
      <w:r>
        <w:tab/>
        <w:t>(9)</w:t>
      </w:r>
      <w:r>
        <w:tab/>
        <w:t>The Authority has absolute privilege in making a recommendation under this section and in relation to any fact or matter stated in the recommendation.</w:t>
      </w:r>
    </w:p>
    <w:p>
      <w:pPr>
        <w:pStyle w:val="nzSubsection"/>
      </w:pPr>
      <w:r>
        <w:tab/>
        <w:t>(10)</w:t>
      </w:r>
      <w:r>
        <w:tab/>
        <w:t>A failure by the Authority to comply with any provision of this section does not invalidate a recommendation made by it under this section.</w:t>
      </w:r>
    </w:p>
    <w:p>
      <w:pPr>
        <w:pStyle w:val="nzHeading5"/>
      </w:pPr>
      <w:bookmarkStart w:id="252" w:name="_Toc436292898"/>
      <w:bookmarkStart w:id="253" w:name="_Toc436314146"/>
      <w:r>
        <w:rPr>
          <w:rStyle w:val="CharSectno"/>
        </w:rPr>
        <w:t>40</w:t>
      </w:r>
      <w:r>
        <w:t>.</w:t>
      </w:r>
      <w:r>
        <w:tab/>
        <w:t>Recommendations with respect to funding or indemnities</w:t>
      </w:r>
      <w:bookmarkEnd w:id="252"/>
      <w:bookmarkEnd w:id="253"/>
    </w:p>
    <w:p>
      <w:pPr>
        <w:pStyle w:val="nz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nz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nzSubsection"/>
      </w:pPr>
      <w:r>
        <w:tab/>
        <w:t>(3)</w:t>
      </w:r>
      <w:r>
        <w:tab/>
        <w:t xml:space="preserve">In making a recommendation under subsection (2), the Authority — </w:t>
      </w:r>
    </w:p>
    <w:p>
      <w:pPr>
        <w:pStyle w:val="nzIndenta"/>
      </w:pPr>
      <w:r>
        <w:tab/>
        <w:t>(a)</w:t>
      </w:r>
      <w:r>
        <w:tab/>
        <w:t>must have regard to the objects of this Act; and</w:t>
      </w:r>
    </w:p>
    <w:p>
      <w:pPr>
        <w:pStyle w:val="nz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nzIndenta"/>
      </w:pPr>
      <w:r>
        <w:tab/>
        <w:t>(c)</w:t>
      </w:r>
      <w:r>
        <w:tab/>
        <w:t>must have regard to any submissions made under section 36(6); and</w:t>
      </w:r>
    </w:p>
    <w:p>
      <w:pPr>
        <w:pStyle w:val="nzIndenta"/>
      </w:pPr>
      <w:r>
        <w:tab/>
        <w:t>(d)</w:t>
      </w:r>
      <w:r>
        <w:tab/>
        <w:t xml:space="preserve">may have regard to the following — </w:t>
      </w:r>
    </w:p>
    <w:p>
      <w:pPr>
        <w:pStyle w:val="nzIndenti"/>
      </w:pPr>
      <w:r>
        <w:tab/>
        <w:t>(i)</w:t>
      </w:r>
      <w:r>
        <w:tab/>
        <w:t>the amounts of funding provided;</w:t>
      </w:r>
    </w:p>
    <w:p>
      <w:pPr>
        <w:pStyle w:val="nzIndenti"/>
      </w:pPr>
      <w:r>
        <w:tab/>
        <w:t>(ii)</w:t>
      </w:r>
      <w:r>
        <w:tab/>
        <w:t>the terms of any agreement under which that funding or indemnity was provided (including an agreement made void by this Act);</w:t>
      </w:r>
    </w:p>
    <w:p>
      <w:pPr>
        <w:pStyle w:val="nzIndenti"/>
      </w:pPr>
      <w:r>
        <w:tab/>
        <w:t>(iii)</w:t>
      </w:r>
      <w:r>
        <w:tab/>
        <w:t>the extent of any risks assumed in providing that funding or indemnity (whether or not that indemnity is or ever has been enforceable);</w:t>
      </w:r>
    </w:p>
    <w:p>
      <w:pPr>
        <w:pStyle w:val="nzIndenti"/>
      </w:pPr>
      <w:r>
        <w:tab/>
        <w:t>(iv)</w:t>
      </w:r>
      <w:r>
        <w:tab/>
        <w:t>the extent of the benefit secured, or detriment avoided, by the WA Bell Company and its related bodies corporate on account of the provision of that funding or indemnity;</w:t>
      </w:r>
    </w:p>
    <w:p>
      <w:pPr>
        <w:pStyle w:val="nzIndenti"/>
      </w:pPr>
      <w:r>
        <w:tab/>
        <w:t>(v)</w:t>
      </w:r>
      <w:r>
        <w:tab/>
        <w:t>the extent of any benefits that may be received by the creditor from a related body corporate of a WA Bell Company that is not a WA Bell Company;</w:t>
      </w:r>
    </w:p>
    <w:p>
      <w:pPr>
        <w:pStyle w:val="nzIndenti"/>
      </w:pPr>
      <w:r>
        <w:tab/>
        <w:t>(vi)</w:t>
      </w:r>
      <w:r>
        <w:tab/>
        <w:t>any other matters that it considers relevant.</w:t>
      </w:r>
    </w:p>
    <w:p>
      <w:pPr>
        <w:pStyle w:val="nzSubsection"/>
      </w:pPr>
      <w:r>
        <w:tab/>
        <w:t>(4)</w:t>
      </w:r>
      <w:r>
        <w:tab/>
        <w:t>A recommendation in an interim report under section 38(3) is an interim recommendation.</w:t>
      </w:r>
    </w:p>
    <w:p>
      <w:pPr>
        <w:pStyle w:val="nz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nzSubsection"/>
      </w:pPr>
      <w:r>
        <w:tab/>
        <w:t>(6)</w:t>
      </w:r>
      <w:r>
        <w:tab/>
        <w:t xml:space="preserve">The Authority has an absolute discretion as to — </w:t>
      </w:r>
    </w:p>
    <w:p>
      <w:pPr>
        <w:pStyle w:val="nzIndenta"/>
      </w:pPr>
      <w:r>
        <w:tab/>
        <w:t>(a)</w:t>
      </w:r>
      <w:r>
        <w:tab/>
        <w:t>the quantification of any funding, indemnity, risk, benefit or detriment; and</w:t>
      </w:r>
    </w:p>
    <w:p>
      <w:pPr>
        <w:pStyle w:val="nzIndenta"/>
      </w:pPr>
      <w:r>
        <w:tab/>
        <w:t>(b)</w:t>
      </w:r>
      <w:r>
        <w:tab/>
        <w:t>the amount recommended to be paid to a person or the property recommended to be transferred to, or vested in, a person.</w:t>
      </w:r>
    </w:p>
    <w:p>
      <w:pPr>
        <w:pStyle w:val="nzSubsection"/>
      </w:pPr>
      <w:r>
        <w:tab/>
        <w:t>(7)</w:t>
      </w:r>
      <w:r>
        <w:tab/>
        <w:t xml:space="preserve">A recommendation under subsection (2) may further recommend that any amount payable to a creditor under this Act — </w:t>
      </w:r>
    </w:p>
    <w:p>
      <w:pPr>
        <w:pStyle w:val="nzIndenta"/>
      </w:pPr>
      <w:r>
        <w:tab/>
        <w:t>(a)</w:t>
      </w:r>
      <w:r>
        <w:tab/>
        <w:t>reduce to a specified extent a liability of a WA Bell Company to the creditor; or</w:t>
      </w:r>
    </w:p>
    <w:p>
      <w:pPr>
        <w:pStyle w:val="nzIndenta"/>
      </w:pPr>
      <w:r>
        <w:tab/>
        <w:t>(b)</w:t>
      </w:r>
      <w:r>
        <w:tab/>
        <w:t>be in addition to any amount otherwise payable to the creditor under this Act; or</w:t>
      </w:r>
    </w:p>
    <w:p>
      <w:pPr>
        <w:pStyle w:val="nzIndenta"/>
      </w:pPr>
      <w:r>
        <w:tab/>
        <w:t>(c)</w:t>
      </w:r>
      <w:r>
        <w:tab/>
        <w:t>be in addition to any payments to the creditor in respect of liabilities that are the subject of a recommendation under section 39.</w:t>
      </w:r>
    </w:p>
    <w:p>
      <w:pPr>
        <w:pStyle w:val="nzSubsection"/>
      </w:pPr>
      <w:r>
        <w:tab/>
        <w:t>(8)</w:t>
      </w:r>
      <w:r>
        <w:tab/>
        <w:t>A recommendation need not contain reasons.</w:t>
      </w:r>
    </w:p>
    <w:p>
      <w:pPr>
        <w:pStyle w:val="nzSubsection"/>
      </w:pPr>
      <w:r>
        <w:tab/>
        <w:t>(9)</w:t>
      </w:r>
      <w:r>
        <w:tab/>
        <w:t>Nothing in this section creates any right in, or for the benefit of, a creditor of a WA Bell Company or any other person.</w:t>
      </w:r>
    </w:p>
    <w:p>
      <w:pPr>
        <w:pStyle w:val="nzSubsection"/>
      </w:pPr>
      <w:r>
        <w:tab/>
        <w:t>(10)</w:t>
      </w:r>
      <w:r>
        <w:tab/>
        <w:t>The Authority has absolute privilege in making a recommendation under this section and in relation to any fact or matter stated in the recommendation.</w:t>
      </w:r>
    </w:p>
    <w:p>
      <w:pPr>
        <w:pStyle w:val="nzSubsection"/>
      </w:pPr>
      <w:r>
        <w:tab/>
        <w:t>(11)</w:t>
      </w:r>
      <w:r>
        <w:tab/>
        <w:t>A failure by the Authority to comply with any provision of this section does not invalidate a recommendation made by it under this section.</w:t>
      </w:r>
    </w:p>
    <w:p>
      <w:pPr>
        <w:pStyle w:val="nzHeading3"/>
      </w:pPr>
      <w:bookmarkStart w:id="254" w:name="_Toc418506882"/>
      <w:bookmarkStart w:id="255" w:name="_Toc418506983"/>
      <w:bookmarkStart w:id="256" w:name="_Toc418592057"/>
      <w:bookmarkStart w:id="257" w:name="_Toc422488936"/>
      <w:bookmarkStart w:id="258" w:name="_Toc436042823"/>
      <w:bookmarkStart w:id="259" w:name="_Toc436131241"/>
      <w:bookmarkStart w:id="260" w:name="_Toc436217626"/>
      <w:bookmarkStart w:id="261" w:name="_Toc436292899"/>
      <w:bookmarkStart w:id="262" w:name="_Toc436314147"/>
      <w:r>
        <w:rPr>
          <w:rStyle w:val="CharDivNo"/>
        </w:rPr>
        <w:t>Division 4</w:t>
      </w:r>
      <w:r>
        <w:t> — </w:t>
      </w:r>
      <w:r>
        <w:rPr>
          <w:rStyle w:val="CharDivText"/>
        </w:rPr>
        <w:t>Determinations of the Governor</w:t>
      </w:r>
      <w:bookmarkEnd w:id="254"/>
      <w:bookmarkEnd w:id="255"/>
      <w:bookmarkEnd w:id="256"/>
      <w:bookmarkEnd w:id="257"/>
      <w:bookmarkEnd w:id="258"/>
      <w:bookmarkEnd w:id="259"/>
      <w:bookmarkEnd w:id="260"/>
      <w:bookmarkEnd w:id="261"/>
      <w:bookmarkEnd w:id="262"/>
    </w:p>
    <w:p>
      <w:pPr>
        <w:pStyle w:val="nzHeading5"/>
      </w:pPr>
      <w:bookmarkStart w:id="263" w:name="_Toc436292900"/>
      <w:bookmarkStart w:id="264" w:name="_Toc436314148"/>
      <w:r>
        <w:rPr>
          <w:rStyle w:val="CharSectno"/>
        </w:rPr>
        <w:t>41</w:t>
      </w:r>
      <w:r>
        <w:t>.</w:t>
      </w:r>
      <w:r>
        <w:tab/>
        <w:t>Governor may determine amounts and property: interim determinations</w:t>
      </w:r>
      <w:bookmarkEnd w:id="263"/>
      <w:bookmarkEnd w:id="264"/>
    </w:p>
    <w:p>
      <w:pPr>
        <w:pStyle w:val="nzSubsection"/>
      </w:pPr>
      <w:r>
        <w:tab/>
        <w:t>(1)</w:t>
      </w:r>
      <w:r>
        <w:tab/>
        <w:t>The Minister may submit to the Governor an interim report of the Authority under section 38(3).</w:t>
      </w:r>
    </w:p>
    <w:p>
      <w:pPr>
        <w:pStyle w:val="nzSubsection"/>
      </w:pPr>
      <w:r>
        <w:tab/>
        <w:t>(2)</w:t>
      </w:r>
      <w:r>
        <w:tab/>
        <w:t>The Governor may, by instrument in writing, determine an amount to be paid to, or property to be transferred to or vested in, a person.</w:t>
      </w:r>
    </w:p>
    <w:p>
      <w:pPr>
        <w:pStyle w:val="nzHeading5"/>
      </w:pPr>
      <w:bookmarkStart w:id="265" w:name="_Toc436292901"/>
      <w:bookmarkStart w:id="266" w:name="_Toc436314149"/>
      <w:r>
        <w:rPr>
          <w:rStyle w:val="CharSectno"/>
        </w:rPr>
        <w:t>42</w:t>
      </w:r>
      <w:r>
        <w:t>.</w:t>
      </w:r>
      <w:r>
        <w:tab/>
        <w:t>Governor may determine amounts and property: final determination</w:t>
      </w:r>
      <w:bookmarkEnd w:id="265"/>
      <w:bookmarkEnd w:id="266"/>
    </w:p>
    <w:p>
      <w:pPr>
        <w:pStyle w:val="nzSubsection"/>
      </w:pPr>
      <w:r>
        <w:tab/>
        <w:t>(1)</w:t>
      </w:r>
      <w:r>
        <w:tab/>
        <w:t>The Minister must submit to the Governor the report of the Authority under section 38(1).</w:t>
      </w:r>
    </w:p>
    <w:p>
      <w:pPr>
        <w:pStyle w:val="nzSubsection"/>
      </w:pPr>
      <w:r>
        <w:tab/>
        <w:t>(2)</w:t>
      </w:r>
      <w:r>
        <w:tab/>
        <w:t>The Governor may, by instrument in writing, determine an amount to be paid to, or property to be transferred to or vested in, a person.</w:t>
      </w:r>
    </w:p>
    <w:p>
      <w:pPr>
        <w:pStyle w:val="nzSubsection"/>
      </w:pPr>
      <w:r>
        <w:tab/>
        <w:t>(3)</w:t>
      </w:r>
      <w:r>
        <w:tab/>
        <w:t xml:space="preserve">The amount or amounts to be paid to, and the property to be transferred to or vested in, a person under this Division — </w:t>
      </w:r>
    </w:p>
    <w:p>
      <w:pPr>
        <w:pStyle w:val="nzIndenta"/>
      </w:pPr>
      <w:r>
        <w:tab/>
        <w:t>(a)</w:t>
      </w:r>
      <w:r>
        <w:tab/>
        <w:t>is in respect of the aggregate of all liabilities of all WA Bell Companies to that person as a creditor; and</w:t>
      </w:r>
    </w:p>
    <w:p>
      <w:pPr>
        <w:pStyle w:val="nzIndenta"/>
      </w:pPr>
      <w:r>
        <w:tab/>
        <w:t>(b)</w:t>
      </w:r>
      <w:r>
        <w:tab/>
        <w:t>may be by way of compensation for providing funding or an indemnity.</w:t>
      </w:r>
    </w:p>
    <w:p>
      <w:pPr>
        <w:pStyle w:val="nzHeading5"/>
      </w:pPr>
      <w:bookmarkStart w:id="267" w:name="_Toc436292902"/>
      <w:bookmarkStart w:id="268" w:name="_Toc436314150"/>
      <w:r>
        <w:rPr>
          <w:rStyle w:val="CharSectno"/>
        </w:rPr>
        <w:t>43</w:t>
      </w:r>
      <w:r>
        <w:t>.</w:t>
      </w:r>
      <w:r>
        <w:tab/>
        <w:t>Determinations: general provisions</w:t>
      </w:r>
      <w:bookmarkEnd w:id="267"/>
      <w:bookmarkEnd w:id="268"/>
    </w:p>
    <w:p>
      <w:pPr>
        <w:pStyle w:val="nzSubsection"/>
      </w:pPr>
      <w:r>
        <w:tab/>
        <w:t>(1)</w:t>
      </w:r>
      <w:r>
        <w:tab/>
        <w:t>Nothing in this Act requires the Governor to determine that any amount is to be paid to, or any property is to be transferred to or vested in, any person on any account whatsoever.</w:t>
      </w:r>
    </w:p>
    <w:p>
      <w:pPr>
        <w:pStyle w:val="nz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nzSubsection"/>
      </w:pPr>
      <w:r>
        <w:tab/>
        <w:t>(3)</w:t>
      </w:r>
      <w:r>
        <w:tab/>
        <w:t>The Minister must give a determination of the Governor to the Authority.</w:t>
      </w:r>
    </w:p>
    <w:p>
      <w:pPr>
        <w:pStyle w:val="nzSubsection"/>
      </w:pPr>
      <w:r>
        <w:tab/>
        <w:t>(4)</w:t>
      </w:r>
      <w:r>
        <w:tab/>
        <w:t>A determination need not contain reasons.</w:t>
      </w:r>
    </w:p>
    <w:p>
      <w:pPr>
        <w:pStyle w:val="nzSubsection"/>
      </w:pPr>
      <w:r>
        <w:tab/>
        <w:t>(5)</w:t>
      </w:r>
      <w:r>
        <w:tab/>
        <w:t xml:space="preserve">A determination is not subsidiary legislation for the purposes of the </w:t>
      </w:r>
      <w:r>
        <w:rPr>
          <w:i/>
        </w:rPr>
        <w:t>Interpretation Act 1984</w:t>
      </w:r>
      <w:r>
        <w:t>.</w:t>
      </w:r>
    </w:p>
    <w:p>
      <w:pPr>
        <w:pStyle w:val="nzSubsection"/>
      </w:pPr>
      <w:r>
        <w:tab/>
        <w:t>(6)</w:t>
      </w:r>
      <w:r>
        <w:tab/>
        <w:t>Nothing in this Division creates any right in, or for the benefit of, a creditor of a WA Bell Company or any other person.</w:t>
      </w:r>
    </w:p>
    <w:p>
      <w:pPr>
        <w:pStyle w:val="nzSubsection"/>
      </w:pPr>
      <w:r>
        <w:tab/>
        <w:t>(7)</w:t>
      </w:r>
      <w:r>
        <w:tab/>
        <w:t>The Governor has absolute privilege in making a determination and in relation to any fact or matter stated in it.</w:t>
      </w:r>
    </w:p>
    <w:p>
      <w:pPr>
        <w:pStyle w:val="nz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nzHeading3"/>
      </w:pPr>
      <w:bookmarkStart w:id="269" w:name="_Toc418506884"/>
      <w:bookmarkStart w:id="270" w:name="_Toc418506985"/>
      <w:bookmarkStart w:id="271" w:name="_Toc418592059"/>
      <w:bookmarkStart w:id="272" w:name="_Toc422488938"/>
      <w:bookmarkStart w:id="273" w:name="_Toc436042827"/>
      <w:bookmarkStart w:id="274" w:name="_Toc436131245"/>
      <w:bookmarkStart w:id="275" w:name="_Toc436217630"/>
      <w:bookmarkStart w:id="276" w:name="_Toc436292903"/>
      <w:bookmarkStart w:id="277" w:name="_Toc436314151"/>
      <w:r>
        <w:rPr>
          <w:rStyle w:val="CharDivNo"/>
        </w:rPr>
        <w:t>Division 5</w:t>
      </w:r>
      <w:r>
        <w:t> — </w:t>
      </w:r>
      <w:r>
        <w:rPr>
          <w:rStyle w:val="CharDivText"/>
        </w:rPr>
        <w:t>Giving effect to Governor’s determination</w:t>
      </w:r>
      <w:bookmarkEnd w:id="269"/>
      <w:bookmarkEnd w:id="270"/>
      <w:bookmarkEnd w:id="271"/>
      <w:bookmarkEnd w:id="272"/>
      <w:bookmarkEnd w:id="273"/>
      <w:bookmarkEnd w:id="274"/>
      <w:bookmarkEnd w:id="275"/>
      <w:bookmarkEnd w:id="276"/>
      <w:bookmarkEnd w:id="277"/>
    </w:p>
    <w:p>
      <w:pPr>
        <w:pStyle w:val="nzHeading5"/>
      </w:pPr>
      <w:bookmarkStart w:id="278" w:name="_Toc436292904"/>
      <w:bookmarkStart w:id="279" w:name="_Toc436314152"/>
      <w:r>
        <w:rPr>
          <w:rStyle w:val="CharSectno"/>
        </w:rPr>
        <w:t>44</w:t>
      </w:r>
      <w:r>
        <w:t>.</w:t>
      </w:r>
      <w:r>
        <w:tab/>
        <w:t>Authority to make payments or transfer property</w:t>
      </w:r>
      <w:bookmarkEnd w:id="278"/>
      <w:bookmarkEnd w:id="279"/>
    </w:p>
    <w:p>
      <w:pPr>
        <w:pStyle w:val="nzSubsection"/>
      </w:pPr>
      <w:r>
        <w:tab/>
        <w:t>(1)</w:t>
      </w:r>
      <w:r>
        <w:tab/>
        <w:t xml:space="preserve">Subject to subsection (3), as soon as practicable after receiving a determination of the Governor under Division 4, the Authority must — </w:t>
      </w:r>
    </w:p>
    <w:p>
      <w:pPr>
        <w:pStyle w:val="nzIndenta"/>
      </w:pPr>
      <w:r>
        <w:tab/>
        <w:t>(a)</w:t>
      </w:r>
      <w:r>
        <w:tab/>
        <w:t>notify each person specified in the determination to or in whom the Governor has determined an amount is to be paid or property is to be transferred or vested; and</w:t>
      </w:r>
    </w:p>
    <w:p>
      <w:pPr>
        <w:pStyle w:val="nzIndenta"/>
      </w:pPr>
      <w:r>
        <w:tab/>
        <w:t>(b)</w:t>
      </w:r>
      <w:r>
        <w:tab/>
        <w:t>pay out of the Fund the amounts specified, to the persons specified, in the determination; and</w:t>
      </w:r>
    </w:p>
    <w:p>
      <w:pPr>
        <w:pStyle w:val="nzIndenta"/>
      </w:pPr>
      <w:r>
        <w:tab/>
        <w:t>(c)</w:t>
      </w:r>
      <w:r>
        <w:tab/>
        <w:t>transfer or vest the property specified, to or in the persons specified, in the determination.</w:t>
      </w:r>
    </w:p>
    <w:p>
      <w:pPr>
        <w:pStyle w:val="nzSubsection"/>
      </w:pPr>
      <w:r>
        <w:tab/>
        <w:t>(2)</w:t>
      </w:r>
      <w:r>
        <w:tab/>
        <w:t>The Authority may determine the means by which any payment is to be made.</w:t>
      </w:r>
    </w:p>
    <w:p>
      <w:pPr>
        <w:pStyle w:val="nzSubsection"/>
      </w:pPr>
      <w:r>
        <w:tab/>
        <w:t>(3)</w:t>
      </w:r>
      <w:r>
        <w:tab/>
        <w:t xml:space="preserve">A person is not entitled to have a payment made to them, or property transferred to or vested in them, under this section unless the person gives to the Authority a deed that — </w:t>
      </w:r>
    </w:p>
    <w:p>
      <w:pPr>
        <w:pStyle w:val="nzIndenta"/>
      </w:pPr>
      <w:r>
        <w:tab/>
        <w:t>(a)</w:t>
      </w:r>
      <w:r>
        <w:tab/>
        <w:t>is in the form approved by the Minister; and</w:t>
      </w:r>
    </w:p>
    <w:p>
      <w:pPr>
        <w:pStyle w:val="nzIndenta"/>
      </w:pPr>
      <w:r>
        <w:tab/>
        <w:t>(b)</w:t>
      </w:r>
      <w:r>
        <w:tab/>
        <w:t xml:space="preserve">is executed to the satisfaction of the Authority; and </w:t>
      </w:r>
    </w:p>
    <w:p>
      <w:pPr>
        <w:pStyle w:val="nzIndenta"/>
      </w:pPr>
      <w:r>
        <w:tab/>
        <w:t>(c)</w:t>
      </w:r>
      <w:r>
        <w:tab/>
        <w:t>provides for the release or discharge of any person from any liability that the Minister considers appropriate.</w:t>
      </w:r>
    </w:p>
    <w:p>
      <w:pPr>
        <w:pStyle w:val="nzSubsection"/>
      </w:pPr>
      <w:r>
        <w:tab/>
        <w:t>(4)</w:t>
      </w:r>
      <w:r>
        <w:tab/>
        <w:t>Subsection (5) applies to a person covered by the determination of the Governor under section 42(2).</w:t>
      </w:r>
    </w:p>
    <w:p>
      <w:pPr>
        <w:pStyle w:val="nzSubsection"/>
      </w:pPr>
      <w:r>
        <w:tab/>
        <w:t>(5)</w:t>
      </w:r>
      <w:r>
        <w:tab/>
        <w:t xml:space="preserve">At the end of the period of 3 months beginning on the day on which notice of the determination of the Governor under section 42(2) is given to the person — </w:t>
      </w:r>
    </w:p>
    <w:p>
      <w:pPr>
        <w:pStyle w:val="nzIndenta"/>
      </w:pPr>
      <w:r>
        <w:tab/>
        <w:t>(a)</w:t>
      </w:r>
      <w:r>
        <w:tab/>
        <w:t>every liability of every WA Bell Company to the person is, by force of this Act, discharged and extinguished; and</w:t>
      </w:r>
    </w:p>
    <w:p>
      <w:pPr>
        <w:pStyle w:val="nz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nzSubsection"/>
      </w:pPr>
      <w:r>
        <w:tab/>
        <w:t>(6)</w:t>
      </w:r>
      <w:r>
        <w:tab/>
        <w:t>Subsection (7) applies to a person covered by a determination of the Governor under section 41(2) but not covered by the determination of the Governor under section 42(2).</w:t>
      </w:r>
    </w:p>
    <w:p>
      <w:pPr>
        <w:pStyle w:val="nzSubsection"/>
      </w:pPr>
      <w:r>
        <w:tab/>
        <w:t>(7)</w:t>
      </w:r>
      <w:r>
        <w:tab/>
        <w:t xml:space="preserve">At the end of the period of 3 months beginning on the day on which the Governor makes the determination under section 42(2) — </w:t>
      </w:r>
    </w:p>
    <w:p>
      <w:pPr>
        <w:pStyle w:val="nzIndenta"/>
      </w:pPr>
      <w:r>
        <w:tab/>
        <w:t>(a)</w:t>
      </w:r>
      <w:r>
        <w:tab/>
        <w:t>every liability of every WA Bell Company to the person is, by force of this Act, discharged and extinguished; and</w:t>
      </w:r>
    </w:p>
    <w:p>
      <w:pPr>
        <w:pStyle w:val="nz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nzSubsection"/>
      </w:pPr>
      <w:r>
        <w:tab/>
        <w:t>(8)</w:t>
      </w:r>
      <w:r>
        <w:tab/>
        <w:t>A reference to a person covered by a determination of the Governor is a reference to a person to or in whom the Governor has determined an amount is to be paid or property is to be transferred or vested.</w:t>
      </w:r>
    </w:p>
    <w:p>
      <w:pPr>
        <w:pStyle w:val="nzHeading3"/>
      </w:pPr>
      <w:bookmarkStart w:id="280" w:name="_Toc418506886"/>
      <w:bookmarkStart w:id="281" w:name="_Toc418506987"/>
      <w:bookmarkStart w:id="282" w:name="_Toc418592061"/>
      <w:bookmarkStart w:id="283" w:name="_Toc422488940"/>
      <w:bookmarkStart w:id="284" w:name="_Toc436042829"/>
      <w:bookmarkStart w:id="285" w:name="_Toc436131247"/>
      <w:bookmarkStart w:id="286" w:name="_Toc436217632"/>
      <w:bookmarkStart w:id="287" w:name="_Toc436292905"/>
      <w:bookmarkStart w:id="288" w:name="_Toc436314153"/>
      <w:r>
        <w:rPr>
          <w:rStyle w:val="CharDivNo"/>
        </w:rPr>
        <w:t>Division 6</w:t>
      </w:r>
      <w:r>
        <w:t> — </w:t>
      </w:r>
      <w:r>
        <w:rPr>
          <w:rStyle w:val="CharDivText"/>
        </w:rPr>
        <w:t>Release of Liquidator</w:t>
      </w:r>
      <w:bookmarkEnd w:id="280"/>
      <w:bookmarkEnd w:id="281"/>
      <w:bookmarkEnd w:id="282"/>
      <w:bookmarkEnd w:id="283"/>
      <w:bookmarkEnd w:id="284"/>
      <w:bookmarkEnd w:id="285"/>
      <w:bookmarkEnd w:id="286"/>
      <w:bookmarkEnd w:id="287"/>
      <w:bookmarkEnd w:id="288"/>
    </w:p>
    <w:p>
      <w:pPr>
        <w:pStyle w:val="nzHeading5"/>
      </w:pPr>
      <w:bookmarkStart w:id="289" w:name="_Toc436292906"/>
      <w:bookmarkStart w:id="290" w:name="_Toc436314154"/>
      <w:r>
        <w:rPr>
          <w:rStyle w:val="CharSectno"/>
        </w:rPr>
        <w:t>45</w:t>
      </w:r>
      <w:r>
        <w:t>.</w:t>
      </w:r>
      <w:r>
        <w:tab/>
        <w:t>Release of liquidator</w:t>
      </w:r>
      <w:bookmarkEnd w:id="289"/>
      <w:bookmarkEnd w:id="290"/>
    </w:p>
    <w:p>
      <w:pPr>
        <w:pStyle w:val="nz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nzSubsection"/>
      </w:pPr>
      <w:r>
        <w:tab/>
        <w:t>(2)</w:t>
      </w:r>
      <w:r>
        <w:tab/>
        <w:t>In subsection (1), a reference to something being done includes a decision not to do something or a failure to do something.</w:t>
      </w:r>
    </w:p>
    <w:p>
      <w:pPr>
        <w:pStyle w:val="nzSubsection"/>
      </w:pPr>
      <w:r>
        <w:tab/>
        <w:t>(3)</w:t>
      </w:r>
      <w:r>
        <w:tab/>
        <w:t>This section does not prevent a liquidator making at any time an application under the Corporations Act section 480 for an order that he or she be released.</w:t>
      </w:r>
    </w:p>
    <w:p>
      <w:pPr>
        <w:pStyle w:val="nzHeading2"/>
      </w:pPr>
      <w:bookmarkStart w:id="291" w:name="_Toc418506888"/>
      <w:bookmarkStart w:id="292" w:name="_Toc418506989"/>
      <w:bookmarkStart w:id="293" w:name="_Toc418592063"/>
      <w:bookmarkStart w:id="294" w:name="_Toc422488942"/>
      <w:bookmarkStart w:id="295" w:name="_Toc436042831"/>
      <w:bookmarkStart w:id="296" w:name="_Toc436131249"/>
      <w:bookmarkStart w:id="297" w:name="_Toc436217634"/>
      <w:bookmarkStart w:id="298" w:name="_Toc436292907"/>
      <w:bookmarkStart w:id="299" w:name="_Toc436314155"/>
      <w:r>
        <w:rPr>
          <w:rStyle w:val="CharPartNo"/>
        </w:rPr>
        <w:t>Part 5</w:t>
      </w:r>
      <w:r>
        <w:rPr>
          <w:rStyle w:val="CharDivNo"/>
        </w:rPr>
        <w:t> </w:t>
      </w:r>
      <w:r>
        <w:t>—</w:t>
      </w:r>
      <w:r>
        <w:rPr>
          <w:rStyle w:val="CharDivText"/>
        </w:rPr>
        <w:t> </w:t>
      </w:r>
      <w:r>
        <w:rPr>
          <w:rStyle w:val="CharPartText"/>
        </w:rPr>
        <w:t>Winding up of the Authority and Fund</w:t>
      </w:r>
      <w:bookmarkEnd w:id="291"/>
      <w:bookmarkEnd w:id="292"/>
      <w:bookmarkEnd w:id="293"/>
      <w:bookmarkEnd w:id="294"/>
      <w:bookmarkEnd w:id="295"/>
      <w:bookmarkEnd w:id="296"/>
      <w:bookmarkEnd w:id="297"/>
      <w:bookmarkEnd w:id="298"/>
      <w:bookmarkEnd w:id="299"/>
    </w:p>
    <w:p>
      <w:pPr>
        <w:pStyle w:val="nzHeading5"/>
      </w:pPr>
      <w:bookmarkStart w:id="300" w:name="_Toc436292908"/>
      <w:bookmarkStart w:id="301" w:name="_Toc436314156"/>
      <w:r>
        <w:rPr>
          <w:rStyle w:val="CharSectno"/>
        </w:rPr>
        <w:t>46</w:t>
      </w:r>
      <w:r>
        <w:t>.</w:t>
      </w:r>
      <w:r>
        <w:tab/>
        <w:t>Closure of the Fund</w:t>
      </w:r>
      <w:bookmarkEnd w:id="300"/>
      <w:bookmarkEnd w:id="301"/>
    </w:p>
    <w:p>
      <w:pPr>
        <w:pStyle w:val="nzSubsection"/>
      </w:pPr>
      <w:r>
        <w:tab/>
        <w:t>(1)</w:t>
      </w:r>
      <w:r>
        <w:tab/>
        <w:t>The Fund is closed by force of this section when whichever of the following first occurs —</w:t>
      </w:r>
    </w:p>
    <w:p>
      <w:pPr>
        <w:pStyle w:val="nzIndenta"/>
      </w:pPr>
      <w:r>
        <w:tab/>
        <w:t>(a)</w:t>
      </w:r>
      <w:r>
        <w:tab/>
        <w:t>the Administrator certifies in writing that all money that the Authority is required to pay out of the Fund has been paid;</w:t>
      </w:r>
    </w:p>
    <w:p>
      <w:pPr>
        <w:pStyle w:val="nzIndenta"/>
      </w:pPr>
      <w:r>
        <w:tab/>
        <w:t>(b)</w:t>
      </w:r>
      <w:r>
        <w:tab/>
        <w:t>the end of the period of 6 months beginning on the day on which the Governor makes the determination under section 42(2).</w:t>
      </w:r>
    </w:p>
    <w:p>
      <w:pPr>
        <w:pStyle w:val="nzSubsection"/>
      </w:pPr>
      <w:r>
        <w:tab/>
        <w:t>(2)</w:t>
      </w:r>
      <w:r>
        <w:tab/>
        <w:t>Any money standing to the credit of the Fund when it is closed is to be credited to the Consolidated Account.</w:t>
      </w:r>
    </w:p>
    <w:p>
      <w:pPr>
        <w:pStyle w:val="nzHeading5"/>
      </w:pPr>
      <w:r>
        <w:rPr>
          <w:rStyle w:val="CharSectno"/>
        </w:rPr>
        <w:t>47</w:t>
      </w:r>
      <w:r>
        <w:t>.</w:t>
      </w:r>
      <w:r>
        <w:tab/>
        <w:t>Abolition of Authority</w:t>
      </w:r>
    </w:p>
    <w:p>
      <w:pPr>
        <w:pStyle w:val="nzSubsection"/>
      </w:pPr>
      <w:r>
        <w:tab/>
        <w:t>(1)</w:t>
      </w:r>
      <w:r>
        <w:tab/>
        <w:t>The Authority is abolished.</w:t>
      </w:r>
    </w:p>
    <w:p>
      <w:pPr>
        <w:pStyle w:val="nzSubsection"/>
      </w:pPr>
      <w:r>
        <w:tab/>
        <w:t>(2)</w:t>
      </w:r>
      <w:r>
        <w:tab/>
        <w:t>The office of Administrator is abolished.</w:t>
      </w:r>
    </w:p>
    <w:p>
      <w:pPr>
        <w:pStyle w:val="nzSubsection"/>
      </w:pPr>
      <w:r>
        <w:tab/>
        <w:t>(3)</w:t>
      </w:r>
      <w:r>
        <w:tab/>
        <w:t xml:space="preserve">On the commencement of this section — </w:t>
      </w:r>
    </w:p>
    <w:p>
      <w:pPr>
        <w:pStyle w:val="nzIndenta"/>
      </w:pPr>
      <w:r>
        <w:tab/>
        <w:t>(a)</w:t>
      </w:r>
      <w:r>
        <w:tab/>
        <w:t>any property that, immediately before that commencement, was vested in the Authority vests in the State by force of this section; and</w:t>
      </w:r>
    </w:p>
    <w:p>
      <w:pPr>
        <w:pStyle w:val="nzIndenta"/>
      </w:pPr>
      <w:r>
        <w:tab/>
        <w:t>(b)</w:t>
      </w:r>
      <w:r>
        <w:tab/>
        <w:t>any liabilities that, immediately before that commencement, were liabilities of the Authority (other than a liability to make a payment or to transfer or vest property in accordance with section 44) become liabilities of the State; and</w:t>
      </w:r>
    </w:p>
    <w:p>
      <w:pPr>
        <w:pStyle w:val="nzIndenta"/>
      </w:pPr>
      <w:r>
        <w:tab/>
        <w:t>(c)</w:t>
      </w:r>
      <w:r>
        <w:tab/>
        <w:t xml:space="preserve">any proceeding or remedy that, immediately before that commencement, might have been brought or continued by or available against or to the Authority may be brought or continued by and is available against or to the State; and </w:t>
      </w:r>
    </w:p>
    <w:p>
      <w:pPr>
        <w:pStyle w:val="nzIndenta"/>
      </w:pPr>
      <w:r>
        <w:tab/>
        <w:t>(d)</w:t>
      </w:r>
      <w:r>
        <w:tab/>
        <w:t>all records and data of the Authority pass to the Minister.</w:t>
      </w:r>
    </w:p>
    <w:p>
      <w:pPr>
        <w:pStyle w:val="nzSubsection"/>
      </w:pPr>
      <w:r>
        <w:tab/>
        <w:t>(4)</w:t>
      </w:r>
      <w:r>
        <w:tab/>
        <w:t xml:space="preserve">Any agreement or instrument (other than one to which section 30(5) applies) in existence immediately before the commencement of this section to which the Authority is a party or that contains a reference to the Authority has effect on and after that commencement as if — </w:t>
      </w:r>
    </w:p>
    <w:p>
      <w:pPr>
        <w:pStyle w:val="nzIndenta"/>
      </w:pPr>
      <w:r>
        <w:tab/>
        <w:t>(a)</w:t>
      </w:r>
      <w:r>
        <w:tab/>
        <w:t>the State were substituted for the Authority as a party to the agreement or instrument; and</w:t>
      </w:r>
    </w:p>
    <w:p>
      <w:pPr>
        <w:pStyle w:val="nzIndenta"/>
      </w:pPr>
      <w:r>
        <w:tab/>
        <w:t>(b)</w:t>
      </w:r>
      <w:r>
        <w:tab/>
        <w:t>any reference in the agreement or instrument to the Authority (unless the context otherwise requires) were a reference to, or included a reference to, the State.</w:t>
      </w:r>
    </w:p>
    <w:p>
      <w:pPr>
        <w:pStyle w:val="nzHeading5"/>
      </w:pPr>
      <w:bookmarkStart w:id="302" w:name="_Toc436292910"/>
      <w:bookmarkStart w:id="303" w:name="_Toc436314158"/>
      <w:r>
        <w:rPr>
          <w:rStyle w:val="CharSectno"/>
        </w:rPr>
        <w:t>48</w:t>
      </w:r>
      <w:r>
        <w:t>.</w:t>
      </w:r>
      <w:r>
        <w:tab/>
        <w:t>Vesting of property in the State</w:t>
      </w:r>
      <w:bookmarkEnd w:id="302"/>
      <w:bookmarkEnd w:id="303"/>
    </w:p>
    <w:p>
      <w:pPr>
        <w:pStyle w:val="nzSubsection"/>
      </w:pPr>
      <w:r>
        <w:tab/>
        <w:t>(1)</w:t>
      </w:r>
      <w:r>
        <w:tab/>
        <w:t>Any property of a WA Bell Company accruing, payable or vesting after the closing of the Fund accrues and is payable to or vests in the State.</w:t>
      </w:r>
    </w:p>
    <w:p>
      <w:pPr>
        <w:pStyle w:val="nzSubsection"/>
      </w:pPr>
      <w:r>
        <w:tab/>
        <w:t>(2)</w:t>
      </w:r>
      <w:r>
        <w:tab/>
        <w:t>Subject to this Act, the receipt of any money or property by the State under this Part is a receipt by it for its benefit absolutely and not on behalf of any other person or body.</w:t>
      </w:r>
    </w:p>
    <w:p>
      <w:pPr>
        <w:pStyle w:val="nzHeading5"/>
      </w:pPr>
      <w:bookmarkStart w:id="304" w:name="_Toc436292911"/>
      <w:bookmarkStart w:id="305" w:name="_Toc436314159"/>
      <w:r>
        <w:rPr>
          <w:rStyle w:val="CharSectno"/>
        </w:rPr>
        <w:t>49</w:t>
      </w:r>
      <w:r>
        <w:t>.</w:t>
      </w:r>
      <w:r>
        <w:tab/>
        <w:t>Reports on Authority’s functions</w:t>
      </w:r>
      <w:bookmarkEnd w:id="304"/>
      <w:bookmarkEnd w:id="305"/>
    </w:p>
    <w:p>
      <w:pPr>
        <w:pStyle w:val="nzSubsection"/>
      </w:pPr>
      <w:r>
        <w:tab/>
        <w:t>(1)</w:t>
      </w:r>
      <w:r>
        <w:tab/>
        <w:t xml:space="preserve">The Administrator must — </w:t>
      </w:r>
    </w:p>
    <w:p>
      <w:pPr>
        <w:pStyle w:val="nz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nzIndenta"/>
      </w:pPr>
      <w:r>
        <w:tab/>
        <w:t>(b)</w:t>
      </w:r>
      <w:r>
        <w:tab/>
        <w:t>prior to the abolition of the Authority — prepare a final report on how the Administrator carried out the Authority’s functions as outlined in section 9.</w:t>
      </w:r>
    </w:p>
    <w:p>
      <w:pPr>
        <w:pStyle w:val="nzSubsection"/>
      </w:pPr>
      <w:r>
        <w:tab/>
        <w:t>(2)</w:t>
      </w:r>
      <w:r>
        <w:tab/>
        <w:t xml:space="preserve">The final report under subsection (1)(b) must — </w:t>
      </w:r>
    </w:p>
    <w:p>
      <w:pPr>
        <w:pStyle w:val="nzIndenta"/>
      </w:pPr>
      <w:r>
        <w:tab/>
        <w:t>(a)</w:t>
      </w:r>
      <w:r>
        <w:tab/>
        <w:t>set out each recommendation of the Authority under sections 39 and 40; and</w:t>
      </w:r>
    </w:p>
    <w:p>
      <w:pPr>
        <w:pStyle w:val="nzIndenta"/>
      </w:pPr>
      <w:r>
        <w:tab/>
        <w:t>(b)</w:t>
      </w:r>
      <w:r>
        <w:tab/>
        <w:t>set out each determination of the Governor under Part 4 Division 4; and</w:t>
      </w:r>
    </w:p>
    <w:p>
      <w:pPr>
        <w:pStyle w:val="nz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nzSubsection"/>
      </w:pPr>
      <w:r>
        <w:tab/>
        <w:t>(3)</w:t>
      </w:r>
      <w:r>
        <w:tab/>
        <w:t>A report under subsection (1) need not contain reasons in relation to the matters referred to in subsection (2).</w:t>
      </w:r>
    </w:p>
    <w:p>
      <w:pPr>
        <w:pStyle w:val="nzSubsection"/>
      </w:pPr>
      <w:r>
        <w:tab/>
        <w:t>(4)</w:t>
      </w:r>
      <w:r>
        <w:tab/>
        <w:t xml:space="preserve">The Minister is to cause to be laid before each House of Parliament — </w:t>
      </w:r>
    </w:p>
    <w:p>
      <w:pPr>
        <w:pStyle w:val="nzIndenta"/>
      </w:pPr>
      <w:r>
        <w:tab/>
        <w:t>(a)</w:t>
      </w:r>
      <w:r>
        <w:tab/>
        <w:t>a report under subsection (1)(a) within 6 sitting days after the preparation of the report; and</w:t>
      </w:r>
    </w:p>
    <w:p>
      <w:pPr>
        <w:pStyle w:val="nzIndenta"/>
      </w:pPr>
      <w:r>
        <w:tab/>
        <w:t>(b)</w:t>
      </w:r>
      <w:r>
        <w:tab/>
        <w:t>the final report under subsection (1)(b) within 6 sitting days after the day on which the Authority is abolished.</w:t>
      </w:r>
    </w:p>
    <w:p>
      <w:pPr>
        <w:pStyle w:val="nzHeading2"/>
      </w:pPr>
      <w:bookmarkStart w:id="306" w:name="_Toc418506892"/>
      <w:bookmarkStart w:id="307" w:name="_Toc418506993"/>
      <w:bookmarkStart w:id="308" w:name="_Toc418592067"/>
      <w:bookmarkStart w:id="309" w:name="_Toc422488947"/>
      <w:bookmarkStart w:id="310" w:name="_Toc436042836"/>
      <w:bookmarkStart w:id="311" w:name="_Toc436131254"/>
      <w:bookmarkStart w:id="312" w:name="_Toc436217639"/>
      <w:bookmarkStart w:id="313" w:name="_Toc436292912"/>
      <w:bookmarkStart w:id="314" w:name="_Toc436314160"/>
      <w:r>
        <w:rPr>
          <w:rStyle w:val="CharPartNo"/>
        </w:rPr>
        <w:t>Part 6</w:t>
      </w:r>
      <w:r>
        <w:rPr>
          <w:rStyle w:val="CharDivNo"/>
        </w:rPr>
        <w:t> </w:t>
      </w:r>
      <w:r>
        <w:t>—</w:t>
      </w:r>
      <w:r>
        <w:rPr>
          <w:rStyle w:val="CharDivText"/>
        </w:rPr>
        <w:t> </w:t>
      </w:r>
      <w:r>
        <w:rPr>
          <w:rStyle w:val="CharPartText"/>
        </w:rPr>
        <w:t>Application of Corporations Act</w:t>
      </w:r>
      <w:bookmarkEnd w:id="306"/>
      <w:bookmarkEnd w:id="307"/>
      <w:bookmarkEnd w:id="308"/>
      <w:bookmarkEnd w:id="309"/>
      <w:bookmarkEnd w:id="310"/>
      <w:bookmarkEnd w:id="311"/>
      <w:bookmarkEnd w:id="312"/>
      <w:bookmarkEnd w:id="313"/>
      <w:bookmarkEnd w:id="314"/>
    </w:p>
    <w:p>
      <w:pPr>
        <w:pStyle w:val="nzHeading5"/>
      </w:pPr>
      <w:bookmarkStart w:id="315" w:name="_Toc436292913"/>
      <w:bookmarkStart w:id="316" w:name="_Toc436314161"/>
      <w:r>
        <w:rPr>
          <w:rStyle w:val="CharSectno"/>
        </w:rPr>
        <w:t>50</w:t>
      </w:r>
      <w:r>
        <w:t>.</w:t>
      </w:r>
      <w:r>
        <w:tab/>
        <w:t>Terms used</w:t>
      </w:r>
      <w:bookmarkEnd w:id="315"/>
      <w:bookmarkEnd w:id="316"/>
    </w:p>
    <w:p>
      <w:pPr>
        <w:pStyle w:val="nzSubsection"/>
      </w:pPr>
      <w:r>
        <w:tab/>
      </w:r>
      <w:r>
        <w:tab/>
        <w:t xml:space="preserve">In this Part — </w:t>
      </w:r>
    </w:p>
    <w:p>
      <w:pPr>
        <w:pStyle w:val="nzDefstart"/>
      </w:pPr>
      <w:r>
        <w:tab/>
      </w:r>
      <w:r>
        <w:rPr>
          <w:rStyle w:val="CharDefText"/>
        </w:rPr>
        <w:t>Corporations legislation</w:t>
      </w:r>
      <w:r>
        <w:t xml:space="preserve"> means the Corporations legislation to which the Corporations Act Part 1.1A applies;</w:t>
      </w:r>
    </w:p>
    <w:p>
      <w:pPr>
        <w:pStyle w:val="nz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p>
    <w:p>
      <w:pPr>
        <w:pStyle w:val="nzHeading5"/>
      </w:pPr>
      <w:bookmarkStart w:id="317" w:name="_Toc436292914"/>
      <w:bookmarkStart w:id="318" w:name="_Toc436314162"/>
      <w:r>
        <w:rPr>
          <w:rStyle w:val="CharSectno"/>
        </w:rPr>
        <w:t>51</w:t>
      </w:r>
      <w:r>
        <w:t>.</w:t>
      </w:r>
      <w:r>
        <w:tab/>
        <w:t>WA Bell Companies excluded from Corporations legislation</w:t>
      </w:r>
      <w:bookmarkEnd w:id="317"/>
      <w:bookmarkEnd w:id="318"/>
    </w:p>
    <w:p>
      <w:pPr>
        <w:pStyle w:val="nzSubsection"/>
      </w:pPr>
      <w:r>
        <w:tab/>
        <w:t>(1)</w:t>
      </w:r>
      <w:r>
        <w:tab/>
        <w:t>Each WA Bell Company is declared to be an excluded matter for the purposes of the Corporations Act section 5F in relation to the whole of the Corporations legislation, other than to the extent specified in subsections (2) and (3).</w:t>
      </w:r>
    </w:p>
    <w:p>
      <w:pPr>
        <w:pStyle w:val="nz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nzIndenta"/>
      </w:pPr>
      <w:r>
        <w:tab/>
        <w:t>(a)</w:t>
      </w:r>
      <w:r>
        <w:tab/>
        <w:t>provisions relating to a matter that the regulations provide is not to be excluded from the operation of the Corporations legislation;</w:t>
      </w:r>
    </w:p>
    <w:p>
      <w:pPr>
        <w:pStyle w:val="nzIndenta"/>
      </w:pPr>
      <w:r>
        <w:tab/>
        <w:t>(b)</w:t>
      </w:r>
      <w:r>
        <w:tab/>
        <w:t>provisions relating to the role of a WA Bell Company in the formation of, or the holding of shares in, a company that is not a WA Bell Company.</w:t>
      </w:r>
    </w:p>
    <w:p>
      <w:pPr>
        <w:pStyle w:val="nzSubsection"/>
      </w:pPr>
      <w:r>
        <w:tab/>
        <w:t>(3)</w:t>
      </w:r>
      <w:r>
        <w:tab/>
        <w:t xml:space="preserve">Subsection (1) does not apply to the extent necessary to enable — </w:t>
      </w:r>
    </w:p>
    <w:p>
      <w:pPr>
        <w:pStyle w:val="nzIndenta"/>
      </w:pPr>
      <w:r>
        <w:tab/>
        <w:t>(a)</w:t>
      </w:r>
      <w:r>
        <w:tab/>
        <w:t>a WA Bell Company that is dissolved under section 30 to be deregistered under the Corporations Act;</w:t>
      </w:r>
    </w:p>
    <w:p>
      <w:pPr>
        <w:pStyle w:val="nzIndenta"/>
      </w:pPr>
      <w:r>
        <w:tab/>
        <w:t>(b)</w:t>
      </w:r>
      <w:r>
        <w:tab/>
        <w:t>a liquidator of a WA Bell Company that is dissolved under section 30 to apply for an order that he or she be released;</w:t>
      </w:r>
    </w:p>
    <w:p>
      <w:pPr>
        <w:pStyle w:val="nzIndenta"/>
      </w:pPr>
      <w:r>
        <w:tab/>
        <w:t>(c)</w:t>
      </w:r>
      <w:r>
        <w:tab/>
        <w:t>the registration of a WA Bell Company to be reinstated, and (without limiting that) the functions in the Corporations Act section 601AH to be performed and the matters provided for in that section to occur.</w:t>
      </w:r>
    </w:p>
    <w:p>
      <w:pPr>
        <w:pStyle w:val="nzHeading5"/>
      </w:pPr>
      <w:bookmarkStart w:id="319" w:name="_Toc436292915"/>
      <w:bookmarkStart w:id="320" w:name="_Toc436314163"/>
      <w:r>
        <w:rPr>
          <w:rStyle w:val="CharSectno"/>
        </w:rPr>
        <w:t>52</w:t>
      </w:r>
      <w:r>
        <w:t>.</w:t>
      </w:r>
      <w:r>
        <w:tab/>
        <w:t>Displacement of certain provisions of Corporations legislation</w:t>
      </w:r>
      <w:bookmarkEnd w:id="319"/>
      <w:bookmarkEnd w:id="320"/>
    </w:p>
    <w:p>
      <w:pPr>
        <w:pStyle w:val="nzSubsection"/>
      </w:pPr>
      <w:r>
        <w:tab/>
        <w:t>(1)</w:t>
      </w:r>
      <w:r>
        <w:tab/>
        <w:t>This section has effect if, and to the extent that, an excluded Corporations legislation provision has any application, as a law of the Commonwealth, in relation to a WA Bell Company.</w:t>
      </w:r>
    </w:p>
    <w:p>
      <w:pPr>
        <w:pStyle w:val="nzSubsection"/>
      </w:pPr>
      <w:r>
        <w:tab/>
        <w:t>(2)</w:t>
      </w:r>
      <w:r>
        <w:tab/>
        <w:t>The provisions of Parts 3, 4 and 5 and sections 55 and 56(3) are declared to be Corporations legislation displacement provisions for the purposes of the Corporations Act section 5G in relation to the Corporations legislation.</w:t>
      </w:r>
    </w:p>
    <w:p>
      <w:pPr>
        <w:pStyle w:val="nzHeading5"/>
      </w:pPr>
      <w:bookmarkStart w:id="321" w:name="_Toc436292916"/>
      <w:bookmarkStart w:id="322" w:name="_Toc436314164"/>
      <w:r>
        <w:rPr>
          <w:rStyle w:val="CharSectno"/>
        </w:rPr>
        <w:t>53</w:t>
      </w:r>
      <w:r>
        <w:t>.</w:t>
      </w:r>
      <w:r>
        <w:tab/>
        <w:t>Applying the Corporations legislation to WA Bell Companies</w:t>
      </w:r>
      <w:bookmarkEnd w:id="321"/>
      <w:bookmarkEnd w:id="322"/>
    </w:p>
    <w:p>
      <w:pPr>
        <w:pStyle w:val="nzSubsection"/>
      </w:pPr>
      <w:r>
        <w:tab/>
        <w:t>(1)</w:t>
      </w:r>
      <w:r>
        <w:tab/>
        <w:t xml:space="preserve">The regulations may declare a matter relating to a WA Bell Company to be an applied Corporations legislation matter for the purposes of the </w:t>
      </w:r>
      <w:r>
        <w:rPr>
          <w:i/>
        </w:rPr>
        <w:t>Corporations (Ancillary Provisions) 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nzSubsection"/>
      </w:pPr>
      <w:r>
        <w:tab/>
        <w:t>(2)</w:t>
      </w:r>
      <w:r>
        <w:tab/>
        <w:t xml:space="preserve">Without limiting subsection (1), the regulations may do any one or more of the following — </w:t>
      </w:r>
    </w:p>
    <w:p>
      <w:pPr>
        <w:pStyle w:val="nzIndenta"/>
      </w:pPr>
      <w:r>
        <w:tab/>
        <w:t>(a)</w:t>
      </w:r>
      <w:r>
        <w:tab/>
        <w:t>specify modifications to the definitions and other interpretive provisions of the Corporations legislation relevant to any Corporations legislation provision to which the declaration relates;</w:t>
      </w:r>
    </w:p>
    <w:p>
      <w:pPr>
        <w:pStyle w:val="nzIndenta"/>
      </w:pPr>
      <w:r>
        <w:tab/>
        <w:t>(b)</w:t>
      </w:r>
      <w:r>
        <w:tab/>
        <w:t>provide for ASIC to exercise a function under any Corporations legislation to which the declaration relates, but only if —</w:t>
      </w:r>
    </w:p>
    <w:p>
      <w:pPr>
        <w:pStyle w:val="nz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nzIndenti"/>
      </w:pPr>
      <w:r>
        <w:tab/>
        <w:t>(ii)</w:t>
      </w:r>
      <w:r>
        <w:tab/>
        <w:t xml:space="preserve">ASIC is authorised to exercise that function under section 11 of that Act; </w:t>
      </w:r>
    </w:p>
    <w:p>
      <w:pPr>
        <w:pStyle w:val="nzIndenta"/>
      </w:pPr>
      <w:r>
        <w:tab/>
        <w:t>(c)</w:t>
      </w:r>
      <w:r>
        <w:tab/>
        <w:t>modify the circumstances in which a court may exercise a function conferred on it by a Corporations legislation provision to which the declaration relates;</w:t>
      </w:r>
    </w:p>
    <w:p>
      <w:pPr>
        <w:pStyle w:val="nzIndenta"/>
      </w:pPr>
      <w:r>
        <w:tab/>
        <w:t>(d)</w:t>
      </w:r>
      <w:r>
        <w:tab/>
        <w:t>specify that a reference to ASIC in a Corporations legislation provision to which the declaration relates is to be a reference to another person;</w:t>
      </w:r>
    </w:p>
    <w:p>
      <w:pPr>
        <w:pStyle w:val="nzIndenta"/>
      </w:pPr>
      <w:r>
        <w:tab/>
        <w:t>(e)</w:t>
      </w:r>
      <w:r>
        <w:tab/>
        <w:t>identify a Corporations legislation provision to which the declaration relates by reference to the provision as in force at a particular time;</w:t>
      </w:r>
    </w:p>
    <w:p>
      <w:pPr>
        <w:pStyle w:val="nzIndenta"/>
      </w:pPr>
      <w:r>
        <w:tab/>
        <w:t>(f)</w:t>
      </w:r>
      <w:r>
        <w:tab/>
        <w:t>specify a court to exercise a function conferred by a Corporations legislation provision to which the declaration relates.</w:t>
      </w:r>
    </w:p>
    <w:p>
      <w:pPr>
        <w:pStyle w:val="nzSubsection"/>
      </w:pPr>
      <w:r>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nzHeading2"/>
        <w:rPr>
          <w:rStyle w:val="CharPartText"/>
        </w:rPr>
      </w:pPr>
      <w:bookmarkStart w:id="323" w:name="_Toc418506897"/>
      <w:bookmarkStart w:id="324" w:name="_Toc418506998"/>
      <w:bookmarkStart w:id="325" w:name="_Toc418592072"/>
      <w:bookmarkStart w:id="326" w:name="_Toc422488952"/>
      <w:bookmarkStart w:id="327" w:name="_Toc436042841"/>
      <w:bookmarkStart w:id="328" w:name="_Toc436131259"/>
      <w:bookmarkStart w:id="329" w:name="_Toc436217644"/>
      <w:bookmarkStart w:id="330" w:name="_Toc436292917"/>
      <w:bookmarkStart w:id="331" w:name="_Toc436314165"/>
      <w:r>
        <w:rPr>
          <w:rStyle w:val="CharPartNo"/>
        </w:rPr>
        <w:t>Part 7</w:t>
      </w:r>
      <w:r>
        <w:rPr>
          <w:rStyle w:val="CharDivNo"/>
        </w:rPr>
        <w:t> </w:t>
      </w:r>
      <w:r>
        <w:t>—</w:t>
      </w:r>
      <w:r>
        <w:rPr>
          <w:rStyle w:val="CharDivText"/>
        </w:rPr>
        <w:t> </w:t>
      </w:r>
      <w:r>
        <w:rPr>
          <w:rStyle w:val="CharPartText"/>
        </w:rPr>
        <w:t>Offences</w:t>
      </w:r>
      <w:bookmarkEnd w:id="323"/>
      <w:bookmarkEnd w:id="324"/>
      <w:bookmarkEnd w:id="325"/>
      <w:bookmarkEnd w:id="326"/>
      <w:bookmarkEnd w:id="327"/>
      <w:bookmarkEnd w:id="328"/>
      <w:bookmarkEnd w:id="329"/>
      <w:bookmarkEnd w:id="330"/>
      <w:bookmarkEnd w:id="331"/>
    </w:p>
    <w:p>
      <w:pPr>
        <w:pStyle w:val="nzHeading5"/>
      </w:pPr>
      <w:bookmarkStart w:id="332" w:name="_Toc436292921"/>
      <w:bookmarkStart w:id="333" w:name="_Toc436314169"/>
      <w:r>
        <w:rPr>
          <w:rStyle w:val="CharSectno"/>
        </w:rPr>
        <w:t>57</w:t>
      </w:r>
      <w:r>
        <w:t>.</w:t>
      </w:r>
      <w:r>
        <w:tab/>
        <w:t>Obstruction or hindrance of the Authority</w:t>
      </w:r>
      <w:bookmarkEnd w:id="332"/>
      <w:bookmarkEnd w:id="333"/>
    </w:p>
    <w:p>
      <w:pPr>
        <w:pStyle w:val="nzSubsection"/>
      </w:pPr>
      <w:r>
        <w:tab/>
      </w:r>
      <w:r>
        <w:tab/>
        <w:t xml:space="preserve">A person must not obstruct or hinder — </w:t>
      </w:r>
    </w:p>
    <w:p>
      <w:pPr>
        <w:pStyle w:val="nzIndenta"/>
      </w:pPr>
      <w:r>
        <w:tab/>
        <w:t>(a)</w:t>
      </w:r>
      <w:r>
        <w:tab/>
        <w:t>the Authority in the performance of its functions; or</w:t>
      </w:r>
    </w:p>
    <w:p>
      <w:pPr>
        <w:pStyle w:val="nzIndenta"/>
      </w:pPr>
      <w:r>
        <w:tab/>
        <w:t>(b)</w:t>
      </w:r>
      <w:r>
        <w:tab/>
        <w:t>a person assisting the Authority in the performance of those functions.</w:t>
      </w:r>
    </w:p>
    <w:p>
      <w:pPr>
        <w:pStyle w:val="nzPenstart"/>
      </w:pPr>
      <w:r>
        <w:tab/>
        <w:t>Penalty: a fine of $200 000 or imprisonment for 5 years, or both.</w:t>
      </w:r>
    </w:p>
    <w:p>
      <w:pPr>
        <w:pStyle w:val="nzHeading5"/>
      </w:pPr>
      <w:bookmarkStart w:id="334" w:name="_Toc436292922"/>
      <w:bookmarkStart w:id="335" w:name="_Toc436314170"/>
      <w:r>
        <w:rPr>
          <w:rStyle w:val="CharSectno"/>
        </w:rPr>
        <w:t>58</w:t>
      </w:r>
      <w:r>
        <w:t>.</w:t>
      </w:r>
      <w:r>
        <w:tab/>
        <w:t>Failure to comply with requirements</w:t>
      </w:r>
      <w:bookmarkEnd w:id="334"/>
      <w:bookmarkEnd w:id="335"/>
    </w:p>
    <w:p>
      <w:pPr>
        <w:pStyle w:val="nzSubsection"/>
      </w:pPr>
      <w:r>
        <w:tab/>
        <w:t>(1)</w:t>
      </w:r>
      <w:r>
        <w:tab/>
        <w:t>A person must not, without reasonable excuse, fail to comply with a requirement made by this Act or made by the Authority, the Administrator or an employee, agent or delegate of the Authority under this Act.</w:t>
      </w:r>
    </w:p>
    <w:p>
      <w:pPr>
        <w:pStyle w:val="nzPenstart"/>
      </w:pPr>
      <w:r>
        <w:tab/>
        <w:t>Penalty: a fine of $50 000 or imprisonment for 2 years, or both.</w:t>
      </w:r>
    </w:p>
    <w:p>
      <w:pPr>
        <w:pStyle w:val="nz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nzHeading5"/>
      </w:pPr>
      <w:bookmarkStart w:id="336" w:name="_Toc436292923"/>
      <w:bookmarkStart w:id="337" w:name="_Toc436314171"/>
      <w:r>
        <w:rPr>
          <w:rStyle w:val="CharSectno"/>
        </w:rPr>
        <w:t>59</w:t>
      </w:r>
      <w:r>
        <w:t>.</w:t>
      </w:r>
      <w:r>
        <w:tab/>
        <w:t>False information</w:t>
      </w:r>
      <w:bookmarkEnd w:id="336"/>
      <w:bookmarkEnd w:id="337"/>
    </w:p>
    <w:p>
      <w:pPr>
        <w:pStyle w:val="nz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nzPenstart"/>
      </w:pPr>
      <w:r>
        <w:tab/>
        <w:t>Penalty: a fine of $50 000 or imprisonment for 2 years, or both.</w:t>
      </w:r>
    </w:p>
    <w:p>
      <w:pPr>
        <w:pStyle w:val="nzHeading5"/>
      </w:pPr>
      <w:bookmarkStart w:id="338" w:name="_Toc436292924"/>
      <w:bookmarkStart w:id="339" w:name="_Toc436314172"/>
      <w:r>
        <w:rPr>
          <w:rStyle w:val="CharSectno"/>
        </w:rPr>
        <w:t>60</w:t>
      </w:r>
      <w:r>
        <w:t>.</w:t>
      </w:r>
      <w:r>
        <w:tab/>
        <w:t>Confidentiality of information</w:t>
      </w:r>
      <w:bookmarkEnd w:id="338"/>
      <w:bookmarkEnd w:id="339"/>
    </w:p>
    <w:p>
      <w:pPr>
        <w:pStyle w:val="nzSubsection"/>
      </w:pPr>
      <w:r>
        <w:tab/>
        <w:t>(1)</w:t>
      </w:r>
      <w:r>
        <w:tab/>
        <w:t xml:space="preserve">In this section — </w:t>
      </w:r>
    </w:p>
    <w:p>
      <w:pPr>
        <w:pStyle w:val="nzDefstart"/>
      </w:pPr>
      <w:r>
        <w:tab/>
      </w:r>
      <w:r>
        <w:rPr>
          <w:rStyle w:val="CharDefText"/>
        </w:rPr>
        <w:t>confidential information</w:t>
      </w:r>
      <w:r>
        <w:t xml:space="preserve"> means information that has not been made public.</w:t>
      </w:r>
    </w:p>
    <w:p>
      <w:pPr>
        <w:pStyle w:val="nz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nzPenstart"/>
      </w:pPr>
      <w:r>
        <w:tab/>
        <w:t>Penalty: a fine of $12 000 or 12 months imprisonment, or both.</w:t>
      </w:r>
    </w:p>
    <w:p>
      <w:pPr>
        <w:pStyle w:val="nzSubsection"/>
      </w:pPr>
      <w:r>
        <w:tab/>
        <w:t>(3)</w:t>
      </w:r>
      <w:r>
        <w:tab/>
        <w:t xml:space="preserve">A person misuses confidential information if it is, directly or indirectly, recorded, used or disclosed, other than — </w:t>
      </w:r>
    </w:p>
    <w:p>
      <w:pPr>
        <w:pStyle w:val="nzIndenta"/>
      </w:pPr>
      <w:r>
        <w:tab/>
        <w:t>(a)</w:t>
      </w:r>
      <w:r>
        <w:tab/>
        <w:t>in the course of duty; or</w:t>
      </w:r>
    </w:p>
    <w:p>
      <w:pPr>
        <w:pStyle w:val="nzIndenta"/>
      </w:pPr>
      <w:r>
        <w:tab/>
        <w:t>(b)</w:t>
      </w:r>
      <w:r>
        <w:tab/>
        <w:t>under this Act or another law; or</w:t>
      </w:r>
    </w:p>
    <w:p>
      <w:pPr>
        <w:pStyle w:val="nzIndenta"/>
      </w:pPr>
      <w:r>
        <w:tab/>
        <w:t>(c)</w:t>
      </w:r>
      <w:r>
        <w:tab/>
        <w:t>under the order of a court, tribunal or person acting judicially; or</w:t>
      </w:r>
    </w:p>
    <w:p>
      <w:pPr>
        <w:pStyle w:val="nzIndenta"/>
      </w:pPr>
      <w:r>
        <w:tab/>
        <w:t>(d)</w:t>
      </w:r>
      <w:r>
        <w:tab/>
        <w:t>for the purposes of the investigation of any suspected offence or the conduct of proceedings against any person for an offence; or</w:t>
      </w:r>
    </w:p>
    <w:p>
      <w:pPr>
        <w:pStyle w:val="nzIndenta"/>
      </w:pPr>
      <w:r>
        <w:tab/>
        <w:t>(e)</w:t>
      </w:r>
      <w:r>
        <w:tab/>
        <w:t>with the consent of the person or persons to whom the information relates; or</w:t>
      </w:r>
    </w:p>
    <w:p>
      <w:pPr>
        <w:pStyle w:val="nzIndenta"/>
      </w:pPr>
      <w:r>
        <w:tab/>
        <w:t>(f)</w:t>
      </w:r>
      <w:r>
        <w:tab/>
        <w:t>in prescribed circumstances.</w:t>
      </w:r>
    </w:p>
    <w:p>
      <w:pPr>
        <w:pStyle w:val="nz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nzHeading5"/>
      </w:pPr>
      <w:bookmarkStart w:id="340" w:name="_Toc436292925"/>
      <w:bookmarkStart w:id="341" w:name="_Toc436314173"/>
      <w:r>
        <w:rPr>
          <w:rStyle w:val="CharSectno"/>
        </w:rPr>
        <w:t>61</w:t>
      </w:r>
      <w:r>
        <w:t>.</w:t>
      </w:r>
      <w:r>
        <w:tab/>
        <w:t>Liability of officers of body corporate for offence by body corporate</w:t>
      </w:r>
      <w:bookmarkEnd w:id="340"/>
      <w:bookmarkEnd w:id="341"/>
    </w:p>
    <w:p>
      <w:pPr>
        <w:pStyle w:val="nz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nzSubsection"/>
      </w:pPr>
      <w:r>
        <w:tab/>
        <w:t>(2)</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bookmarkStart w:id="342" w:name="_Toc436292926"/>
      <w:bookmarkStart w:id="343" w:name="_Toc436314174"/>
      <w:r>
        <w:rPr>
          <w:rStyle w:val="CharSectno"/>
        </w:rPr>
        <w:t>62</w:t>
      </w:r>
      <w:r>
        <w:t>.</w:t>
      </w:r>
      <w:r>
        <w:tab/>
        <w:t>Further provisions relating to liability of officers of body corporate</w:t>
      </w:r>
      <w:bookmarkEnd w:id="342"/>
      <w:bookmarkEnd w:id="343"/>
    </w:p>
    <w:p>
      <w:pPr>
        <w:pStyle w:val="nzSubsection"/>
      </w:pPr>
      <w:r>
        <w:tab/>
        <w:t>(1)</w:t>
      </w:r>
      <w:r>
        <w:tab/>
        <w:t>Section 61 does not affect the liability of a body corporate for any offence.</w:t>
      </w:r>
    </w:p>
    <w:p>
      <w:pPr>
        <w:pStyle w:val="nzSubsection"/>
      </w:pPr>
      <w:r>
        <w:tab/>
        <w:t>(2)</w:t>
      </w:r>
      <w:r>
        <w:tab/>
        <w:t xml:space="preserve">Section 61 does not affect the liability of an officer, or any other person, under </w:t>
      </w:r>
      <w:r>
        <w:rPr>
          <w:i/>
        </w:rPr>
        <w:t xml:space="preserve">The Criminal Code </w:t>
      </w:r>
      <w:r>
        <w:t>Chapters II, LVII, LVIII and LIX.</w:t>
      </w:r>
    </w:p>
    <w:p>
      <w:pPr>
        <w:pStyle w:val="nz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61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bookmarkStart w:id="344" w:name="_Toc436292927"/>
      <w:bookmarkStart w:id="345" w:name="_Toc436314175"/>
      <w:r>
        <w:rPr>
          <w:rStyle w:val="CharSectno"/>
        </w:rPr>
        <w:t>63</w:t>
      </w:r>
      <w:r>
        <w:t>.</w:t>
      </w:r>
      <w:r>
        <w:tab/>
        <w:t>Conduct on behalf of bodies corporate and principals</w:t>
      </w:r>
      <w:bookmarkEnd w:id="344"/>
      <w:bookmarkEnd w:id="345"/>
    </w:p>
    <w:p>
      <w:pPr>
        <w:pStyle w:val="nzSubsection"/>
      </w:pPr>
      <w:r>
        <w:tab/>
        <w:t>(1)</w:t>
      </w:r>
      <w:r>
        <w:tab/>
        <w:t xml:space="preserve">In this section — </w:t>
      </w:r>
    </w:p>
    <w:p>
      <w:pPr>
        <w:pStyle w:val="nzDefstart"/>
      </w:pPr>
      <w:r>
        <w:tab/>
      </w:r>
      <w:r>
        <w:rPr>
          <w:rStyle w:val="CharDefText"/>
        </w:rPr>
        <w:t>engage in conduct</w:t>
      </w:r>
      <w:r>
        <w:t xml:space="preserve"> includes to fail or refuse to engage in conduct;</w:t>
      </w:r>
    </w:p>
    <w:p>
      <w:pPr>
        <w:pStyle w:val="nzDefstart"/>
      </w:pPr>
      <w:r>
        <w:tab/>
      </w:r>
      <w:r>
        <w:rPr>
          <w:rStyle w:val="CharDefText"/>
        </w:rPr>
        <w:t>state of mind</w:t>
      </w:r>
      <w:r>
        <w:t xml:space="preserve"> of a person includes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this Act.</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an officer or agent of the body corporate within the scope of his or her actual or apparent authority; and</w:t>
      </w:r>
    </w:p>
    <w:p>
      <w:pPr>
        <w:pStyle w:val="nzIndenta"/>
      </w:pPr>
      <w:r>
        <w:tab/>
        <w:t>(b)</w:t>
      </w:r>
      <w:r>
        <w:tab/>
        <w:t>that the officer or agent had the relevant state of mind.</w:t>
      </w:r>
    </w:p>
    <w:p>
      <w:pPr>
        <w:pStyle w:val="nz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 xml:space="preserve">If it is necessary to establish the state of mind of a person other than a body corporate in relation to particular conduct, it is sufficient to show —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nzHeading5"/>
      </w:pPr>
      <w:bookmarkStart w:id="346" w:name="_Toc436292928"/>
      <w:bookmarkStart w:id="347" w:name="_Toc436314176"/>
      <w:r>
        <w:rPr>
          <w:rStyle w:val="CharSectno"/>
        </w:rPr>
        <w:t>64</w:t>
      </w:r>
      <w:r>
        <w:t>.</w:t>
      </w:r>
      <w:r>
        <w:tab/>
        <w:t>Continuing offences: daily penalties</w:t>
      </w:r>
      <w:bookmarkEnd w:id="346"/>
      <w:bookmarkEnd w:id="347"/>
    </w:p>
    <w:p>
      <w:pPr>
        <w:pStyle w:val="nz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nzIndenta"/>
      </w:pPr>
      <w:r>
        <w:tab/>
        <w:t>(a)</w:t>
      </w:r>
      <w:r>
        <w:tab/>
        <w:t>for an individual, a fine of $1 000; and</w:t>
      </w:r>
    </w:p>
    <w:p>
      <w:pPr>
        <w:pStyle w:val="nzIndenta"/>
      </w:pPr>
      <w:r>
        <w:tab/>
        <w:t>(b)</w:t>
      </w:r>
      <w:r>
        <w:tab/>
        <w:t>for a body corporate, a fine of $5 000.</w:t>
      </w:r>
    </w:p>
    <w:p>
      <w:pPr>
        <w:pStyle w:val="nzHeading5"/>
      </w:pPr>
      <w:bookmarkStart w:id="348" w:name="_Toc436292929"/>
      <w:bookmarkStart w:id="349" w:name="_Toc436314177"/>
      <w:r>
        <w:rPr>
          <w:rStyle w:val="CharSectno"/>
        </w:rPr>
        <w:t>65</w:t>
      </w:r>
      <w:r>
        <w:t>.</w:t>
      </w:r>
      <w:r>
        <w:tab/>
        <w:t>Bringing prosecutions</w:t>
      </w:r>
      <w:bookmarkEnd w:id="348"/>
      <w:bookmarkEnd w:id="349"/>
    </w:p>
    <w:p>
      <w:pPr>
        <w:pStyle w:val="nzSubsection"/>
      </w:pPr>
      <w:r>
        <w:tab/>
        <w:t>(1)</w:t>
      </w:r>
      <w:r>
        <w:tab/>
        <w:t>Proceedings for an offence under this Act may be commenced prior to the expiry of this Act.</w:t>
      </w:r>
    </w:p>
    <w:p>
      <w:pPr>
        <w:pStyle w:val="nz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nz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nzHeading5"/>
      </w:pPr>
      <w:bookmarkStart w:id="350" w:name="_Toc436292930"/>
      <w:bookmarkStart w:id="351" w:name="_Toc436314178"/>
      <w:r>
        <w:rPr>
          <w:rStyle w:val="CharSectno"/>
        </w:rPr>
        <w:t>66</w:t>
      </w:r>
      <w:r>
        <w:t>.</w:t>
      </w:r>
      <w:r>
        <w:tab/>
        <w:t>Injunctions to ensure compliance with this Act</w:t>
      </w:r>
      <w:bookmarkEnd w:id="350"/>
      <w:bookmarkEnd w:id="351"/>
    </w:p>
    <w:p>
      <w:pPr>
        <w:pStyle w:val="nzSubsection"/>
      </w:pPr>
      <w:r>
        <w:tab/>
        <w:t>(1)</w:t>
      </w:r>
      <w:r>
        <w:tab/>
        <w:t xml:space="preserve">In this section — </w:t>
      </w:r>
    </w:p>
    <w:p>
      <w:pPr>
        <w:pStyle w:val="nzDefstart"/>
      </w:pPr>
      <w:r>
        <w:tab/>
      </w:r>
      <w:r>
        <w:rPr>
          <w:rStyle w:val="CharDefText"/>
        </w:rPr>
        <w:t>offence provision</w:t>
      </w:r>
      <w:r>
        <w:t xml:space="preserve"> means a provision of this Act, contravention of which may constitute an offence under this Act.</w:t>
      </w:r>
    </w:p>
    <w:p>
      <w:pPr>
        <w:pStyle w:val="nzSubsection"/>
      </w:pPr>
      <w:r>
        <w:tab/>
        <w:t>(2)</w:t>
      </w:r>
      <w:r>
        <w:tab/>
        <w:t xml:space="preserve">The Administrator may apply to the Court for an injunction restraining a person — </w:t>
      </w:r>
    </w:p>
    <w:p>
      <w:pPr>
        <w:pStyle w:val="nzIndenta"/>
      </w:pPr>
      <w:r>
        <w:tab/>
        <w:t>(a)</w:t>
      </w:r>
      <w:r>
        <w:tab/>
        <w:t>from doing something that would, or would be likely to, contravene an offence provision; or</w:t>
      </w:r>
    </w:p>
    <w:p>
      <w:pPr>
        <w:pStyle w:val="nzIndenta"/>
      </w:pPr>
      <w:r>
        <w:tab/>
        <w:t>(b)</w:t>
      </w:r>
      <w:r>
        <w:tab/>
        <w:t>from aiding, abetting, counselling or procuring the contravention of an offence provision; or</w:t>
      </w:r>
    </w:p>
    <w:p>
      <w:pPr>
        <w:pStyle w:val="nzIndenta"/>
      </w:pPr>
      <w:r>
        <w:tab/>
        <w:t>(c)</w:t>
      </w:r>
      <w:r>
        <w:tab/>
        <w:t>from conspiring with others to contravene or bring about the contravention of an offence provision; or</w:t>
      </w:r>
    </w:p>
    <w:p>
      <w:pPr>
        <w:pStyle w:val="nzIndenta"/>
      </w:pPr>
      <w:r>
        <w:tab/>
        <w:t>(d)</w:t>
      </w:r>
      <w:r>
        <w:tab/>
        <w:t>from attempting to do anything referred to in paragraph (a), (b) or (c).</w:t>
      </w:r>
    </w:p>
    <w:p>
      <w:pPr>
        <w:pStyle w:val="nzSubsection"/>
      </w:pPr>
      <w:r>
        <w:tab/>
        <w:t>(3)</w:t>
      </w:r>
      <w:r>
        <w:tab/>
        <w:t>The Administrator may apply to the Court to enjoin a person to do something if the person’s omission to do it contravenes or would contravene an offence provision.</w:t>
      </w:r>
    </w:p>
    <w:p>
      <w:pPr>
        <w:pStyle w:val="nzSubsection"/>
      </w:pPr>
      <w:r>
        <w:tab/>
        <w:t>(4)</w:t>
      </w:r>
      <w:r>
        <w:tab/>
        <w:t>The Court may grant an injunction whether or not the person has previously contravened the provision, or would, if the injunction is not granted, be likely to contravene or to continue to contravene the provision.</w:t>
      </w:r>
    </w:p>
    <w:p>
      <w:pPr>
        <w:pStyle w:val="nzSubsection"/>
      </w:pPr>
      <w:r>
        <w:tab/>
        <w:t>(5)</w:t>
      </w:r>
      <w:r>
        <w:tab/>
        <w:t>An interim injunction may be granted before final determination of an application under subsection (2).</w:t>
      </w:r>
    </w:p>
    <w:p>
      <w:pPr>
        <w:pStyle w:val="nzSubsection"/>
      </w:pPr>
      <w:r>
        <w:tab/>
        <w:t>(6)</w:t>
      </w:r>
      <w:r>
        <w:tab/>
        <w:t>The Court is not to require, as a condition of granting an interim injunction, that the Administrator give an undertaking as to damages or costs.</w:t>
      </w:r>
    </w:p>
    <w:p>
      <w:pPr>
        <w:pStyle w:val="nzSubsection"/>
      </w:pPr>
      <w:r>
        <w:tab/>
        <w:t>(7)</w:t>
      </w:r>
      <w:r>
        <w:tab/>
        <w:t xml:space="preserve">Proceedings against a person for an offence under this Act are not affected by — </w:t>
      </w:r>
    </w:p>
    <w:p>
      <w:pPr>
        <w:pStyle w:val="nzIndenta"/>
      </w:pPr>
      <w:r>
        <w:tab/>
        <w:t>(a)</w:t>
      </w:r>
      <w:r>
        <w:tab/>
        <w:t>the making of an application for an injunction in relation to the commission of the offence; or</w:t>
      </w:r>
    </w:p>
    <w:p>
      <w:pPr>
        <w:pStyle w:val="nzIndenta"/>
      </w:pPr>
      <w:r>
        <w:tab/>
        <w:t>(b)</w:t>
      </w:r>
      <w:r>
        <w:tab/>
        <w:t>the grant of, or refusal to grant, an injunction; or</w:t>
      </w:r>
    </w:p>
    <w:p>
      <w:pPr>
        <w:pStyle w:val="nzIndenta"/>
      </w:pPr>
      <w:r>
        <w:tab/>
        <w:t>(c)</w:t>
      </w:r>
      <w:r>
        <w:tab/>
        <w:t>the rescission, variation or expiry of an injunction.</w:t>
      </w:r>
    </w:p>
    <w:p>
      <w:pPr>
        <w:pStyle w:val="nzHeading2"/>
      </w:pPr>
      <w:bookmarkStart w:id="352" w:name="_Toc418506911"/>
      <w:bookmarkStart w:id="353" w:name="_Toc418507012"/>
      <w:bookmarkStart w:id="354" w:name="_Toc418592086"/>
      <w:bookmarkStart w:id="355" w:name="_Toc422488966"/>
      <w:bookmarkStart w:id="356" w:name="_Toc436042855"/>
      <w:bookmarkStart w:id="357" w:name="_Toc436131273"/>
      <w:bookmarkStart w:id="358" w:name="_Toc436217658"/>
      <w:bookmarkStart w:id="359" w:name="_Toc436292931"/>
      <w:bookmarkStart w:id="360" w:name="_Toc436314179"/>
      <w:r>
        <w:rPr>
          <w:rStyle w:val="CharPartNo"/>
        </w:rPr>
        <w:t>Part 8</w:t>
      </w:r>
      <w:r>
        <w:rPr>
          <w:rStyle w:val="CharDivNo"/>
        </w:rPr>
        <w:t> </w:t>
      </w:r>
      <w:r>
        <w:t>—</w:t>
      </w:r>
      <w:r>
        <w:rPr>
          <w:rStyle w:val="CharDivText"/>
        </w:rPr>
        <w:t> </w:t>
      </w:r>
      <w:r>
        <w:rPr>
          <w:rStyle w:val="CharPartText"/>
        </w:rPr>
        <w:t>Miscellaneous</w:t>
      </w:r>
      <w:bookmarkEnd w:id="352"/>
      <w:bookmarkEnd w:id="353"/>
      <w:bookmarkEnd w:id="354"/>
      <w:bookmarkEnd w:id="355"/>
      <w:bookmarkEnd w:id="356"/>
      <w:bookmarkEnd w:id="357"/>
      <w:bookmarkEnd w:id="358"/>
      <w:bookmarkEnd w:id="359"/>
      <w:bookmarkEnd w:id="360"/>
    </w:p>
    <w:p>
      <w:pPr>
        <w:pStyle w:val="nzHeading5"/>
      </w:pPr>
      <w:bookmarkStart w:id="361" w:name="_Toc436292932"/>
      <w:bookmarkStart w:id="362" w:name="_Toc436314180"/>
      <w:r>
        <w:rPr>
          <w:rStyle w:val="CharSectno"/>
        </w:rPr>
        <w:t>67</w:t>
      </w:r>
      <w:r>
        <w:t>.</w:t>
      </w:r>
      <w:r>
        <w:tab/>
        <w:t>Privilege</w:t>
      </w:r>
      <w:bookmarkEnd w:id="361"/>
      <w:bookmarkEnd w:id="362"/>
    </w:p>
    <w:p>
      <w:pPr>
        <w:pStyle w:val="nzSubsection"/>
      </w:pPr>
      <w:r>
        <w:tab/>
        <w:t>(1)</w:t>
      </w:r>
      <w:r>
        <w:tab/>
        <w:t xml:space="preserve">If a provision of this Act provides that a person has qualified privilege for an act, matter or thing, the person, in relation to the act, matter or thing — </w:t>
      </w:r>
    </w:p>
    <w:p>
      <w:pPr>
        <w:pStyle w:val="nzIndenta"/>
      </w:pPr>
      <w:r>
        <w:tab/>
        <w:t>(a)</w:t>
      </w:r>
      <w:r>
        <w:tab/>
        <w:t xml:space="preserve">has qualified privilege in proceedings for defamation; and </w:t>
      </w:r>
    </w:p>
    <w:p>
      <w:pPr>
        <w:pStyle w:val="nzIndenta"/>
      </w:pPr>
      <w:r>
        <w:tab/>
        <w:t>(b)</w:t>
      </w:r>
      <w:r>
        <w:tab/>
        <w:t>is not, in the absence of malice on the person’s part, liable to an action for defamation at the suit of a person.</w:t>
      </w:r>
    </w:p>
    <w:p>
      <w:pPr>
        <w:pStyle w:val="nzSubsection"/>
      </w:pPr>
      <w:r>
        <w:tab/>
        <w:t>(2)</w:t>
      </w:r>
      <w:r>
        <w:tab/>
        <w:t xml:space="preserve">In subsection (1) — </w:t>
      </w:r>
    </w:p>
    <w:p>
      <w:pPr>
        <w:pStyle w:val="nzDefstart"/>
      </w:pPr>
      <w:r>
        <w:tab/>
      </w:r>
      <w:r>
        <w:rPr>
          <w:rStyle w:val="CharDefText"/>
        </w:rPr>
        <w:t>malice</w:t>
      </w:r>
      <w:r>
        <w:t xml:space="preserve"> includes ill will to the person concerned or any other improper motive.</w:t>
      </w:r>
    </w:p>
    <w:p>
      <w:pPr>
        <w:pStyle w:val="nz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nz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nzHeading5"/>
      </w:pPr>
      <w:bookmarkStart w:id="363" w:name="_Toc436292933"/>
      <w:bookmarkStart w:id="364" w:name="_Toc436314181"/>
      <w:r>
        <w:rPr>
          <w:rStyle w:val="CharSectno"/>
        </w:rPr>
        <w:t>68</w:t>
      </w:r>
      <w:r>
        <w:t>.</w:t>
      </w:r>
      <w:r>
        <w:tab/>
        <w:t>Effect of things done under Act</w:t>
      </w:r>
      <w:bookmarkEnd w:id="363"/>
      <w:bookmarkEnd w:id="364"/>
    </w:p>
    <w:p>
      <w:pPr>
        <w:pStyle w:val="nzSubsection"/>
      </w:pPr>
      <w:r>
        <w:tab/>
        <w:t>(1)</w:t>
      </w:r>
      <w:r>
        <w:tab/>
        <w:t xml:space="preserve">This section applies to the following — </w:t>
      </w:r>
    </w:p>
    <w:p>
      <w:pPr>
        <w:pStyle w:val="nzIndenta"/>
      </w:pPr>
      <w:r>
        <w:tab/>
        <w:t>(a)</w:t>
      </w:r>
      <w:r>
        <w:tab/>
        <w:t>the enactment, commencement or operation of this Act or the making, commencement or operation of any subsidiary legislation made under this Act;</w:t>
      </w:r>
    </w:p>
    <w:p>
      <w:pPr>
        <w:pStyle w:val="nzIndenta"/>
      </w:pPr>
      <w:r>
        <w:tab/>
        <w:t>(b)</w:t>
      </w:r>
      <w:r>
        <w:tab/>
        <w:t>the transfer of property to, and the vesting of property in, the Authority by section 22;</w:t>
      </w:r>
    </w:p>
    <w:p>
      <w:pPr>
        <w:pStyle w:val="nzIndenta"/>
      </w:pPr>
      <w:r>
        <w:tab/>
        <w:t>(c)</w:t>
      </w:r>
      <w:r>
        <w:tab/>
        <w:t>the affecting by this Act of a liability;</w:t>
      </w:r>
    </w:p>
    <w:p>
      <w:pPr>
        <w:pStyle w:val="nzIndenta"/>
      </w:pPr>
      <w:r>
        <w:tab/>
        <w:t>(d)</w:t>
      </w:r>
      <w:r>
        <w:tab/>
        <w:t>the doing, or omitting to do, of any other act, matter or thing under, or for the purposes of, this Act.</w:t>
      </w:r>
    </w:p>
    <w:p>
      <w:pPr>
        <w:pStyle w:val="nzSubsection"/>
      </w:pPr>
      <w:r>
        <w:tab/>
        <w:t>(2)</w:t>
      </w:r>
      <w:r>
        <w:tab/>
        <w:t xml:space="preserve">Except as otherwise expressly provided by this Act, the acts, matters or things to which this section applies — </w:t>
      </w:r>
    </w:p>
    <w:p>
      <w:pPr>
        <w:pStyle w:val="nzIndenta"/>
      </w:pPr>
      <w:r>
        <w:tab/>
        <w:t>(a)</w:t>
      </w:r>
      <w:r>
        <w:tab/>
        <w:t>are not to be regarded as placing any person in breach of contract or confidence or as otherwise making any person guilty of a civil wrong;</w:t>
      </w:r>
    </w:p>
    <w:p>
      <w:pPr>
        <w:pStyle w:val="nzIndenta"/>
      </w:pPr>
      <w:r>
        <w:tab/>
        <w:t>(b)</w:t>
      </w:r>
      <w:r>
        <w:tab/>
        <w:t xml:space="preserve">are not to be regarded as placing any person in breach of, or as constituting a default under — </w:t>
      </w:r>
    </w:p>
    <w:p>
      <w:pPr>
        <w:pStyle w:val="nzIndenti"/>
      </w:pPr>
      <w:r>
        <w:tab/>
        <w:t>(i)</w:t>
      </w:r>
      <w:r>
        <w:tab/>
        <w:t>any law of the State; or</w:t>
      </w:r>
    </w:p>
    <w:p>
      <w:pPr>
        <w:pStyle w:val="nzIndenti"/>
      </w:pPr>
      <w:r>
        <w:tab/>
        <w:t>(ii)</w:t>
      </w:r>
      <w:r>
        <w:tab/>
        <w:t>any principles or rules of common law or equity; or</w:t>
      </w:r>
    </w:p>
    <w:p>
      <w:pPr>
        <w:pStyle w:val="nzIndenti"/>
      </w:pPr>
      <w:r>
        <w:tab/>
        <w:t>(iii)</w:t>
      </w:r>
      <w:r>
        <w:tab/>
        <w:t>any provision in any agreement including, but not limited to, any provision prohibiting, restricting or regulating the assignment or transfer of any property or the disclosure of any information;</w:t>
      </w:r>
    </w:p>
    <w:p>
      <w:pPr>
        <w:pStyle w:val="nzIndenta"/>
      </w:pPr>
      <w:r>
        <w:tab/>
        <w:t>(c)</w:t>
      </w:r>
      <w:r>
        <w:tab/>
        <w:t>are not to be regarded as fulfilling any condition which allows a person to exercise a right or remedy in respect of, or to terminate, any agreement or obligation;</w:t>
      </w:r>
    </w:p>
    <w:p>
      <w:pPr>
        <w:pStyle w:val="nz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nzIndenta"/>
      </w:pPr>
      <w:r>
        <w:tab/>
        <w:t>(e)</w:t>
      </w:r>
      <w:r>
        <w:tab/>
        <w:t>are not to be regarded as causing any contract or instrument to be void or otherwise unenforceable;</w:t>
      </w:r>
    </w:p>
    <w:p>
      <w:pPr>
        <w:pStyle w:val="nzIndenta"/>
      </w:pPr>
      <w:r>
        <w:tab/>
        <w:t>(f)</w:t>
      </w:r>
      <w:r>
        <w:tab/>
        <w:t>are not to be regarded as frustrating any contract;</w:t>
      </w:r>
    </w:p>
    <w:p>
      <w:pPr>
        <w:pStyle w:val="nzIndenta"/>
      </w:pPr>
      <w:r>
        <w:tab/>
        <w:t>(g)</w:t>
      </w:r>
      <w:r>
        <w:tab/>
        <w:t>do not release any surety or other obligee wholly or in part from any obligation.</w:t>
      </w:r>
    </w:p>
    <w:p>
      <w:pPr>
        <w:pStyle w:val="nzHeading5"/>
      </w:pPr>
      <w:bookmarkStart w:id="365" w:name="_Toc436292934"/>
      <w:bookmarkStart w:id="366" w:name="_Toc436314182"/>
      <w:r>
        <w:rPr>
          <w:rStyle w:val="CharSectno"/>
        </w:rPr>
        <w:t>69</w:t>
      </w:r>
      <w:r>
        <w:t>.</w:t>
      </w:r>
      <w:r>
        <w:tab/>
        <w:t>Protection of the Minister, the Authority and others</w:t>
      </w:r>
      <w:bookmarkEnd w:id="365"/>
      <w:bookmarkEnd w:id="366"/>
    </w:p>
    <w:p>
      <w:pPr>
        <w:pStyle w:val="nz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bookmarkStart w:id="367" w:name="_Toc436292935"/>
      <w:bookmarkStart w:id="368" w:name="_Toc436314183"/>
      <w:r>
        <w:rPr>
          <w:rStyle w:val="CharSectno"/>
        </w:rPr>
        <w:t>70</w:t>
      </w:r>
      <w:r>
        <w:t>.</w:t>
      </w:r>
      <w:r>
        <w:tab/>
        <w:t>Protection of ICWA and others connected with it</w:t>
      </w:r>
      <w:bookmarkEnd w:id="367"/>
      <w:bookmarkEnd w:id="368"/>
    </w:p>
    <w:p>
      <w:pPr>
        <w:pStyle w:val="nzSubsection"/>
      </w:pPr>
      <w:r>
        <w:tab/>
        <w:t>(1)</w:t>
      </w:r>
      <w:r>
        <w:tab/>
        <w:t xml:space="preserve">In this section — </w:t>
      </w:r>
    </w:p>
    <w:p>
      <w:pPr>
        <w:pStyle w:val="nz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nzDefpara"/>
      </w:pPr>
      <w:r>
        <w:tab/>
        <w:t>(a)</w:t>
      </w:r>
      <w:r>
        <w:tab/>
        <w:t>the conduct of the Bell Litigation; or</w:t>
      </w:r>
    </w:p>
    <w:p>
      <w:pPr>
        <w:pStyle w:val="nzDefpara"/>
      </w:pPr>
      <w:r>
        <w:tab/>
        <w:t>(b)</w:t>
      </w:r>
      <w:r>
        <w:tab/>
        <w:t>the negotiation or execution of any agreement declared void by section 26; or</w:t>
      </w:r>
    </w:p>
    <w:p>
      <w:pPr>
        <w:pStyle w:val="nzDefpara"/>
      </w:pPr>
      <w:r>
        <w:tab/>
        <w:t>(c)</w:t>
      </w:r>
      <w:r>
        <w:tab/>
        <w:t>the liquidation of any WA Bell Company; or</w:t>
      </w:r>
    </w:p>
    <w:p>
      <w:pPr>
        <w:pStyle w:val="nzDefpara"/>
      </w:pPr>
      <w:r>
        <w:tab/>
        <w:t>(d)</w:t>
      </w:r>
      <w:r>
        <w:tab/>
        <w:t>the settlement of the Bell litigation; or</w:t>
      </w:r>
    </w:p>
    <w:p>
      <w:pPr>
        <w:pStyle w:val="nzDefpara"/>
      </w:pPr>
      <w:r>
        <w:tab/>
        <w:t>(e)</w:t>
      </w:r>
      <w:r>
        <w:tab/>
        <w:t>preparing the Bill for this Act or recommending its introduction into the Parliament.</w:t>
      </w:r>
    </w:p>
    <w:p>
      <w:pPr>
        <w:pStyle w:val="nzSubsection"/>
      </w:pPr>
      <w:r>
        <w:tab/>
        <w:t>(2)</w:t>
      </w:r>
      <w:r>
        <w:tab/>
        <w:t>This section applies to ICWA and to any person who is, or has at any time been —</w:t>
      </w:r>
    </w:p>
    <w:p>
      <w:pPr>
        <w:pStyle w:val="nzIndenta"/>
      </w:pPr>
      <w:r>
        <w:tab/>
        <w:t>(a)</w:t>
      </w:r>
      <w:r>
        <w:tab/>
        <w:t>the managing director of ICWA;</w:t>
      </w:r>
    </w:p>
    <w:p>
      <w:pPr>
        <w:pStyle w:val="nzIndenta"/>
      </w:pPr>
      <w:r>
        <w:tab/>
        <w:t>(b)</w:t>
      </w:r>
      <w:r>
        <w:tab/>
        <w:t>a member of the board of Commissioners;</w:t>
      </w:r>
    </w:p>
    <w:p>
      <w:pPr>
        <w:pStyle w:val="nzIndenta"/>
      </w:pPr>
      <w:r>
        <w:tab/>
        <w:t>(c)</w:t>
      </w:r>
      <w:r>
        <w:tab/>
        <w:t>an officer or employee of ICWA;</w:t>
      </w:r>
    </w:p>
    <w:p>
      <w:pPr>
        <w:pStyle w:val="nzIndenta"/>
      </w:pPr>
      <w:r>
        <w:tab/>
        <w:t>(d)</w:t>
      </w:r>
      <w:r>
        <w:tab/>
        <w:t>an agent, custodian, broker or attorney appointed or engaged by ICWA;</w:t>
      </w:r>
    </w:p>
    <w:p>
      <w:pPr>
        <w:pStyle w:val="nzIndenta"/>
      </w:pPr>
      <w:r>
        <w:tab/>
        <w:t>(e)</w:t>
      </w:r>
      <w:r>
        <w:tab/>
        <w:t xml:space="preserve">a person engaged under the </w:t>
      </w:r>
      <w:r>
        <w:rPr>
          <w:i/>
        </w:rPr>
        <w:t>Insurance Commission of Western Australia Act 1986</w:t>
      </w:r>
      <w:r>
        <w:t xml:space="preserve"> section 12(4).</w:t>
      </w:r>
    </w:p>
    <w:p>
      <w:pPr>
        <w:pStyle w:val="nz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nzSubsection"/>
      </w:pPr>
      <w:r>
        <w:tab/>
        <w:t>(4)</w:t>
      </w:r>
      <w:r>
        <w:tab/>
        <w:t>Except as provided by subsection (5), subsection (3) does not operate to release or discharge any liability of a person to ICWA or the State for breach of —</w:t>
      </w:r>
    </w:p>
    <w:p>
      <w:pPr>
        <w:pStyle w:val="nzIndenta"/>
      </w:pPr>
      <w:r>
        <w:tab/>
        <w:t>(a)</w:t>
      </w:r>
      <w:r>
        <w:tab/>
        <w:t xml:space="preserve">the </w:t>
      </w:r>
      <w:r>
        <w:rPr>
          <w:i/>
        </w:rPr>
        <w:t>Insurance Commission of Western Australia Act 1986</w:t>
      </w:r>
      <w:r>
        <w:t>; or</w:t>
      </w:r>
    </w:p>
    <w:p>
      <w:pPr>
        <w:pStyle w:val="nzIndenta"/>
      </w:pPr>
      <w:r>
        <w:tab/>
        <w:t>(b)</w:t>
      </w:r>
      <w:r>
        <w:tab/>
        <w:t xml:space="preserve">the </w:t>
      </w:r>
      <w:r>
        <w:rPr>
          <w:i/>
        </w:rPr>
        <w:t>Statutory Corporations (Liability of Directors) Act 1996</w:t>
      </w:r>
      <w:r>
        <w:t>; or</w:t>
      </w:r>
    </w:p>
    <w:p>
      <w:pPr>
        <w:pStyle w:val="nzIndenta"/>
      </w:pPr>
      <w:r>
        <w:tab/>
        <w:t>(c)</w:t>
      </w:r>
      <w:r>
        <w:tab/>
        <w:t xml:space="preserve">the </w:t>
      </w:r>
      <w:r>
        <w:rPr>
          <w:i/>
        </w:rPr>
        <w:t>Public Sector Management Act 1994</w:t>
      </w:r>
      <w:r>
        <w:t>.</w:t>
      </w:r>
    </w:p>
    <w:p>
      <w:pPr>
        <w:pStyle w:val="nzSubsection"/>
      </w:pPr>
      <w:r>
        <w:tab/>
        <w:t>(5)</w:t>
      </w:r>
      <w:r>
        <w:tab/>
        <w:t xml:space="preserve">Subsection (4) does not apply to conduct covered by paragraphs (d) and (e) of the definition of </w:t>
      </w:r>
      <w:r>
        <w:rPr>
          <w:b/>
          <w:i/>
        </w:rPr>
        <w:t>protected act</w:t>
      </w:r>
      <w:r>
        <w:t xml:space="preserve"> in subsection (1).</w:t>
      </w:r>
    </w:p>
    <w:p>
      <w:pPr>
        <w:pStyle w:val="nzHeading5"/>
      </w:pPr>
      <w:bookmarkStart w:id="369" w:name="_Toc436292936"/>
      <w:bookmarkStart w:id="370" w:name="_Toc436314184"/>
      <w:r>
        <w:rPr>
          <w:rStyle w:val="CharSectno"/>
        </w:rPr>
        <w:t>71</w:t>
      </w:r>
      <w:r>
        <w:t>.</w:t>
      </w:r>
      <w:r>
        <w:tab/>
        <w:t>Protection for compliance with the Act</w:t>
      </w:r>
      <w:bookmarkEnd w:id="369"/>
      <w:bookmarkEnd w:id="370"/>
    </w:p>
    <w:p>
      <w:pPr>
        <w:pStyle w:val="nzSubsection"/>
      </w:pPr>
      <w:r>
        <w:tab/>
        <w:t>(1)</w:t>
      </w:r>
      <w:r>
        <w:tab/>
        <w:t>No civil or criminal liability attaches to a person for compliance, or purported compliance, in good faith, with a requirement of or under this Act.</w:t>
      </w:r>
    </w:p>
    <w:p>
      <w:pPr>
        <w:pStyle w:val="nz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nzHeading5"/>
      </w:pPr>
      <w:bookmarkStart w:id="371" w:name="_Toc436292937"/>
      <w:bookmarkStart w:id="372" w:name="_Toc436314185"/>
      <w:r>
        <w:rPr>
          <w:rStyle w:val="CharSectno"/>
        </w:rPr>
        <w:t>72</w:t>
      </w:r>
      <w:r>
        <w:t>.</w:t>
      </w:r>
      <w:r>
        <w:tab/>
        <w:t>Act not to give rise to liability against the State, Authority or Administrator</w:t>
      </w:r>
      <w:bookmarkEnd w:id="371"/>
      <w:bookmarkEnd w:id="372"/>
    </w:p>
    <w:p>
      <w:pPr>
        <w:pStyle w:val="nzSubsection"/>
      </w:pPr>
      <w:r>
        <w:tab/>
        <w:t>(1)</w:t>
      </w:r>
      <w:r>
        <w:tab/>
        <w:t>In this section —</w:t>
      </w:r>
    </w:p>
    <w:p>
      <w:pPr>
        <w:pStyle w:val="nzDefstart"/>
      </w:pPr>
      <w:r>
        <w:tab/>
      </w:r>
      <w:r>
        <w:rPr>
          <w:rStyle w:val="CharDefText"/>
        </w:rPr>
        <w:t>officer of the State</w:t>
      </w:r>
      <w:r>
        <w:t xml:space="preserve"> includes — </w:t>
      </w:r>
    </w:p>
    <w:p>
      <w:pPr>
        <w:pStyle w:val="nzDefpara"/>
      </w:pPr>
      <w:r>
        <w:tab/>
        <w:t>(a)</w:t>
      </w:r>
      <w:r>
        <w:tab/>
        <w:t xml:space="preserve">an employee as defined in the </w:t>
      </w:r>
      <w:r>
        <w:rPr>
          <w:i/>
        </w:rPr>
        <w:t>Public Sector Management Act 1994</w:t>
      </w:r>
      <w:r>
        <w:t xml:space="preserve"> section 3(1); and</w:t>
      </w:r>
    </w:p>
    <w:p>
      <w:pPr>
        <w:pStyle w:val="nzDefpara"/>
      </w:pPr>
      <w:r>
        <w:tab/>
        <w:t>(b)</w:t>
      </w:r>
      <w:r>
        <w:tab/>
        <w:t>an individual who is or was an agent or contractor of the State;</w:t>
      </w:r>
    </w:p>
    <w:p>
      <w:pPr>
        <w:pStyle w:val="nzDefstart"/>
      </w:pPr>
      <w:r>
        <w:tab/>
      </w:r>
      <w:r>
        <w:rPr>
          <w:rStyle w:val="CharDefText"/>
        </w:rPr>
        <w:t>the State</w:t>
      </w:r>
      <w:r>
        <w:t xml:space="preserve"> includes any State authority or officer of the State, and also includes — </w:t>
      </w:r>
    </w:p>
    <w:p>
      <w:pPr>
        <w:pStyle w:val="nzDefpara"/>
      </w:pPr>
      <w:r>
        <w:tab/>
        <w:t>(a)</w:t>
      </w:r>
      <w:r>
        <w:tab/>
        <w:t>the Crown in right of the State; and</w:t>
      </w:r>
    </w:p>
    <w:p>
      <w:pPr>
        <w:pStyle w:val="nzDefpara"/>
      </w:pPr>
      <w:r>
        <w:tab/>
        <w:t>(b)</w:t>
      </w:r>
      <w:r>
        <w:tab/>
        <w:t>the Government of the State; and</w:t>
      </w:r>
    </w:p>
    <w:p>
      <w:pPr>
        <w:pStyle w:val="nzDefpara"/>
      </w:pPr>
      <w:r>
        <w:tab/>
        <w:t>(c)</w:t>
      </w:r>
      <w:r>
        <w:tab/>
        <w:t>a Minister of the Crown in right of the State; and</w:t>
      </w:r>
    </w:p>
    <w:p>
      <w:pPr>
        <w:pStyle w:val="nzDefpara"/>
      </w:pPr>
      <w:r>
        <w:tab/>
        <w:t>(d)</w:t>
      </w:r>
      <w:r>
        <w:tab/>
        <w:t>a statutory corporation, or other body, representing the Crown in right of the State.</w:t>
      </w:r>
    </w:p>
    <w:p>
      <w:pPr>
        <w:pStyle w:val="nzSubsection"/>
      </w:pPr>
      <w:r>
        <w:tab/>
        <w:t>(2)</w:t>
      </w:r>
      <w:r>
        <w:tab/>
        <w:t xml:space="preserve">The State, the Authority and the Administrator are not liable to any action, liability or demand arising from — </w:t>
      </w:r>
    </w:p>
    <w:p>
      <w:pPr>
        <w:pStyle w:val="nzIndenta"/>
      </w:pPr>
      <w:r>
        <w:tab/>
        <w:t>(a)</w:t>
      </w:r>
      <w:r>
        <w:tab/>
        <w:t>the enactment, commencement or operation of this Act or the making, commencement or operation of any subsidiary legislation made under this Act; or</w:t>
      </w:r>
    </w:p>
    <w:p>
      <w:pPr>
        <w:pStyle w:val="nzIndenta"/>
      </w:pPr>
      <w:r>
        <w:tab/>
        <w:t>(b)</w:t>
      </w:r>
      <w:r>
        <w:tab/>
        <w:t>the transfer of property to, and the vesting of property in, the Authority by section 22; or</w:t>
      </w:r>
    </w:p>
    <w:p>
      <w:pPr>
        <w:pStyle w:val="nzIndenta"/>
      </w:pPr>
      <w:r>
        <w:tab/>
        <w:t>(c)</w:t>
      </w:r>
      <w:r>
        <w:tab/>
        <w:t>the affecting by this Act of a liability; or</w:t>
      </w:r>
    </w:p>
    <w:p>
      <w:pPr>
        <w:pStyle w:val="nzIndenta"/>
      </w:pPr>
      <w:r>
        <w:tab/>
        <w:t>(d)</w:t>
      </w:r>
      <w:r>
        <w:tab/>
        <w:t>the doing of, or omitting to do, any other act, matter or thing under, or for the purposes of, this Act.</w:t>
      </w:r>
    </w:p>
    <w:p>
      <w:pPr>
        <w:pStyle w:val="nzHeading5"/>
      </w:pPr>
      <w:bookmarkStart w:id="373" w:name="_Toc436292938"/>
      <w:bookmarkStart w:id="374" w:name="_Toc436314186"/>
      <w:r>
        <w:rPr>
          <w:rStyle w:val="CharSectno"/>
        </w:rPr>
        <w:t>73</w:t>
      </w:r>
      <w:r>
        <w:t>.</w:t>
      </w:r>
      <w:r>
        <w:tab/>
        <w:t>Stay of proceedings</w:t>
      </w:r>
      <w:bookmarkEnd w:id="373"/>
      <w:bookmarkEnd w:id="374"/>
    </w:p>
    <w:p>
      <w:pPr>
        <w:pStyle w:val="nz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nzSubsection"/>
      </w:pPr>
      <w:r>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nz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nzHeading5"/>
      </w:pPr>
      <w:bookmarkStart w:id="375" w:name="_Toc436292939"/>
      <w:bookmarkStart w:id="376" w:name="_Toc436314187"/>
      <w:r>
        <w:rPr>
          <w:rStyle w:val="CharSectno"/>
        </w:rPr>
        <w:t>74</w:t>
      </w:r>
      <w:r>
        <w:t>.</w:t>
      </w:r>
      <w:r>
        <w:tab/>
        <w:t>No appeal or review</w:t>
      </w:r>
      <w:bookmarkEnd w:id="375"/>
      <w:bookmarkEnd w:id="376"/>
    </w:p>
    <w:p>
      <w:pPr>
        <w:pStyle w:val="nzSubsection"/>
      </w:pPr>
      <w:r>
        <w:tab/>
        <w:t>(1)</w:t>
      </w:r>
      <w:r>
        <w:tab/>
        <w:t xml:space="preserve">Any decision made, or other thing done, by the Governor, the Minister, the Authority or the Administrator under or for the purposes of this Act — </w:t>
      </w:r>
    </w:p>
    <w:p>
      <w:pPr>
        <w:pStyle w:val="nzIndenta"/>
      </w:pPr>
      <w:r>
        <w:tab/>
        <w:t>(a)</w:t>
      </w:r>
      <w:r>
        <w:tab/>
        <w:t>is final and conclusive; and</w:t>
      </w:r>
    </w:p>
    <w:p>
      <w:pPr>
        <w:pStyle w:val="nzIndenta"/>
      </w:pPr>
      <w:r>
        <w:tab/>
        <w:t>(b)</w:t>
      </w:r>
      <w:r>
        <w:tab/>
        <w:t>must not be challenged, appealed against, reviewed, quashed or called into question in any court; and</w:t>
      </w:r>
    </w:p>
    <w:p>
      <w:pPr>
        <w:pStyle w:val="nz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nzSubsection"/>
      </w:pPr>
      <w:r>
        <w:tab/>
        <w:t>(2)</w:t>
      </w:r>
      <w:r>
        <w:tab/>
        <w:t>Nothing in this Act requires the Governor, the Minister, the Authority or the Administrator to perform a function, or exercise a power, in a particular way in any particular circumstance.</w:t>
      </w:r>
    </w:p>
    <w:p>
      <w:pPr>
        <w:pStyle w:val="nz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nzIndenta"/>
      </w:pPr>
      <w:r>
        <w:tab/>
        <w:t>(a)</w:t>
      </w:r>
      <w:r>
        <w:tab/>
        <w:t>the Governor; or</w:t>
      </w:r>
    </w:p>
    <w:p>
      <w:pPr>
        <w:pStyle w:val="nzIndenta"/>
      </w:pPr>
      <w:r>
        <w:tab/>
        <w:t>(b)</w:t>
      </w:r>
      <w:r>
        <w:tab/>
        <w:t>the Minister; or</w:t>
      </w:r>
    </w:p>
    <w:p>
      <w:pPr>
        <w:pStyle w:val="nzIndenta"/>
      </w:pPr>
      <w:r>
        <w:tab/>
        <w:t>(c)</w:t>
      </w:r>
      <w:r>
        <w:tab/>
        <w:t>the Authority; or</w:t>
      </w:r>
    </w:p>
    <w:p>
      <w:pPr>
        <w:pStyle w:val="nzIndenta"/>
      </w:pPr>
      <w:r>
        <w:tab/>
        <w:t>(d)</w:t>
      </w:r>
      <w:r>
        <w:tab/>
        <w:t>the Administrator.</w:t>
      </w:r>
    </w:p>
    <w:p>
      <w:pPr>
        <w:pStyle w:val="nzSubsection"/>
      </w:pPr>
      <w:r>
        <w:tab/>
        <w:t>(4)</w:t>
      </w:r>
      <w:r>
        <w:tab/>
        <w:t>Nothing in subsections (1) to (3) affects the jurisdiction of the Court to grant relief for jurisdictional error.</w:t>
      </w:r>
    </w:p>
    <w:p>
      <w:pPr>
        <w:pStyle w:val="nzHeading5"/>
      </w:pPr>
      <w:bookmarkStart w:id="377" w:name="_Toc436292940"/>
      <w:bookmarkStart w:id="378" w:name="_Toc436314188"/>
      <w:r>
        <w:rPr>
          <w:rStyle w:val="CharSectno"/>
        </w:rPr>
        <w:t>75</w:t>
      </w:r>
      <w:r>
        <w:t>.</w:t>
      </w:r>
      <w:r>
        <w:tab/>
        <w:t>Conduct of inquiry</w:t>
      </w:r>
      <w:bookmarkEnd w:id="377"/>
      <w:bookmarkEnd w:id="378"/>
    </w:p>
    <w:p>
      <w:pPr>
        <w:pStyle w:val="nzSubsection"/>
      </w:pPr>
      <w:r>
        <w:tab/>
      </w:r>
      <w:r>
        <w:tab/>
        <w:t xml:space="preserve">The Authority, when inquiring into a matter which it is to determine or recommend under this Act — </w:t>
      </w:r>
    </w:p>
    <w:p>
      <w:pPr>
        <w:pStyle w:val="nzIndenta"/>
      </w:pPr>
      <w:r>
        <w:tab/>
        <w:t>(a)</w:t>
      </w:r>
      <w:r>
        <w:tab/>
        <w:t>is to act with as little formality as possible; and</w:t>
      </w:r>
    </w:p>
    <w:p>
      <w:pPr>
        <w:pStyle w:val="nzIndenta"/>
      </w:pPr>
      <w:r>
        <w:tab/>
        <w:t>(b)</w:t>
      </w:r>
      <w:r>
        <w:tab/>
        <w:t>is not bound by the rules of evidence and may inform itself on any matter in any manner it considers appropriate; and</w:t>
      </w:r>
    </w:p>
    <w:p>
      <w:pPr>
        <w:pStyle w:val="nzIndenta"/>
      </w:pPr>
      <w:r>
        <w:tab/>
        <w:t>(c)</w:t>
      </w:r>
      <w:r>
        <w:tab/>
        <w:t>may receive written or oral submissions as it considers appropriate.</w:t>
      </w:r>
    </w:p>
    <w:p>
      <w:pPr>
        <w:pStyle w:val="nzHeading5"/>
      </w:pPr>
      <w:bookmarkStart w:id="379" w:name="_Toc436292941"/>
      <w:bookmarkStart w:id="380" w:name="_Toc436314189"/>
      <w:r>
        <w:rPr>
          <w:rStyle w:val="CharSectno"/>
        </w:rPr>
        <w:t>76</w:t>
      </w:r>
      <w:r>
        <w:t>.</w:t>
      </w:r>
      <w:r>
        <w:tab/>
        <w:t>Judicial notice</w:t>
      </w:r>
      <w:bookmarkEnd w:id="379"/>
      <w:bookmarkEnd w:id="380"/>
    </w:p>
    <w:p>
      <w:pPr>
        <w:pStyle w:val="nz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nzHeading5"/>
      </w:pPr>
      <w:bookmarkStart w:id="381" w:name="_Toc436292942"/>
      <w:bookmarkStart w:id="382" w:name="_Toc436314190"/>
      <w:r>
        <w:rPr>
          <w:rStyle w:val="CharSectno"/>
        </w:rPr>
        <w:t>77</w:t>
      </w:r>
      <w:r>
        <w:t>.</w:t>
      </w:r>
      <w:r>
        <w:tab/>
      </w:r>
      <w:r>
        <w:rPr>
          <w:i/>
        </w:rPr>
        <w:t>Freedom of Information Act 1992</w:t>
      </w:r>
      <w:bookmarkEnd w:id="381"/>
      <w:bookmarkEnd w:id="382"/>
    </w:p>
    <w:p>
      <w:pPr>
        <w:pStyle w:val="nzSubsection"/>
      </w:pPr>
      <w:r>
        <w:tab/>
      </w:r>
      <w:r>
        <w:tab/>
        <w:t xml:space="preserve">The </w:t>
      </w:r>
      <w:r>
        <w:rPr>
          <w:i/>
        </w:rPr>
        <w:t>Freedom of Information Act 1992</w:t>
      </w:r>
      <w:r>
        <w:t xml:space="preserve"> has effect as if the Authority were mentioned in Schedule 2 to that Act.</w:t>
      </w:r>
    </w:p>
    <w:p>
      <w:pPr>
        <w:pStyle w:val="nzHeading5"/>
      </w:pPr>
      <w:bookmarkStart w:id="383" w:name="_Toc436292943"/>
      <w:bookmarkStart w:id="384" w:name="_Toc436314191"/>
      <w:r>
        <w:rPr>
          <w:rStyle w:val="CharSectno"/>
        </w:rPr>
        <w:t>78</w:t>
      </w:r>
      <w:r>
        <w:t>.</w:t>
      </w:r>
      <w:r>
        <w:tab/>
        <w:t>Power to obtain opinion</w:t>
      </w:r>
      <w:bookmarkEnd w:id="383"/>
      <w:bookmarkEnd w:id="384"/>
    </w:p>
    <w:p>
      <w:pPr>
        <w:pStyle w:val="nzSubsection"/>
      </w:pPr>
      <w:r>
        <w:tab/>
        <w:t>(1)</w:t>
      </w:r>
      <w:r>
        <w:tab/>
        <w:t>The Authority is entitled to submit to the State Solicitor a question concerning the functions or powers of the Authority.</w:t>
      </w:r>
    </w:p>
    <w:p>
      <w:pPr>
        <w:pStyle w:val="nzSubsection"/>
      </w:pPr>
      <w:r>
        <w:tab/>
        <w:t>(2)</w:t>
      </w:r>
      <w:r>
        <w:tab/>
        <w:t>The State Solicitor must give the Authority a written opinion on a question submitted under subsection (1).</w:t>
      </w:r>
    </w:p>
    <w:p>
      <w:pPr>
        <w:pStyle w:val="nzHeading5"/>
      </w:pPr>
      <w:bookmarkStart w:id="385" w:name="_Toc436292944"/>
      <w:bookmarkStart w:id="386" w:name="_Toc436314192"/>
      <w:r>
        <w:rPr>
          <w:rStyle w:val="CharSectno"/>
        </w:rPr>
        <w:t>79</w:t>
      </w:r>
      <w:r>
        <w:t>.</w:t>
      </w:r>
      <w:r>
        <w:tab/>
        <w:t>Constructive notice of contents of document</w:t>
      </w:r>
      <w:bookmarkEnd w:id="385"/>
      <w:bookmarkEnd w:id="386"/>
    </w:p>
    <w:p>
      <w:pPr>
        <w:pStyle w:val="nzSubsection"/>
      </w:pPr>
      <w:r>
        <w:tab/>
      </w:r>
      <w:r>
        <w:tab/>
        <w:t>A person to whom the Authority or the Administrator gives a notice or other document under this Act is taken to know its contents from the time it is given to the person.</w:t>
      </w:r>
    </w:p>
    <w:p>
      <w:pPr>
        <w:pStyle w:val="nzHeading5"/>
      </w:pPr>
      <w:bookmarkStart w:id="387" w:name="_Toc436292945"/>
      <w:bookmarkStart w:id="388" w:name="_Toc436314193"/>
      <w:r>
        <w:rPr>
          <w:rStyle w:val="CharSectno"/>
        </w:rPr>
        <w:t>80</w:t>
      </w:r>
      <w:r>
        <w:t>.</w:t>
      </w:r>
      <w:r>
        <w:tab/>
        <w:t>Translation of documents</w:t>
      </w:r>
      <w:bookmarkEnd w:id="387"/>
      <w:bookmarkEnd w:id="388"/>
    </w:p>
    <w:p>
      <w:pPr>
        <w:pStyle w:val="nzSubsection"/>
      </w:pPr>
      <w:r>
        <w:tab/>
      </w:r>
      <w:r>
        <w:tab/>
        <w:t>A requirement imposed under this Act to give a document is, in the case of a document that is not in the English language, taken to include a requirement that a translation of the document be given at the same time.</w:t>
      </w:r>
    </w:p>
    <w:p>
      <w:pPr>
        <w:pStyle w:val="nzHeading5"/>
      </w:pPr>
      <w:bookmarkStart w:id="389" w:name="_Toc436292946"/>
      <w:bookmarkStart w:id="390" w:name="_Toc436314194"/>
      <w:r>
        <w:rPr>
          <w:rStyle w:val="CharSectno"/>
        </w:rPr>
        <w:t>81</w:t>
      </w:r>
      <w:r>
        <w:t>.</w:t>
      </w:r>
      <w:r>
        <w:tab/>
        <w:t>Service of documents</w:t>
      </w:r>
      <w:bookmarkEnd w:id="389"/>
      <w:bookmarkEnd w:id="390"/>
    </w:p>
    <w:p>
      <w:pPr>
        <w:pStyle w:val="nzSubsection"/>
      </w:pPr>
      <w:r>
        <w:tab/>
      </w:r>
      <w:r>
        <w:tab/>
        <w:t xml:space="preserve">A document required or permitted by or under this Act to be given to a person may — </w:t>
      </w:r>
    </w:p>
    <w:p>
      <w:pPr>
        <w:pStyle w:val="nzIndenta"/>
      </w:pPr>
      <w:r>
        <w:tab/>
        <w:t>(a)</w:t>
      </w:r>
      <w:r>
        <w:tab/>
        <w:t xml:space="preserve">be given in any of the ways provided for by the </w:t>
      </w:r>
      <w:r>
        <w:rPr>
          <w:i/>
        </w:rPr>
        <w:t>Interpretation Act 1984</w:t>
      </w:r>
      <w:r>
        <w:t xml:space="preserve"> section 75 or 76; or</w:t>
      </w:r>
    </w:p>
    <w:p>
      <w:pPr>
        <w:pStyle w:val="nzIndenta"/>
      </w:pPr>
      <w:r>
        <w:tab/>
        <w:t>(b)</w:t>
      </w:r>
      <w:r>
        <w:tab/>
        <w:t>by electronic means of communication approved by the person to whom the document is to be given.</w:t>
      </w:r>
    </w:p>
    <w:p>
      <w:pPr>
        <w:pStyle w:val="nzHeading5"/>
      </w:pPr>
      <w:bookmarkStart w:id="391" w:name="_Toc436292947"/>
      <w:bookmarkStart w:id="392" w:name="_Toc436314195"/>
      <w:r>
        <w:rPr>
          <w:rStyle w:val="CharSectno"/>
        </w:rPr>
        <w:t>82</w:t>
      </w:r>
      <w:r>
        <w:t>.</w:t>
      </w:r>
      <w:r>
        <w:tab/>
        <w:t>Approved forms</w:t>
      </w:r>
      <w:bookmarkEnd w:id="391"/>
      <w:bookmarkEnd w:id="392"/>
    </w:p>
    <w:p>
      <w:pPr>
        <w:pStyle w:val="nzSubsection"/>
      </w:pPr>
      <w:r>
        <w:tab/>
        <w:t>(1)</w:t>
      </w:r>
      <w:r>
        <w:tab/>
        <w:t>The Administrator may approve forms for use under this Act.</w:t>
      </w:r>
    </w:p>
    <w:p>
      <w:pPr>
        <w:pStyle w:val="nzSubsection"/>
      </w:pPr>
      <w:r>
        <w:tab/>
        <w:t>(2)</w:t>
      </w:r>
      <w:r>
        <w:tab/>
        <w:t>An approved form may require information provided in the form to be verified by statutory declaration.</w:t>
      </w:r>
    </w:p>
    <w:p>
      <w:pPr>
        <w:pStyle w:val="nzHeading5"/>
      </w:pPr>
      <w:bookmarkStart w:id="393" w:name="_Toc436292948"/>
      <w:bookmarkStart w:id="394" w:name="_Toc436314196"/>
      <w:r>
        <w:rPr>
          <w:rStyle w:val="CharSectno"/>
        </w:rPr>
        <w:t>83</w:t>
      </w:r>
      <w:r>
        <w:t>.</w:t>
      </w:r>
      <w:r>
        <w:tab/>
        <w:t>Regulations</w:t>
      </w:r>
      <w:bookmarkEnd w:id="393"/>
      <w:bookmarkEnd w:id="394"/>
    </w:p>
    <w:p>
      <w:pPr>
        <w:pStyle w:val="nzSubsection"/>
      </w:pPr>
      <w:r>
        <w:tab/>
        <w:t>(1)</w:t>
      </w:r>
      <w:r>
        <w:tab/>
        <w:t>The Governor may make regulations prescribing all matters that are required or permitted by this Act to be prescribed or are necessary or convenient to be prescribed for giving effect to this Act.</w:t>
      </w:r>
    </w:p>
    <w:p>
      <w:pPr>
        <w:pStyle w:val="nzSubsection"/>
      </w:pPr>
      <w:r>
        <w:tab/>
        <w:t>(2)</w:t>
      </w:r>
      <w:r>
        <w:tab/>
        <w:t xml:space="preserve">Without limiting subsection (1), regulations may be made as to the following — </w:t>
      </w:r>
    </w:p>
    <w:p>
      <w:pPr>
        <w:pStyle w:val="nzIndenta"/>
      </w:pPr>
      <w:r>
        <w:tab/>
        <w:t>(a)</w:t>
      </w:r>
      <w:r>
        <w:tab/>
        <w:t>applications under this Act;</w:t>
      </w:r>
    </w:p>
    <w:p>
      <w:pPr>
        <w:pStyle w:val="nzIndenta"/>
      </w:pPr>
      <w:r>
        <w:tab/>
        <w:t>(b)</w:t>
      </w:r>
      <w:r>
        <w:tab/>
        <w:t>records to be kept in relation to matters under this Act;</w:t>
      </w:r>
    </w:p>
    <w:p>
      <w:pPr>
        <w:pStyle w:val="nzIndenta"/>
      </w:pPr>
      <w:r>
        <w:tab/>
        <w:t>(c)</w:t>
      </w:r>
      <w:r>
        <w:tab/>
        <w:t>the giving of notices or other documents under this Act;</w:t>
      </w:r>
    </w:p>
    <w:p>
      <w:pPr>
        <w:pStyle w:val="nzIndenta"/>
      </w:pPr>
      <w:r>
        <w:tab/>
        <w:t>(d)</w:t>
      </w:r>
      <w:r>
        <w:tab/>
        <w:t>fees or charges payable in relation to any matter under this Act;</w:t>
      </w:r>
    </w:p>
    <w:p>
      <w:pPr>
        <w:pStyle w:val="nzIndenta"/>
      </w:pPr>
      <w:r>
        <w:tab/>
        <w:t>(e)</w:t>
      </w:r>
      <w:r>
        <w:tab/>
        <w:t>imposing additional fees for the late giving of documents;</w:t>
      </w:r>
    </w:p>
    <w:p>
      <w:pPr>
        <w:pStyle w:val="nzIndenta"/>
      </w:pPr>
      <w:r>
        <w:tab/>
        <w:t>(f)</w:t>
      </w:r>
      <w:r>
        <w:tab/>
        <w:t>providing that a contravention of a regulation is an offence and providing for a penalty not exceeding a fine of $2 500.</w:t>
      </w:r>
    </w:p>
    <w:p>
      <w:pPr>
        <w:pStyle w:val="nzHeading5"/>
      </w:pPr>
      <w:bookmarkStart w:id="395" w:name="_Toc436292949"/>
      <w:bookmarkStart w:id="396" w:name="_Toc436314197"/>
      <w:r>
        <w:rPr>
          <w:rStyle w:val="CharSectno"/>
        </w:rPr>
        <w:t>84</w:t>
      </w:r>
      <w:r>
        <w:t>.</w:t>
      </w:r>
      <w:r>
        <w:tab/>
        <w:t>Expiry of Act</w:t>
      </w:r>
      <w:bookmarkEnd w:id="395"/>
      <w:bookmarkEnd w:id="396"/>
    </w:p>
    <w:p>
      <w:pPr>
        <w:pStyle w:val="nzSubsection"/>
      </w:pPr>
      <w:r>
        <w:tab/>
      </w:r>
      <w:r>
        <w:tab/>
        <w:t>This Act expires at the end of the 6 years beginning on the day on which the Governor makes the determination under section 42(2).</w:t>
      </w:r>
    </w:p>
    <w:p>
      <w:pPr>
        <w:pStyle w:val="nzSubsection"/>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zHeading2"/>
      </w:pPr>
      <w:bookmarkStart w:id="397" w:name="_Toc418506930"/>
      <w:bookmarkStart w:id="398" w:name="_Toc418507031"/>
      <w:bookmarkStart w:id="399" w:name="_Toc418592105"/>
      <w:bookmarkStart w:id="400" w:name="_Toc422488985"/>
      <w:bookmarkStart w:id="401" w:name="_Toc436042874"/>
      <w:bookmarkStart w:id="402" w:name="_Toc436131292"/>
      <w:bookmarkStart w:id="403" w:name="_Toc436217677"/>
      <w:bookmarkStart w:id="404" w:name="_Toc436292950"/>
      <w:bookmarkStart w:id="405" w:name="_Toc436314198"/>
      <w:r>
        <w:rPr>
          <w:rStyle w:val="CharSchNo"/>
        </w:rPr>
        <w:t>Schedule 1</w:t>
      </w:r>
      <w:r>
        <w:rPr>
          <w:rStyle w:val="CharSDivNo"/>
        </w:rPr>
        <w:t> </w:t>
      </w:r>
      <w:r>
        <w:t>—</w:t>
      </w:r>
      <w:r>
        <w:rPr>
          <w:rStyle w:val="CharSDivText"/>
        </w:rPr>
        <w:t> </w:t>
      </w:r>
      <w:r>
        <w:rPr>
          <w:rStyle w:val="CharSchText"/>
        </w:rPr>
        <w:t>The WA Bell Companies</w:t>
      </w:r>
      <w:bookmarkEnd w:id="397"/>
      <w:bookmarkEnd w:id="398"/>
      <w:bookmarkEnd w:id="399"/>
      <w:bookmarkEnd w:id="400"/>
      <w:bookmarkEnd w:id="401"/>
      <w:bookmarkEnd w:id="402"/>
      <w:bookmarkEnd w:id="403"/>
      <w:bookmarkEnd w:id="404"/>
      <w:bookmarkEnd w:id="405"/>
    </w:p>
    <w:p>
      <w:pPr>
        <w:pStyle w:val="yShoulderClause"/>
      </w:pPr>
      <w:r>
        <w:t>[s. 3(1)]</w:t>
      </w:r>
    </w:p>
    <w:p>
      <w:pPr>
        <w:pStyle w:val="nzNumberedItem"/>
      </w:pPr>
      <w:r>
        <w:t>1.</w:t>
      </w:r>
      <w:r>
        <w:tab/>
        <w:t>Albany Broadcasters Limited ACN 008 674 600 (In Liquidation)</w:t>
      </w:r>
    </w:p>
    <w:p>
      <w:pPr>
        <w:pStyle w:val="nzNumberedItem"/>
      </w:pPr>
      <w:r>
        <w:t>2.</w:t>
      </w:r>
      <w:r>
        <w:tab/>
        <w:t>Ambassador Nominees Pty Ltd ACN 009 105 800 (In Liquidation)</w:t>
      </w:r>
    </w:p>
    <w:p>
      <w:pPr>
        <w:pStyle w:val="nzNumberedItem"/>
      </w:pPr>
      <w:r>
        <w:t>3.</w:t>
      </w:r>
      <w:r>
        <w:tab/>
        <w:t>Belcap Enterprises Pty Ltd ACN 009 264 537 (In Liquidation)</w:t>
      </w:r>
    </w:p>
    <w:p>
      <w:pPr>
        <w:pStyle w:val="nzNumberedItem"/>
      </w:pPr>
      <w:r>
        <w:t>4.</w:t>
      </w:r>
      <w:r>
        <w:tab/>
        <w:t>Belcap Nominees Pty Ltd ACN 009 265 178 (Deregistered)</w:t>
      </w:r>
    </w:p>
    <w:p>
      <w:pPr>
        <w:pStyle w:val="nzNumberedItem"/>
      </w:pPr>
      <w:r>
        <w:t>5.</w:t>
      </w:r>
      <w:r>
        <w:tab/>
        <w:t xml:space="preserve">Belcap Portfolio Pty Ltd ACN 009 265 169 (Deregistered) </w:t>
      </w:r>
    </w:p>
    <w:p>
      <w:pPr>
        <w:pStyle w:val="nzNumberedItem"/>
      </w:pPr>
      <w:r>
        <w:t>6.</w:t>
      </w:r>
      <w:r>
        <w:tab/>
        <w:t>Bell Bros. Holdings Ltd ACN 008 695 056 (In Liquidation)</w:t>
      </w:r>
    </w:p>
    <w:p>
      <w:pPr>
        <w:pStyle w:val="nzNumberedItem"/>
      </w:pPr>
      <w:r>
        <w:t>7.</w:t>
      </w:r>
      <w:r>
        <w:tab/>
        <w:t>Bell Bros. Pty Ltd ACN 008 672 375 (In Liquidation)</w:t>
      </w:r>
    </w:p>
    <w:p>
      <w:pPr>
        <w:pStyle w:val="nzNumberedItem"/>
      </w:pPr>
      <w:r>
        <w:t>8.</w:t>
      </w:r>
      <w:r>
        <w:tab/>
        <w:t>Bell Equity Management Limited ACN 009 210 208 (In Liquidation)</w:t>
      </w:r>
    </w:p>
    <w:p>
      <w:pPr>
        <w:pStyle w:val="nzNumberedItem"/>
      </w:pPr>
      <w:r>
        <w:t>9.</w:t>
      </w:r>
      <w:r>
        <w:tab/>
        <w:t>Bell Group Finance Pty Ltd ACN 009 165 182 (In Liquidation)</w:t>
      </w:r>
    </w:p>
    <w:p>
      <w:pPr>
        <w:pStyle w:val="nzNumberedItem"/>
      </w:pPr>
      <w:r>
        <w:t>10.</w:t>
      </w:r>
      <w:r>
        <w:tab/>
        <w:t>Bell Properties Pty Ltd ACN 008 675 625 (Deregistered)</w:t>
      </w:r>
    </w:p>
    <w:p>
      <w:pPr>
        <w:pStyle w:val="nzNumberedItem"/>
      </w:pPr>
      <w:r>
        <w:t>11.</w:t>
      </w:r>
      <w:r>
        <w:tab/>
        <w:t>Bell Publishing Group Pty Ltd ACN 008 704 452 (In Liquidation)</w:t>
      </w:r>
    </w:p>
    <w:p>
      <w:pPr>
        <w:pStyle w:val="nzNumberedItem"/>
      </w:pPr>
      <w:r>
        <w:t>12.</w:t>
      </w:r>
      <w:r>
        <w:tab/>
        <w:t>B. P. T. Pty Ltd ACN 009 190 292 (Deregistered)</w:t>
      </w:r>
    </w:p>
    <w:p>
      <w:pPr>
        <w:pStyle w:val="nzNumberedItem"/>
      </w:pPr>
      <w:r>
        <w:t>13.</w:t>
      </w:r>
      <w:r>
        <w:tab/>
        <w:t>Dolfinne Pty Ltd ACN 009 134 516 (In Liquidation)</w:t>
      </w:r>
    </w:p>
    <w:p>
      <w:pPr>
        <w:pStyle w:val="nzNumberedItem"/>
      </w:pPr>
      <w:r>
        <w:t>14.</w:t>
      </w:r>
      <w:r>
        <w:tab/>
        <w:t>Dolfinne Securities Pty Ltd ACN 009 218 142 (In Liquidation)</w:t>
      </w:r>
    </w:p>
    <w:p>
      <w:pPr>
        <w:pStyle w:val="nzNumberedItem"/>
      </w:pPr>
      <w:r>
        <w:t>15.</w:t>
      </w:r>
      <w:r>
        <w:tab/>
        <w:t>Godine Enterprises Pty Ltd ACN 009 237 316 (Deregistered)</w:t>
      </w:r>
    </w:p>
    <w:p>
      <w:pPr>
        <w:pStyle w:val="nzNumberedItem"/>
      </w:pPr>
      <w:r>
        <w:t>16.</w:t>
      </w:r>
      <w:r>
        <w:tab/>
        <w:t>Godine Finance Pty Ltd ACN 009 237 325 (Deregistered)</w:t>
      </w:r>
    </w:p>
    <w:p>
      <w:pPr>
        <w:pStyle w:val="nzNumberedItem"/>
      </w:pPr>
      <w:r>
        <w:t>17.</w:t>
      </w:r>
      <w:r>
        <w:tab/>
        <w:t>Group Color (W.A.) Pty Ltd ACN 008 687 769 (Deregistered)</w:t>
      </w:r>
    </w:p>
    <w:p>
      <w:pPr>
        <w:pStyle w:val="nzNumberedItem"/>
      </w:pPr>
      <w:r>
        <w:t>18.</w:t>
      </w:r>
      <w:r>
        <w:tab/>
        <w:t>Harlesden Finance Pty Ltd ACN 009 227 561 (In Liquidation)</w:t>
      </w:r>
    </w:p>
    <w:p>
      <w:pPr>
        <w:pStyle w:val="nzNumberedItem"/>
      </w:pPr>
      <w:r>
        <w:t>19.</w:t>
      </w:r>
      <w:r>
        <w:tab/>
        <w:t>Harlesden Pty Ltd ACN 008 773 411 (Deregistered)</w:t>
      </w:r>
    </w:p>
    <w:p>
      <w:pPr>
        <w:pStyle w:val="nzNumberedItem"/>
      </w:pPr>
      <w:r>
        <w:t>20.</w:t>
      </w:r>
      <w:r>
        <w:tab/>
        <w:t>H.J.W. Engineering Pty Ltd ACN 008 975 746 (Deregistered)</w:t>
      </w:r>
    </w:p>
    <w:p>
      <w:pPr>
        <w:pStyle w:val="nzNumberedItem"/>
      </w:pPr>
      <w:r>
        <w:t>21.</w:t>
      </w:r>
      <w:r>
        <w:tab/>
        <w:t>Industrial Securities Pty Ltd ACN 008 728 792 (In Liquidation)</w:t>
      </w:r>
    </w:p>
    <w:p>
      <w:pPr>
        <w:pStyle w:val="nzNumberedItem"/>
      </w:pPr>
      <w:r>
        <w:t>22.</w:t>
      </w:r>
      <w:r>
        <w:tab/>
        <w:t>Maranoa Developments Pty Ltd ACN 009 244 900 (Deregistered)</w:t>
      </w:r>
    </w:p>
    <w:p>
      <w:pPr>
        <w:pStyle w:val="nzNumberedItem"/>
      </w:pPr>
      <w:r>
        <w:t>23.</w:t>
      </w:r>
      <w:r>
        <w:tab/>
        <w:t>Maranoa Holdings Pty Ltd ACN 009 244 893 (Deregistered)</w:t>
      </w:r>
    </w:p>
    <w:p>
      <w:pPr>
        <w:pStyle w:val="nzNumberedItem"/>
      </w:pPr>
      <w:r>
        <w:t>24.</w:t>
      </w:r>
      <w:r>
        <w:tab/>
        <w:t>Neoma Investments Pty Ltd ACN 009 234 842 (In Liquidation)</w:t>
      </w:r>
    </w:p>
    <w:p>
      <w:pPr>
        <w:pStyle w:val="nzNumberedItem"/>
      </w:pPr>
      <w:r>
        <w:t>25.</w:t>
      </w:r>
      <w:r>
        <w:tab/>
        <w:t>Option Securities Limited ACN 008 737 291 (Deregistered)</w:t>
      </w:r>
    </w:p>
    <w:p>
      <w:pPr>
        <w:pStyle w:val="nzNumberedItem"/>
      </w:pPr>
      <w:r>
        <w:t>26.</w:t>
      </w:r>
      <w:r>
        <w:tab/>
        <w:t>TBGL Enterprises Ltd ACN 008 669 216 (In Liquidation)</w:t>
      </w:r>
    </w:p>
    <w:p>
      <w:pPr>
        <w:pStyle w:val="nzNumberedItem"/>
      </w:pPr>
      <w:r>
        <w:t>27.</w:t>
      </w:r>
      <w:r>
        <w:tab/>
        <w:t>TBGL Securities Pty Ltd ACN 008 713 513 (Deregistered)</w:t>
      </w:r>
    </w:p>
    <w:p>
      <w:pPr>
        <w:pStyle w:val="nzNumberedItem"/>
      </w:pPr>
      <w:r>
        <w:t>28.</w:t>
      </w:r>
      <w:r>
        <w:tab/>
        <w:t>The Bell Group Ltd ACN 008 666 993 (In Liquidation)</w:t>
      </w:r>
    </w:p>
    <w:p>
      <w:pPr>
        <w:pStyle w:val="nzNumberedItem"/>
      </w:pPr>
      <w:r>
        <w:t>29.</w:t>
      </w:r>
      <w:r>
        <w:tab/>
        <w:t>Wanstead Finance Pty Ltd ACN 009 227 570 (Deregistered)</w:t>
      </w:r>
    </w:p>
    <w:p>
      <w:pPr>
        <w:pStyle w:val="nzNumberedItem"/>
      </w:pPr>
      <w:r>
        <w:t>30.</w:t>
      </w:r>
      <w:r>
        <w:tab/>
        <w:t>Wanstead Pty Ltd ACN 008 775 120 (In Liquidation)</w:t>
      </w:r>
    </w:p>
    <w:p>
      <w:pPr>
        <w:pStyle w:val="nzNumberedItem"/>
      </w:pPr>
      <w:r>
        <w:t>31.</w:t>
      </w:r>
      <w:r>
        <w:tab/>
        <w:t>Wanstead Securities Pty Ltd ACN 009 218 160 (In Liquidation)</w:t>
      </w:r>
    </w:p>
    <w:p>
      <w:pPr>
        <w:pStyle w:val="nzNumberedItem"/>
      </w:pPr>
      <w:r>
        <w:t>32.</w:t>
      </w:r>
      <w:r>
        <w:tab/>
        <w:t>WAON Investments Pty Ltd ACN 008 937 166 (In Liquidation)</w:t>
      </w:r>
    </w:p>
    <w:p>
      <w:pPr>
        <w:pStyle w:val="nzNumberedItem"/>
      </w:pPr>
      <w:r>
        <w:t>33.</w:t>
      </w:r>
      <w:r>
        <w:tab/>
        <w:t>Wigmores Air Services Pty Ltd ACN 008 742 863 (Deregistered)</w:t>
      </w:r>
    </w:p>
    <w:p>
      <w:pPr>
        <w:pStyle w:val="nzNumberedItem"/>
      </w:pPr>
      <w:r>
        <w:t>34.</w:t>
      </w:r>
      <w:r>
        <w:tab/>
        <w:t>Wigmores Finance Pty Ltd ACN 008 679 230 (Deregistered)</w:t>
      </w:r>
    </w:p>
    <w:p>
      <w:pPr>
        <w:pStyle w:val="nzNumberedItem"/>
      </w:pPr>
      <w:r>
        <w:t>35.</w:t>
      </w:r>
      <w:r>
        <w:tab/>
        <w:t>Wigmores Tractors Pty Ltd ACN 008 679 221 (In Liquidation)</w:t>
      </w:r>
    </w:p>
    <w:p>
      <w:pPr>
        <w:pStyle w:val="nzHeading2"/>
      </w:pPr>
      <w:bookmarkStart w:id="406" w:name="_Toc418506931"/>
      <w:bookmarkStart w:id="407" w:name="_Toc418507032"/>
      <w:bookmarkStart w:id="408" w:name="_Toc418592106"/>
      <w:bookmarkStart w:id="409" w:name="_Toc422488986"/>
      <w:bookmarkStart w:id="410" w:name="_Toc436042875"/>
      <w:bookmarkStart w:id="411" w:name="_Toc436131293"/>
      <w:bookmarkStart w:id="412" w:name="_Toc436217678"/>
      <w:bookmarkStart w:id="413" w:name="_Toc436292951"/>
      <w:bookmarkStart w:id="414" w:name="_Toc436314199"/>
      <w:r>
        <w:rPr>
          <w:rStyle w:val="CharSchNo"/>
        </w:rPr>
        <w:t>Schedule 2</w:t>
      </w:r>
      <w:r>
        <w:rPr>
          <w:rStyle w:val="CharSDivNo"/>
        </w:rPr>
        <w:t> </w:t>
      </w:r>
      <w:r>
        <w:t>—</w:t>
      </w:r>
      <w:r>
        <w:rPr>
          <w:rStyle w:val="CharSDivText"/>
        </w:rPr>
        <w:t> </w:t>
      </w:r>
      <w:r>
        <w:rPr>
          <w:rStyle w:val="CharSchText"/>
        </w:rPr>
        <w:t>The Bell litigation</w:t>
      </w:r>
      <w:bookmarkEnd w:id="406"/>
      <w:bookmarkEnd w:id="407"/>
      <w:bookmarkEnd w:id="408"/>
      <w:bookmarkEnd w:id="409"/>
      <w:bookmarkEnd w:id="410"/>
      <w:bookmarkEnd w:id="411"/>
      <w:bookmarkEnd w:id="412"/>
      <w:bookmarkEnd w:id="413"/>
      <w:bookmarkEnd w:id="414"/>
    </w:p>
    <w:p>
      <w:pPr>
        <w:pStyle w:val="yShoulderClause"/>
      </w:pPr>
      <w:r>
        <w:t>[s. 3(1)]</w:t>
      </w:r>
    </w:p>
    <w:p>
      <w:pPr>
        <w:pStyle w:val="nzMiscellaneousHeading"/>
      </w:pPr>
      <w:r>
        <w:rPr>
          <w:b/>
        </w:rPr>
        <w:t>The Main proceedings comprising:</w:t>
      </w:r>
    </w:p>
    <w:p>
      <w:pPr>
        <w:pStyle w:val="nz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nz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nzMiscellaneousBody"/>
      </w:pPr>
      <w:r>
        <w:t>High Court proceeding No. P18 of 2013, commenced by Notice of Appeal filed on 27 March 2013, and includes the Notice of Cross</w:t>
      </w:r>
      <w:r>
        <w:noBreakHyphen/>
        <w:t>Appeal and Notice of Contention filed on 9 April 2013.</w:t>
      </w:r>
    </w:p>
    <w:p>
      <w:pPr>
        <w:pStyle w:val="nzMiscellaneousHeading"/>
      </w:pPr>
      <w:r>
        <w:rPr>
          <w:b/>
        </w:rPr>
        <w:t>The related proceedings comprising:</w:t>
      </w:r>
    </w:p>
    <w:p>
      <w:pPr>
        <w:pStyle w:val="nzMiscellaneousHeading"/>
      </w:pPr>
      <w: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nzMiscellaneousHeading"/>
      </w:pPr>
      <w:r>
        <w:rPr>
          <w:b/>
        </w:rPr>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nzMiscellaneousBody"/>
      </w:pPr>
      <w:r>
        <w:t>Any counterclaim, appeal, cross</w:t>
      </w:r>
      <w:r>
        <w:noBreakHyphen/>
        <w:t>appeal, notice of contention or interlocutory or other application filed in relation to any such proceeding.</w:t>
      </w:r>
    </w:p>
    <w:p>
      <w:pPr>
        <w:pStyle w:val="BlankClose"/>
      </w:pPr>
    </w:p>
    <w:bookmarkEnd w:id="66"/>
    <w:bookmarkEnd w:id="67"/>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416" w:name="_Toc438649734"/>
      <w:bookmarkStart w:id="417" w:name="_Toc438650087"/>
      <w:bookmarkEnd w:id="52"/>
      <w:bookmarkEnd w:id="53"/>
      <w:bookmarkEnd w:id="54"/>
      <w:r>
        <w:rPr>
          <w:sz w:val="28"/>
        </w:rPr>
        <w:t>Defined terms</w:t>
      </w:r>
      <w:bookmarkEnd w:id="416"/>
      <w:bookmarkEnd w:id="4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3(1)</w:t>
      </w:r>
    </w:p>
    <w:p>
      <w:pPr>
        <w:pStyle w:val="DefinedTerms"/>
      </w:pPr>
      <w:r>
        <w:t>Administrator</w:t>
      </w:r>
      <w:r>
        <w:tab/>
        <w:t>3(1)</w:t>
      </w:r>
    </w:p>
    <w:p>
      <w:pPr>
        <w:pStyle w:val="DefinedTerms"/>
      </w:pPr>
      <w:r>
        <w:t>agreement</w:t>
      </w:r>
      <w:r>
        <w:tab/>
        <w:t>3(1)</w:t>
      </w:r>
    </w:p>
    <w:p>
      <w:pPr>
        <w:pStyle w:val="DefinedTerms"/>
      </w:pPr>
      <w:r>
        <w:t>ASIC</w:t>
      </w:r>
      <w:r>
        <w:tab/>
        <w:t>3(1)</w:t>
      </w:r>
    </w:p>
    <w:p>
      <w:pPr>
        <w:pStyle w:val="DefinedTerms"/>
      </w:pPr>
      <w:r>
        <w:t>Authority</w:t>
      </w:r>
      <w:r>
        <w:tab/>
        <w:t>3(1)</w:t>
      </w:r>
    </w:p>
    <w:p>
      <w:pPr>
        <w:pStyle w:val="DefinedTerms"/>
      </w:pPr>
      <w:r>
        <w:t>Bell group of companies</w:t>
      </w:r>
      <w:r>
        <w:tab/>
        <w:t>4</w:t>
      </w:r>
    </w:p>
    <w:p>
      <w:pPr>
        <w:pStyle w:val="DefinedTerms"/>
      </w:pPr>
      <w:r>
        <w:t>Bell Group Subsidiary Indemnity Agreements</w:t>
      </w:r>
      <w:r>
        <w:tab/>
        <w:t>3(1)</w:t>
      </w:r>
    </w:p>
    <w:p>
      <w:pPr>
        <w:pStyle w:val="DefinedTerms"/>
      </w:pPr>
      <w:r>
        <w:t>Bell litigation</w:t>
      </w:r>
      <w:r>
        <w:tab/>
        <w:t>3(1)</w:t>
      </w:r>
    </w:p>
    <w:p>
      <w:pPr>
        <w:pStyle w:val="DefinedTerms"/>
      </w:pPr>
      <w:r>
        <w:t>Bell litigation funds</w:t>
      </w:r>
      <w:r>
        <w:tab/>
        <w:t>4</w:t>
      </w:r>
    </w:p>
    <w:p>
      <w:pPr>
        <w:pStyle w:val="DefinedTerms"/>
      </w:pPr>
      <w:r>
        <w:t>BGF</w:t>
      </w:r>
      <w:r>
        <w:tab/>
        <w:t>3(1)</w:t>
      </w:r>
    </w:p>
    <w:p>
      <w:pPr>
        <w:pStyle w:val="DefinedTerms"/>
      </w:pPr>
      <w:r>
        <w:t>BGF AFI</w:t>
      </w:r>
      <w:r>
        <w:tab/>
        <w:t>3(1)</w:t>
      </w:r>
    </w:p>
    <w:p>
      <w:pPr>
        <w:pStyle w:val="DefinedTerms"/>
      </w:pPr>
      <w:r>
        <w:t>BGF Trust Deed</w:t>
      </w:r>
      <w:r>
        <w:tab/>
        <w:t>3(1)</w:t>
      </w:r>
    </w:p>
    <w:p>
      <w:pPr>
        <w:pStyle w:val="DefinedTerms"/>
      </w:pPr>
      <w:r>
        <w:t>BGNV</w:t>
      </w:r>
      <w:r>
        <w:tab/>
        <w:t>3(1)</w:t>
      </w:r>
    </w:p>
    <w:p>
      <w:pPr>
        <w:pStyle w:val="DefinedTerms"/>
      </w:pPr>
      <w:r>
        <w:t>BGNV Indemnity</w:t>
      </w:r>
      <w:r>
        <w:tab/>
        <w:t>3(1)</w:t>
      </w:r>
    </w:p>
    <w:p>
      <w:pPr>
        <w:pStyle w:val="DefinedTerms"/>
      </w:pPr>
      <w:r>
        <w:t>BGNV Trust Deeds</w:t>
      </w:r>
      <w:r>
        <w:tab/>
        <w:t>3(1)</w:t>
      </w:r>
    </w:p>
    <w:p>
      <w:pPr>
        <w:pStyle w:val="DefinedTerms"/>
      </w:pPr>
      <w:r>
        <w:t>BGUK Liquidator’s Indemnity Agreements</w:t>
      </w:r>
      <w:r>
        <w:tab/>
        <w:t>3(1)</w:t>
      </w:r>
    </w:p>
    <w:p>
      <w:pPr>
        <w:pStyle w:val="DefinedTerms"/>
      </w:pPr>
      <w:r>
        <w:t>body corporate</w:t>
      </w:r>
      <w:r>
        <w:tab/>
        <w:t>3(1)</w:t>
      </w:r>
    </w:p>
    <w:p>
      <w:pPr>
        <w:pStyle w:val="DefinedTerms"/>
      </w:pPr>
      <w:r>
        <w:t>books</w:t>
      </w:r>
      <w:r>
        <w:tab/>
        <w:t>3(1)</w:t>
      </w:r>
    </w:p>
    <w:p>
      <w:pPr>
        <w:pStyle w:val="DefinedTerms"/>
      </w:pPr>
      <w:r>
        <w:t>company</w:t>
      </w:r>
      <w:r>
        <w:tab/>
        <w:t>3(1)</w:t>
      </w:r>
    </w:p>
    <w:p>
      <w:pPr>
        <w:pStyle w:val="DefinedTerms"/>
      </w:pPr>
      <w:r>
        <w:t>conceal</w:t>
      </w:r>
      <w:r>
        <w:tab/>
        <w:t>56(1)</w:t>
      </w:r>
    </w:p>
    <w:p>
      <w:pPr>
        <w:pStyle w:val="DefinedTerms"/>
      </w:pPr>
      <w:r>
        <w:t>corporation</w:t>
      </w:r>
      <w:r>
        <w:tab/>
        <w:t>3(1)</w:t>
      </w:r>
    </w:p>
    <w:p>
      <w:pPr>
        <w:pStyle w:val="DefinedTerms"/>
      </w:pPr>
      <w:r>
        <w:t>Corporations Act</w:t>
      </w:r>
      <w:r>
        <w:tab/>
        <w:t>3(1)</w:t>
      </w:r>
    </w:p>
    <w:p>
      <w:pPr>
        <w:pStyle w:val="DefinedTerms"/>
      </w:pPr>
      <w:r>
        <w:t>Court</w:t>
      </w:r>
      <w:r>
        <w:tab/>
        <w:t>3(1)</w:t>
      </w:r>
    </w:p>
    <w:p>
      <w:pPr>
        <w:pStyle w:val="DefinedTerms"/>
      </w:pPr>
      <w:r>
        <w:t>creditor</w:t>
      </w:r>
      <w:r>
        <w:tab/>
        <w:t>3(1)</w:t>
      </w:r>
    </w:p>
    <w:p>
      <w:pPr>
        <w:pStyle w:val="DefinedTerms"/>
      </w:pPr>
      <w:r>
        <w:t>daily newspaper</w:t>
      </w:r>
      <w:r>
        <w:tab/>
        <w:t>3(1)</w:t>
      </w:r>
    </w:p>
    <w:p>
      <w:pPr>
        <w:pStyle w:val="DefinedTerms"/>
      </w:pPr>
      <w:r>
        <w:t>director,</w:t>
      </w:r>
      <w:r>
        <w:tab/>
        <w:t>3(1)</w:t>
      </w:r>
    </w:p>
    <w:p>
      <w:pPr>
        <w:pStyle w:val="DefinedTerms"/>
      </w:pPr>
      <w:r>
        <w:t>financial records</w:t>
      </w:r>
      <w:r>
        <w:tab/>
        <w:t>3(1)</w:t>
      </w:r>
    </w:p>
    <w:p>
      <w:pPr>
        <w:pStyle w:val="DefinedTerms"/>
      </w:pPr>
      <w:r>
        <w:t>Fund</w:t>
      </w:r>
      <w:r>
        <w:tab/>
        <w:t>3(1)</w:t>
      </w:r>
    </w:p>
    <w:p>
      <w:pPr>
        <w:pStyle w:val="DefinedTerms"/>
      </w:pPr>
      <w:r>
        <w:t>Gentra Indemnity</w:t>
      </w:r>
      <w:r>
        <w:tab/>
        <w:t>3(1)</w:t>
      </w:r>
    </w:p>
    <w:p>
      <w:pPr>
        <w:pStyle w:val="DefinedTerms"/>
      </w:pPr>
      <w:r>
        <w:t>ICWA</w:t>
      </w:r>
      <w:r>
        <w:tab/>
        <w:t>3(1)</w:t>
      </w:r>
    </w:p>
    <w:p>
      <w:pPr>
        <w:pStyle w:val="DefinedTerms"/>
      </w:pPr>
      <w:r>
        <w:t>Indemnity and Distribution Agreement</w:t>
      </w:r>
      <w:r>
        <w:tab/>
        <w:t>3(1)</w:t>
      </w:r>
    </w:p>
    <w:p>
      <w:pPr>
        <w:pStyle w:val="DefinedTerms"/>
      </w:pPr>
      <w:r>
        <w:t>LDTC</w:t>
      </w:r>
      <w:r>
        <w:tab/>
        <w:t>3(1)</w:t>
      </w:r>
    </w:p>
    <w:p>
      <w:pPr>
        <w:pStyle w:val="DefinedTerms"/>
      </w:pPr>
      <w:r>
        <w:t>LDTC (BGF)</w:t>
      </w:r>
      <w:r>
        <w:tab/>
        <w:t>3(1)</w:t>
      </w:r>
    </w:p>
    <w:p>
      <w:pPr>
        <w:pStyle w:val="DefinedTerms"/>
      </w:pPr>
      <w:r>
        <w:t>LDTC (TBGL)</w:t>
      </w:r>
      <w:r>
        <w:tab/>
        <w:t>3(1)</w:t>
      </w:r>
    </w:p>
    <w:p>
      <w:pPr>
        <w:pStyle w:val="DefinedTerms"/>
      </w:pPr>
      <w:r>
        <w:t>liability</w:t>
      </w:r>
      <w:r>
        <w:tab/>
        <w:t>3(1)</w:t>
      </w:r>
    </w:p>
    <w:p>
      <w:pPr>
        <w:pStyle w:val="DefinedTerms"/>
      </w:pPr>
      <w:r>
        <w:t>liquidator</w:t>
      </w:r>
      <w:r>
        <w:tab/>
        <w:t>3(1)</w:t>
      </w:r>
    </w:p>
    <w:p>
      <w:pPr>
        <w:pStyle w:val="DefinedTerms"/>
      </w:pPr>
      <w:r>
        <w:t>Liquidators’ Indemnity Agreement</w:t>
      </w:r>
      <w:r>
        <w:tab/>
        <w:t>3(1)</w:t>
      </w:r>
    </w:p>
    <w:p>
      <w:pPr>
        <w:pStyle w:val="DefinedTerms"/>
      </w:pPr>
      <w:r>
        <w:t>Main Proceeding Indemnity Agreements</w:t>
      </w:r>
      <w:r>
        <w:tab/>
        <w:t>3(1)</w:t>
      </w:r>
    </w:p>
    <w:p>
      <w:pPr>
        <w:pStyle w:val="DefinedTerms"/>
      </w:pPr>
      <w:r>
        <w:t>officer</w:t>
      </w:r>
      <w:r>
        <w:tab/>
        <w:t>3(1)</w:t>
      </w:r>
    </w:p>
    <w:p>
      <w:pPr>
        <w:pStyle w:val="DefinedTerms"/>
      </w:pPr>
      <w:r>
        <w:t>property</w:t>
      </w:r>
      <w:r>
        <w:tab/>
        <w:t>3(1)</w:t>
      </w:r>
    </w:p>
    <w:p>
      <w:pPr>
        <w:pStyle w:val="DefinedTerms"/>
      </w:pPr>
      <w:r>
        <w:t>PTICA</w:t>
      </w:r>
      <w:r>
        <w:tab/>
        <w:t>3(1)</w:t>
      </w:r>
    </w:p>
    <w:p>
      <w:pPr>
        <w:pStyle w:val="DefinedTerms"/>
      </w:pPr>
      <w:r>
        <w:t>records</w:t>
      </w:r>
      <w:r>
        <w:tab/>
        <w:t>3(1)</w:t>
      </w:r>
    </w:p>
    <w:p>
      <w:pPr>
        <w:pStyle w:val="DefinedTerms"/>
      </w:pPr>
      <w:r>
        <w:t>reinstated WA Bell Company</w:t>
      </w:r>
      <w:r>
        <w:tab/>
        <w:t>3(1)</w:t>
      </w:r>
    </w:p>
    <w:p>
      <w:pPr>
        <w:pStyle w:val="DefinedTerms"/>
      </w:pPr>
      <w:r>
        <w:t>related body corporate</w:t>
      </w:r>
      <w:r>
        <w:tab/>
        <w:t>3(1)</w:t>
      </w:r>
    </w:p>
    <w:p>
      <w:pPr>
        <w:pStyle w:val="DefinedTerms"/>
      </w:pPr>
      <w:r>
        <w:t>right</w:t>
      </w:r>
      <w:r>
        <w:tab/>
        <w:t>3(1)</w:t>
      </w:r>
    </w:p>
    <w:p>
      <w:pPr>
        <w:pStyle w:val="DefinedTerms"/>
      </w:pPr>
      <w:r>
        <w:t>scheme</w:t>
      </w:r>
      <w:r>
        <w:tab/>
        <w:t>54(1)</w:t>
      </w:r>
    </w:p>
    <w:p>
      <w:pPr>
        <w:pStyle w:val="DefinedTerms"/>
      </w:pPr>
      <w:r>
        <w:t>subsidiary</w:t>
      </w:r>
      <w:r>
        <w:tab/>
        <w:t>3(1)</w:t>
      </w:r>
    </w:p>
    <w:p>
      <w:pPr>
        <w:pStyle w:val="DefinedTerms"/>
      </w:pPr>
      <w:r>
        <w:t>TBGL</w:t>
      </w:r>
      <w:r>
        <w:tab/>
        <w:t>3(1)</w:t>
      </w:r>
    </w:p>
    <w:p>
      <w:pPr>
        <w:pStyle w:val="DefinedTerms"/>
      </w:pPr>
      <w:r>
        <w:t>TBGL AFI</w:t>
      </w:r>
      <w:r>
        <w:tab/>
        <w:t>3(1)</w:t>
      </w:r>
    </w:p>
    <w:p>
      <w:pPr>
        <w:pStyle w:val="DefinedTerms"/>
      </w:pPr>
      <w:r>
        <w:t>TBGL Inter</w:t>
      </w:r>
      <w:r>
        <w:noBreakHyphen/>
        <w:t>Creditor Agreement</w:t>
      </w:r>
      <w:r>
        <w:tab/>
        <w:t>3(1)</w:t>
      </w:r>
    </w:p>
    <w:p>
      <w:pPr>
        <w:pStyle w:val="DefinedTerms"/>
      </w:pPr>
      <w:r>
        <w:t>TBGL Trust Deed</w:t>
      </w:r>
      <w:r>
        <w:tab/>
        <w:t>3(1)</w:t>
      </w:r>
    </w:p>
    <w:p>
      <w:pPr>
        <w:pStyle w:val="DefinedTerms"/>
      </w:pPr>
      <w:r>
        <w:t>transfer day</w:t>
      </w:r>
      <w:r>
        <w:tab/>
        <w:t>3(1)</w:t>
      </w:r>
    </w:p>
    <w:p>
      <w:pPr>
        <w:pStyle w:val="DefinedTerms"/>
      </w:pPr>
      <w:r>
        <w:t>Trust Deed Indemnity Agreements</w:t>
      </w:r>
      <w:r>
        <w:tab/>
        <w:t>3(1)</w:t>
      </w:r>
    </w:p>
    <w:p>
      <w:pPr>
        <w:pStyle w:val="DefinedTerms"/>
      </w:pPr>
      <w:r>
        <w:t>WA Bell Company</w:t>
      </w:r>
      <w:r>
        <w:tab/>
        <w:t>3(1)</w:t>
      </w:r>
    </w:p>
    <w:p>
      <w:pPr>
        <w:pStyle w:val="DefinedTerms"/>
      </w:pPr>
      <w:r>
        <w:t>Western Interstate</w:t>
      </w:r>
      <w:r>
        <w:tab/>
        <w:t>3(1)</w:t>
      </w:r>
    </w:p>
    <w:p>
      <w:pPr>
        <w:pStyle w:val="DefinedTerms"/>
      </w:pPr>
      <w:r>
        <w:t>Western Interstate Assignment Agreement</w:t>
      </w:r>
      <w:r>
        <w:tab/>
        <w:t>3(1)</w:t>
      </w:r>
    </w:p>
    <w:p>
      <w:pPr>
        <w:pStyle w:val="DefinedTerms"/>
      </w:pPr>
      <w:r>
        <w:t>Western Interstate Indemnity Agreement</w:t>
      </w:r>
      <w:r>
        <w:tab/>
        <w:t>3(1)</w:t>
      </w:r>
    </w:p>
    <w:p>
      <w:pPr>
        <w:pStyle w:val="DefinedTerms"/>
      </w:pPr>
      <w:r>
        <w:t>Western Interstate Inter</w:t>
      </w:r>
      <w:r>
        <w:noBreakHyphen/>
        <w:t>Creditor Agreement</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rPr>
              <w:rFonts w:ascii="Arial" w:hAnsi="Arial"/>
              <w:noProof/>
              <w:sz w:val="20"/>
            </w:rPr>
          </w:pPr>
          <w:r>
            <w:rPr>
              <w:rFonts w:ascii="Arial" w:hAnsi="Arial"/>
              <w:b/>
              <w:i/>
              <w:noProof/>
              <w:sz w:val="20"/>
            </w:rPr>
            <w:fldChar w:fldCharType="begin"/>
          </w:r>
          <w:r>
            <w:rPr>
              <w:rFonts w:ascii="Arial" w:hAnsi="Arial"/>
              <w:b/>
              <w:i/>
              <w:noProof/>
              <w:sz w:val="20"/>
            </w:rPr>
            <w:instrText xml:space="preserve"> STYLEREF "Name of Act/Reg" </w:instrText>
          </w:r>
          <w:r>
            <w:rPr>
              <w:rFonts w:ascii="Arial" w:hAnsi="Arial"/>
              <w:b/>
              <w:i/>
              <w:noProof/>
              <w:sz w:val="20"/>
            </w:rPr>
            <w:fldChar w:fldCharType="separate"/>
          </w:r>
          <w:r>
            <w:rPr>
              <w:rFonts w:ascii="Arial" w:hAnsi="Arial"/>
              <w:b/>
              <w:i/>
              <w:noProof/>
              <w:sz w:val="20"/>
            </w:rPr>
            <w:t>Bell Group Companies (Finalisation of Matters and Distribution of Proceeds) Act 2015</w:t>
          </w:r>
          <w:r>
            <w:rPr>
              <w:rFonts w:ascii="Arial" w:hAnsi="Arial"/>
              <w:b/>
              <w:i/>
              <w:noProof/>
              <w:sz w:val="20"/>
            </w:rPr>
            <w:fldChar w:fldCharType="end"/>
          </w:r>
        </w:p>
      </w:tc>
    </w:tr>
    <w:tr>
      <w:tc>
        <w:tcPr>
          <w:tcW w:w="1548" w:type="dxa"/>
        </w:tcPr>
        <w:p>
          <w:pPr>
            <w:spacing w:before="40"/>
            <w:rPr>
              <w:rFonts w:ascii="Arial" w:hAnsi="Arial"/>
              <w:noProof/>
              <w:sz w:val="20"/>
            </w:rPr>
          </w:pP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CharPartNo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CharPartNo </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CharPartNo </w:instrText>
          </w:r>
          <w:r>
            <w:rPr>
              <w:rFonts w:ascii="Arial" w:hAnsi="Arial"/>
              <w:b/>
              <w:noProof/>
              <w:sz w:val="20"/>
            </w:rPr>
            <w:fldChar w:fldCharType="separate"/>
          </w:r>
          <w:r>
            <w:rPr>
              <w:rFonts w:ascii="Arial" w:hAnsi="Arial"/>
              <w:b/>
              <w:noProof/>
              <w:sz w:val="20"/>
            </w:rPr>
            <w:instrText>Part</w:instrText>
          </w:r>
          <w:r>
            <w:rPr>
              <w:rFonts w:ascii="Arial" w:hAnsi="Arial"/>
              <w:b/>
              <w:noProof/>
              <w:sz w:val="20"/>
            </w:rPr>
            <w:fldChar w:fldCharType="end"/>
          </w:r>
          <w:r>
            <w:rPr>
              <w:rFonts w:ascii="Arial" w:hAnsi="Arial"/>
              <w:b/>
              <w:noProof/>
              <w:sz w:val="20"/>
            </w:rPr>
            <w:instrText xml:space="preserve"> </w:instrText>
          </w:r>
          <w:r>
            <w:rPr>
              <w:rFonts w:ascii="Arial" w:hAnsi="Arial"/>
              <w:b/>
              <w:noProof/>
              <w:sz w:val="20"/>
            </w:rPr>
            <w:fldChar w:fldCharType="begin"/>
          </w:r>
          <w:r>
            <w:rPr>
              <w:rFonts w:ascii="Arial" w:hAnsi="Arial"/>
              <w:b/>
              <w:noProof/>
              <w:sz w:val="20"/>
            </w:rPr>
            <w:instrText xml:space="preserve"> STYLEREF CharPartNo \n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end"/>
          </w:r>
        </w:p>
      </w:tc>
      <w:tc>
        <w:tcPr>
          <w:tcW w:w="5715" w:type="dxa"/>
          <w:vAlign w:val="bottom"/>
        </w:tcPr>
        <w:p>
          <w:pPr>
            <w:spacing w:before="40"/>
            <w:rPr>
              <w:rFonts w:ascii="Arial" w:hAnsi="Arial"/>
              <w:noProof/>
              <w:sz w:val="20"/>
            </w:rPr>
          </w:pPr>
          <w:r>
            <w:rPr>
              <w:rFonts w:ascii="Arial" w:hAnsi="Arial"/>
              <w:noProof/>
              <w:sz w:val="20"/>
            </w:rPr>
            <w:fldChar w:fldCharType="begin"/>
          </w:r>
          <w:r>
            <w:rPr>
              <w:rFonts w:ascii="Arial" w:hAnsi="Arial"/>
              <w:noProof/>
              <w:sz w:val="20"/>
            </w:rPr>
            <w:instrText xml:space="preserve"> styleref CharPartText </w:instrText>
          </w:r>
          <w:r>
            <w:rPr>
              <w:rFonts w:ascii="Arial" w:hAnsi="Arial"/>
              <w:noProof/>
              <w:sz w:val="20"/>
            </w:rPr>
            <w:fldChar w:fldCharType="end"/>
          </w:r>
        </w:p>
      </w:tc>
    </w:tr>
    <w:tr>
      <w:tc>
        <w:tcPr>
          <w:tcW w:w="1548" w:type="dxa"/>
        </w:tcPr>
        <w:p>
          <w:pPr>
            <w:spacing w:before="40"/>
            <w:rPr>
              <w:rFonts w:ascii="Arial" w:hAnsi="Arial"/>
              <w:noProof/>
              <w:sz w:val="20"/>
            </w:rPr>
          </w:pP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CharDivNo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CharDivNo </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CharDivNo </w:instrText>
          </w:r>
          <w:r>
            <w:rPr>
              <w:rFonts w:ascii="Arial" w:hAnsi="Arial"/>
              <w:b/>
              <w:noProof/>
              <w:sz w:val="20"/>
            </w:rPr>
            <w:fldChar w:fldCharType="end"/>
          </w:r>
          <w:r>
            <w:rPr>
              <w:rFonts w:ascii="Arial" w:hAnsi="Arial"/>
              <w:b/>
              <w:noProof/>
              <w:sz w:val="20"/>
            </w:rPr>
            <w:instrText xml:space="preserve"> </w:instrText>
          </w:r>
          <w:r>
            <w:rPr>
              <w:rFonts w:ascii="Arial" w:hAnsi="Arial"/>
              <w:b/>
              <w:noProof/>
              <w:sz w:val="20"/>
            </w:rPr>
            <w:fldChar w:fldCharType="begin"/>
          </w:r>
          <w:r>
            <w:rPr>
              <w:rFonts w:ascii="Arial" w:hAnsi="Arial"/>
              <w:b/>
              <w:noProof/>
              <w:sz w:val="20"/>
            </w:rPr>
            <w:instrText xml:space="preserve"> STYLEREF CharDivNo \n </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end"/>
          </w:r>
        </w:p>
      </w:tc>
      <w:tc>
        <w:tcPr>
          <w:tcW w:w="5715" w:type="dxa"/>
          <w:vAlign w:val="bottom"/>
        </w:tcPr>
        <w:p>
          <w:pPr>
            <w:spacing w:before="40"/>
            <w:rPr>
              <w:rFonts w:ascii="Arial" w:hAnsi="Arial"/>
              <w:noProof/>
              <w:sz w:val="20"/>
            </w:rPr>
          </w:pPr>
          <w:r>
            <w:rPr>
              <w:rFonts w:ascii="Arial" w:hAnsi="Arial"/>
              <w:noProof/>
              <w:sz w:val="20"/>
            </w:rPr>
            <w:fldChar w:fldCharType="begin"/>
          </w:r>
          <w:r>
            <w:rPr>
              <w:rFonts w:ascii="Arial" w:hAnsi="Arial"/>
              <w:noProof/>
              <w:sz w:val="20"/>
            </w:rPr>
            <w:instrText xml:space="preserve"> styleref CharDivText </w:instrText>
          </w:r>
          <w:r>
            <w:rPr>
              <w:rFonts w:ascii="Arial" w:hAnsi="Arial"/>
              <w:noProof/>
              <w:sz w:val="20"/>
            </w:rPr>
            <w:fldChar w:fldCharType="end"/>
          </w:r>
        </w:p>
      </w:tc>
    </w:tr>
    <w:tr>
      <w:tc>
        <w:tcPr>
          <w:tcW w:w="7263" w:type="dxa"/>
          <w:gridSpan w:val="2"/>
          <w:tcBorders>
            <w:bottom w:val="single" w:sz="4" w:space="0" w:color="auto"/>
          </w:tcBorders>
        </w:tcPr>
        <w:p>
          <w:pPr>
            <w:spacing w:before="40"/>
            <w:rPr>
              <w:rFonts w:ascii="Arial" w:hAnsi="Arial"/>
              <w:noProof/>
              <w:sz w:val="20"/>
            </w:rPr>
          </w:pPr>
          <w:r>
            <w:rPr>
              <w:rFonts w:ascii="Arial" w:hAnsi="Arial"/>
              <w:b/>
              <w:noProof/>
              <w:sz w:val="20"/>
            </w:rPr>
            <w:t xml:space="preserve">s. </w:t>
          </w: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CharSectNo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CharSectNo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CharSectNo \n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separate"/>
          </w:r>
          <w:r>
            <w:rPr>
              <w:rFonts w:ascii="Arial" w:hAnsi="Arial"/>
              <w:b/>
              <w:noProof/>
              <w:sz w:val="20"/>
            </w:rPr>
            <w:t>1</w:t>
          </w:r>
          <w:r>
            <w:rPr>
              <w:rFonts w:ascii="Arial" w:hAnsi="Arial"/>
              <w:b/>
              <w:noProof/>
              <w:sz w:val="20"/>
            </w:rP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bookmarkStart w:id="46" w:name="Schedule"/>
        <w:bookmarkEnd w:id="46"/>
        <w:p>
          <w:pPr>
            <w:spacing w:before="40"/>
            <w:ind w:right="17"/>
            <w:jc w:val="right"/>
            <w:rPr>
              <w:rFonts w:ascii="Arial" w:hAnsi="Arial"/>
              <w:noProof/>
              <w:sz w:val="20"/>
            </w:rPr>
          </w:pPr>
          <w:r>
            <w:rPr>
              <w:rFonts w:ascii="Arial" w:hAnsi="Arial"/>
              <w:b/>
              <w:i/>
              <w:noProof/>
              <w:sz w:val="20"/>
            </w:rPr>
            <w:fldChar w:fldCharType="begin"/>
          </w:r>
          <w:r>
            <w:rPr>
              <w:rFonts w:ascii="Arial" w:hAnsi="Arial"/>
              <w:b/>
              <w:i/>
              <w:noProof/>
              <w:sz w:val="20"/>
            </w:rPr>
            <w:instrText xml:space="preserve"> STYLEREF "Name of Act/Reg" </w:instrText>
          </w:r>
          <w:r>
            <w:rPr>
              <w:rFonts w:ascii="Arial" w:hAnsi="Arial"/>
              <w:b/>
              <w:i/>
              <w:noProof/>
              <w:sz w:val="20"/>
            </w:rPr>
            <w:fldChar w:fldCharType="separate"/>
          </w:r>
          <w:r>
            <w:rPr>
              <w:rFonts w:ascii="Arial" w:hAnsi="Arial"/>
              <w:b/>
              <w:i/>
              <w:noProof/>
              <w:sz w:val="20"/>
            </w:rPr>
            <w:t>Bell Group Companies (Finalisation of Matters and Distribution of Proceeds) Act 2015</w:t>
          </w:r>
          <w:r>
            <w:rPr>
              <w:rFonts w:ascii="Arial" w:hAnsi="Arial"/>
              <w:b/>
              <w:i/>
              <w:noProof/>
              <w:sz w:val="20"/>
            </w:rPr>
            <w:fldChar w:fldCharType="end"/>
          </w:r>
        </w:p>
      </w:tc>
    </w:tr>
    <w:tr>
      <w:tc>
        <w:tcPr>
          <w:tcW w:w="5715" w:type="dxa"/>
          <w:vAlign w:val="bottom"/>
        </w:tcPr>
        <w:p>
          <w:pPr>
            <w:spacing w:before="40"/>
            <w:jc w:val="right"/>
            <w:rPr>
              <w:rFonts w:ascii="Arial" w:hAnsi="Arial"/>
              <w:noProof/>
              <w:sz w:val="20"/>
            </w:rPr>
          </w:pPr>
          <w:r>
            <w:rPr>
              <w:rFonts w:ascii="Arial" w:hAnsi="Arial"/>
              <w:noProof/>
              <w:sz w:val="20"/>
            </w:rPr>
            <w:fldChar w:fldCharType="begin"/>
          </w:r>
          <w:r>
            <w:rPr>
              <w:rFonts w:ascii="Arial" w:hAnsi="Arial"/>
              <w:noProof/>
              <w:sz w:val="20"/>
            </w:rPr>
            <w:instrText xml:space="preserve"> styleref CharPartText </w:instrText>
          </w:r>
          <w:r>
            <w:rPr>
              <w:rFonts w:ascii="Arial" w:hAnsi="Arial"/>
              <w:noProof/>
              <w:sz w:val="20"/>
            </w:rPr>
            <w:fldChar w:fldCharType="end"/>
          </w:r>
        </w:p>
      </w:tc>
      <w:tc>
        <w:tcPr>
          <w:tcW w:w="1548" w:type="dxa"/>
        </w:tcPr>
        <w:p>
          <w:pPr>
            <w:spacing w:before="40"/>
            <w:ind w:right="17"/>
            <w:jc w:val="right"/>
            <w:rPr>
              <w:rFonts w:ascii="Arial" w:hAnsi="Arial"/>
              <w:noProof/>
              <w:sz w:val="20"/>
            </w:rPr>
          </w:pP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CharPartNo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CharPartNo </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CharPartNo </w:instrText>
          </w:r>
          <w:r>
            <w:rPr>
              <w:rFonts w:ascii="Arial" w:hAnsi="Arial"/>
              <w:b/>
              <w:noProof/>
              <w:sz w:val="20"/>
            </w:rPr>
            <w:fldChar w:fldCharType="separate"/>
          </w:r>
          <w:r>
            <w:rPr>
              <w:rFonts w:ascii="Arial" w:hAnsi="Arial"/>
              <w:b/>
              <w:noProof/>
              <w:sz w:val="20"/>
            </w:rPr>
            <w:instrText>Part</w:instrText>
          </w:r>
          <w:r>
            <w:rPr>
              <w:rFonts w:ascii="Arial" w:hAnsi="Arial"/>
              <w:b/>
              <w:noProof/>
              <w:sz w:val="20"/>
            </w:rPr>
            <w:fldChar w:fldCharType="end"/>
          </w:r>
          <w:r>
            <w:rPr>
              <w:rFonts w:ascii="Arial" w:hAnsi="Arial"/>
              <w:b/>
              <w:noProof/>
              <w:sz w:val="20"/>
            </w:rPr>
            <w:instrText xml:space="preserve"> </w:instrText>
          </w:r>
          <w:r>
            <w:rPr>
              <w:rFonts w:ascii="Arial" w:hAnsi="Arial"/>
              <w:b/>
              <w:noProof/>
              <w:sz w:val="20"/>
            </w:rPr>
            <w:fldChar w:fldCharType="begin"/>
          </w:r>
          <w:r>
            <w:rPr>
              <w:rFonts w:ascii="Arial" w:hAnsi="Arial"/>
              <w:b/>
              <w:noProof/>
              <w:sz w:val="20"/>
            </w:rPr>
            <w:instrText xml:space="preserve"> STYLEREF CharPartNo \n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end"/>
          </w:r>
        </w:p>
      </w:tc>
    </w:tr>
    <w:tr>
      <w:tc>
        <w:tcPr>
          <w:tcW w:w="5715" w:type="dxa"/>
          <w:vAlign w:val="bottom"/>
        </w:tcPr>
        <w:p>
          <w:pPr>
            <w:spacing w:before="40"/>
            <w:jc w:val="right"/>
            <w:rPr>
              <w:rFonts w:ascii="Arial" w:hAnsi="Arial"/>
              <w:noProof/>
              <w:sz w:val="20"/>
            </w:rPr>
          </w:pPr>
          <w:r>
            <w:rPr>
              <w:rFonts w:ascii="Arial" w:hAnsi="Arial"/>
              <w:noProof/>
              <w:sz w:val="20"/>
            </w:rPr>
            <w:fldChar w:fldCharType="begin"/>
          </w:r>
          <w:r>
            <w:rPr>
              <w:rFonts w:ascii="Arial" w:hAnsi="Arial"/>
              <w:noProof/>
              <w:sz w:val="20"/>
            </w:rPr>
            <w:instrText xml:space="preserve"> styleref CharDivText </w:instrText>
          </w:r>
          <w:r>
            <w:rPr>
              <w:rFonts w:ascii="Arial" w:hAnsi="Arial"/>
              <w:noProof/>
              <w:sz w:val="20"/>
            </w:rPr>
            <w:fldChar w:fldCharType="end"/>
          </w:r>
        </w:p>
      </w:tc>
      <w:tc>
        <w:tcPr>
          <w:tcW w:w="1548" w:type="dxa"/>
        </w:tcPr>
        <w:p>
          <w:pPr>
            <w:spacing w:before="40"/>
            <w:ind w:right="17"/>
            <w:jc w:val="right"/>
            <w:rPr>
              <w:rFonts w:ascii="Arial" w:hAnsi="Arial"/>
              <w:noProof/>
              <w:sz w:val="20"/>
            </w:rPr>
          </w:pP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CharDivNo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CharDivNo </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CharDivNo </w:instrText>
          </w:r>
          <w:r>
            <w:rPr>
              <w:rFonts w:ascii="Arial" w:hAnsi="Arial"/>
              <w:b/>
              <w:noProof/>
              <w:sz w:val="20"/>
            </w:rPr>
            <w:fldChar w:fldCharType="end"/>
          </w:r>
          <w:r>
            <w:rPr>
              <w:rFonts w:ascii="Arial" w:hAnsi="Arial"/>
              <w:b/>
              <w:noProof/>
              <w:sz w:val="20"/>
            </w:rPr>
            <w:instrText xml:space="preserve"> </w:instrText>
          </w:r>
          <w:r>
            <w:rPr>
              <w:rFonts w:ascii="Arial" w:hAnsi="Arial"/>
              <w:b/>
              <w:noProof/>
              <w:sz w:val="20"/>
            </w:rPr>
            <w:fldChar w:fldCharType="begin"/>
          </w:r>
          <w:r>
            <w:rPr>
              <w:rFonts w:ascii="Arial" w:hAnsi="Arial"/>
              <w:b/>
              <w:noProof/>
              <w:sz w:val="20"/>
            </w:rPr>
            <w:instrText xml:space="preserve"> STYLEREF CharDivNo \n </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end"/>
          </w:r>
        </w:p>
      </w:tc>
    </w:tr>
    <w:tr>
      <w:trPr>
        <w:cantSplit/>
      </w:trPr>
      <w:tc>
        <w:tcPr>
          <w:tcW w:w="7263" w:type="dxa"/>
          <w:gridSpan w:val="2"/>
          <w:tcBorders>
            <w:bottom w:val="single" w:sz="4" w:space="0" w:color="auto"/>
          </w:tcBorders>
        </w:tcPr>
        <w:p>
          <w:pPr>
            <w:spacing w:before="40"/>
            <w:ind w:right="17"/>
            <w:jc w:val="right"/>
            <w:rPr>
              <w:rFonts w:ascii="Arial" w:hAnsi="Arial"/>
              <w:noProof/>
              <w:sz w:val="20"/>
            </w:rPr>
          </w:pPr>
          <w:r>
            <w:rPr>
              <w:rFonts w:ascii="Arial" w:hAnsi="Arial"/>
              <w:b/>
              <w:noProof/>
              <w:sz w:val="20"/>
            </w:rPr>
            <w:t xml:space="preserve">s. </w:t>
          </w: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CharSectNo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CharSectNo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CharSectNo \n </w:instrText>
          </w:r>
          <w:r>
            <w:rPr>
              <w:rFonts w:ascii="Arial" w:hAnsi="Arial"/>
              <w:b/>
              <w:noProof/>
              <w:sz w:val="20"/>
            </w:rPr>
            <w:fldChar w:fldCharType="separate"/>
          </w:r>
          <w:r>
            <w:rPr>
              <w:rFonts w:ascii="Arial" w:hAnsi="Arial"/>
              <w:b/>
              <w:noProof/>
              <w:sz w:val="20"/>
            </w:rPr>
            <w:instrText>4</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separate"/>
          </w:r>
          <w:r>
            <w:rPr>
              <w:rFonts w:ascii="Arial" w:hAnsi="Arial"/>
              <w:b/>
              <w:noProof/>
              <w:sz w:val="20"/>
            </w:rPr>
            <w:t>1</w:t>
          </w:r>
          <w:r>
            <w:rPr>
              <w:rFonts w:ascii="Arial" w:hAnsi="Arial"/>
              <w:b/>
              <w:noProof/>
              <w:sz w:val="20"/>
            </w:rPr>
            <w:fldChar w:fldCharType="end"/>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rPr>
              <w:rFonts w:ascii="Arial" w:hAnsi="Arial"/>
              <w:noProof/>
              <w:sz w:val="20"/>
            </w:rPr>
          </w:pPr>
          <w:r>
            <w:rPr>
              <w:rFonts w:ascii="Arial" w:hAnsi="Arial"/>
              <w:b/>
              <w:i/>
              <w:noProof/>
              <w:sz w:val="20"/>
            </w:rPr>
            <w:fldChar w:fldCharType="begin"/>
          </w:r>
          <w:r>
            <w:rPr>
              <w:rFonts w:ascii="Arial" w:hAnsi="Arial"/>
              <w:b/>
              <w:i/>
              <w:noProof/>
              <w:sz w:val="20"/>
            </w:rPr>
            <w:instrText>Styleref "Name of Act/Reg"</w:instrText>
          </w:r>
          <w:r>
            <w:rPr>
              <w:rFonts w:ascii="Arial" w:hAnsi="Arial"/>
              <w:b/>
              <w:i/>
              <w:noProof/>
              <w:sz w:val="20"/>
            </w:rPr>
            <w:fldChar w:fldCharType="separate"/>
          </w:r>
          <w:r>
            <w:rPr>
              <w:rFonts w:ascii="Arial" w:hAnsi="Arial"/>
              <w:b/>
              <w:i/>
              <w:noProof/>
              <w:sz w:val="20"/>
            </w:rPr>
            <w:t>Bell Group Companies (Finalisation of Matters and Distribution of Proceeds) Act 2015</w:t>
          </w:r>
          <w:r>
            <w:rPr>
              <w:rFonts w:ascii="Arial" w:hAnsi="Arial"/>
              <w:b/>
              <w:i/>
              <w:noProof/>
              <w:sz w:val="20"/>
            </w:rPr>
            <w:fldChar w:fldCharType="end"/>
          </w:r>
        </w:p>
      </w:tc>
    </w:tr>
    <w:tr>
      <w:tc>
        <w:tcPr>
          <w:tcW w:w="1548" w:type="dxa"/>
        </w:tcPr>
        <w:p>
          <w:pPr>
            <w:spacing w:before="40"/>
            <w:rPr>
              <w:rFonts w:ascii="Arial" w:hAnsi="Arial"/>
              <w:noProof/>
              <w:sz w:val="20"/>
            </w:rPr>
          </w:pPr>
        </w:p>
      </w:tc>
      <w:tc>
        <w:tcPr>
          <w:tcW w:w="5612" w:type="dxa"/>
        </w:tcPr>
        <w:p>
          <w:pPr>
            <w:spacing w:before="40"/>
            <w:rPr>
              <w:rFonts w:ascii="Arial" w:hAnsi="Arial"/>
              <w:noProof/>
              <w:sz w:val="20"/>
            </w:rPr>
          </w:pPr>
        </w:p>
      </w:tc>
    </w:tr>
    <w:tr>
      <w:tc>
        <w:tcPr>
          <w:tcW w:w="1548" w:type="dxa"/>
        </w:tcPr>
        <w:p>
          <w:pPr>
            <w:spacing w:before="40"/>
            <w:rPr>
              <w:rFonts w:ascii="Arial" w:hAnsi="Arial"/>
              <w:noProof/>
              <w:sz w:val="20"/>
            </w:rPr>
          </w:pPr>
        </w:p>
      </w:tc>
      <w:tc>
        <w:tcPr>
          <w:tcW w:w="5612" w:type="dxa"/>
        </w:tcPr>
        <w:p>
          <w:pPr>
            <w:spacing w:before="40"/>
            <w:rPr>
              <w:rFonts w:ascii="Arial" w:hAnsi="Arial"/>
              <w:noProof/>
              <w:sz w:val="20"/>
            </w:rPr>
          </w:pPr>
        </w:p>
      </w:tc>
    </w:tr>
    <w:tr>
      <w:trPr>
        <w:cantSplit/>
      </w:trPr>
      <w:tc>
        <w:tcPr>
          <w:tcW w:w="7160" w:type="dxa"/>
          <w:gridSpan w:val="2"/>
        </w:tcPr>
        <w:p>
          <w:pPr>
            <w:spacing w:before="40"/>
            <w:rPr>
              <w:rFonts w:ascii="Arial" w:hAnsi="Arial"/>
              <w:noProof/>
              <w:sz w:val="20"/>
            </w:rPr>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ind w:right="17"/>
            <w:jc w:val="right"/>
            <w:rPr>
              <w:rFonts w:ascii="Arial" w:hAnsi="Arial"/>
              <w:noProof/>
              <w:sz w:val="20"/>
            </w:rPr>
          </w:pPr>
          <w:r>
            <w:rPr>
              <w:rFonts w:ascii="Arial" w:hAnsi="Arial"/>
              <w:b/>
              <w:i/>
              <w:noProof/>
              <w:sz w:val="20"/>
            </w:rPr>
            <w:fldChar w:fldCharType="begin"/>
          </w:r>
          <w:r>
            <w:rPr>
              <w:rFonts w:ascii="Arial" w:hAnsi="Arial"/>
              <w:b/>
              <w:i/>
              <w:noProof/>
              <w:sz w:val="20"/>
            </w:rPr>
            <w:instrText>Styleref "Name of Act/Reg"</w:instrText>
          </w:r>
          <w:r>
            <w:rPr>
              <w:rFonts w:ascii="Arial" w:hAnsi="Arial"/>
              <w:b/>
              <w:i/>
              <w:noProof/>
              <w:sz w:val="20"/>
            </w:rPr>
            <w:fldChar w:fldCharType="separate"/>
          </w:r>
          <w:r>
            <w:rPr>
              <w:rFonts w:ascii="Arial" w:hAnsi="Arial"/>
              <w:b/>
              <w:i/>
              <w:noProof/>
              <w:sz w:val="20"/>
            </w:rPr>
            <w:t>Bell Group Companies (Finalisation of Matters and Distribution of Proceeds) Act 2015</w:t>
          </w:r>
          <w:r>
            <w:rPr>
              <w:rFonts w:ascii="Arial" w:hAnsi="Arial"/>
              <w:b/>
              <w:i/>
              <w:noProof/>
              <w:sz w:val="20"/>
            </w:rPr>
            <w:fldChar w:fldCharType="end"/>
          </w:r>
        </w:p>
      </w:tc>
    </w:tr>
    <w:tr>
      <w:tc>
        <w:tcPr>
          <w:tcW w:w="5760" w:type="dxa"/>
        </w:tcPr>
        <w:p>
          <w:pPr>
            <w:spacing w:before="40"/>
            <w:jc w:val="right"/>
            <w:rPr>
              <w:rFonts w:ascii="Arial" w:hAnsi="Arial"/>
              <w:noProof/>
              <w:sz w:val="20"/>
            </w:rPr>
          </w:pPr>
        </w:p>
      </w:tc>
      <w:tc>
        <w:tcPr>
          <w:tcW w:w="1400" w:type="dxa"/>
        </w:tcPr>
        <w:p>
          <w:pPr>
            <w:spacing w:before="40"/>
            <w:ind w:right="17"/>
            <w:jc w:val="right"/>
            <w:rPr>
              <w:rFonts w:ascii="Arial" w:hAnsi="Arial"/>
              <w:noProof/>
              <w:sz w:val="20"/>
            </w:rPr>
          </w:pPr>
        </w:p>
      </w:tc>
    </w:tr>
    <w:tr>
      <w:tc>
        <w:tcPr>
          <w:tcW w:w="5760" w:type="dxa"/>
        </w:tcPr>
        <w:p>
          <w:pPr>
            <w:spacing w:before="40"/>
            <w:jc w:val="right"/>
            <w:rPr>
              <w:rFonts w:ascii="Arial" w:hAnsi="Arial"/>
              <w:noProof/>
              <w:sz w:val="20"/>
            </w:rPr>
          </w:pPr>
        </w:p>
      </w:tc>
      <w:tc>
        <w:tcPr>
          <w:tcW w:w="1400" w:type="dxa"/>
        </w:tcPr>
        <w:p>
          <w:pPr>
            <w:spacing w:before="40"/>
            <w:ind w:right="17"/>
            <w:jc w:val="right"/>
            <w:rPr>
              <w:rFonts w:ascii="Arial" w:hAnsi="Arial"/>
              <w:noProof/>
              <w:sz w:val="20"/>
            </w:rPr>
          </w:pPr>
        </w:p>
      </w:tc>
    </w:tr>
    <w:tr>
      <w:trPr>
        <w:cantSplit/>
      </w:trPr>
      <w:tc>
        <w:tcPr>
          <w:tcW w:w="7160" w:type="dxa"/>
          <w:gridSpan w:val="2"/>
        </w:tcPr>
        <w:p>
          <w:pPr>
            <w:spacing w:before="40"/>
            <w:ind w:right="17"/>
            <w:jc w:val="right"/>
            <w:rPr>
              <w:rFonts w:ascii="Arial" w:hAnsi="Arial"/>
              <w:noProof/>
              <w:sz w:val="20"/>
            </w:rPr>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5" w:name="Compilation"/>
    <w:bookmarkEnd w:id="415"/>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8" w:name="DefinedTerms"/>
    <w:bookmarkEnd w:id="4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9" w:name="Coversheet"/>
    <w:bookmarkEnd w:id="4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61105"/>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0852" w:val="UpdateStyles"/>
    <w:docVar w:name="WAFER_20151126160852_GUID" w:val="248f51e4-1744-4ed2-beb2-cccdd104d98c"/>
    <w:docVar w:name="WAFER_20151126161105" w:val="UsedStyles"/>
    <w:docVar w:name="WAFER_20151126161105_GUID" w:val="759cd75b-c96e-4ba9-b5ef-3191fb8ecd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ShortT">
    <w:name w:val="ShortT"/>
    <w:basedOn w:val="Normal"/>
    <w:next w:val="Normal"/>
    <w:pPr>
      <w:spacing w:before="800"/>
      <w:jc w:val="center"/>
    </w:pPr>
    <w:rPr>
      <w:b/>
      <w:snapToGrid w:val="0"/>
      <w:sz w:val="38"/>
    </w:rPr>
  </w:style>
  <w:style w:type="paragraph" w:customStyle="1" w:styleId="DefinitionNumbers">
    <w:name w:val="DefinitionNumbers"/>
    <w:basedOn w:val="Normal"/>
    <w:pPr>
      <w:tabs>
        <w:tab w:val="num" w:pos="0"/>
      </w:tabs>
    </w:p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rFonts w:ascii="Times New Roman" w:hAnsi="Times New Roman"/>
      <w:b/>
      <w:noProof/>
      <w:sz w:val="28"/>
    </w:rPr>
  </w:style>
  <w:style w:type="paragraph" w:customStyle="1" w:styleId="-PAGE-">
    <w:name w:val="- PAGE -"/>
    <w:rPr>
      <w:rFonts w:ascii="Times New Roman" w:hAnsi="Times New Roman"/>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ShortT">
    <w:name w:val="ShortT"/>
    <w:basedOn w:val="Normal"/>
    <w:next w:val="Normal"/>
    <w:pPr>
      <w:spacing w:before="800"/>
      <w:jc w:val="center"/>
    </w:pPr>
    <w:rPr>
      <w:b/>
      <w:snapToGrid w:val="0"/>
      <w:sz w:val="38"/>
    </w:rPr>
  </w:style>
  <w:style w:type="paragraph" w:customStyle="1" w:styleId="DefinitionNumbers">
    <w:name w:val="DefinitionNumbers"/>
    <w:basedOn w:val="Normal"/>
    <w:pPr>
      <w:tabs>
        <w:tab w:val="num" w:pos="0"/>
      </w:tabs>
    </w:p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rFonts w:ascii="Times New Roman" w:hAnsi="Times New Roman"/>
      <w:b/>
      <w:noProof/>
      <w:sz w:val="28"/>
    </w:rPr>
  </w:style>
  <w:style w:type="paragraph" w:customStyle="1" w:styleId="-PAGE-">
    <w:name w:val="- PAGE -"/>
    <w:rPr>
      <w:rFonts w:ascii="Times New Roman" w:hAnsi="Times New Roman"/>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7B6DB-3AEC-4158-8ACF-7C393C2B2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17467</Words>
  <Characters>84021</Characters>
  <Application>Microsoft Office Word</Application>
  <DocSecurity>0</DocSecurity>
  <Lines>2211</Lines>
  <Paragraphs>1237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100251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2015 - 00-a0-04</dc:title>
  <dc:subject/>
  <dc:creator/>
  <cp:keywords/>
  <dc:description/>
  <cp:lastModifiedBy>svcMRProcess</cp:lastModifiedBy>
  <cp:revision>4</cp:revision>
  <cp:lastPrinted>2015-11-26T07:37:00Z</cp:lastPrinted>
  <dcterms:created xsi:type="dcterms:W3CDTF">2018-09-19T17:28:00Z</dcterms:created>
  <dcterms:modified xsi:type="dcterms:W3CDTF">2018-09-19T17:28:00Z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AsAtDate">
    <vt:lpwstr>26 Nov 2015</vt:lpwstr>
  </property>
  <property fmtid="{D5CDD505-2E9C-101B-9397-08002B2CF9AE}" pid="6" name="Suffix">
    <vt:lpwstr>00-a0-04</vt:lpwstr>
  </property>
  <property fmtid="{D5CDD505-2E9C-101B-9397-08002B2CF9AE}" pid="7" name="CommencementDate">
    <vt:lpwstr>20151126</vt:lpwstr>
  </property>
</Properties>
</file>