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First Home Owner Grant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First Home Owner Grant Regulations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Regulations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_Toc438109760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_Toc438109761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interested person</w:t>
      </w:r>
      <w:r>
        <w:tab/>
      </w:r>
      <w:r>
        <w:fldChar w:fldCharType="begin"/>
      </w:r>
      <w:r>
        <w:instrText xml:space="preserve"> PAGEREF _Toc438109762 \h </w:instrText>
      </w:r>
      <w:r>
        <w:fldChar w:fldCharType="separate"/>
      </w:r>
      <w:r>
        <w:t>1</w:t>
      </w:r>
      <w:r>
        <w:fldChar w:fldCharType="end"/>
      </w:r>
    </w:p>
    <w:p>
      <w:pPr>
        <w:pStyle w:val="TOC8"/>
        <w:rPr>
          <w:rFonts w:asciiTheme="minorHAnsi" w:eastAsiaTheme="minorEastAsia" w:hAnsiTheme="minorHAnsi" w:cstheme="minorBidi"/>
          <w:szCs w:val="22"/>
        </w:rPr>
      </w:pPr>
      <w:r>
        <w:t>4.</w:t>
      </w:r>
      <w:r>
        <w:tab/>
        <w:t>Interest of disabled person in home prescribed to be relevant interest (s. 6(1)(h))</w:t>
      </w:r>
      <w:r>
        <w:tab/>
      </w:r>
      <w:r>
        <w:fldChar w:fldCharType="begin"/>
      </w:r>
      <w:r>
        <w:instrText xml:space="preserve"> PAGEREF _Toc438109763 \h </w:instrText>
      </w:r>
      <w:r>
        <w:fldChar w:fldCharType="separate"/>
      </w:r>
      <w:r>
        <w:t>1</w:t>
      </w:r>
      <w:r>
        <w:fldChar w:fldCharType="end"/>
      </w:r>
    </w:p>
    <w:p>
      <w:pPr>
        <w:pStyle w:val="TOC8"/>
        <w:rPr>
          <w:rFonts w:asciiTheme="minorHAnsi" w:eastAsiaTheme="minorEastAsia" w:hAnsiTheme="minorHAnsi" w:cstheme="minorBidi"/>
          <w:szCs w:val="22"/>
        </w:rPr>
      </w:pPr>
      <w:r>
        <w:t>5.</w:t>
      </w:r>
      <w:r>
        <w:tab/>
        <w:t>Interest of occupier of home on primary production land prescribed to be relevant interest (s. 6(1)(h))</w:t>
      </w:r>
      <w:r>
        <w:tab/>
      </w:r>
      <w:r>
        <w:fldChar w:fldCharType="begin"/>
      </w:r>
      <w:r>
        <w:instrText xml:space="preserve"> PAGEREF _Toc438109764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qualification to completion of eligible transaction (s. 14(6))</w:t>
      </w:r>
      <w:r>
        <w:tab/>
      </w:r>
      <w:r>
        <w:fldChar w:fldCharType="begin"/>
      </w:r>
      <w:r>
        <w:instrText xml:space="preserve"> PAGEREF _Toc438109765 \h </w:instrText>
      </w:r>
      <w:r>
        <w:fldChar w:fldCharType="separate"/>
      </w:r>
      <w:r>
        <w:t>3</w:t>
      </w:r>
      <w:r>
        <w:fldChar w:fldCharType="end"/>
      </w:r>
    </w:p>
    <w:p>
      <w:pPr>
        <w:pStyle w:val="TOC8"/>
        <w:rPr>
          <w:rFonts w:asciiTheme="minorHAnsi" w:eastAsiaTheme="minorEastAsia" w:hAnsiTheme="minorHAnsi" w:cstheme="minorBidi"/>
          <w:szCs w:val="22"/>
        </w:rPr>
      </w:pPr>
      <w:r>
        <w:t>7.</w:t>
      </w:r>
      <w:r>
        <w:tab/>
        <w:t>Certain owners of land excluded from the operation of s. 16(1)</w:t>
      </w:r>
      <w:r>
        <w:tab/>
      </w:r>
      <w:r>
        <w:fldChar w:fldCharType="begin"/>
      </w:r>
      <w:r>
        <w:instrText xml:space="preserve"> PAGEREF _Toc438109766 \h </w:instrText>
      </w:r>
      <w:r>
        <w:fldChar w:fldCharType="separate"/>
      </w:r>
      <w:r>
        <w:t>3</w:t>
      </w:r>
      <w:r>
        <w:fldChar w:fldCharType="end"/>
      </w:r>
    </w:p>
    <w:p>
      <w:pPr>
        <w:pStyle w:val="TOC8"/>
        <w:rPr>
          <w:rFonts w:asciiTheme="minorHAnsi" w:eastAsiaTheme="minorEastAsia" w:hAnsiTheme="minorHAnsi" w:cstheme="minorBidi"/>
          <w:szCs w:val="22"/>
        </w:rPr>
      </w:pPr>
      <w:r>
        <w:t>8.</w:t>
      </w:r>
      <w:r>
        <w:tab/>
        <w:t>Prescribed rates of interest (s. 30, 32 and 52)</w:t>
      </w:r>
      <w:r>
        <w:tab/>
      </w:r>
      <w:r>
        <w:fldChar w:fldCharType="begin"/>
      </w:r>
      <w:r>
        <w:instrText xml:space="preserve"> PAGEREF _Toc438109767 \h </w:instrText>
      </w:r>
      <w:r>
        <w:fldChar w:fldCharType="separate"/>
      </w:r>
      <w:r>
        <w:t>5</w:t>
      </w:r>
      <w:r>
        <w:fldChar w:fldCharType="end"/>
      </w:r>
    </w:p>
    <w:p>
      <w:pPr>
        <w:pStyle w:val="TOC8"/>
        <w:rPr>
          <w:rFonts w:asciiTheme="minorHAnsi" w:eastAsiaTheme="minorEastAsia" w:hAnsiTheme="minorHAnsi" w:cstheme="minorBidi"/>
          <w:szCs w:val="22"/>
        </w:rPr>
      </w:pPr>
      <w:r>
        <w:t>9.</w:t>
      </w:r>
      <w:r>
        <w:tab/>
        <w:t>Conditions to be included in administration agreements (s. 37(2))</w:t>
      </w:r>
      <w:r>
        <w:tab/>
      </w:r>
      <w:r>
        <w:fldChar w:fldCharType="begin"/>
      </w:r>
      <w:r>
        <w:instrText xml:space="preserve"> PAGEREF _Toc438109768 \h </w:instrText>
      </w:r>
      <w:r>
        <w:fldChar w:fldCharType="separate"/>
      </w:r>
      <w:r>
        <w:t>5</w:t>
      </w:r>
      <w:r>
        <w:fldChar w:fldCharType="end"/>
      </w:r>
    </w:p>
    <w:p>
      <w:pPr>
        <w:pStyle w:val="TOC8"/>
        <w:rPr>
          <w:rFonts w:asciiTheme="minorHAnsi" w:eastAsiaTheme="minorEastAsia" w:hAnsiTheme="minorHAnsi" w:cstheme="minorBidi"/>
          <w:szCs w:val="22"/>
        </w:rPr>
      </w:pPr>
      <w:r>
        <w:t>10.</w:t>
      </w:r>
      <w:r>
        <w:tab/>
        <w:t>Witness fees and expenses (s. 41(7))</w:t>
      </w:r>
      <w:r>
        <w:tab/>
      </w:r>
      <w:r>
        <w:fldChar w:fldCharType="begin"/>
      </w:r>
      <w:r>
        <w:instrText xml:space="preserve"> PAGEREF _Toc438109769 \h </w:instrText>
      </w:r>
      <w:r>
        <w:fldChar w:fldCharType="separate"/>
      </w:r>
      <w:r>
        <w:t>7</w:t>
      </w:r>
      <w:r>
        <w:fldChar w:fldCharType="end"/>
      </w:r>
    </w:p>
    <w:p>
      <w:pPr>
        <w:pStyle w:val="TOC8"/>
        <w:rPr>
          <w:rFonts w:asciiTheme="minorHAnsi" w:eastAsiaTheme="minorEastAsia" w:hAnsiTheme="minorHAnsi" w:cstheme="minorBidi"/>
          <w:szCs w:val="22"/>
        </w:rPr>
      </w:pPr>
      <w:r>
        <w:t>11.</w:t>
      </w:r>
      <w:r>
        <w:tab/>
        <w:t>Authorised receipt and permitted disclosure of confidential information (s. 65(3))</w:t>
      </w:r>
      <w:r>
        <w:tab/>
      </w:r>
      <w:r>
        <w:fldChar w:fldCharType="begin"/>
      </w:r>
      <w:r>
        <w:instrText xml:space="preserve"> PAGEREF _Toc438109770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_Toc438109772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First Home Owner Grant Act 2000</w:t>
      </w:r>
    </w:p>
    <w:p>
      <w:pPr>
        <w:pStyle w:val="NameofActReg"/>
      </w:pPr>
      <w:r>
        <w:t>First Home Owner Grant Regulations 2000</w:t>
      </w:r>
    </w:p>
    <w:p>
      <w:pPr>
        <w:pStyle w:val="Heading5"/>
      </w:pPr>
      <w:bookmarkStart w:id="3" w:name="_Toc377564552"/>
      <w:bookmarkStart w:id="4" w:name="_Toc438109760"/>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5" w:name="_Toc377564553"/>
      <w:bookmarkStart w:id="6" w:name="_Toc438109761"/>
      <w:r>
        <w:rPr>
          <w:rStyle w:val="CharSectno"/>
        </w:rPr>
        <w:t>2</w:t>
      </w:r>
      <w:r>
        <w:rPr>
          <w:spacing w:val="-2"/>
        </w:rPr>
        <w:t>.</w:t>
      </w:r>
      <w:r>
        <w:rPr>
          <w:spacing w:val="-2"/>
        </w:rPr>
        <w:tab/>
        <w:t>Commencement</w:t>
      </w:r>
      <w:bookmarkEnd w:id="5"/>
      <w:bookmarkEnd w:id="6"/>
    </w:p>
    <w:p>
      <w:pPr>
        <w:pStyle w:val="Subsection"/>
      </w:pPr>
      <w:r>
        <w:rPr>
          <w:spacing w:val="-2"/>
        </w:rPr>
        <w:tab/>
      </w:r>
      <w:r>
        <w:rPr>
          <w:spacing w:val="-2"/>
        </w:rPr>
        <w:tab/>
        <w:t>These regulations come into operation on 1 July 2000</w:t>
      </w:r>
      <w:r>
        <w:t>.</w:t>
      </w:r>
    </w:p>
    <w:p>
      <w:pPr>
        <w:pStyle w:val="Heading5"/>
      </w:pPr>
      <w:bookmarkStart w:id="7" w:name="_Toc377564554"/>
      <w:bookmarkStart w:id="8" w:name="_Toc438109762"/>
      <w:r>
        <w:rPr>
          <w:rStyle w:val="CharSectno"/>
        </w:rPr>
        <w:t>3</w:t>
      </w:r>
      <w:r>
        <w:t>.</w:t>
      </w:r>
      <w:r>
        <w:tab/>
        <w:t>Term used: interested person</w:t>
      </w:r>
      <w:bookmarkEnd w:id="7"/>
      <w:bookmarkEnd w:id="8"/>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9" w:name="_Toc377564555"/>
      <w:bookmarkStart w:id="10" w:name="_Toc438109763"/>
      <w:r>
        <w:rPr>
          <w:rStyle w:val="CharSectno"/>
        </w:rPr>
        <w:t>4</w:t>
      </w:r>
      <w:r>
        <w:t>.</w:t>
      </w:r>
      <w:r>
        <w:tab/>
        <w:t>Interest of disabled person in home prescribed to be relevant interest (s. 6(1)(h))</w:t>
      </w:r>
      <w:bookmarkEnd w:id="9"/>
      <w:bookmarkEnd w:id="10"/>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11" w:name="_Toc377564556"/>
      <w:bookmarkStart w:id="12" w:name="_Toc438109764"/>
      <w:r>
        <w:rPr>
          <w:rStyle w:val="CharSectno"/>
        </w:rPr>
        <w:t>5</w:t>
      </w:r>
      <w:r>
        <w:t>.</w:t>
      </w:r>
      <w:r>
        <w:tab/>
        <w:t>Interest of occupier of home on primary production land prescribed to be relevant interest (s. 6(1)(h))</w:t>
      </w:r>
      <w:bookmarkEnd w:id="11"/>
      <w:bookmarkEnd w:id="12"/>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13" w:name="_Toc377564557"/>
      <w:bookmarkStart w:id="14" w:name="_Toc438109765"/>
      <w:r>
        <w:rPr>
          <w:rStyle w:val="CharSectno"/>
        </w:rPr>
        <w:t>6</w:t>
      </w:r>
      <w:r>
        <w:t>.</w:t>
      </w:r>
      <w:r>
        <w:tab/>
        <w:t>Prescribed qualification to completion of eligible transaction (s. 14(6))</w:t>
      </w:r>
      <w:bookmarkEnd w:id="13"/>
      <w:bookmarkEnd w:id="14"/>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15" w:name="_Toc377564558"/>
      <w:bookmarkStart w:id="16" w:name="_Toc438109766"/>
      <w:r>
        <w:rPr>
          <w:rStyle w:val="CharSectno"/>
        </w:rPr>
        <w:t>7</w:t>
      </w:r>
      <w:r>
        <w:t>.</w:t>
      </w:r>
      <w:r>
        <w:tab/>
        <w:t>Certain owners of land excluded from the operation of s. 16(1)</w:t>
      </w:r>
      <w:bookmarkEnd w:id="15"/>
      <w:bookmarkEnd w:id="16"/>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pPr>
      <w:r>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pPr>
      <w:r>
        <w:tab/>
      </w:r>
      <w:r>
        <w:rPr>
          <w:rStyle w:val="CharDefText"/>
        </w:rPr>
        <w:t>Nyamba Buru Yawuru Ltd</w:t>
      </w:r>
      <w:r>
        <w:t xml:space="preserve"> means Nyamba Buru Yawuru Ltd ACN 137 306 917 of 55 Reid Road, Cable Beach, Western Australia;</w:t>
      </w:r>
    </w:p>
    <w:p>
      <w:pPr>
        <w:pStyle w:val="Defstart"/>
      </w:pPr>
      <w:r>
        <w:tab/>
      </w:r>
      <w:r>
        <w:rPr>
          <w:rStyle w:val="CharDefText"/>
        </w:rPr>
        <w:t>relevant owner of land</w:t>
      </w:r>
      <w:r>
        <w:t xml:space="preserve"> means a person who owns land as a tenant in common as described in paragraph (b)(i) of the definition of </w:t>
      </w:r>
      <w:r>
        <w:rPr>
          <w:b/>
          <w:bCs/>
          <w:i/>
          <w:iCs/>
        </w:rPr>
        <w:t>home unit</w:t>
      </w:r>
      <w:r>
        <w:t xml:space="preserve"> in section 19(1) of the </w:t>
      </w:r>
      <w:r>
        <w:rPr>
          <w:i/>
        </w:rPr>
        <w:t>Land Tax Assessment Act 1976</w:t>
      </w:r>
      <w:r>
        <w:rPr>
          <w:iCs/>
          <w:vertAlign w:val="superscript"/>
        </w:rPr>
        <w:t> 2</w:t>
      </w:r>
      <w:r>
        <w:t>;</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Footnotesection"/>
      </w:pPr>
      <w:r>
        <w:tab/>
        <w:t>[Regulation 7 amended in Gazette 22 Oct 2002 p. 5255-6; 11 Aug 2015 p. 3221</w:t>
      </w:r>
      <w:r>
        <w:noBreakHyphen/>
        <w:t>2.]</w:t>
      </w:r>
    </w:p>
    <w:p>
      <w:pPr>
        <w:pStyle w:val="Heading5"/>
      </w:pPr>
      <w:bookmarkStart w:id="17" w:name="_Toc438109767"/>
      <w:bookmarkStart w:id="18" w:name="_Toc377564559"/>
      <w:r>
        <w:rPr>
          <w:rStyle w:val="CharSectno"/>
        </w:rPr>
        <w:t>8</w:t>
      </w:r>
      <w:r>
        <w:t>.</w:t>
      </w:r>
      <w:r>
        <w:tab/>
        <w:t>Prescribed rates of interest (s. 30, 32 and 52)</w:t>
      </w:r>
      <w:bookmarkEnd w:id="17"/>
    </w:p>
    <w:p>
      <w:pPr>
        <w:pStyle w:val="Subsection"/>
      </w:pPr>
      <w:r>
        <w:tab/>
        <w:t>(1)</w:t>
      </w:r>
      <w:r>
        <w:tab/>
        <w:t>The rate of interest for the purposes of section 30(3), (4)(d) and (5)(c) of the Act is 2.2% per annum.</w:t>
      </w:r>
    </w:p>
    <w:p>
      <w:pPr>
        <w:pStyle w:val="Subsection"/>
      </w:pPr>
      <w:r>
        <w:tab/>
        <w:t>(2)</w:t>
      </w:r>
      <w:r>
        <w:tab/>
        <w:t>The rate of interest for the purposes of section 32(2), (3)(d) and (4)(c) of the Act is 2.2% per annum.</w:t>
      </w:r>
    </w:p>
    <w:p>
      <w:pPr>
        <w:pStyle w:val="Subsection"/>
      </w:pPr>
      <w:r>
        <w:tab/>
        <w:t>(3)</w:t>
      </w:r>
      <w:r>
        <w:tab/>
        <w:t>The rate of interest for the purposes of section 52(3)(a) and (7) of the Act is 10.2% per annum.</w:t>
      </w:r>
    </w:p>
    <w:p>
      <w:pPr>
        <w:pStyle w:val="Footnotesection"/>
      </w:pPr>
      <w:r>
        <w:tab/>
        <w:t>[Regulation 8 inserted in Gazette 26 Jun 2015 p. 2278; amended in Gazette 11 Dec 2015 p. 4961.]</w:t>
      </w:r>
    </w:p>
    <w:p>
      <w:pPr>
        <w:pStyle w:val="Heading5"/>
      </w:pPr>
      <w:bookmarkStart w:id="19" w:name="_Toc377564560"/>
      <w:bookmarkStart w:id="20" w:name="_Toc438109768"/>
      <w:bookmarkEnd w:id="18"/>
      <w:r>
        <w:rPr>
          <w:rStyle w:val="CharSectno"/>
        </w:rPr>
        <w:t>9</w:t>
      </w:r>
      <w:r>
        <w:t>.</w:t>
      </w:r>
      <w:r>
        <w:tab/>
        <w:t>Conditions to be included in administration agreements (s. 37(2))</w:t>
      </w:r>
      <w:bookmarkEnd w:id="19"/>
      <w:bookmarkEnd w:id="20"/>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the 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Footnotesection"/>
      </w:pPr>
      <w:r>
        <w:tab/>
        <w:t>[Regulation 9 amended in Gazette 11 Aug 2015 p. 3222.]</w:t>
      </w:r>
    </w:p>
    <w:p>
      <w:pPr>
        <w:pStyle w:val="Heading5"/>
      </w:pPr>
      <w:bookmarkStart w:id="21" w:name="_Toc377564561"/>
      <w:bookmarkStart w:id="22" w:name="_Toc438109769"/>
      <w:r>
        <w:rPr>
          <w:rStyle w:val="CharSectno"/>
        </w:rPr>
        <w:t>10</w:t>
      </w:r>
      <w:r>
        <w:t>.</w:t>
      </w:r>
      <w:r>
        <w:tab/>
        <w:t>Witness fees and expenses (s. 41(7))</w:t>
      </w:r>
      <w:bookmarkEnd w:id="21"/>
      <w:bookmarkEnd w:id="22"/>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in Gazette 30 Jun 2003 p. 2602.]</w:t>
      </w:r>
    </w:p>
    <w:p>
      <w:pPr>
        <w:pStyle w:val="Heading5"/>
      </w:pPr>
      <w:bookmarkStart w:id="23" w:name="_Toc377564562"/>
      <w:bookmarkStart w:id="24" w:name="_Toc438109770"/>
      <w:r>
        <w:rPr>
          <w:rStyle w:val="CharSectno"/>
        </w:rPr>
        <w:t>11</w:t>
      </w:r>
      <w:r>
        <w:t>.</w:t>
      </w:r>
      <w:r>
        <w:tab/>
        <w:t>Authorised receipt and permitted disclosure of confidential information (s. 65(3))</w:t>
      </w:r>
      <w:bookmarkEnd w:id="23"/>
      <w:bookmarkEnd w:id="24"/>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w:t>
      </w:r>
    </w:p>
    <w:p>
      <w:pPr>
        <w:pStyle w:val="Indenta"/>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in Gazette 24 Jul 2001 p. 3732; Act No. 74 of 2004 s. 70; amended in Gazette 23 Dec 2008 p. 5480</w:t>
      </w:r>
      <w:r>
        <w:noBreakHyphen/>
        <w:t>1; 4 Aug 2009 p. 3104-5; 9 Sep 2011 p. 3684</w:t>
      </w:r>
      <w:r>
        <w:noBreakHyphen/>
        <w:t>5; 17 Dec 2013 p. 6239</w:t>
      </w:r>
      <w:r>
        <w:noBreakHyphen/>
        <w:t>40.]</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5" w:name="_Toc377564563"/>
      <w:bookmarkStart w:id="26" w:name="_Toc418861214"/>
      <w:bookmarkStart w:id="27" w:name="_Toc423446346"/>
      <w:bookmarkStart w:id="28" w:name="_Toc426979234"/>
      <w:bookmarkStart w:id="29" w:name="_Toc426984671"/>
      <w:bookmarkStart w:id="30" w:name="_Toc438109771"/>
      <w:r>
        <w:t>Notes</w:t>
      </w:r>
      <w:bookmarkEnd w:id="25"/>
      <w:bookmarkEnd w:id="26"/>
      <w:bookmarkEnd w:id="27"/>
      <w:bookmarkEnd w:id="28"/>
      <w:bookmarkEnd w:id="29"/>
      <w:bookmarkEnd w:id="30"/>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First Home Owner Grant Regulations 2000</w:t>
      </w:r>
      <w:r>
        <w:rPr>
          <w:snapToGrid w:val="0"/>
        </w:rPr>
        <w:t xml:space="preserve"> and includes the amendments made by the other written laws referred to in the following table.  The table also contains information about any reprint.</w:t>
      </w:r>
    </w:p>
    <w:p>
      <w:pPr>
        <w:pStyle w:val="nHeading3"/>
        <w:spacing w:before="120" w:after="60"/>
      </w:pPr>
      <w:bookmarkStart w:id="31" w:name="_Toc377564564"/>
      <w:bookmarkStart w:id="32" w:name="_Toc438109772"/>
      <w:r>
        <w:t>Compilation table</w:t>
      </w:r>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t>
            </w:r>
            <w:smartTag w:uri="urn:schemas-microsoft-com:office:smarttags" w:element="State">
              <w:smartTag w:uri="urn:schemas-microsoft-com:office:smarttags" w:element="place">
                <w:r>
                  <w:rPr>
                    <w:i/>
                  </w:rPr>
                  <w:t>Western Australia</w:t>
                </w:r>
              </w:smartTag>
            </w:smartTag>
            <w:r>
              <w:rPr>
                <w:i/>
              </w:rPr>
              <w:t>)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c>
          <w:tcPr>
            <w:tcW w:w="3119" w:type="dxa"/>
          </w:tcPr>
          <w:p>
            <w:pPr>
              <w:pStyle w:val="nTable"/>
              <w:keepNext/>
              <w:spacing w:after="40"/>
              <w:rPr>
                <w:i/>
              </w:rPr>
            </w:pPr>
            <w:r>
              <w:rPr>
                <w:i/>
              </w:rPr>
              <w:t>First Home Owner Grant Amendment Regulations 2011</w:t>
            </w:r>
          </w:p>
        </w:tc>
        <w:tc>
          <w:tcPr>
            <w:tcW w:w="1276" w:type="dxa"/>
          </w:tcPr>
          <w:p>
            <w:pPr>
              <w:pStyle w:val="nTable"/>
              <w:keepNext/>
              <w:spacing w:after="40"/>
            </w:pPr>
            <w:r>
              <w:t>9 Sep 2011 p. 3684</w:t>
            </w:r>
            <w:r>
              <w:noBreakHyphen/>
              <w:t>5</w:t>
            </w:r>
          </w:p>
        </w:tc>
        <w:tc>
          <w:tcPr>
            <w:tcW w:w="2693" w:type="dxa"/>
          </w:tcPr>
          <w:p>
            <w:pPr>
              <w:pStyle w:val="nTable"/>
              <w:keepNext/>
              <w:spacing w:after="40"/>
            </w:pPr>
            <w:r>
              <w:t>r. 1 and 2: 9 Sep 2011 (see r. 2(a));</w:t>
            </w:r>
            <w:r>
              <w:br/>
              <w:t>Regulations other than r. 1 and 2: 10 Sep 2011 (see r. 2(b))</w:t>
            </w:r>
          </w:p>
        </w:tc>
      </w:tr>
      <w:tr>
        <w:tc>
          <w:tcPr>
            <w:tcW w:w="3119" w:type="dxa"/>
          </w:tcPr>
          <w:p>
            <w:pPr>
              <w:pStyle w:val="nTable"/>
              <w:keepNext/>
              <w:spacing w:after="40"/>
              <w:rPr>
                <w:i/>
              </w:rPr>
            </w:pPr>
            <w:r>
              <w:rPr>
                <w:i/>
              </w:rPr>
              <w:t>First Home Owner Grant Amendment Regulations 2013</w:t>
            </w:r>
          </w:p>
        </w:tc>
        <w:tc>
          <w:tcPr>
            <w:tcW w:w="1276" w:type="dxa"/>
          </w:tcPr>
          <w:p>
            <w:pPr>
              <w:pStyle w:val="nTable"/>
              <w:keepNext/>
              <w:spacing w:after="40"/>
            </w:pPr>
            <w:r>
              <w:t>17 May 2013 p. 1986</w:t>
            </w:r>
          </w:p>
        </w:tc>
        <w:tc>
          <w:tcPr>
            <w:tcW w:w="2693" w:type="dxa"/>
          </w:tcPr>
          <w:p>
            <w:pPr>
              <w:pStyle w:val="nTable"/>
              <w:keepNext/>
              <w:spacing w:after="40"/>
            </w:pPr>
            <w:r>
              <w:rPr>
                <w:snapToGrid w:val="0"/>
                <w:spacing w:val="-2"/>
              </w:rPr>
              <w:t>r. 1 and 2: 17 May 2013 (see r. 2(a));</w:t>
            </w:r>
            <w:r>
              <w:rPr>
                <w:snapToGrid w:val="0"/>
                <w:spacing w:val="-2"/>
              </w:rPr>
              <w:br/>
              <w:t>Regulations other than r. 1 and 2: 18 May 2013 (see r. 2(b))</w:t>
            </w:r>
          </w:p>
        </w:tc>
      </w:tr>
      <w:tr>
        <w:tc>
          <w:tcPr>
            <w:tcW w:w="3119" w:type="dxa"/>
          </w:tcPr>
          <w:p>
            <w:pPr>
              <w:pStyle w:val="nTable"/>
              <w:keepNext/>
              <w:spacing w:after="40"/>
            </w:pPr>
            <w:r>
              <w:rPr>
                <w:i/>
              </w:rPr>
              <w:t xml:space="preserve">First Home Owner Grant Amendment Regulations (No. 2) 2013 </w:t>
            </w:r>
          </w:p>
        </w:tc>
        <w:tc>
          <w:tcPr>
            <w:tcW w:w="1276" w:type="dxa"/>
          </w:tcPr>
          <w:p>
            <w:pPr>
              <w:pStyle w:val="nTable"/>
              <w:keepNext/>
              <w:spacing w:after="40"/>
            </w:pPr>
            <w:r>
              <w:t>17 Dec 2013 p. 6239</w:t>
            </w:r>
            <w:r>
              <w:noBreakHyphen/>
              <w:t>40</w:t>
            </w:r>
          </w:p>
        </w:tc>
        <w:tc>
          <w:tcPr>
            <w:tcW w:w="2693" w:type="dxa"/>
          </w:tcPr>
          <w:p>
            <w:pPr>
              <w:pStyle w:val="nTable"/>
              <w:keepNext/>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c>
          <w:tcPr>
            <w:tcW w:w="3119" w:type="dxa"/>
          </w:tcPr>
          <w:p>
            <w:pPr>
              <w:pStyle w:val="nTable"/>
              <w:keepNext/>
              <w:spacing w:after="40"/>
              <w:rPr>
                <w:i/>
              </w:rPr>
            </w:pPr>
            <w:r>
              <w:rPr>
                <w:i/>
              </w:rPr>
              <w:t>First Home Owner Grant Amendment Regulations 2015</w:t>
            </w:r>
          </w:p>
        </w:tc>
        <w:tc>
          <w:tcPr>
            <w:tcW w:w="1276" w:type="dxa"/>
          </w:tcPr>
          <w:p>
            <w:pPr>
              <w:pStyle w:val="nTable"/>
              <w:keepNext/>
              <w:spacing w:after="40"/>
            </w:pPr>
            <w:r>
              <w:t>26 Jun 2015 p. 2277</w:t>
            </w:r>
            <w:r>
              <w:noBreakHyphen/>
              <w:t>8</w:t>
            </w:r>
          </w:p>
        </w:tc>
        <w:tc>
          <w:tcPr>
            <w:tcW w:w="2693" w:type="dxa"/>
          </w:tcPr>
          <w:p>
            <w:pPr>
              <w:pStyle w:val="nTable"/>
              <w:keepNext/>
              <w:spacing w:after="40"/>
              <w:rPr>
                <w:snapToGrid w:val="0"/>
                <w:spacing w:val="-2"/>
              </w:rPr>
            </w:pPr>
            <w:r>
              <w:rPr>
                <w:snapToGrid w:val="0"/>
                <w:spacing w:val="-2"/>
              </w:rPr>
              <w:t>r. 1 and 2: 26 Jun 2015 (see r. 2(a));</w:t>
            </w:r>
            <w:r>
              <w:rPr>
                <w:snapToGrid w:val="0"/>
                <w:spacing w:val="-2"/>
              </w:rPr>
              <w:br/>
              <w:t>Regulations other than r. 1 and 2: 1 Jul 2015 (see r. 2(b))</w:t>
            </w:r>
          </w:p>
        </w:tc>
      </w:tr>
      <w:tr>
        <w:tc>
          <w:tcPr>
            <w:tcW w:w="3119" w:type="dxa"/>
          </w:tcPr>
          <w:p>
            <w:pPr>
              <w:pStyle w:val="nTable"/>
              <w:keepNext/>
              <w:spacing w:after="40"/>
              <w:rPr>
                <w:i/>
              </w:rPr>
            </w:pPr>
            <w:r>
              <w:rPr>
                <w:i/>
              </w:rPr>
              <w:t>First Home Owner Grant Amendment Regulations (No. 2) 2015</w:t>
            </w:r>
          </w:p>
        </w:tc>
        <w:tc>
          <w:tcPr>
            <w:tcW w:w="1276" w:type="dxa"/>
          </w:tcPr>
          <w:p>
            <w:pPr>
              <w:pStyle w:val="nTable"/>
              <w:keepNext/>
              <w:spacing w:after="40"/>
            </w:pPr>
            <w:r>
              <w:t>11 Aug 2015 p. 3221</w:t>
            </w:r>
            <w:r>
              <w:noBreakHyphen/>
              <w:t>2</w:t>
            </w:r>
          </w:p>
        </w:tc>
        <w:tc>
          <w:tcPr>
            <w:tcW w:w="2693" w:type="dxa"/>
          </w:tcPr>
          <w:p>
            <w:pPr>
              <w:pStyle w:val="nTable"/>
              <w:keepNext/>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r>
        <w:tc>
          <w:tcPr>
            <w:tcW w:w="3119" w:type="dxa"/>
            <w:tcBorders>
              <w:bottom w:val="single" w:sz="4" w:space="0" w:color="auto"/>
            </w:tcBorders>
          </w:tcPr>
          <w:p>
            <w:pPr>
              <w:pStyle w:val="nTable"/>
              <w:keepNext/>
              <w:spacing w:after="40"/>
              <w:rPr>
                <w:i/>
              </w:rPr>
            </w:pPr>
            <w:r>
              <w:rPr>
                <w:i/>
              </w:rPr>
              <w:t>First Home Owner Grant Amendment Regulations (No. 3) 2015</w:t>
            </w:r>
          </w:p>
        </w:tc>
        <w:tc>
          <w:tcPr>
            <w:tcW w:w="1276" w:type="dxa"/>
            <w:tcBorders>
              <w:bottom w:val="single" w:sz="4" w:space="0" w:color="auto"/>
            </w:tcBorders>
          </w:tcPr>
          <w:p>
            <w:pPr>
              <w:pStyle w:val="nTable"/>
              <w:keepNext/>
              <w:spacing w:after="40"/>
            </w:pPr>
            <w:r>
              <w:t>11 Dec 2015 p. 4961</w:t>
            </w:r>
          </w:p>
        </w:tc>
        <w:tc>
          <w:tcPr>
            <w:tcW w:w="2693" w:type="dxa"/>
            <w:tcBorders>
              <w:bottom w:val="single" w:sz="4" w:space="0" w:color="auto"/>
            </w:tcBorders>
          </w:tcPr>
          <w:p>
            <w:pPr>
              <w:pStyle w:val="nTable"/>
              <w:keepNext/>
              <w:spacing w:after="40"/>
              <w:rPr>
                <w:snapToGrid w:val="0"/>
                <w:spacing w:val="-2"/>
              </w:rPr>
            </w:pPr>
            <w:r>
              <w:rPr>
                <w:snapToGrid w:val="0"/>
                <w:spacing w:val="-2"/>
              </w:rPr>
              <w:t xml:space="preserve">r. 1 and 2: </w:t>
            </w:r>
            <w:r>
              <w:t>11 Dec 2015</w:t>
            </w:r>
            <w:r>
              <w:rPr>
                <w:snapToGrid w:val="0"/>
                <w:spacing w:val="-2"/>
              </w:rPr>
              <w:t xml:space="preserve"> (see r. 2(a));</w:t>
            </w:r>
            <w:r>
              <w:rPr>
                <w:snapToGrid w:val="0"/>
                <w:spacing w:val="-2"/>
              </w:rPr>
              <w:br/>
              <w:t xml:space="preserve">Regulations other than r. 1 and 2: </w:t>
            </w:r>
            <w:r>
              <w:t>1 Jan 2016</w:t>
            </w:r>
            <w:r>
              <w:rPr>
                <w:snapToGrid w:val="0"/>
                <w:spacing w:val="-2"/>
              </w:rPr>
              <w:t xml:space="preserve"> (see r. 2(b))</w:t>
            </w:r>
          </w:p>
        </w:tc>
      </w:tr>
    </w:tbl>
    <w:p>
      <w:pPr>
        <w:pStyle w:val="nSubsection"/>
      </w:pPr>
      <w:r>
        <w:rPr>
          <w:vertAlign w:val="superscript"/>
        </w:rPr>
        <w:t>2</w:t>
      </w:r>
      <w:r>
        <w:tab/>
        <w:t xml:space="preserve">Repealed by the </w:t>
      </w:r>
      <w:r>
        <w:rPr>
          <w:i/>
          <w:color w:val="000000"/>
        </w:rPr>
        <w:t>Taxation Administration (Consequential Provisions) Act 2002</w:t>
      </w:r>
      <w:r>
        <w:rPr>
          <w:iCs/>
          <w:color w:val="000000"/>
        </w:rPr>
        <w:t xml:space="preserve"> s. 5(d)</w:t>
      </w: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affairs</w:t>
      </w:r>
      <w:r>
        <w:tab/>
        <w:t>11(3)</w:t>
      </w:r>
    </w:p>
    <w:p>
      <w:pPr>
        <w:pStyle w:val="DefinedTerms"/>
      </w:pPr>
      <w:r>
        <w:t>appropriate publication</w:t>
      </w:r>
      <w:r>
        <w:tab/>
        <w:t>10(3)</w:t>
      </w:r>
    </w:p>
    <w:p>
      <w:pPr>
        <w:pStyle w:val="DefinedTerms"/>
      </w:pPr>
      <w:r>
        <w:t>confidential information</w:t>
      </w:r>
      <w:r>
        <w:tab/>
        <w:t>11(3)</w:t>
      </w:r>
    </w:p>
    <w:p>
      <w:pPr>
        <w:pStyle w:val="DefinedTerms"/>
      </w:pPr>
      <w:r>
        <w:t>delegate</w:t>
      </w:r>
      <w:r>
        <w:tab/>
        <w:t>9(1)</w:t>
      </w:r>
    </w:p>
    <w:p>
      <w:pPr>
        <w:pStyle w:val="DefinedTerms"/>
      </w:pPr>
      <w:r>
        <w:t>interested person</w:t>
      </w:r>
      <w:r>
        <w:tab/>
        <w:t>3</w:t>
      </w:r>
    </w:p>
    <w:p>
      <w:pPr>
        <w:pStyle w:val="DefinedTerms"/>
      </w:pPr>
      <w:r>
        <w:t>new home</w:t>
      </w:r>
      <w:r>
        <w:tab/>
        <w:t>7(2b)</w:t>
      </w:r>
    </w:p>
    <w:p>
      <w:pPr>
        <w:pStyle w:val="DefinedTerms"/>
      </w:pPr>
      <w:r>
        <w:t>Nyamba Buru Yawuru Ltd</w:t>
      </w:r>
      <w:r>
        <w:tab/>
        <w:t>7(4)</w:t>
      </w:r>
    </w:p>
    <w:p>
      <w:pPr>
        <w:pStyle w:val="DefinedTerms"/>
      </w:pPr>
      <w:r>
        <w:t>primary production business</w:t>
      </w:r>
      <w:r>
        <w:tab/>
        <w:t>5(2)</w:t>
      </w:r>
    </w:p>
    <w:p>
      <w:pPr>
        <w:pStyle w:val="DefinedTerms"/>
      </w:pPr>
      <w:r>
        <w:t>protected web site</w:t>
      </w:r>
      <w:r>
        <w:tab/>
        <w:t>11(3)</w:t>
      </w:r>
    </w:p>
    <w:p>
      <w:pPr>
        <w:pStyle w:val="DefinedTerms"/>
      </w:pPr>
      <w:r>
        <w:t>relevant owner of land</w:t>
      </w:r>
      <w:r>
        <w:tab/>
        <w:t>7(4)</w:t>
      </w:r>
    </w:p>
    <w:p>
      <w:pPr>
        <w:pStyle w:val="DefinedTerms"/>
      </w:pPr>
      <w:r>
        <w:t>State Housing Commission</w:t>
      </w:r>
      <w:r>
        <w:tab/>
        <w:t>7(4)</w:t>
      </w:r>
    </w:p>
    <w:p>
      <w:pPr>
        <w:pStyle w:val="DefinedTerms"/>
      </w:pPr>
      <w:r>
        <w:t>the records</w:t>
      </w:r>
      <w:r>
        <w:tab/>
        <w:t>9(4)</w:t>
      </w:r>
    </w:p>
    <w:p>
      <w:pPr>
        <w:pStyle w:val="DefinedTerms"/>
      </w:pPr>
      <w:r>
        <w:t>witness</w:t>
      </w:r>
      <w:r>
        <w:tab/>
        <w:t>10(1)</w:t>
      </w:r>
    </w:p>
    <w:p>
      <w:pPr>
        <w:pStyle w:val="DefinedTerms"/>
      </w:pPr>
      <w:r>
        <w:t>Yawuru Home Ownership Project</w:t>
      </w:r>
      <w:r>
        <w:tab/>
        <w:t>7(4)</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5A7EFA"/>
    <w:lvl w:ilvl="0">
      <w:start w:val="1"/>
      <w:numFmt w:val="decimal"/>
      <w:lvlText w:val="%1."/>
      <w:lvlJc w:val="left"/>
      <w:pPr>
        <w:tabs>
          <w:tab w:val="num" w:pos="1492"/>
        </w:tabs>
        <w:ind w:left="1492" w:hanging="360"/>
      </w:pPr>
    </w:lvl>
  </w:abstractNum>
  <w:abstractNum w:abstractNumId="1">
    <w:nsid w:val="FFFFFF7D"/>
    <w:multiLevelType w:val="singleLevel"/>
    <w:tmpl w:val="9E464FFC"/>
    <w:lvl w:ilvl="0">
      <w:start w:val="1"/>
      <w:numFmt w:val="decimal"/>
      <w:lvlText w:val="%1."/>
      <w:lvlJc w:val="left"/>
      <w:pPr>
        <w:tabs>
          <w:tab w:val="num" w:pos="1209"/>
        </w:tabs>
        <w:ind w:left="1209" w:hanging="360"/>
      </w:pPr>
    </w:lvl>
  </w:abstractNum>
  <w:abstractNum w:abstractNumId="2">
    <w:nsid w:val="FFFFFF7E"/>
    <w:multiLevelType w:val="singleLevel"/>
    <w:tmpl w:val="9E54705A"/>
    <w:lvl w:ilvl="0">
      <w:start w:val="1"/>
      <w:numFmt w:val="decimal"/>
      <w:lvlText w:val="%1."/>
      <w:lvlJc w:val="left"/>
      <w:pPr>
        <w:tabs>
          <w:tab w:val="num" w:pos="926"/>
        </w:tabs>
        <w:ind w:left="926" w:hanging="360"/>
      </w:pPr>
    </w:lvl>
  </w:abstractNum>
  <w:abstractNum w:abstractNumId="3">
    <w:nsid w:val="FFFFFF7F"/>
    <w:multiLevelType w:val="singleLevel"/>
    <w:tmpl w:val="98C2E14C"/>
    <w:lvl w:ilvl="0">
      <w:start w:val="1"/>
      <w:numFmt w:val="decimal"/>
      <w:lvlText w:val="%1."/>
      <w:lvlJc w:val="left"/>
      <w:pPr>
        <w:tabs>
          <w:tab w:val="num" w:pos="643"/>
        </w:tabs>
        <w:ind w:left="643" w:hanging="360"/>
      </w:pPr>
    </w:lvl>
  </w:abstractNum>
  <w:abstractNum w:abstractNumId="4">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20ECDCC"/>
    <w:lvl w:ilvl="0">
      <w:start w:val="1"/>
      <w:numFmt w:val="decimal"/>
      <w:lvlText w:val="%1."/>
      <w:lvlJc w:val="left"/>
      <w:pPr>
        <w:tabs>
          <w:tab w:val="num" w:pos="360"/>
        </w:tabs>
        <w:ind w:left="360" w:hanging="360"/>
      </w:pPr>
    </w:lvl>
  </w:abstractNum>
  <w:abstractNum w:abstractNumId="9">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3737"/>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3026</Words>
  <Characters>14347</Characters>
  <Application>Microsoft Office Word</Application>
  <DocSecurity>0</DocSecurity>
  <Lines>478</Lines>
  <Paragraphs>255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2000 - 02-i0-01</dc:title>
  <dc:subject/>
  <dc:creator/>
  <cp:keywords/>
  <dc:description/>
  <cp:lastModifiedBy>svcMRProcess</cp:lastModifiedBy>
  <cp:revision>4</cp:revision>
  <cp:lastPrinted>2009-10-23T02:12:00Z</cp:lastPrinted>
  <dcterms:created xsi:type="dcterms:W3CDTF">2016-01-07T01:55:00Z</dcterms:created>
  <dcterms:modified xsi:type="dcterms:W3CDTF">2016-01-07T01:55:00Z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No">
    <vt:lpwstr>2</vt:lpwstr>
  </property>
  <property fmtid="{D5CDD505-2E9C-101B-9397-08002B2CF9AE}" pid="6" name="AsAtDate">
    <vt:lpwstr>01 Jan 2016</vt:lpwstr>
  </property>
  <property fmtid="{D5CDD505-2E9C-101B-9397-08002B2CF9AE}" pid="7" name="Suffix">
    <vt:lpwstr>02-i0-01</vt:lpwstr>
  </property>
  <property fmtid="{D5CDD505-2E9C-101B-9397-08002B2CF9AE}" pid="8" name="CommencementDate">
    <vt:lpwstr>20160101</vt:lpwstr>
  </property>
</Properties>
</file>