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_Toc439938631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_Toc439938632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_Toc439938633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_Toc439938634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_Toc439938635 \h </w:instrText>
      </w:r>
      <w:r>
        <w:fldChar w:fldCharType="separate"/>
      </w:r>
      <w:r>
        <w:t>2</w:t>
      </w:r>
      <w:r>
        <w:fldChar w:fldCharType="end"/>
      </w:r>
    </w:p>
    <w:p>
      <w:pPr>
        <w:pStyle w:val="TOC8"/>
        <w:rPr>
          <w:rFonts w:asciiTheme="minorHAnsi" w:eastAsiaTheme="minorEastAsia" w:hAnsiTheme="minorHAnsi" w:cstheme="minorBidi"/>
          <w:szCs w:val="22"/>
        </w:rPr>
      </w:pPr>
      <w:r>
        <w:t>4B.</w:t>
      </w:r>
      <w:r>
        <w:tab/>
        <w:t>Exemption for supply to commercial premises occupied by supplier</w:t>
      </w:r>
      <w:r>
        <w:tab/>
      </w:r>
      <w:r>
        <w:fldChar w:fldCharType="begin"/>
      </w:r>
      <w:r>
        <w:instrText xml:space="preserve"> PAGEREF _Toc439938636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_Toc439938637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_Toc439938638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_Toc439938639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_Toc439938640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_Toc439938641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_Toc439938642 \h </w:instrText>
      </w:r>
      <w:r>
        <w:fldChar w:fldCharType="separate"/>
      </w:r>
      <w:r>
        <w:t>10</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_Toc439938643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_Toc439938644 \h </w:instrText>
      </w:r>
      <w:r>
        <w:fldChar w:fldCharType="separate"/>
      </w:r>
      <w:r>
        <w:t>11</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_Toc439938645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_Toc439938646 \h </w:instrText>
      </w:r>
      <w:r>
        <w:fldChar w:fldCharType="separate"/>
      </w:r>
      <w:r>
        <w:t>13</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_Toc439938647 \h </w:instrText>
      </w:r>
      <w:r>
        <w:fldChar w:fldCharType="separate"/>
      </w:r>
      <w:r>
        <w:t>14</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_Toc439938648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_Toc439938649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_Toc439938650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_Toc439938651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_Toc439938652 \h </w:instrText>
      </w:r>
      <w:r>
        <w:fldChar w:fldCharType="separate"/>
      </w:r>
      <w:r>
        <w:t>16</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_Toc439938653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_Toc439938654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_Toc439938655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_Toc439938656 \h </w:instrText>
      </w:r>
      <w:r>
        <w:fldChar w:fldCharType="separate"/>
      </w:r>
      <w:r>
        <w:t>18</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_Toc439938657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_Toc439938662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39938631"/>
      <w:r>
        <w:rPr>
          <w:rStyle w:val="CharSectno"/>
        </w:rPr>
        <w:t>1</w:t>
      </w:r>
      <w:r>
        <w:t>.</w:t>
      </w:r>
      <w:r>
        <w:tab/>
        <w:t>Citation</w:t>
      </w:r>
      <w:bookmarkEnd w:id="3"/>
    </w:p>
    <w:p>
      <w:pPr>
        <w:pStyle w:val="Subsection"/>
        <w:rPr>
          <w:i/>
        </w:rPr>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5" w:name="_Toc439938632"/>
      <w:r>
        <w:rPr>
          <w:rStyle w:val="CharSectno"/>
        </w:rPr>
        <w:t>2</w:t>
      </w:r>
      <w:r>
        <w:rPr>
          <w:spacing w:val="-2"/>
        </w:rPr>
        <w:t>.</w:t>
      </w:r>
      <w:r>
        <w:rPr>
          <w:spacing w:val="-2"/>
        </w:rPr>
        <w:tab/>
        <w:t>Commencement</w:t>
      </w:r>
      <w:bookmarkEnd w:id="5"/>
    </w:p>
    <w:p>
      <w:pPr>
        <w:pStyle w:val="Subsection"/>
      </w:pPr>
      <w:r>
        <w:rPr>
          <w:spacing w:val="-2"/>
        </w:rPr>
        <w:tab/>
      </w:r>
      <w:r>
        <w:rPr>
          <w:spacing w:val="-2"/>
        </w:rPr>
        <w:tab/>
        <w:t>This order comes into operation on 1 January 2006.</w:t>
      </w:r>
    </w:p>
    <w:p>
      <w:pPr>
        <w:pStyle w:val="Heading5"/>
      </w:pPr>
      <w:bookmarkStart w:id="6" w:name="_Toc439938633"/>
      <w:r>
        <w:rPr>
          <w:rStyle w:val="CharSectno"/>
        </w:rPr>
        <w:t>3A</w:t>
      </w:r>
      <w:r>
        <w:t>.</w:t>
      </w:r>
      <w:r>
        <w:tab/>
        <w:t>Terms used</w:t>
      </w:r>
      <w:bookmarkEnd w:id="6"/>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7" w:name="_Toc439938634"/>
      <w:r>
        <w:rPr>
          <w:rStyle w:val="CharSectno"/>
        </w:rPr>
        <w:t>3</w:t>
      </w:r>
      <w:r>
        <w:t>.</w:t>
      </w:r>
      <w:r>
        <w:tab/>
        <w:t>Exemption for generating works under 30 MW</w:t>
      </w:r>
      <w:bookmarkEnd w:id="7"/>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8" w:name="_Toc439938635"/>
      <w:r>
        <w:rPr>
          <w:rStyle w:val="CharSectno"/>
        </w:rPr>
        <w:t>4A</w:t>
      </w:r>
      <w:r>
        <w:t>.</w:t>
      </w:r>
      <w:r>
        <w:tab/>
        <w:t>Exemptions for supply to commercial premises on which generating works are located</w:t>
      </w:r>
      <w:bookmarkEnd w:id="8"/>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9" w:name="_Toc439938636"/>
      <w:r>
        <w:rPr>
          <w:rStyle w:val="CharSectno"/>
        </w:rPr>
        <w:t>4B</w:t>
      </w:r>
      <w:r>
        <w:t>.</w:t>
      </w:r>
      <w:r>
        <w:tab/>
        <w:t>Exemption for supply to commercial premises occupied by supplier</w:t>
      </w:r>
      <w:bookmarkEnd w:id="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10" w:name="_Toc439938637"/>
      <w:r>
        <w:rPr>
          <w:rStyle w:val="CharSectno"/>
        </w:rPr>
        <w:t>4</w:t>
      </w:r>
      <w:r>
        <w:t>.</w:t>
      </w:r>
      <w:r>
        <w:tab/>
        <w:t>Exemptions for on</w:t>
      </w:r>
      <w:r>
        <w:noBreakHyphen/>
        <w:t>supply to commercial premises</w:t>
      </w:r>
      <w:bookmarkEnd w:id="10"/>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11" w:name="_Toc439938638"/>
      <w:r>
        <w:rPr>
          <w:rStyle w:val="CharSectno"/>
        </w:rPr>
        <w:t>5</w:t>
      </w:r>
      <w:r>
        <w:t>.</w:t>
      </w:r>
      <w:r>
        <w:tab/>
        <w:t>Exemptions for on</w:t>
      </w:r>
      <w:r>
        <w:noBreakHyphen/>
        <w:t>supply to residential premises</w:t>
      </w:r>
      <w:bookmarkEnd w:id="11"/>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2" w:name="_Toc439938639"/>
      <w:r>
        <w:rPr>
          <w:rStyle w:val="CharSectno"/>
        </w:rPr>
        <w:t>6</w:t>
      </w:r>
      <w:r>
        <w:t>.</w:t>
      </w:r>
      <w:r>
        <w:tab/>
        <w:t>Conditions applying to exemptions under clause 5</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13" w:name="_Toc439938640"/>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439938641"/>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439938642"/>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439938643"/>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439938644"/>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439938645"/>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439938646"/>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439938647"/>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439938648"/>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439938649"/>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439938650"/>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439938651"/>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439938652"/>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26" w:name="_Toc439938653"/>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439938654"/>
      <w:r>
        <w:rPr>
          <w:rStyle w:val="CharSectno"/>
        </w:rPr>
        <w:t>21</w:t>
      </w:r>
      <w:r>
        <w:t>.</w:t>
      </w:r>
      <w:r>
        <w:tab/>
        <w:t>Exemptions for MMG Golden Grove — supply to Minjar Gold</w:t>
      </w:r>
      <w:bookmarkEnd w:id="27"/>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28" w:name="_Toc439938655"/>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439938656"/>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30" w:name="_Toc439938657"/>
      <w:r>
        <w:rPr>
          <w:rStyle w:val="CharSectno"/>
        </w:rPr>
        <w:t>24</w:t>
      </w:r>
      <w:r>
        <w:t>.</w:t>
      </w:r>
      <w:r>
        <w:tab/>
        <w:t>Exemption for Kwinana WTE Project — Kwinana power station</w:t>
      </w:r>
      <w:bookmarkEnd w:id="30"/>
    </w:p>
    <w:p>
      <w:pPr>
        <w:pStyle w:val="Subsection"/>
      </w:pPr>
      <w:r>
        <w:tab/>
        <w:t>(1)</w:t>
      </w:r>
      <w:r>
        <w:tab/>
        <w:t xml:space="preserve">In this clause — </w:t>
      </w:r>
    </w:p>
    <w:p>
      <w:pPr>
        <w:pStyle w:val="Defstart"/>
        <w:rPr>
          <w:rStyle w:val="CharDefText"/>
          <w:b w:val="0"/>
          <w:i w:val="0"/>
        </w:rPr>
      </w:pPr>
      <w:r>
        <w:tab/>
      </w:r>
      <w:r>
        <w:rPr>
          <w:rStyle w:val="CharDefText"/>
        </w:rPr>
        <w:t>generation capacity,</w:t>
      </w:r>
      <w:r>
        <w:t xml:space="preserve"> in relation to generating works under construction, means the total generation capacity in megawatts that the generating works will have after construction is completed;</w:t>
      </w:r>
    </w:p>
    <w:p>
      <w:pPr>
        <w:pStyle w:val="Defstart"/>
        <w:rPr>
          <w:rStyle w:val="DraftersNotes"/>
          <w:b w:val="0"/>
          <w:i w:val="0"/>
        </w:rPr>
      </w:pPr>
      <w:r>
        <w:rPr>
          <w:rStyle w:val="CharDefText"/>
        </w:rPr>
        <w:tab/>
        <w:t>Kwinana site</w:t>
      </w:r>
      <w:r>
        <w:t xml:space="preserve"> means that part of Lot 9500 on Deposited Plan 73740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36 MW.</w:t>
      </w:r>
    </w:p>
    <w:p>
      <w:pPr>
        <w:pStyle w:val="Footnotesection"/>
      </w:pPr>
      <w:r>
        <w:tab/>
        <w:t>[Clause 24 inserted in Gazette 8 Jan 2016 p. 19</w:t>
      </w:r>
      <w:r>
        <w:noBreakHyphen/>
        <w:t>20.]</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1" w:name="_Toc429398510"/>
      <w:bookmarkStart w:id="32" w:name="_Toc439927094"/>
      <w:bookmarkStart w:id="33" w:name="_Toc439938491"/>
      <w:bookmarkStart w:id="34" w:name="_Toc439938658"/>
      <w:r>
        <w:rPr>
          <w:rStyle w:val="CharSchNo"/>
        </w:rPr>
        <w:t>Schedule 1</w:t>
      </w:r>
      <w:r>
        <w:rPr>
          <w:rStyle w:val="CharSDivNo"/>
        </w:rPr>
        <w:t> </w:t>
      </w:r>
      <w:r>
        <w:t>—</w:t>
      </w:r>
      <w:r>
        <w:rPr>
          <w:rStyle w:val="CharSDivText"/>
        </w:rPr>
        <w:t> </w:t>
      </w:r>
      <w:r>
        <w:rPr>
          <w:rStyle w:val="CharSchText"/>
        </w:rPr>
        <w:t>Depiction of EDL NGD (WA) exempt distribution system</w:t>
      </w:r>
      <w:bookmarkEnd w:id="31"/>
      <w:bookmarkEnd w:id="32"/>
      <w:bookmarkEnd w:id="33"/>
      <w:bookmarkEnd w:id="34"/>
    </w:p>
    <w:p>
      <w:pPr>
        <w:pStyle w:val="yShoulderClause"/>
      </w:pPr>
      <w:r>
        <w:t>[cl. 18]</w:t>
      </w:r>
    </w:p>
    <w:p>
      <w:pPr>
        <w:pStyle w:val="yFootnoteheading"/>
      </w:pPr>
      <w:r>
        <w:tab/>
        <w:t>[Heading inserted in Gazette 9 Oct 2009 p. 3994.]</w:t>
      </w:r>
    </w:p>
    <w:p>
      <w:pPr>
        <w:pStyle w:val="yHeading3"/>
      </w:pPr>
      <w:bookmarkStart w:id="35" w:name="_Toc429398511"/>
      <w:bookmarkStart w:id="36" w:name="_Toc439927095"/>
      <w:bookmarkStart w:id="37" w:name="_Toc439938492"/>
      <w:bookmarkStart w:id="38" w:name="_Toc439938659"/>
      <w:r>
        <w:t>EDL NGD (WA) — HV Cabling Route</w:t>
      </w:r>
      <w:bookmarkEnd w:id="35"/>
      <w:bookmarkEnd w:id="36"/>
      <w:bookmarkEnd w:id="37"/>
      <w:bookmarkEnd w:id="38"/>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39" w:name="_Toc439927096"/>
      <w:bookmarkStart w:id="40" w:name="_Toc439938493"/>
      <w:bookmarkStart w:id="41" w:name="_Toc439938660"/>
      <w:r>
        <w:rPr>
          <w:rStyle w:val="CharSchNo"/>
        </w:rPr>
        <w:t>Schedule 2</w:t>
      </w:r>
      <w:r>
        <w:rPr>
          <w:rStyle w:val="CharSDivNo"/>
        </w:rPr>
        <w:t> </w:t>
      </w:r>
      <w:r>
        <w:t>—</w:t>
      </w:r>
      <w:r>
        <w:rPr>
          <w:rStyle w:val="CharSDivText"/>
        </w:rPr>
        <w:t> </w:t>
      </w:r>
      <w:r>
        <w:rPr>
          <w:rStyle w:val="CharSchText"/>
        </w:rPr>
        <w:t>Description of Kwinana site boundary line</w:t>
      </w:r>
      <w:bookmarkEnd w:id="39"/>
      <w:bookmarkEnd w:id="40"/>
      <w:bookmarkEnd w:id="41"/>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43" w:name="_Toc429398512"/>
      <w:bookmarkStart w:id="44" w:name="_Toc439927097"/>
      <w:bookmarkStart w:id="45" w:name="_Toc439938494"/>
      <w:bookmarkStart w:id="46" w:name="_Toc439938661"/>
      <w:r>
        <w:t>Notes</w:t>
      </w:r>
      <w:bookmarkEnd w:id="43"/>
      <w:bookmarkEnd w:id="44"/>
      <w:bookmarkEnd w:id="45"/>
      <w:bookmarkEnd w:id="46"/>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47" w:name="_Toc439938662"/>
      <w:r>
        <w:t>Compilation table</w:t>
      </w:r>
      <w:bookmarkEnd w:id="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single" w:sz="4" w:space="0" w:color="auto"/>
            </w:tcBorders>
          </w:tcPr>
          <w:p>
            <w:pPr>
              <w:pStyle w:val="nTable"/>
              <w:spacing w:after="40"/>
              <w:rPr>
                <w:i/>
              </w:rPr>
            </w:pPr>
            <w:r>
              <w:rPr>
                <w:i/>
              </w:rPr>
              <w:t>Electricity Industry Exemption Amendment Order 2016</w:t>
            </w:r>
          </w:p>
        </w:tc>
        <w:tc>
          <w:tcPr>
            <w:tcW w:w="1276" w:type="dxa"/>
            <w:tcBorders>
              <w:top w:val="nil"/>
              <w:bottom w:val="single" w:sz="4" w:space="0" w:color="auto"/>
            </w:tcBorders>
          </w:tcPr>
          <w:p>
            <w:pPr>
              <w:pStyle w:val="nTable"/>
              <w:spacing w:after="40"/>
            </w:pPr>
            <w:r>
              <w:t>8 Jan 2016 p. 19</w:t>
            </w:r>
            <w:r>
              <w:noBreakHyphen/>
              <w:t>20</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49" w:name="_Toc429398514"/>
      <w:bookmarkStart w:id="50" w:name="_Toc439927099"/>
      <w:bookmarkStart w:id="51" w:name="_Toc439938496"/>
      <w:bookmarkStart w:id="52" w:name="_Toc439938663"/>
      <w:r>
        <w:rPr>
          <w:sz w:val="28"/>
        </w:rPr>
        <w:t>Defined terms</w:t>
      </w:r>
      <w:bookmarkEnd w:id="49"/>
      <w:bookmarkEnd w:id="50"/>
      <w:bookmarkEnd w:id="51"/>
      <w:bookmarkEnd w:id="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Blair Fox</w:t>
      </w:r>
      <w:r>
        <w:tab/>
        <w:t>20(1)</w:t>
      </w:r>
    </w:p>
    <w:p>
      <w:pPr>
        <w:pStyle w:val="DefinedTerms"/>
      </w:pPr>
      <w:r>
        <w:t>code provision</w:t>
      </w:r>
      <w:r>
        <w:tab/>
        <w:t>11(1)</w:t>
      </w:r>
    </w:p>
    <w:p>
      <w:pPr>
        <w:pStyle w:val="DefinedTerms"/>
      </w:pPr>
      <w:r>
        <w:t>commercial premises</w:t>
      </w:r>
      <w:r>
        <w:tab/>
        <w:t>3A</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Fremantle Port Authority</w:t>
      </w:r>
      <w:r>
        <w:tab/>
        <w:t>14(1)</w:t>
      </w:r>
    </w:p>
    <w:p>
      <w:pPr>
        <w:pStyle w:val="DefinedTerms"/>
      </w:pPr>
      <w:r>
        <w:t>generation capacity</w:t>
      </w:r>
      <w:r>
        <w:tab/>
        <w:t>3(1)</w:t>
      </w:r>
    </w:p>
    <w:p>
      <w:pPr>
        <w:pStyle w:val="DefinedTerms"/>
      </w:pPr>
      <w:r>
        <w:t>Karakin Wind Farm</w:t>
      </w:r>
      <w:r>
        <w:tab/>
        <w:t>20(1)</w:t>
      </w:r>
    </w:p>
    <w:p>
      <w:pPr>
        <w:pStyle w:val="DefinedTerms"/>
      </w:pPr>
      <w:r>
        <w:t>Kwinana site</w:t>
      </w:r>
      <w:r>
        <w:tab/>
        <w:t>23(1)</w:t>
      </w:r>
    </w:p>
    <w:p>
      <w:pPr>
        <w:pStyle w:val="DefinedTerms"/>
      </w:pPr>
      <w:r>
        <w:t>Minjar Gold</w:t>
      </w:r>
      <w:r>
        <w:tab/>
        <w:t>21(1)</w:t>
      </w:r>
    </w:p>
    <w:p>
      <w:pPr>
        <w:pStyle w:val="DefinedTerms"/>
      </w:pPr>
      <w:r>
        <w:t>MMG Golden Grove</w:t>
      </w:r>
      <w:r>
        <w:tab/>
        <w:t>21(1)</w:t>
      </w:r>
    </w:p>
    <w:p>
      <w:pPr>
        <w:pStyle w:val="DefinedTerms"/>
      </w:pPr>
      <w:r>
        <w:t>PEP Agreement</w:t>
      </w:r>
      <w:r>
        <w:tab/>
        <w:t>8(1)</w:t>
      </w:r>
    </w:p>
    <w:p>
      <w:pPr>
        <w:pStyle w:val="DefinedTerms"/>
      </w:pPr>
      <w:r>
        <w:t>Power Rental Op Co Australia</w:t>
      </w:r>
      <w:r>
        <w:tab/>
        <w:t>22(1)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South Hedland Power Station site</w:t>
      </w:r>
      <w:r>
        <w:tab/>
        <w:t>22(1)</w:t>
      </w:r>
    </w:p>
    <w:p>
      <w:pPr>
        <w:pStyle w:val="DefinedTerms"/>
      </w:pPr>
      <w:r>
        <w:t>strata company</w:t>
      </w:r>
      <w:r>
        <w:tab/>
        <w:t>4(1), 5(1)</w:t>
      </w:r>
    </w:p>
    <w:p>
      <w:pPr>
        <w:pStyle w:val="DefinedTerms"/>
      </w:pPr>
      <w:r>
        <w:t>supplier</w:t>
      </w:r>
      <w:r>
        <w:tab/>
        <w:t>4A(1), 4A(2), 4B, 4(2), 4(3), 4(4), 5(2), 5(3)</w:t>
      </w:r>
    </w:p>
    <w:p>
      <w:pPr>
        <w:pStyle w:val="DefinedTerms"/>
      </w:pPr>
      <w:r>
        <w:t>SWIS</w:t>
      </w:r>
      <w:r>
        <w:tab/>
        <w:t>3A</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00-o0-00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Jan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 w:name="Compilation"/>
    <w:bookmarkEnd w:id="4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3" w:name="DefinedTerms"/>
    <w:bookmarkEnd w:id="5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 w:name="Coversheet"/>
    <w:bookmarkEnd w:id="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2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C5815-5FB1-44D0-9379-8AEE9AB8C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5695</Words>
  <Characters>28479</Characters>
  <Application>Microsoft Office Word</Application>
  <DocSecurity>0</DocSecurity>
  <Lines>837</Lines>
  <Paragraphs>481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2005 - 00-o0-00</dc:title>
  <dc:subject/>
  <dc:creator/>
  <cp:keywords/>
  <dc:description/>
  <cp:lastModifiedBy>svcMRProcess</cp:lastModifiedBy>
  <cp:revision>4</cp:revision>
  <cp:lastPrinted>2012-03-29T07:14:00Z</cp:lastPrinted>
  <dcterms:created xsi:type="dcterms:W3CDTF">2018-09-19T00:17:00Z</dcterms:created>
  <dcterms:modified xsi:type="dcterms:W3CDTF">2018-09-19T00:17:00Z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09 Jan 2016</vt:lpwstr>
  </property>
  <property fmtid="{D5CDD505-2E9C-101B-9397-08002B2CF9AE}" pid="4" name="Suffix">
    <vt:lpwstr>00-o0-00</vt:lpwstr>
  </property>
  <property fmtid="{D5CDD505-2E9C-101B-9397-08002B2CF9AE}" pid="5" name="OWLSUId">
    <vt:i4>7017</vt:i4>
  </property>
  <property fmtid="{D5CDD505-2E9C-101B-9397-08002B2CF9AE}" pid="6" name="DocumentType">
    <vt:lpwstr>Reg</vt:lpwstr>
  </property>
  <property fmtid="{D5CDD505-2E9C-101B-9397-08002B2CF9AE}" pid="7" name="CommencementDate">
    <vt:lpwstr>20160109</vt:lpwstr>
  </property>
</Properties>
</file>