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spacing w:before="120" w:after="0"/>
      </w:pPr>
      <w:bookmarkStart w:id="0" w:name="_GoBack"/>
      <w:bookmarkEnd w:id="0"/>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2"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Water Services Act 2012</w:t>
      </w:r>
      <w:r>
        <w:fldChar w:fldCharType="end"/>
      </w:r>
    </w:p>
    <w:p>
      <w:pPr>
        <w:pStyle w:val="NameofActRegPage1"/>
        <w:spacing w:before="1200" w:after="36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Water Services (Water Corporations Charges) Regulations 2014</w:t>
      </w:r>
      <w:r>
        <w:rPr>
          <w:sz w:val="48"/>
        </w:rPr>
        <w:fldChar w:fldCharType="end"/>
      </w:r>
    </w:p>
    <w:p>
      <w:pPr>
        <w:pStyle w:val="ReprintNo"/>
      </w:pPr>
      <w:r>
        <w:t>Reprint 1:  The regulations as at 8 January 2016</w:t>
      </w:r>
    </w:p>
    <w:p>
      <w:pPr>
        <w:tabs>
          <w:tab w:val="left" w:pos="567"/>
          <w:tab w:val="left" w:pos="851"/>
        </w:tabs>
        <w:ind w:left="851" w:hanging="851"/>
        <w:rPr>
          <w:b/>
          <w:sz w:val="20"/>
        </w:rPr>
      </w:pPr>
      <w:r>
        <w:rPr>
          <w:b/>
          <w:sz w:val="22"/>
        </w:rPr>
        <w:br w:type="page"/>
      </w:r>
      <w:r>
        <w:rPr>
          <w:b/>
          <w:sz w:val="20"/>
        </w:rPr>
        <w:lastRenderedPageBreak/>
        <w:tab/>
      </w:r>
      <w:r>
        <w:rPr>
          <w:b/>
          <w:sz w:val="20"/>
        </w:rPr>
        <w:tab/>
        <w:t>Guide for using this reprint</w:t>
      </w:r>
    </w:p>
    <w:p>
      <w:pPr>
        <w:tabs>
          <w:tab w:val="left" w:pos="567"/>
          <w:tab w:val="left" w:pos="851"/>
        </w:tabs>
        <w:spacing w:before="120" w:after="60"/>
        <w:ind w:left="851" w:hanging="851"/>
        <w:rPr>
          <w:b/>
          <w:i/>
          <w:sz w:val="20"/>
        </w:rPr>
      </w:pPr>
      <w:r>
        <w:rPr>
          <w:b/>
          <w:i/>
          <w:sz w:val="20"/>
        </w:rPr>
        <w:tab/>
      </w:r>
      <w:r>
        <w:rPr>
          <w:b/>
          <w:i/>
          <w:sz w:val="20"/>
        </w:rPr>
        <w:tab/>
        <w:t>What the reprint includes</w:t>
      </w:r>
    </w:p>
    <w:p>
      <w:pPr>
        <w:ind w:left="567"/>
        <w:rPr>
          <w:sz w:val="20"/>
        </w:rPr>
      </w:pPr>
      <w:r>
        <w:rPr>
          <w:noProof/>
          <w:sz w:val="20"/>
        </w:rPr>
        <mc:AlternateContent>
          <mc:Choice Requires="wpg">
            <w:drawing>
              <wp:anchor distT="0" distB="0" distL="114300" distR="114300" simplePos="0" relativeHeight="251662336" behindDoc="0" locked="0" layoutInCell="1" allowOverlap="1">
                <wp:simplePos x="0" y="0"/>
                <wp:positionH relativeFrom="column">
                  <wp:posOffset>555625</wp:posOffset>
                </wp:positionH>
                <wp:positionV relativeFrom="paragraph">
                  <wp:posOffset>2540</wp:posOffset>
                </wp:positionV>
                <wp:extent cx="3987800" cy="342900"/>
                <wp:effectExtent l="0" t="0" r="12700" b="19050"/>
                <wp:wrapNone/>
                <wp:docPr id="24" name="Group 24"/>
                <wp:cNvGraphicFramePr/>
                <a:graphic xmlns:a="http://schemas.openxmlformats.org/drawingml/2006/main">
                  <a:graphicData uri="http://schemas.microsoft.com/office/word/2010/wordprocessingGroup">
                    <wpg:wgp>
                      <wpg:cNvGrpSpPr/>
                      <wpg:grpSpPr>
                        <a:xfrm>
                          <a:off x="0" y="0"/>
                          <a:ext cx="3987800" cy="342900"/>
                          <a:chOff x="0" y="0"/>
                          <a:chExt cx="3987800" cy="342900"/>
                        </a:xfrm>
                      </wpg:grpSpPr>
                      <wpg:grpSp>
                        <wpg:cNvPr id="38" name="Group 38"/>
                        <wpg:cNvGrpSpPr/>
                        <wpg:grpSpPr>
                          <a:xfrm>
                            <a:off x="819150" y="88900"/>
                            <a:ext cx="158115" cy="158115"/>
                            <a:chOff x="0" y="0"/>
                            <a:chExt cx="158115" cy="158115"/>
                          </a:xfrm>
                        </wpg:grpSpPr>
                        <wps:wsp>
                          <wps:cNvPr id="35" name="Straight Connector 35"/>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39" name="Group 39"/>
                        <wpg:cNvGrpSpPr/>
                        <wpg:grpSpPr>
                          <a:xfrm>
                            <a:off x="1828800" y="88900"/>
                            <a:ext cx="158115" cy="158115"/>
                            <a:chOff x="0" y="0"/>
                            <a:chExt cx="158115" cy="158115"/>
                          </a:xfrm>
                        </wpg:grpSpPr>
                        <wps:wsp>
                          <wps:cNvPr id="40" name="Straight Connector 40"/>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1" name="Straight Connector 41"/>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47" name="Group 47"/>
                        <wpg:cNvGrpSpPr/>
                        <wpg:grpSpPr>
                          <a:xfrm>
                            <a:off x="3079750" y="120650"/>
                            <a:ext cx="158115" cy="104140"/>
                            <a:chOff x="0" y="0"/>
                            <a:chExt cx="158115" cy="104140"/>
                          </a:xfrm>
                        </wpg:grpSpPr>
                        <wps:wsp>
                          <wps:cNvPr id="43" name="Straight Connector 43"/>
                          <wps:cNvCnPr/>
                          <wps:spPr>
                            <a:xfrm>
                              <a:off x="0" y="50800"/>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5" name="Straight Connector 45"/>
                          <wps:cNvCnPr/>
                          <wps:spPr>
                            <a:xfrm flipH="1" flipV="1">
                              <a:off x="76200" y="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6" name="Straight Connector 46"/>
                          <wps:cNvCnPr/>
                          <wps:spPr>
                            <a:xfrm rot="10800000" flipH="1">
                              <a:off x="76200" y="5715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s:wsp>
                        <wps:cNvPr id="25" name="Text Box 1"/>
                        <wps:cNvSpPr txBox="1"/>
                        <wps:spPr>
                          <a:xfrm>
                            <a:off x="0" y="0"/>
                            <a:ext cx="781050" cy="341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Regulations as published</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2" name="Text Box 32"/>
                        <wps:cNvSpPr txBox="1"/>
                        <wps:spPr>
                          <a:xfrm>
                            <a:off x="1009650" y="0"/>
                            <a:ext cx="7810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legislative amendments</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3" name="Text Box 33"/>
                        <wps:cNvSpPr txBox="1"/>
                        <wps:spPr>
                          <a:xfrm>
                            <a:off x="2019300" y="0"/>
                            <a:ext cx="10096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i/>
                                  <w:sz w:val="18"/>
                                  <w:szCs w:val="18"/>
                                </w:rPr>
                              </w:pPr>
                              <w:r>
                                <w:rPr>
                                  <w:sz w:val="18"/>
                                  <w:szCs w:val="18"/>
                                </w:rPr>
                                <w:t>changes under the</w:t>
                              </w:r>
                              <w:r>
                                <w:rPr>
                                  <w:sz w:val="18"/>
                                  <w:szCs w:val="18"/>
                                </w:rPr>
                                <w:br/>
                              </w:r>
                              <w:r>
                                <w:rPr>
                                  <w:i/>
                                  <w:sz w:val="18"/>
                                  <w:szCs w:val="18"/>
                                </w:rPr>
                                <w:t>Reprints Act 1984</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4" name="Text Box 34"/>
                        <wps:cNvSpPr txBox="1"/>
                        <wps:spPr>
                          <a:xfrm>
                            <a:off x="3295650" y="0"/>
                            <a:ext cx="6921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this reprint</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g:wgp>
                  </a:graphicData>
                </a:graphic>
              </wp:anchor>
            </w:drawing>
          </mc:Choice>
          <mc:Fallback>
            <w:pict>
              <v:group id="Group 24" o:spid="_x0000_s1026" style="position:absolute;left:0;text-align:left;margin-left:43.75pt;margin-top:.2pt;width:314pt;height:27pt;z-index:251662336" coordsize="3987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">
                <v:group id="Group 38" o:spid="_x0000_s1027" style="position:absolute;left:8191;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line id="Straight Connector 35" o:spid="_x0000_s1028"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4CYMQAAADbAAAADwAAAGRycy9kb3ducmV2LnhtbESPUWsCMRCE34X+h7AF3zRXRdHTKFIo&#10;iO1LbX/AelnvDi+ba7Lq6a9vCgUfh5n5hlmuO9eoC4VYezbwMsxAERfe1lwa+P56G8xARUG22Hgm&#10;AzeKsF499ZaYW3/lT7rspVQJwjFHA5VIm2sdi4ocxqFviZN39MGhJBlKbQNeE9w1epRlU+2w5rRQ&#10;YUuvFRWn/dkZ+Hn/2MbboRnJdHLfncJmNpdxNKb/3G0WoIQ6eYT/21trYDyBvy/pB+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PgJgxAAAANsAAAAPAAAAAAAAAAAA&#10;AAAAAKECAABkcnMvZG93bnJldi54bWxQSwUGAAAAAAQABAD5AAAAkgMAAAAA&#10;" strokecolor="#4579b8 [3044]"/>
                  <v:line id="Straight Connector 36" o:spid="_x0000_s1029"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3M9MYAAADbAAAADwAAAGRycy9kb3ducmV2LnhtbESPT2sCMRTE7wW/Q3iCl6LZtlZlNUor&#10;CvVU/HPw+Eyeu8tuXtZN1O23b4RCj8PM/IaZLVpbiRs1vnCs4GWQgCDWzhScKTjs1/0JCB+QDVaO&#10;ScEPeVjMO08zTI2785Zuu5CJCGGfooI8hDqV0uucLPqBq4mjd3aNxRBlk0nT4D3CbSVfk2QkLRYc&#10;F3KsaZmTLndXq6Ash5vDZZ+8r5+P7vuiV6dSf46V6nXbjymIQG34D/+1v4yCtxE8vsQfIO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E9zPTGAAAA2wAAAA8AAAAAAAAA&#10;AAAAAAAAoQIAAGRycy9kb3ducmV2LnhtbFBLBQYAAAAABAAEAPkAAACUAwAAAAA=&#10;" strokecolor="#4579b8 [3044]"/>
                </v:group>
                <v:group id="Group 39" o:spid="_x0000_s1030" style="position:absolute;left:18288;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line id="Straight Connector 40" o:spid="_x0000_s1031"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ShcEAAADbAAAADwAAAGRycy9kb3ducmV2LnhtbERPzWoCMRC+C32HMAVvmq1/2K1RRCiI&#10;9aL2Aaab6e7iZrImU1379M2h4PHj+1+sOteoK4VYezbwMsxAERfe1lwa+Dy9D+agoiBbbDyTgTtF&#10;WC2fegvMrb/xga5HKVUK4ZijgUqkzbWORUUO49C3xIn79sGhJBhKbQPeUrhr9CjLZtphzamhwpY2&#10;FRXn448zcPnYb+P9qxnJbPq7O4f1/FXG0Zj+c7d+AyXUyUP8795aA5O0Pn1JP0A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T9KFwQAAANsAAAAPAAAAAAAAAAAAAAAA&#10;AKECAABkcnMvZG93bnJldi54bWxQSwUGAAAAAAQABAD5AAAAjwMAAAAA&#10;" strokecolor="#4579b8 [3044]"/>
                  <v:line id="Straight Connector 41" o:spid="_x0000_s1032"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In/cYAAADbAAAADwAAAGRycy9kb3ducmV2LnhtbESPQWvCQBSE74L/YXlCL6VuUrQt0TXY&#10;UsGepOqhx+fuMwnJvo3ZrcZ/3xUKHoeZ+YaZ571txJk6XzlWkI4TEMTamYoLBfvd6ukNhA/IBhvH&#10;pOBKHvLFcDDHzLgLf9N5GwoRIewzVFCG0GZSel2SRT92LXH0jq6zGKLsCmk6vES4beRzkrxIixXH&#10;hRJb+ihJ19tfq6CuJ1/70y6Zrh5/3OakPw+1fn9V6mHUL2cgAvXhHv5vr42CSQq3L/EH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SJ/3GAAAA2wAAAA8AAAAAAAAA&#10;AAAAAAAAoQIAAGRycy9kb3ducmV2LnhtbFBLBQYAAAAABAAEAPkAAACUAwAAAAA=&#10;" strokecolor="#4579b8 [3044]"/>
                </v:group>
                <v:group id="Group 47" o:spid="_x0000_s1033" style="position:absolute;left:30797;top:1206;width:1581;height:1041" coordsize="158115,104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line id="Straight Connector 43" o:spid="_x0000_s1034" style="position:absolute;visibility:visible;mso-wrap-style:square" from="0,50800" to="158115,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1M8sQAAADbAAAADwAAAGRycy9kb3ducmV2LnhtbESPzWoCQRCE74G8w9ABb3E2/qEbR5FA&#10;QEwuMT5Au9PuLu70bGY6uvr0mYDgsaiqr6j5snONOlGItWcDL/0MFHHhbc2lgd33+/MUVBRki41n&#10;MnChCMvF48Mcc+vP/EWnrZQqQTjmaKASaXOtY1GRw9j3LXHyDj44lCRDqW3Ac4K7Rg+ybKId1pwW&#10;KmzpraLiuP11Bn4+Ptfxsm8GMhlfN8ewms5kGI3pPXWrV1BCndzDt/baGhgN4f9L+gF6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nUzyxAAAANsAAAAPAAAAAAAAAAAA&#10;AAAAAKECAABkcnMvZG93bnJldi54bWxQSwUGAAAAAAQABAD5AAAAkgMAAAAA&#10;" strokecolor="#4579b8 [3044]"/>
                  <v:line id="Straight Connector 45" o:spid="_x0000_s1035" style="position:absolute;flip:x y;visibility:visible;mso-wrap-style:square" from="76200,0" to="158115,46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aGsQAAADbAAAADwAAAGRycy9kb3ducmV2LnhtbESPQWvCQBSE74L/YXmCt7qpaJHoKlVU&#10;7KkYe+ntkX0mwezbuLvG2F/fLRQ8DjPzDbNYdaYWLTlfWVbwOkpAEOdWV1wo+DrtXmYgfEDWWFsm&#10;BQ/ysFr2ewtMtb3zkdosFCJC2KeooAyhSaX0eUkG/cg2xNE7W2cwROkKqR3eI9zUcpwkb9JgxXGh&#10;xIY2JeWX7GYU6O3Pvq2v+cXIj8d6+zmZolt/KzUcdO9zEIG68Az/tw9awWQKf1/iD5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4loaxAAAANsAAAAPAAAAAAAAAAAA&#10;AAAAAKECAABkcnMvZG93bnJldi54bWxQSwUGAAAAAAQABAD5AAAAkgMAAAAA&#10;" strokecolor="#4579b8 [3044]"/>
                  <v:line id="Straight Connector 46" o:spid="_x0000_s1036" style="position:absolute;rotation:180;flip:x;visibility:visible;mso-wrap-style:square" from="76200,57150" to="158115,1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Txj8QAAADbAAAADwAAAGRycy9kb3ducmV2LnhtbESPT2vCQBTE7wW/w/KE3ppNQ0hKdJUq&#10;FFrpxfTP+ZF9JsHs25BdTfTTuwWhx2FmfsMs15PpxJkG11pW8BzFIIgrq1uuFXx/vT29gHAeWWNn&#10;mRRcyMF6NXtYYqHtyHs6l74WAcKuQAWN930hpasaMugi2xMH72AHgz7IoZZ6wDHATSeTOM6kwZbD&#10;QoM9bRuqjuXJKIivnatOycduk+dtmaQ/7pcPn0o9zqfXBQhPk/8P39vvWkGawd+X8APk6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1PGPxAAAANsAAAAPAAAAAAAAAAAA&#10;AAAAAKECAABkcnMvZG93bnJldi54bWxQSwUGAAAAAAQABAD5AAAAkgMAAAAA&#10;" strokecolor="#4579b8 [3044]"/>
                </v:group>
                <v:shapetype id="_x0000_t202" coordsize="21600,21600" o:spt="202" path="m,l,21600r21600,l21600,xe">
                  <v:stroke joinstyle="miter"/>
                  <v:path gradientshapeok="t" o:connecttype="rect"/>
                </v:shapetype>
                <v:shape id="Text Box 1" o:spid="_x0000_s1037" type="#_x0000_t202" style="position:absolute;width:7810;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YxY8UA&#10;AADbAAAADwAAAGRycy9kb3ducmV2LnhtbESPQWvCQBSE74X+h+UJvTUbhUqNriKFlLb2UqMHb8/s&#10;Mwlm34bdVaO/3i0Uehxm5htmtuhNK87kfGNZwTBJQRCXVjdcKdgU+fMrCB+QNbaWScGVPCzmjw8z&#10;zLS98A+d16ESEcI+QwV1CF0mpS9rMugT2xFH72CdwRClq6R2eIlw08pRmo6lwYbjQo0dvdVUHtcn&#10;oyD/uvF7MS6/t/1pstsWtHf550qpp0G/nIII1If/8F/7QysYvcDvl/g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NjFjxQAAANsAAAAPAAAAAAAAAAAAAAAAAJgCAABkcnMv&#10;ZG93bnJldi54bWxQSwUGAAAAAAQABAD1AAAAigMAAAAA&#10;" fillcolor="white [3201]" strokeweight=".5pt">
                  <v:textbox inset="2mm,1mm,2mm,1mm">
                    <w:txbxContent>
                      <w:p w:rsidR="00E52995" w:rsidRDefault="00E52995">
                        <w:pPr>
                          <w:rPr>
                            <w:sz w:val="18"/>
                            <w:szCs w:val="18"/>
                          </w:rPr>
                        </w:pPr>
                        <w:r>
                          <w:rPr>
                            <w:sz w:val="18"/>
                            <w:szCs w:val="18"/>
                          </w:rPr>
                          <w:t>Regulations as published</w:t>
                        </w:r>
                      </w:p>
                    </w:txbxContent>
                  </v:textbox>
                </v:shape>
                <v:shape id="Text Box 32" o:spid="_x0000_s1038" type="#_x0000_t202" style="position:absolute;left:10096;width:781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Y/ysUA&#10;AADbAAAADwAAAGRycy9kb3ducmV2LnhtbESPQWvCQBSE74X+h+UJvTUbLUiNriKFlLb2UqMHb8/s&#10;Mwlm34bdVaO/3i0Uehxm5htmtuhNK87kfGNZwTBJQRCXVjdcKdgU+fMrCB+QNbaWScGVPCzmjw8z&#10;zLS98A+d16ESEcI+QwV1CF0mpS9rMugT2xFH72CdwRClq6R2eIlw08pRmo6lwYbjQo0dvdVUHtcn&#10;oyD/uvF7MS6/t/1pstsWtHf550qpp0G/nIII1If/8F/7Qyt4GcHvl/g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j/KxQAAANsAAAAPAAAAAAAAAAAAAAAAAJgCAABkcnMv&#10;ZG93bnJldi54bWxQSwUGAAAAAAQABAD1AAAAigMAAAAA&#10;" fillcolor="white [3201]" strokeweight=".5pt">
                  <v:textbox inset="2mm,1mm,2mm,1mm">
                    <w:txbxContent>
                      <w:p w:rsidR="00E52995" w:rsidRDefault="00E52995">
                        <w:pPr>
                          <w:rPr>
                            <w:sz w:val="18"/>
                            <w:szCs w:val="18"/>
                          </w:rPr>
                        </w:pPr>
                        <w:r>
                          <w:rPr>
                            <w:sz w:val="18"/>
                            <w:szCs w:val="18"/>
                          </w:rPr>
                          <w:t>legislative amendments</w:t>
                        </w:r>
                      </w:p>
                    </w:txbxContent>
                  </v:textbox>
                </v:shape>
                <v:shape id="Text Box 33" o:spid="_x0000_s1039" type="#_x0000_t202" style="position:absolute;left:20193;width:1009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qaUcUA&#10;AADbAAAADwAAAGRycy9kb3ducmV2LnhtbESPQWvCQBSE74L/YXkFb7qpgtjUVYoQUetFUw+9vWZf&#10;k9Ds27C7atpf3xUEj8PMfMPMl51pxIWcry0reB4lIIgLq2suFXzk2XAGwgdkjY1lUvBLHpaLfm+O&#10;qbZXPtDlGEoRIexTVFCF0KZS+qIig35kW+LofVtnMETpSqkdXiPcNHKcJFNpsOa4UGFLq4qKn+PZ&#10;KMh2f7zOp8X+1J1fPk85fbls+67U4Kl7ewURqAuP8L290QomE7h9iT9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ppRxQAAANsAAAAPAAAAAAAAAAAAAAAAAJgCAABkcnMv&#10;ZG93bnJldi54bWxQSwUGAAAAAAQABAD1AAAAigMAAAAA&#10;" fillcolor="white [3201]" strokeweight=".5pt">
                  <v:textbox inset="2mm,1mm,2mm,1mm">
                    <w:txbxContent>
                      <w:p w:rsidR="00E52995" w:rsidRDefault="00E52995">
                        <w:pPr>
                          <w:rPr>
                            <w:i/>
                            <w:sz w:val="18"/>
                            <w:szCs w:val="18"/>
                          </w:rPr>
                        </w:pPr>
                        <w:r>
                          <w:rPr>
                            <w:sz w:val="18"/>
                            <w:szCs w:val="18"/>
                          </w:rPr>
                          <w:t>changes under the</w:t>
                        </w:r>
                        <w:r>
                          <w:rPr>
                            <w:sz w:val="18"/>
                            <w:szCs w:val="18"/>
                          </w:rPr>
                          <w:br/>
                        </w:r>
                        <w:r>
                          <w:rPr>
                            <w:i/>
                            <w:sz w:val="18"/>
                            <w:szCs w:val="18"/>
                          </w:rPr>
                          <w:t>Reprints Act 1984</w:t>
                        </w:r>
                      </w:p>
                    </w:txbxContent>
                  </v:textbox>
                </v:shape>
                <v:shape id="Text Box 34" o:spid="_x0000_s1040" type="#_x0000_t202" style="position:absolute;left:32956;width:692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MCJcUA&#10;AADbAAAADwAAAGRycy9kb3ducmV2LnhtbESPQWvCQBSE70L/w/IK3nRTLdJGVylCxNZeavTg7Zl9&#10;TUKzb8Puqml/fVcQPA4z8w0zW3SmEWdyvras4GmYgCAurK65VLDLs8ELCB+QNTaWScEveVjMH3oz&#10;TLW98Bedt6EUEcI+RQVVCG0qpS8qMuiHtiWO3rd1BkOUrpTa4SXCTSNHSTKRBmuOCxW2tKyo+Nme&#10;jILs449X+aT43Hen18M+p6PL3jdK9R+7tymIQF24h2/ttVYwfobrl/gD5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owIlxQAAANsAAAAPAAAAAAAAAAAAAAAAAJgCAABkcnMv&#10;ZG93bnJldi54bWxQSwUGAAAAAAQABAD1AAAAigMAAAAA&#10;" fillcolor="white [3201]" strokeweight=".5pt">
                  <v:textbox inset="2mm,1mm,2mm,1mm">
                    <w:txbxContent>
                      <w:p w:rsidR="00E52995" w:rsidRDefault="00E52995">
                        <w:pPr>
                          <w:rPr>
                            <w:sz w:val="18"/>
                            <w:szCs w:val="18"/>
                          </w:rPr>
                        </w:pPr>
                        <w:r>
                          <w:rPr>
                            <w:sz w:val="18"/>
                            <w:szCs w:val="18"/>
                          </w:rPr>
                          <w:t>this reprint</w:t>
                        </w:r>
                      </w:p>
                    </w:txbxContent>
                  </v:textbox>
                </v:shape>
              </v:group>
            </w:pict>
          </mc:Fallback>
        </mc:AlternateContent>
      </w:r>
    </w:p>
    <w:p>
      <w:pPr>
        <w:tabs>
          <w:tab w:val="left" w:pos="567"/>
          <w:tab w:val="left" w:pos="851"/>
        </w:tabs>
        <w:spacing w:before="44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regulations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regulations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sz w:val="20"/>
        </w:rPr>
        <w:tab/>
      </w:r>
      <w:r>
        <w:rPr>
          <w:b/>
          <w:sz w:val="20"/>
        </w:rPr>
        <w:tab/>
      </w:r>
      <w:r>
        <w:rPr>
          <w:b/>
          <w:i/>
          <w:sz w:val="20"/>
        </w:rPr>
        <w:t>Notes amongst text (italicised and within square brackets)</w:t>
      </w:r>
    </w:p>
    <w:p>
      <w:pPr>
        <w:tabs>
          <w:tab w:val="left" w:pos="567"/>
          <w:tab w:val="left" w:pos="851"/>
        </w:tabs>
        <w:ind w:left="851" w:hanging="851"/>
        <w:rPr>
          <w:sz w:val="20"/>
        </w:rPr>
      </w:pPr>
      <w:r>
        <w:rPr>
          <w:sz w:val="20"/>
        </w:rPr>
        <w:tab/>
        <w:t>1.</w:t>
      </w:r>
      <w:r>
        <w:rPr>
          <w:sz w:val="20"/>
        </w:rPr>
        <w:tab/>
        <w:t>If the reprint includes a regulation that was inserted, or has been amended, since the regulations being reprinted were made, editorial notes at the foot of the regulation give some history of how the regulation came to be as it is.  If the regulation replaced an earlier regulation, no history of the earlier regulation is given (the full history of the regulations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23"/>
        </w:numPr>
        <w:tabs>
          <w:tab w:val="clear" w:pos="360"/>
          <w:tab w:val="num" w:pos="1197"/>
        </w:tabs>
        <w:ind w:left="1208" w:hanging="357"/>
        <w:rPr>
          <w:sz w:val="20"/>
        </w:rPr>
      </w:pPr>
      <w:r>
        <w:rPr>
          <w:sz w:val="20"/>
        </w:rPr>
        <w:t>removed (because it was repealed or deleted from the law); or</w:t>
      </w:r>
    </w:p>
    <w:p>
      <w:pPr>
        <w:numPr>
          <w:ilvl w:val="0"/>
          <w:numId w:val="23"/>
        </w:numPr>
        <w:tabs>
          <w:tab w:val="clear" w:pos="360"/>
          <w:tab w:val="num" w:pos="1197"/>
        </w:tabs>
        <w:ind w:left="1208" w:hanging="357"/>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rPr>
          <w:b/>
          <w:i/>
          <w:sz w:val="20"/>
        </w:rPr>
      </w:pPr>
      <w:r>
        <w:rPr>
          <w:b/>
          <w:i/>
          <w:sz w:val="20"/>
        </w:rPr>
        <w:tab/>
      </w:r>
      <w:r>
        <w:rPr>
          <w:b/>
          <w:i/>
          <w:sz w:val="20"/>
        </w:rPr>
        <w:tab/>
        <w:t>Reprint numbering and date</w:t>
      </w:r>
    </w:p>
    <w:p>
      <w:pPr>
        <w:tabs>
          <w:tab w:val="left" w:pos="567"/>
          <w:tab w:val="left" w:pos="851"/>
        </w:tabs>
        <w:ind w:left="851" w:hanging="851"/>
        <w:rPr>
          <w:spacing w:val="-3"/>
          <w:sz w:val="20"/>
        </w:rPr>
      </w:pPr>
      <w:r>
        <w:rPr>
          <w:spacing w:val="-3"/>
          <w:sz w:val="20"/>
        </w:rPr>
        <w:tab/>
        <w:t>1.</w:t>
      </w:r>
      <w:r>
        <w:rPr>
          <w:spacing w:val="-3"/>
          <w:sz w:val="20"/>
        </w:rPr>
        <w:tab/>
        <w:t>The reprint number (in the footer of each page of the document) shows how many times the regulations have been reprinted.  For example, numbering a reprint as “Reprint 3” would mean that the reprint was the 3</w:t>
      </w:r>
      <w:r>
        <w:rPr>
          <w:spacing w:val="-3"/>
          <w:sz w:val="20"/>
          <w:vertAlign w:val="superscript"/>
        </w:rPr>
        <w:t>rd</w:t>
      </w:r>
      <w:r>
        <w:rPr>
          <w:spacing w:val="-3"/>
          <w:sz w:val="20"/>
        </w:rPr>
        <w:t xml:space="preserve"> reprint since the regulations were published.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regulations are reprinted.  That date is not the date when the reprint was published by the State Law Publisher and it is probably not the date when the most recent amendment had effect.</w:t>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8 January 2016</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Water Services (Water Corporations Charges)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_Toc434929698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_Toc434929699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_Toc434929700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 provisions</w:t>
      </w:r>
    </w:p>
    <w:p>
      <w:pPr>
        <w:pStyle w:val="TOC8"/>
        <w:rPr>
          <w:rFonts w:asciiTheme="minorHAnsi" w:eastAsiaTheme="minorEastAsia" w:hAnsiTheme="minorHAnsi" w:cstheme="minorBidi"/>
          <w:szCs w:val="22"/>
        </w:rPr>
      </w:pPr>
      <w:r>
        <w:t>4.</w:t>
      </w:r>
      <w:r>
        <w:tab/>
        <w:t>Annual charges and pro rata annual charges</w:t>
      </w:r>
      <w:r>
        <w:tab/>
      </w:r>
      <w:r>
        <w:fldChar w:fldCharType="begin"/>
      </w:r>
      <w:r>
        <w:instrText xml:space="preserve"> PAGEREF _Toc434929702 \h </w:instrText>
      </w:r>
      <w:r>
        <w:fldChar w:fldCharType="separate"/>
      </w:r>
      <w:r>
        <w:t>3</w:t>
      </w:r>
      <w:r>
        <w:fldChar w:fldCharType="end"/>
      </w:r>
    </w:p>
    <w:p>
      <w:pPr>
        <w:pStyle w:val="TOC8"/>
        <w:rPr>
          <w:rFonts w:asciiTheme="minorHAnsi" w:eastAsiaTheme="minorEastAsia" w:hAnsiTheme="minorHAnsi" w:cstheme="minorBidi"/>
          <w:szCs w:val="22"/>
        </w:rPr>
      </w:pPr>
      <w:r>
        <w:t>5.</w:t>
      </w:r>
      <w:r>
        <w:tab/>
        <w:t>Amendment of consumption or discharge charges during charge period</w:t>
      </w:r>
      <w:r>
        <w:tab/>
      </w:r>
      <w:r>
        <w:fldChar w:fldCharType="begin"/>
      </w:r>
      <w:r>
        <w:instrText xml:space="preserve"> PAGEREF _Toc434929703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Charges for Bunbury Water Corporation</w:t>
      </w:r>
    </w:p>
    <w:p>
      <w:pPr>
        <w:pStyle w:val="TOC8"/>
        <w:rPr>
          <w:rFonts w:asciiTheme="minorHAnsi" w:eastAsiaTheme="minorEastAsia" w:hAnsiTheme="minorHAnsi" w:cstheme="minorBidi"/>
          <w:szCs w:val="22"/>
        </w:rPr>
      </w:pPr>
      <w:r>
        <w:t>6.</w:t>
      </w:r>
      <w:r>
        <w:tab/>
        <w:t>Terms used</w:t>
      </w:r>
      <w:r>
        <w:tab/>
      </w:r>
      <w:r>
        <w:fldChar w:fldCharType="begin"/>
      </w:r>
      <w:r>
        <w:instrText xml:space="preserve"> PAGEREF _Toc434929705 \h </w:instrText>
      </w:r>
      <w:r>
        <w:fldChar w:fldCharType="separate"/>
      </w:r>
      <w:r>
        <w:t>4</w:t>
      </w:r>
      <w:r>
        <w:fldChar w:fldCharType="end"/>
      </w:r>
    </w:p>
    <w:p>
      <w:pPr>
        <w:pStyle w:val="TOC8"/>
        <w:rPr>
          <w:rFonts w:asciiTheme="minorHAnsi" w:eastAsiaTheme="minorEastAsia" w:hAnsiTheme="minorHAnsi" w:cstheme="minorBidi"/>
          <w:szCs w:val="22"/>
        </w:rPr>
      </w:pPr>
      <w:r>
        <w:t>7.</w:t>
      </w:r>
      <w:r>
        <w:tab/>
        <w:t>Water supply charges</w:t>
      </w:r>
      <w:r>
        <w:tab/>
      </w:r>
      <w:r>
        <w:fldChar w:fldCharType="begin"/>
      </w:r>
      <w:r>
        <w:instrText xml:space="preserve"> PAGEREF _Toc434929706 \h </w:instrText>
      </w:r>
      <w:r>
        <w:fldChar w:fldCharType="separate"/>
      </w:r>
      <w:r>
        <w:t>4</w:t>
      </w:r>
      <w:r>
        <w:fldChar w:fldCharType="end"/>
      </w:r>
    </w:p>
    <w:p>
      <w:pPr>
        <w:pStyle w:val="TOC8"/>
        <w:rPr>
          <w:rFonts w:asciiTheme="minorHAnsi" w:eastAsiaTheme="minorEastAsia" w:hAnsiTheme="minorHAnsi" w:cstheme="minorBidi"/>
          <w:szCs w:val="22"/>
        </w:rPr>
      </w:pPr>
      <w:r>
        <w:t>8.</w:t>
      </w:r>
      <w:r>
        <w:tab/>
        <w:t>Miscellaneous charges</w:t>
      </w:r>
      <w:r>
        <w:tab/>
      </w:r>
      <w:r>
        <w:fldChar w:fldCharType="begin"/>
      </w:r>
      <w:r>
        <w:instrText xml:space="preserve"> PAGEREF _Toc434929707 \h </w:instrText>
      </w:r>
      <w:r>
        <w:fldChar w:fldCharType="separate"/>
      </w:r>
      <w:r>
        <w:t>4</w:t>
      </w:r>
      <w:r>
        <w:fldChar w:fldCharType="end"/>
      </w:r>
    </w:p>
    <w:p>
      <w:pPr>
        <w:pStyle w:val="TOC8"/>
        <w:rPr>
          <w:rFonts w:asciiTheme="minorHAnsi" w:eastAsiaTheme="minorEastAsia" w:hAnsiTheme="minorHAnsi" w:cstheme="minorBidi"/>
          <w:szCs w:val="22"/>
        </w:rPr>
      </w:pPr>
      <w:r>
        <w:t>9.</w:t>
      </w:r>
      <w:r>
        <w:tab/>
        <w:t>Concessions</w:t>
      </w:r>
      <w:r>
        <w:tab/>
      </w:r>
      <w:r>
        <w:fldChar w:fldCharType="begin"/>
      </w:r>
      <w:r>
        <w:instrText xml:space="preserve"> PAGEREF _Toc434929708 \h </w:instrText>
      </w:r>
      <w:r>
        <w:fldChar w:fldCharType="separate"/>
      </w:r>
      <w:r>
        <w:t>5</w:t>
      </w:r>
      <w:r>
        <w:fldChar w:fldCharType="end"/>
      </w:r>
    </w:p>
    <w:p>
      <w:pPr>
        <w:pStyle w:val="TOC8"/>
        <w:rPr>
          <w:rFonts w:asciiTheme="minorHAnsi" w:eastAsiaTheme="minorEastAsia" w:hAnsiTheme="minorHAnsi" w:cstheme="minorBidi"/>
          <w:szCs w:val="22"/>
        </w:rPr>
      </w:pPr>
      <w:r>
        <w:t>10.</w:t>
      </w:r>
      <w:r>
        <w:tab/>
        <w:t>Interest accruing on overdue amounts</w:t>
      </w:r>
      <w:r>
        <w:tab/>
      </w:r>
      <w:r>
        <w:fldChar w:fldCharType="begin"/>
      </w:r>
      <w:r>
        <w:instrText xml:space="preserve"> PAGEREF _Toc434929709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4 — Charges for Busselton Water Corporation</w:t>
      </w:r>
    </w:p>
    <w:p>
      <w:pPr>
        <w:pStyle w:val="TOC8"/>
        <w:rPr>
          <w:rFonts w:asciiTheme="minorHAnsi" w:eastAsiaTheme="minorEastAsia" w:hAnsiTheme="minorHAnsi" w:cstheme="minorBidi"/>
          <w:szCs w:val="22"/>
        </w:rPr>
      </w:pPr>
      <w:r>
        <w:t>11.</w:t>
      </w:r>
      <w:r>
        <w:tab/>
        <w:t>Terms used</w:t>
      </w:r>
      <w:r>
        <w:tab/>
      </w:r>
      <w:r>
        <w:fldChar w:fldCharType="begin"/>
      </w:r>
      <w:r>
        <w:instrText xml:space="preserve"> PAGEREF _Toc434929711 \h </w:instrText>
      </w:r>
      <w:r>
        <w:fldChar w:fldCharType="separate"/>
      </w:r>
      <w:r>
        <w:t>7</w:t>
      </w:r>
      <w:r>
        <w:fldChar w:fldCharType="end"/>
      </w:r>
    </w:p>
    <w:p>
      <w:pPr>
        <w:pStyle w:val="TOC8"/>
        <w:rPr>
          <w:rFonts w:asciiTheme="minorHAnsi" w:eastAsiaTheme="minorEastAsia" w:hAnsiTheme="minorHAnsi" w:cstheme="minorBidi"/>
          <w:szCs w:val="22"/>
        </w:rPr>
      </w:pPr>
      <w:r>
        <w:t>12.</w:t>
      </w:r>
      <w:r>
        <w:tab/>
        <w:t>Water supply charges</w:t>
      </w:r>
      <w:r>
        <w:tab/>
      </w:r>
      <w:r>
        <w:fldChar w:fldCharType="begin"/>
      </w:r>
      <w:r>
        <w:instrText xml:space="preserve"> PAGEREF _Toc434929712 \h </w:instrText>
      </w:r>
      <w:r>
        <w:fldChar w:fldCharType="separate"/>
      </w:r>
      <w:r>
        <w:t>7</w:t>
      </w:r>
      <w:r>
        <w:fldChar w:fldCharType="end"/>
      </w:r>
    </w:p>
    <w:p>
      <w:pPr>
        <w:pStyle w:val="TOC8"/>
        <w:rPr>
          <w:rFonts w:asciiTheme="minorHAnsi" w:eastAsiaTheme="minorEastAsia" w:hAnsiTheme="minorHAnsi" w:cstheme="minorBidi"/>
          <w:szCs w:val="22"/>
        </w:rPr>
      </w:pPr>
      <w:r>
        <w:t>14.</w:t>
      </w:r>
      <w:r>
        <w:tab/>
        <w:t>Concessions</w:t>
      </w:r>
      <w:r>
        <w:tab/>
      </w:r>
      <w:r>
        <w:fldChar w:fldCharType="begin"/>
      </w:r>
      <w:r>
        <w:instrText xml:space="preserve"> PAGEREF _Toc434929713 \h </w:instrText>
      </w:r>
      <w:r>
        <w:fldChar w:fldCharType="separate"/>
      </w:r>
      <w:r>
        <w:t>8</w:t>
      </w:r>
      <w:r>
        <w:fldChar w:fldCharType="end"/>
      </w:r>
    </w:p>
    <w:p>
      <w:pPr>
        <w:pStyle w:val="TOC8"/>
        <w:rPr>
          <w:rFonts w:asciiTheme="minorHAnsi" w:eastAsiaTheme="minorEastAsia" w:hAnsiTheme="minorHAnsi" w:cstheme="minorBidi"/>
          <w:szCs w:val="22"/>
        </w:rPr>
      </w:pPr>
      <w:r>
        <w:t>15A.</w:t>
      </w:r>
      <w:r>
        <w:tab/>
        <w:t>Charge for payment using credit card</w:t>
      </w:r>
      <w:r>
        <w:tab/>
      </w:r>
      <w:r>
        <w:fldChar w:fldCharType="begin"/>
      </w:r>
      <w:r>
        <w:instrText xml:space="preserve"> PAGEREF _Toc434929714 \h </w:instrText>
      </w:r>
      <w:r>
        <w:fldChar w:fldCharType="separate"/>
      </w:r>
      <w:r>
        <w:t>9</w:t>
      </w:r>
      <w:r>
        <w:fldChar w:fldCharType="end"/>
      </w:r>
    </w:p>
    <w:p>
      <w:pPr>
        <w:pStyle w:val="TOC8"/>
        <w:rPr>
          <w:rFonts w:asciiTheme="minorHAnsi" w:eastAsiaTheme="minorEastAsia" w:hAnsiTheme="minorHAnsi" w:cstheme="minorBidi"/>
          <w:szCs w:val="22"/>
        </w:rPr>
      </w:pPr>
      <w:r>
        <w:t>15.</w:t>
      </w:r>
      <w:r>
        <w:tab/>
        <w:t>Interest accruing on overdue amounts</w:t>
      </w:r>
      <w:r>
        <w:tab/>
      </w:r>
      <w:r>
        <w:fldChar w:fldCharType="begin"/>
      </w:r>
      <w:r>
        <w:instrText xml:space="preserve"> PAGEREF _Toc434929715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5 — Charges for the Water Corporation</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_Toc434929718 \h </w:instrText>
      </w:r>
      <w:r>
        <w:fldChar w:fldCharType="separate"/>
      </w:r>
      <w:r>
        <w:t>10</w:t>
      </w:r>
      <w:r>
        <w:fldChar w:fldCharType="end"/>
      </w:r>
    </w:p>
    <w:p>
      <w:pPr>
        <w:pStyle w:val="TOC8"/>
        <w:rPr>
          <w:rFonts w:asciiTheme="minorHAnsi" w:eastAsiaTheme="minorEastAsia" w:hAnsiTheme="minorHAnsi" w:cstheme="minorBidi"/>
          <w:szCs w:val="22"/>
        </w:rPr>
      </w:pPr>
      <w:r>
        <w:t>17.</w:t>
      </w:r>
      <w:r>
        <w:tab/>
        <w:t>Concessional land</w:t>
      </w:r>
      <w:r>
        <w:tab/>
      </w:r>
      <w:r>
        <w:fldChar w:fldCharType="begin"/>
      </w:r>
      <w:r>
        <w:instrText xml:space="preserve"> PAGEREF _Toc434929719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Provisions of general application</w:t>
      </w:r>
    </w:p>
    <w:p>
      <w:pPr>
        <w:pStyle w:val="TOC8"/>
        <w:rPr>
          <w:rFonts w:asciiTheme="minorHAnsi" w:eastAsiaTheme="minorEastAsia" w:hAnsiTheme="minorHAnsi" w:cstheme="minorBidi"/>
          <w:szCs w:val="22"/>
        </w:rPr>
      </w:pPr>
      <w:r>
        <w:t>18.</w:t>
      </w:r>
      <w:r>
        <w:tab/>
        <w:t>Application of this Division</w:t>
      </w:r>
      <w:r>
        <w:tab/>
      </w:r>
      <w:r>
        <w:fldChar w:fldCharType="begin"/>
      </w:r>
      <w:r>
        <w:instrText xml:space="preserve"> PAGEREF _Toc434929721 \h </w:instrText>
      </w:r>
      <w:r>
        <w:fldChar w:fldCharType="separate"/>
      </w:r>
      <w:r>
        <w:t>18</w:t>
      </w:r>
      <w:r>
        <w:fldChar w:fldCharType="end"/>
      </w:r>
    </w:p>
    <w:p>
      <w:pPr>
        <w:pStyle w:val="TOC8"/>
        <w:rPr>
          <w:rFonts w:asciiTheme="minorHAnsi" w:eastAsiaTheme="minorEastAsia" w:hAnsiTheme="minorHAnsi" w:cstheme="minorBidi"/>
          <w:szCs w:val="22"/>
        </w:rPr>
      </w:pPr>
      <w:r>
        <w:t>19.</w:t>
      </w:r>
      <w:r>
        <w:tab/>
        <w:t>Payment of charges</w:t>
      </w:r>
      <w:r>
        <w:tab/>
      </w:r>
      <w:r>
        <w:fldChar w:fldCharType="begin"/>
      </w:r>
      <w:r>
        <w:instrText xml:space="preserve"> PAGEREF _Toc434929722 \h </w:instrText>
      </w:r>
      <w:r>
        <w:fldChar w:fldCharType="separate"/>
      </w:r>
      <w:r>
        <w:t>18</w:t>
      </w:r>
      <w:r>
        <w:fldChar w:fldCharType="end"/>
      </w:r>
    </w:p>
    <w:p>
      <w:pPr>
        <w:pStyle w:val="TOC8"/>
        <w:rPr>
          <w:rFonts w:asciiTheme="minorHAnsi" w:eastAsiaTheme="minorEastAsia" w:hAnsiTheme="minorHAnsi" w:cstheme="minorBidi"/>
          <w:szCs w:val="22"/>
        </w:rPr>
      </w:pPr>
      <w:r>
        <w:t>20.</w:t>
      </w:r>
      <w:r>
        <w:tab/>
        <w:t>Charge for payment using credit card</w:t>
      </w:r>
      <w:r>
        <w:tab/>
      </w:r>
      <w:r>
        <w:fldChar w:fldCharType="begin"/>
      </w:r>
      <w:r>
        <w:instrText xml:space="preserve"> PAGEREF _Toc434929723 \h </w:instrText>
      </w:r>
      <w:r>
        <w:fldChar w:fldCharType="separate"/>
      </w:r>
      <w:r>
        <w:t>19</w:t>
      </w:r>
      <w:r>
        <w:fldChar w:fldCharType="end"/>
      </w:r>
    </w:p>
    <w:p>
      <w:pPr>
        <w:pStyle w:val="TOC8"/>
        <w:rPr>
          <w:rFonts w:asciiTheme="minorHAnsi" w:eastAsiaTheme="minorEastAsia" w:hAnsiTheme="minorHAnsi" w:cstheme="minorBidi"/>
          <w:szCs w:val="22"/>
        </w:rPr>
      </w:pPr>
      <w:r>
        <w:t>21.</w:t>
      </w:r>
      <w:r>
        <w:tab/>
        <w:t>Special payment arrangements</w:t>
      </w:r>
      <w:r>
        <w:tab/>
      </w:r>
      <w:r>
        <w:fldChar w:fldCharType="begin"/>
      </w:r>
      <w:r>
        <w:instrText xml:space="preserve"> PAGEREF _Toc434929724 \h </w:instrText>
      </w:r>
      <w:r>
        <w:fldChar w:fldCharType="separate"/>
      </w:r>
      <w:r>
        <w:t>19</w:t>
      </w:r>
      <w:r>
        <w:fldChar w:fldCharType="end"/>
      </w:r>
    </w:p>
    <w:p>
      <w:pPr>
        <w:pStyle w:val="TOC8"/>
        <w:rPr>
          <w:rFonts w:asciiTheme="minorHAnsi" w:eastAsiaTheme="minorEastAsia" w:hAnsiTheme="minorHAnsi" w:cstheme="minorBidi"/>
          <w:szCs w:val="22"/>
        </w:rPr>
      </w:pPr>
      <w:r>
        <w:t>22.</w:t>
      </w:r>
      <w:r>
        <w:tab/>
        <w:t>Estimating quantity of water or wastewater supplied, discharged or drained</w:t>
      </w:r>
      <w:r>
        <w:tab/>
      </w:r>
      <w:r>
        <w:fldChar w:fldCharType="begin"/>
      </w:r>
      <w:r>
        <w:instrText xml:space="preserve"> PAGEREF _Toc434929725 \h </w:instrText>
      </w:r>
      <w:r>
        <w:fldChar w:fldCharType="separate"/>
      </w:r>
      <w:r>
        <w:t>20</w:t>
      </w:r>
      <w:r>
        <w:fldChar w:fldCharType="end"/>
      </w:r>
    </w:p>
    <w:p>
      <w:pPr>
        <w:pStyle w:val="TOC8"/>
        <w:rPr>
          <w:rFonts w:asciiTheme="minorHAnsi" w:eastAsiaTheme="minorEastAsia" w:hAnsiTheme="minorHAnsi" w:cstheme="minorBidi"/>
          <w:szCs w:val="22"/>
        </w:rPr>
      </w:pPr>
      <w:r>
        <w:t>23.</w:t>
      </w:r>
      <w:r>
        <w:tab/>
        <w:t>Determining quality and quantity of trade waste discharged</w:t>
      </w:r>
      <w:r>
        <w:tab/>
      </w:r>
      <w:r>
        <w:fldChar w:fldCharType="begin"/>
      </w:r>
      <w:r>
        <w:instrText xml:space="preserve"> PAGEREF _Toc434929726 \h </w:instrText>
      </w:r>
      <w:r>
        <w:fldChar w:fldCharType="separate"/>
      </w:r>
      <w:r>
        <w:t>21</w:t>
      </w:r>
      <w:r>
        <w:fldChar w:fldCharType="end"/>
      </w:r>
    </w:p>
    <w:p>
      <w:pPr>
        <w:pStyle w:val="TOC8"/>
        <w:rPr>
          <w:rFonts w:asciiTheme="minorHAnsi" w:eastAsiaTheme="minorEastAsia" w:hAnsiTheme="minorHAnsi" w:cstheme="minorBidi"/>
          <w:szCs w:val="22"/>
        </w:rPr>
      </w:pPr>
      <w:r>
        <w:t>24.</w:t>
      </w:r>
      <w:r>
        <w:tab/>
        <w:t>Vacant land: minimum charges before revaluation</w:t>
      </w:r>
      <w:r>
        <w:tab/>
      </w:r>
      <w:r>
        <w:fldChar w:fldCharType="begin"/>
      </w:r>
      <w:r>
        <w:instrText xml:space="preserve"> PAGEREF _Toc434929727 \h </w:instrText>
      </w:r>
      <w:r>
        <w:fldChar w:fldCharType="separate"/>
      </w:r>
      <w:r>
        <w:t>23</w:t>
      </w:r>
      <w:r>
        <w:fldChar w:fldCharType="end"/>
      </w:r>
    </w:p>
    <w:p>
      <w:pPr>
        <w:pStyle w:val="TOC8"/>
        <w:rPr>
          <w:rFonts w:asciiTheme="minorHAnsi" w:eastAsiaTheme="minorEastAsia" w:hAnsiTheme="minorHAnsi" w:cstheme="minorBidi"/>
          <w:szCs w:val="22"/>
        </w:rPr>
      </w:pPr>
      <w:r>
        <w:t>25.</w:t>
      </w:r>
      <w:r>
        <w:tab/>
        <w:t>Classification of land</w:t>
      </w:r>
      <w:r>
        <w:tab/>
      </w:r>
      <w:r>
        <w:fldChar w:fldCharType="begin"/>
      </w:r>
      <w:r>
        <w:instrText xml:space="preserve"> PAGEREF _Toc434929728 \h </w:instrText>
      </w:r>
      <w:r>
        <w:fldChar w:fldCharType="separate"/>
      </w:r>
      <w:r>
        <w:t>23</w:t>
      </w:r>
      <w:r>
        <w:fldChar w:fldCharType="end"/>
      </w:r>
    </w:p>
    <w:p>
      <w:pPr>
        <w:pStyle w:val="TOC8"/>
        <w:rPr>
          <w:rFonts w:asciiTheme="minorHAnsi" w:eastAsiaTheme="minorEastAsia" w:hAnsiTheme="minorHAnsi" w:cstheme="minorBidi"/>
          <w:szCs w:val="22"/>
        </w:rPr>
      </w:pPr>
      <w:r>
        <w:t>26.</w:t>
      </w:r>
      <w:r>
        <w:tab/>
        <w:t>Classification of land: holiday accommodation</w:t>
      </w:r>
      <w:r>
        <w:tab/>
      </w:r>
      <w:r>
        <w:fldChar w:fldCharType="begin"/>
      </w:r>
      <w:r>
        <w:instrText xml:space="preserve"> PAGEREF _Toc434929729 \h </w:instrText>
      </w:r>
      <w:r>
        <w:fldChar w:fldCharType="separate"/>
      </w:r>
      <w:r>
        <w:t>24</w:t>
      </w:r>
      <w:r>
        <w:fldChar w:fldCharType="end"/>
      </w:r>
    </w:p>
    <w:p>
      <w:pPr>
        <w:pStyle w:val="TOC8"/>
        <w:rPr>
          <w:rFonts w:asciiTheme="minorHAnsi" w:eastAsiaTheme="minorEastAsia" w:hAnsiTheme="minorHAnsi" w:cstheme="minorBidi"/>
          <w:szCs w:val="22"/>
        </w:rPr>
      </w:pPr>
      <w:r>
        <w:t>27.</w:t>
      </w:r>
      <w:r>
        <w:tab/>
        <w:t>Commercial caravan parks</w:t>
      </w:r>
      <w:r>
        <w:tab/>
      </w:r>
      <w:r>
        <w:fldChar w:fldCharType="begin"/>
      </w:r>
      <w:r>
        <w:instrText xml:space="preserve"> PAGEREF _Toc434929730 \h </w:instrText>
      </w:r>
      <w:r>
        <w:fldChar w:fldCharType="separate"/>
      </w:r>
      <w:r>
        <w:t>24</w:t>
      </w:r>
      <w:r>
        <w:fldChar w:fldCharType="end"/>
      </w:r>
    </w:p>
    <w:p>
      <w:pPr>
        <w:pStyle w:val="TOC8"/>
        <w:rPr>
          <w:rFonts w:asciiTheme="minorHAnsi" w:eastAsiaTheme="minorEastAsia" w:hAnsiTheme="minorHAnsi" w:cstheme="minorBidi"/>
          <w:szCs w:val="22"/>
        </w:rPr>
      </w:pPr>
      <w:r>
        <w:t>28.</w:t>
      </w:r>
      <w:r>
        <w:tab/>
        <w:t>Maximum increases for various GRV based charges</w:t>
      </w:r>
      <w:r>
        <w:tab/>
      </w:r>
      <w:r>
        <w:fldChar w:fldCharType="begin"/>
      </w:r>
      <w:r>
        <w:instrText xml:space="preserve"> PAGEREF _Toc434929731 \h </w:instrText>
      </w:r>
      <w:r>
        <w:fldChar w:fldCharType="separate"/>
      </w:r>
      <w:r>
        <w:t>25</w:t>
      </w:r>
      <w:r>
        <w:fldChar w:fldCharType="end"/>
      </w:r>
    </w:p>
    <w:p>
      <w:pPr>
        <w:pStyle w:val="TOC8"/>
        <w:rPr>
          <w:rFonts w:asciiTheme="minorHAnsi" w:eastAsiaTheme="minorEastAsia" w:hAnsiTheme="minorHAnsi" w:cstheme="minorBidi"/>
          <w:szCs w:val="22"/>
        </w:rPr>
      </w:pPr>
      <w:r>
        <w:t>29.</w:t>
      </w:r>
      <w:r>
        <w:tab/>
        <w:t>Interest accruing on overdue amounts</w:t>
      </w:r>
      <w:r>
        <w:tab/>
      </w:r>
      <w:r>
        <w:fldChar w:fldCharType="begin"/>
      </w:r>
      <w:r>
        <w:instrText xml:space="preserve"> PAGEREF _Toc434929732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Water supply charges</w:t>
      </w:r>
    </w:p>
    <w:p>
      <w:pPr>
        <w:pStyle w:val="TOC8"/>
        <w:rPr>
          <w:rFonts w:asciiTheme="minorHAnsi" w:eastAsiaTheme="minorEastAsia" w:hAnsiTheme="minorHAnsi" w:cstheme="minorBidi"/>
          <w:szCs w:val="22"/>
        </w:rPr>
      </w:pPr>
      <w:r>
        <w:t>30.</w:t>
      </w:r>
      <w:r>
        <w:tab/>
        <w:t>Land connected to water supply works</w:t>
      </w:r>
      <w:r>
        <w:tab/>
      </w:r>
      <w:r>
        <w:fldChar w:fldCharType="begin"/>
      </w:r>
      <w:r>
        <w:instrText xml:space="preserve"> PAGEREF _Toc434929734 \h </w:instrText>
      </w:r>
      <w:r>
        <w:fldChar w:fldCharType="separate"/>
      </w:r>
      <w:r>
        <w:t>27</w:t>
      </w:r>
      <w:r>
        <w:fldChar w:fldCharType="end"/>
      </w:r>
    </w:p>
    <w:p>
      <w:pPr>
        <w:pStyle w:val="TOC8"/>
        <w:rPr>
          <w:rFonts w:asciiTheme="minorHAnsi" w:eastAsiaTheme="minorEastAsia" w:hAnsiTheme="minorHAnsi" w:cstheme="minorBidi"/>
          <w:szCs w:val="22"/>
        </w:rPr>
      </w:pPr>
      <w:r>
        <w:t>31.</w:t>
      </w:r>
      <w:r>
        <w:tab/>
        <w:t>Water supply charges</w:t>
      </w:r>
      <w:r>
        <w:tab/>
      </w:r>
      <w:r>
        <w:fldChar w:fldCharType="begin"/>
      </w:r>
      <w:r>
        <w:instrText xml:space="preserve"> PAGEREF _Toc434929735 \h </w:instrText>
      </w:r>
      <w:r>
        <w:fldChar w:fldCharType="separate"/>
      </w:r>
      <w:r>
        <w:t>27</w:t>
      </w:r>
      <w:r>
        <w:fldChar w:fldCharType="end"/>
      </w:r>
    </w:p>
    <w:p>
      <w:pPr>
        <w:pStyle w:val="TOC8"/>
        <w:rPr>
          <w:rFonts w:asciiTheme="minorHAnsi" w:eastAsiaTheme="minorEastAsia" w:hAnsiTheme="minorHAnsi" w:cstheme="minorBidi"/>
          <w:szCs w:val="22"/>
        </w:rPr>
      </w:pPr>
      <w:r>
        <w:t>32.</w:t>
      </w:r>
      <w:r>
        <w:tab/>
        <w:t>Classification of land</w:t>
      </w:r>
      <w:r>
        <w:tab/>
      </w:r>
      <w:r>
        <w:fldChar w:fldCharType="begin"/>
      </w:r>
      <w:r>
        <w:instrText xml:space="preserve"> PAGEREF _Toc434929736 \h </w:instrText>
      </w:r>
      <w:r>
        <w:fldChar w:fldCharType="separate"/>
      </w:r>
      <w:r>
        <w:t>28</w:t>
      </w:r>
      <w:r>
        <w:fldChar w:fldCharType="end"/>
      </w:r>
    </w:p>
    <w:p>
      <w:pPr>
        <w:pStyle w:val="TOC8"/>
        <w:rPr>
          <w:rFonts w:asciiTheme="minorHAnsi" w:eastAsiaTheme="minorEastAsia" w:hAnsiTheme="minorHAnsi" w:cstheme="minorBidi"/>
          <w:szCs w:val="22"/>
        </w:rPr>
      </w:pPr>
      <w:r>
        <w:t>33.</w:t>
      </w:r>
      <w:r>
        <w:tab/>
        <w:t>Change of occupancy during year</w:t>
      </w:r>
      <w:r>
        <w:tab/>
      </w:r>
      <w:r>
        <w:fldChar w:fldCharType="begin"/>
      </w:r>
      <w:r>
        <w:instrText xml:space="preserve"> PAGEREF _Toc434929737 \h </w:instrText>
      </w:r>
      <w:r>
        <w:fldChar w:fldCharType="separate"/>
      </w:r>
      <w:r>
        <w:t>31</w:t>
      </w:r>
      <w:r>
        <w:fldChar w:fldCharType="end"/>
      </w:r>
    </w:p>
    <w:p>
      <w:pPr>
        <w:pStyle w:val="TOC8"/>
        <w:rPr>
          <w:rFonts w:asciiTheme="minorHAnsi" w:eastAsiaTheme="minorEastAsia" w:hAnsiTheme="minorHAnsi" w:cstheme="minorBidi"/>
          <w:szCs w:val="22"/>
        </w:rPr>
      </w:pPr>
      <w:r>
        <w:t>34.</w:t>
      </w:r>
      <w:r>
        <w:tab/>
        <w:t>Concessions: consumption charges</w:t>
      </w:r>
      <w:r>
        <w:tab/>
      </w:r>
      <w:r>
        <w:fldChar w:fldCharType="begin"/>
      </w:r>
      <w:r>
        <w:instrText xml:space="preserve"> PAGEREF _Toc434929738 \h </w:instrText>
      </w:r>
      <w:r>
        <w:fldChar w:fldCharType="separate"/>
      </w:r>
      <w:r>
        <w:t>32</w:t>
      </w:r>
      <w:r>
        <w:fldChar w:fldCharType="end"/>
      </w:r>
    </w:p>
    <w:p>
      <w:pPr>
        <w:pStyle w:val="TOC8"/>
        <w:rPr>
          <w:rFonts w:asciiTheme="minorHAnsi" w:eastAsiaTheme="minorEastAsia" w:hAnsiTheme="minorHAnsi" w:cstheme="minorBidi"/>
          <w:szCs w:val="22"/>
        </w:rPr>
      </w:pPr>
      <w:r>
        <w:t>35.</w:t>
      </w:r>
      <w:r>
        <w:tab/>
        <w:t>Concessions: certain occupiers of multi</w:t>
      </w:r>
      <w:r>
        <w:noBreakHyphen/>
        <w:t>unit developments</w:t>
      </w:r>
      <w:r>
        <w:tab/>
      </w:r>
      <w:r>
        <w:fldChar w:fldCharType="begin"/>
      </w:r>
      <w:r>
        <w:instrText xml:space="preserve"> PAGEREF _Toc434929739 \h </w:instrText>
      </w:r>
      <w:r>
        <w:fldChar w:fldCharType="separate"/>
      </w:r>
      <w:r>
        <w:t>33</w:t>
      </w:r>
      <w:r>
        <w:fldChar w:fldCharType="end"/>
      </w:r>
    </w:p>
    <w:p>
      <w:pPr>
        <w:pStyle w:val="TOC8"/>
        <w:rPr>
          <w:rFonts w:asciiTheme="minorHAnsi" w:eastAsiaTheme="minorEastAsia" w:hAnsiTheme="minorHAnsi" w:cstheme="minorBidi"/>
          <w:szCs w:val="22"/>
        </w:rPr>
      </w:pPr>
      <w:r>
        <w:t>36.</w:t>
      </w:r>
      <w:r>
        <w:tab/>
        <w:t>Concessions: certain retirement village residents</w:t>
      </w:r>
      <w:r>
        <w:tab/>
      </w:r>
      <w:r>
        <w:fldChar w:fldCharType="begin"/>
      </w:r>
      <w:r>
        <w:instrText xml:space="preserve"> PAGEREF _Toc434929740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4 — Sewerage charges</w:t>
      </w:r>
    </w:p>
    <w:p>
      <w:pPr>
        <w:pStyle w:val="TOC8"/>
        <w:rPr>
          <w:rFonts w:asciiTheme="minorHAnsi" w:eastAsiaTheme="minorEastAsia" w:hAnsiTheme="minorHAnsi" w:cstheme="minorBidi"/>
          <w:szCs w:val="22"/>
        </w:rPr>
      </w:pPr>
      <w:r>
        <w:t>37.</w:t>
      </w:r>
      <w:r>
        <w:tab/>
        <w:t>Land connected to sewerage works</w:t>
      </w:r>
      <w:r>
        <w:tab/>
      </w:r>
      <w:r>
        <w:fldChar w:fldCharType="begin"/>
      </w:r>
      <w:r>
        <w:instrText xml:space="preserve"> PAGEREF _Toc434929742 \h </w:instrText>
      </w:r>
      <w:r>
        <w:fldChar w:fldCharType="separate"/>
      </w:r>
      <w:r>
        <w:t>36</w:t>
      </w:r>
      <w:r>
        <w:fldChar w:fldCharType="end"/>
      </w:r>
    </w:p>
    <w:p>
      <w:pPr>
        <w:pStyle w:val="TOC8"/>
        <w:rPr>
          <w:rFonts w:asciiTheme="minorHAnsi" w:eastAsiaTheme="minorEastAsia" w:hAnsiTheme="minorHAnsi" w:cstheme="minorBidi"/>
          <w:szCs w:val="22"/>
        </w:rPr>
      </w:pPr>
      <w:r>
        <w:t>38.</w:t>
      </w:r>
      <w:r>
        <w:tab/>
        <w:t>Sewerage areas</w:t>
      </w:r>
      <w:r>
        <w:tab/>
      </w:r>
      <w:r>
        <w:fldChar w:fldCharType="begin"/>
      </w:r>
      <w:r>
        <w:instrText xml:space="preserve"> PAGEREF _Toc434929743 \h </w:instrText>
      </w:r>
      <w:r>
        <w:fldChar w:fldCharType="separate"/>
      </w:r>
      <w:r>
        <w:t>36</w:t>
      </w:r>
      <w:r>
        <w:fldChar w:fldCharType="end"/>
      </w:r>
    </w:p>
    <w:p>
      <w:pPr>
        <w:pStyle w:val="TOC8"/>
        <w:rPr>
          <w:rFonts w:asciiTheme="minorHAnsi" w:eastAsiaTheme="minorEastAsia" w:hAnsiTheme="minorHAnsi" w:cstheme="minorBidi"/>
          <w:szCs w:val="22"/>
        </w:rPr>
      </w:pPr>
      <w:r>
        <w:t>39.</w:t>
      </w:r>
      <w:r>
        <w:tab/>
        <w:t>Sewerage charges</w:t>
      </w:r>
      <w:r>
        <w:tab/>
      </w:r>
      <w:r>
        <w:fldChar w:fldCharType="begin"/>
      </w:r>
      <w:r>
        <w:instrText xml:space="preserve"> PAGEREF _Toc434929744 \h </w:instrText>
      </w:r>
      <w:r>
        <w:fldChar w:fldCharType="separate"/>
      </w:r>
      <w:r>
        <w:t>37</w:t>
      </w:r>
      <w:r>
        <w:fldChar w:fldCharType="end"/>
      </w:r>
    </w:p>
    <w:p>
      <w:pPr>
        <w:pStyle w:val="TOC8"/>
        <w:rPr>
          <w:rFonts w:asciiTheme="minorHAnsi" w:eastAsiaTheme="minorEastAsia" w:hAnsiTheme="minorHAnsi" w:cstheme="minorBidi"/>
          <w:szCs w:val="22"/>
        </w:rPr>
      </w:pPr>
      <w:r>
        <w:t>40.</w:t>
      </w:r>
      <w:r>
        <w:tab/>
        <w:t>Classification of land</w:t>
      </w:r>
      <w:r>
        <w:tab/>
      </w:r>
      <w:r>
        <w:fldChar w:fldCharType="begin"/>
      </w:r>
      <w:r>
        <w:instrText xml:space="preserve"> PAGEREF _Toc434929745 \h </w:instrText>
      </w:r>
      <w:r>
        <w:fldChar w:fldCharType="separate"/>
      </w:r>
      <w:r>
        <w:t>37</w:t>
      </w:r>
      <w:r>
        <w:fldChar w:fldCharType="end"/>
      </w:r>
    </w:p>
    <w:p>
      <w:pPr>
        <w:pStyle w:val="TOC8"/>
        <w:rPr>
          <w:rFonts w:asciiTheme="minorHAnsi" w:eastAsiaTheme="minorEastAsia" w:hAnsiTheme="minorHAnsi" w:cstheme="minorBidi"/>
          <w:szCs w:val="22"/>
        </w:rPr>
      </w:pPr>
      <w:r>
        <w:t>41.</w:t>
      </w:r>
      <w:r>
        <w:tab/>
        <w:t>Minimum charges: Schedule 4 Division 2</w:t>
      </w:r>
      <w:r>
        <w:tab/>
      </w:r>
      <w:r>
        <w:fldChar w:fldCharType="begin"/>
      </w:r>
      <w:r>
        <w:instrText xml:space="preserve"> PAGEREF _Toc434929746 \h </w:instrText>
      </w:r>
      <w:r>
        <w:fldChar w:fldCharType="separate"/>
      </w:r>
      <w:r>
        <w:t>39</w:t>
      </w:r>
      <w:r>
        <w:fldChar w:fldCharType="end"/>
      </w:r>
    </w:p>
    <w:p>
      <w:pPr>
        <w:pStyle w:val="TOC8"/>
        <w:rPr>
          <w:rFonts w:asciiTheme="minorHAnsi" w:eastAsiaTheme="minorEastAsia" w:hAnsiTheme="minorHAnsi" w:cstheme="minorBidi"/>
          <w:szCs w:val="22"/>
        </w:rPr>
      </w:pPr>
      <w:r>
        <w:t>42.</w:t>
      </w:r>
      <w:r>
        <w:tab/>
        <w:t>Estimating charge, or volume discharged, for previous year: Schedule 4 Division 2</w:t>
      </w:r>
      <w:r>
        <w:tab/>
      </w:r>
      <w:r>
        <w:fldChar w:fldCharType="begin"/>
      </w:r>
      <w:r>
        <w:instrText xml:space="preserve"> PAGEREF _Toc434929747 \h </w:instrText>
      </w:r>
      <w:r>
        <w:fldChar w:fldCharType="separate"/>
      </w:r>
      <w:r>
        <w:t>40</w:t>
      </w:r>
      <w:r>
        <w:fldChar w:fldCharType="end"/>
      </w:r>
    </w:p>
    <w:p>
      <w:pPr>
        <w:pStyle w:val="TOC8"/>
        <w:rPr>
          <w:rFonts w:asciiTheme="minorHAnsi" w:eastAsiaTheme="minorEastAsia" w:hAnsiTheme="minorHAnsi" w:cstheme="minorBidi"/>
          <w:szCs w:val="22"/>
        </w:rPr>
      </w:pPr>
      <w:r>
        <w:t>43.</w:t>
      </w:r>
      <w:r>
        <w:tab/>
        <w:t>Determining number of major fixtures: Schedule 4 Division 2</w:t>
      </w:r>
      <w:r>
        <w:tab/>
      </w:r>
      <w:r>
        <w:fldChar w:fldCharType="begin"/>
      </w:r>
      <w:r>
        <w:instrText xml:space="preserve"> PAGEREF _Toc434929748 \h </w:instrText>
      </w:r>
      <w:r>
        <w:fldChar w:fldCharType="separate"/>
      </w:r>
      <w:r>
        <w:t>41</w:t>
      </w:r>
      <w:r>
        <w:fldChar w:fldCharType="end"/>
      </w:r>
    </w:p>
    <w:p>
      <w:pPr>
        <w:pStyle w:val="TOC8"/>
        <w:rPr>
          <w:rFonts w:asciiTheme="minorHAnsi" w:eastAsiaTheme="minorEastAsia" w:hAnsiTheme="minorHAnsi" w:cstheme="minorBidi"/>
          <w:szCs w:val="22"/>
        </w:rPr>
      </w:pPr>
      <w:r>
        <w:t>44.</w:t>
      </w:r>
      <w:r>
        <w:tab/>
        <w:t>Concessions: certain retirement village residents</w:t>
      </w:r>
      <w:r>
        <w:tab/>
      </w:r>
      <w:r>
        <w:fldChar w:fldCharType="begin"/>
      </w:r>
      <w:r>
        <w:instrText xml:space="preserve"> PAGEREF _Toc434929749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5 — Drainage charges</w:t>
      </w:r>
    </w:p>
    <w:p>
      <w:pPr>
        <w:pStyle w:val="TOC8"/>
        <w:rPr>
          <w:rFonts w:asciiTheme="minorHAnsi" w:eastAsiaTheme="minorEastAsia" w:hAnsiTheme="minorHAnsi" w:cstheme="minorBidi"/>
          <w:szCs w:val="22"/>
        </w:rPr>
      </w:pPr>
      <w:r>
        <w:t>45.</w:t>
      </w:r>
      <w:r>
        <w:tab/>
        <w:t>Drainage areas</w:t>
      </w:r>
      <w:r>
        <w:tab/>
      </w:r>
      <w:r>
        <w:fldChar w:fldCharType="begin"/>
      </w:r>
      <w:r>
        <w:instrText xml:space="preserve"> PAGEREF _Toc434929751 \h </w:instrText>
      </w:r>
      <w:r>
        <w:fldChar w:fldCharType="separate"/>
      </w:r>
      <w:r>
        <w:t>42</w:t>
      </w:r>
      <w:r>
        <w:fldChar w:fldCharType="end"/>
      </w:r>
    </w:p>
    <w:p>
      <w:pPr>
        <w:pStyle w:val="TOC8"/>
        <w:rPr>
          <w:rFonts w:asciiTheme="minorHAnsi" w:eastAsiaTheme="minorEastAsia" w:hAnsiTheme="minorHAnsi" w:cstheme="minorBidi"/>
          <w:szCs w:val="22"/>
        </w:rPr>
      </w:pPr>
      <w:r>
        <w:t>46.</w:t>
      </w:r>
      <w:r>
        <w:tab/>
        <w:t>Drainage areas: notice of and objections to proposed designation</w:t>
      </w:r>
      <w:r>
        <w:tab/>
      </w:r>
      <w:r>
        <w:fldChar w:fldCharType="begin"/>
      </w:r>
      <w:r>
        <w:instrText xml:space="preserve"> PAGEREF _Toc434929752 \h </w:instrText>
      </w:r>
      <w:r>
        <w:fldChar w:fldCharType="separate"/>
      </w:r>
      <w:r>
        <w:t>43</w:t>
      </w:r>
      <w:r>
        <w:fldChar w:fldCharType="end"/>
      </w:r>
    </w:p>
    <w:p>
      <w:pPr>
        <w:pStyle w:val="TOC8"/>
        <w:rPr>
          <w:rFonts w:asciiTheme="minorHAnsi" w:eastAsiaTheme="minorEastAsia" w:hAnsiTheme="minorHAnsi" w:cstheme="minorBidi"/>
          <w:szCs w:val="22"/>
        </w:rPr>
      </w:pPr>
      <w:r>
        <w:t>47.</w:t>
      </w:r>
      <w:r>
        <w:tab/>
        <w:t>Drainage charges</w:t>
      </w:r>
      <w:r>
        <w:tab/>
      </w:r>
      <w:r>
        <w:fldChar w:fldCharType="begin"/>
      </w:r>
      <w:r>
        <w:instrText xml:space="preserve"> PAGEREF _Toc434929753 \h </w:instrText>
      </w:r>
      <w:r>
        <w:fldChar w:fldCharType="separate"/>
      </w:r>
      <w:r>
        <w:t>44</w:t>
      </w:r>
      <w:r>
        <w:fldChar w:fldCharType="end"/>
      </w:r>
    </w:p>
    <w:p>
      <w:pPr>
        <w:pStyle w:val="TOC8"/>
        <w:rPr>
          <w:rFonts w:asciiTheme="minorHAnsi" w:eastAsiaTheme="minorEastAsia" w:hAnsiTheme="minorHAnsi" w:cstheme="minorBidi"/>
          <w:szCs w:val="22"/>
        </w:rPr>
      </w:pPr>
      <w:r>
        <w:t>48.</w:t>
      </w:r>
      <w:r>
        <w:tab/>
        <w:t>Classification of land</w:t>
      </w:r>
      <w:r>
        <w:tab/>
      </w:r>
      <w:r>
        <w:fldChar w:fldCharType="begin"/>
      </w:r>
      <w:r>
        <w:instrText xml:space="preserve"> PAGEREF _Toc434929754 \h </w:instrText>
      </w:r>
      <w:r>
        <w:fldChar w:fldCharType="separate"/>
      </w:r>
      <w:r>
        <w:t>45</w:t>
      </w:r>
      <w:r>
        <w:fldChar w:fldCharType="end"/>
      </w:r>
    </w:p>
    <w:p>
      <w:pPr>
        <w:pStyle w:val="TOC8"/>
        <w:rPr>
          <w:rFonts w:asciiTheme="minorHAnsi" w:eastAsiaTheme="minorEastAsia" w:hAnsiTheme="minorHAnsi" w:cstheme="minorBidi"/>
          <w:szCs w:val="22"/>
        </w:rPr>
      </w:pPr>
      <w:r>
        <w:t>49.</w:t>
      </w:r>
      <w:r>
        <w:tab/>
        <w:t>Concessions: certain retirement village residents</w:t>
      </w:r>
      <w:r>
        <w:tab/>
      </w:r>
      <w:r>
        <w:fldChar w:fldCharType="begin"/>
      </w:r>
      <w:r>
        <w:instrText xml:space="preserve"> PAGEREF _Toc434929755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6 — Irrigation charges</w:t>
      </w:r>
    </w:p>
    <w:p>
      <w:pPr>
        <w:pStyle w:val="TOC8"/>
        <w:rPr>
          <w:rFonts w:asciiTheme="minorHAnsi" w:eastAsiaTheme="minorEastAsia" w:hAnsiTheme="minorHAnsi" w:cstheme="minorBidi"/>
          <w:szCs w:val="22"/>
        </w:rPr>
      </w:pPr>
      <w:r>
        <w:t>50.</w:t>
      </w:r>
      <w:r>
        <w:tab/>
        <w:t>Charges for water supplied from certain irrigation works</w:t>
      </w:r>
      <w:r>
        <w:tab/>
      </w:r>
      <w:r>
        <w:fldChar w:fldCharType="begin"/>
      </w:r>
      <w:r>
        <w:instrText xml:space="preserve"> PAGEREF _Toc434929757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7 — Miscellaneous charges</w:t>
      </w:r>
    </w:p>
    <w:p>
      <w:pPr>
        <w:pStyle w:val="TOC8"/>
        <w:rPr>
          <w:rFonts w:asciiTheme="minorHAnsi" w:eastAsiaTheme="minorEastAsia" w:hAnsiTheme="minorHAnsi" w:cstheme="minorBidi"/>
          <w:szCs w:val="22"/>
        </w:rPr>
      </w:pPr>
      <w:r>
        <w:t>51.</w:t>
      </w:r>
      <w:r>
        <w:tab/>
        <w:t>Miscellaneous charges</w:t>
      </w:r>
      <w:r>
        <w:tab/>
      </w:r>
      <w:r>
        <w:fldChar w:fldCharType="begin"/>
      </w:r>
      <w:r>
        <w:instrText xml:space="preserve"> PAGEREF _Toc434929759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6 — Repeal of regulations and transitional provisions</w:t>
      </w:r>
    </w:p>
    <w:p>
      <w:pPr>
        <w:pStyle w:val="TOC4"/>
        <w:tabs>
          <w:tab w:val="right" w:leader="dot" w:pos="7077"/>
        </w:tabs>
        <w:rPr>
          <w:rFonts w:asciiTheme="minorHAnsi" w:eastAsiaTheme="minorEastAsia" w:hAnsiTheme="minorHAnsi" w:cstheme="minorBidi"/>
          <w:b w:val="0"/>
          <w:szCs w:val="22"/>
        </w:rPr>
      </w:pPr>
      <w:r>
        <w:t>Division 1 — </w:t>
      </w:r>
      <w:r>
        <w:rPr>
          <w:i/>
        </w:rPr>
        <w:t>Water Services (Water Corporations Charges) Regulations 2013</w:t>
      </w:r>
      <w:r>
        <w:t xml:space="preserve"> repealed</w:t>
      </w:r>
    </w:p>
    <w:p>
      <w:pPr>
        <w:pStyle w:val="TOC8"/>
        <w:rPr>
          <w:rFonts w:asciiTheme="minorHAnsi" w:eastAsiaTheme="minorEastAsia" w:hAnsiTheme="minorHAnsi" w:cstheme="minorBidi"/>
          <w:szCs w:val="22"/>
        </w:rPr>
      </w:pPr>
      <w:r>
        <w:t>52.</w:t>
      </w:r>
      <w:r>
        <w:tab/>
      </w:r>
      <w:r>
        <w:rPr>
          <w:i/>
        </w:rPr>
        <w:t>Water Services (Water Corporations Charges) Regulations 2013</w:t>
      </w:r>
      <w:r>
        <w:t xml:space="preserve"> repealed</w:t>
      </w:r>
      <w:r>
        <w:tab/>
      </w:r>
      <w:r>
        <w:fldChar w:fldCharType="begin"/>
      </w:r>
      <w:r>
        <w:instrText xml:space="preserve"> PAGEREF _Toc434929762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provisions: </w:t>
      </w:r>
      <w:r>
        <w:rPr>
          <w:i/>
        </w:rPr>
        <w:t>Water Services (Water Corporations Charges) Regulations 2014</w:t>
      </w:r>
    </w:p>
    <w:p>
      <w:pPr>
        <w:pStyle w:val="TOC6"/>
        <w:tabs>
          <w:tab w:val="right" w:leader="dot" w:pos="7077"/>
        </w:tabs>
        <w:rPr>
          <w:rFonts w:asciiTheme="minorHAnsi" w:eastAsiaTheme="minorEastAsia" w:hAnsiTheme="minorHAnsi" w:cstheme="minorBidi"/>
          <w:b w:val="0"/>
          <w:sz w:val="22"/>
          <w:szCs w:val="22"/>
        </w:rPr>
      </w:pPr>
      <w:r>
        <w:t>Subdivision 1 — General provisions</w:t>
      </w:r>
    </w:p>
    <w:p>
      <w:pPr>
        <w:pStyle w:val="TOC8"/>
        <w:rPr>
          <w:rFonts w:asciiTheme="minorHAnsi" w:eastAsiaTheme="minorEastAsia" w:hAnsiTheme="minorHAnsi" w:cstheme="minorBidi"/>
          <w:szCs w:val="22"/>
        </w:rPr>
      </w:pPr>
      <w:r>
        <w:t>53.</w:t>
      </w:r>
      <w:r>
        <w:tab/>
        <w:t xml:space="preserve">Application of the </w:t>
      </w:r>
      <w:r>
        <w:rPr>
          <w:i/>
        </w:rPr>
        <w:t>Interpretation Act 1984</w:t>
      </w:r>
      <w:r>
        <w:tab/>
      </w:r>
      <w:r>
        <w:fldChar w:fldCharType="begin"/>
      </w:r>
      <w:r>
        <w:instrText xml:space="preserve"> PAGEREF _Toc434929765 \h </w:instrText>
      </w:r>
      <w:r>
        <w:fldChar w:fldCharType="separate"/>
      </w:r>
      <w:r>
        <w:t>48</w:t>
      </w:r>
      <w:r>
        <w:fldChar w:fldCharType="end"/>
      </w:r>
    </w:p>
    <w:p>
      <w:pPr>
        <w:pStyle w:val="TOC8"/>
        <w:rPr>
          <w:rFonts w:asciiTheme="minorHAnsi" w:eastAsiaTheme="minorEastAsia" w:hAnsiTheme="minorHAnsi" w:cstheme="minorBidi"/>
          <w:szCs w:val="22"/>
        </w:rPr>
      </w:pPr>
      <w:r>
        <w:t>54.</w:t>
      </w:r>
      <w:r>
        <w:tab/>
        <w:t>Liability to water service charges</w:t>
      </w:r>
      <w:r>
        <w:tab/>
      </w:r>
      <w:r>
        <w:fldChar w:fldCharType="begin"/>
      </w:r>
      <w:r>
        <w:instrText xml:space="preserve"> PAGEREF _Toc434929766 \h </w:instrText>
      </w:r>
      <w:r>
        <w:fldChar w:fldCharType="separate"/>
      </w:r>
      <w:r>
        <w:t>48</w:t>
      </w:r>
      <w:r>
        <w:fldChar w:fldCharType="end"/>
      </w:r>
    </w:p>
    <w:p>
      <w:pPr>
        <w:pStyle w:val="TOC8"/>
        <w:rPr>
          <w:rFonts w:asciiTheme="minorHAnsi" w:eastAsiaTheme="minorEastAsia" w:hAnsiTheme="minorHAnsi" w:cstheme="minorBidi"/>
          <w:szCs w:val="22"/>
        </w:rPr>
      </w:pPr>
      <w:r>
        <w:t>55.</w:t>
      </w:r>
      <w:r>
        <w:tab/>
        <w:t>Continuing effect of things done before 1 July 2014</w:t>
      </w:r>
      <w:r>
        <w:tab/>
      </w:r>
      <w:r>
        <w:fldChar w:fldCharType="begin"/>
      </w:r>
      <w:r>
        <w:instrText xml:space="preserve"> PAGEREF _Toc434929767 \h </w:instrText>
      </w:r>
      <w:r>
        <w:fldChar w:fldCharType="separate"/>
      </w:r>
      <w:r>
        <w:t>48</w:t>
      </w:r>
      <w:r>
        <w:fldChar w:fldCharType="end"/>
      </w:r>
    </w:p>
    <w:p>
      <w:pPr>
        <w:pStyle w:val="TOC8"/>
        <w:rPr>
          <w:rFonts w:asciiTheme="minorHAnsi" w:eastAsiaTheme="minorEastAsia" w:hAnsiTheme="minorHAnsi" w:cstheme="minorBidi"/>
          <w:szCs w:val="22"/>
        </w:rPr>
      </w:pPr>
      <w:r>
        <w:t>56.</w:t>
      </w:r>
      <w:r>
        <w:tab/>
        <w:t>Relationship between Subdivision 1 and Subdivision 2</w:t>
      </w:r>
      <w:r>
        <w:tab/>
      </w:r>
      <w:r>
        <w:fldChar w:fldCharType="begin"/>
      </w:r>
      <w:r>
        <w:instrText xml:space="preserve"> PAGEREF _Toc434929768 \h </w:instrText>
      </w:r>
      <w:r>
        <w:fldChar w:fldCharType="separate"/>
      </w:r>
      <w:r>
        <w:t>49</w:t>
      </w:r>
      <w:r>
        <w:fldChar w:fldCharType="end"/>
      </w:r>
    </w:p>
    <w:p>
      <w:pPr>
        <w:pStyle w:val="TOC6"/>
        <w:tabs>
          <w:tab w:val="right" w:leader="dot" w:pos="7077"/>
        </w:tabs>
        <w:rPr>
          <w:rFonts w:asciiTheme="minorHAnsi" w:eastAsiaTheme="minorEastAsia" w:hAnsiTheme="minorHAnsi" w:cstheme="minorBidi"/>
          <w:b w:val="0"/>
          <w:sz w:val="22"/>
          <w:szCs w:val="22"/>
        </w:rPr>
      </w:pPr>
      <w:r>
        <w:t>Subdivision 2 — Specific provisions</w:t>
      </w:r>
    </w:p>
    <w:p>
      <w:pPr>
        <w:pStyle w:val="TOC8"/>
        <w:rPr>
          <w:rFonts w:asciiTheme="minorHAnsi" w:eastAsiaTheme="minorEastAsia" w:hAnsiTheme="minorHAnsi" w:cstheme="minorBidi"/>
          <w:szCs w:val="22"/>
        </w:rPr>
      </w:pPr>
      <w:r>
        <w:t>57.</w:t>
      </w:r>
      <w:r>
        <w:tab/>
        <w:t>Commencement of these regulations during charge period</w:t>
      </w:r>
      <w:r>
        <w:tab/>
      </w:r>
      <w:r>
        <w:fldChar w:fldCharType="begin"/>
      </w:r>
      <w:r>
        <w:instrText xml:space="preserve"> PAGEREF _Toc434929770 \h </w:instrText>
      </w:r>
      <w:r>
        <w:fldChar w:fldCharType="separate"/>
      </w:r>
      <w:r>
        <w:t>49</w:t>
      </w:r>
      <w:r>
        <w:fldChar w:fldCharType="end"/>
      </w:r>
    </w:p>
    <w:p>
      <w:pPr>
        <w:pStyle w:val="TOC8"/>
        <w:rPr>
          <w:rFonts w:asciiTheme="minorHAnsi" w:eastAsiaTheme="minorEastAsia" w:hAnsiTheme="minorHAnsi" w:cstheme="minorBidi"/>
          <w:szCs w:val="22"/>
        </w:rPr>
      </w:pPr>
      <w:r>
        <w:t>58.</w:t>
      </w:r>
      <w:r>
        <w:tab/>
        <w:t>Special payment arrangements</w:t>
      </w:r>
      <w:r>
        <w:tab/>
      </w:r>
      <w:r>
        <w:fldChar w:fldCharType="begin"/>
      </w:r>
      <w:r>
        <w:instrText xml:space="preserve"> PAGEREF _Toc434929771 \h </w:instrText>
      </w:r>
      <w:r>
        <w:fldChar w:fldCharType="separate"/>
      </w:r>
      <w:r>
        <w:t>49</w:t>
      </w:r>
      <w:r>
        <w:fldChar w:fldCharType="end"/>
      </w:r>
    </w:p>
    <w:p>
      <w:pPr>
        <w:pStyle w:val="TOC8"/>
        <w:rPr>
          <w:rFonts w:asciiTheme="minorHAnsi" w:eastAsiaTheme="minorEastAsia" w:hAnsiTheme="minorHAnsi" w:cstheme="minorBidi"/>
          <w:szCs w:val="22"/>
        </w:rPr>
      </w:pPr>
      <w:r>
        <w:t>59.</w:t>
      </w:r>
      <w:r>
        <w:tab/>
        <w:t>Commercial caravan parks</w:t>
      </w:r>
      <w:r>
        <w:tab/>
      </w:r>
      <w:r>
        <w:fldChar w:fldCharType="begin"/>
      </w:r>
      <w:r>
        <w:instrText xml:space="preserve"> PAGEREF _Toc434929772 \h </w:instrText>
      </w:r>
      <w:r>
        <w:fldChar w:fldCharType="separate"/>
      </w:r>
      <w:r>
        <w:t>50</w:t>
      </w:r>
      <w:r>
        <w:fldChar w:fldCharType="end"/>
      </w:r>
    </w:p>
    <w:p>
      <w:pPr>
        <w:pStyle w:val="TOC8"/>
        <w:rPr>
          <w:rFonts w:asciiTheme="minorHAnsi" w:eastAsiaTheme="minorEastAsia" w:hAnsiTheme="minorHAnsi" w:cstheme="minorBidi"/>
          <w:szCs w:val="22"/>
        </w:rPr>
      </w:pPr>
      <w:r>
        <w:t>60.</w:t>
      </w:r>
      <w:r>
        <w:tab/>
        <w:t>Certain charges and discharge volumes before 1 July 2014</w:t>
      </w:r>
      <w:r>
        <w:tab/>
      </w:r>
      <w:r>
        <w:fldChar w:fldCharType="begin"/>
      </w:r>
      <w:r>
        <w:instrText xml:space="preserve"> PAGEREF _Toc434929773 \h </w:instrText>
      </w:r>
      <w:r>
        <w:fldChar w:fldCharType="separate"/>
      </w:r>
      <w:r>
        <w:t>50</w:t>
      </w:r>
      <w:r>
        <w:fldChar w:fldCharType="end"/>
      </w:r>
    </w:p>
    <w:p>
      <w:pPr>
        <w:pStyle w:val="TOC8"/>
        <w:rPr>
          <w:rFonts w:asciiTheme="minorHAnsi" w:eastAsiaTheme="minorEastAsia" w:hAnsiTheme="minorHAnsi" w:cstheme="minorBidi"/>
          <w:szCs w:val="22"/>
        </w:rPr>
      </w:pPr>
      <w:r>
        <w:t>61.</w:t>
      </w:r>
      <w:r>
        <w:tab/>
        <w:t>Concessions: r. 34 and 35</w:t>
      </w:r>
      <w:r>
        <w:tab/>
      </w:r>
      <w:r>
        <w:fldChar w:fldCharType="begin"/>
      </w:r>
      <w:r>
        <w:instrText xml:space="preserve"> PAGEREF _Toc434929774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provisions: </w:t>
      </w:r>
      <w:r>
        <w:rPr>
          <w:i/>
        </w:rPr>
        <w:t>Water Services (Water Corporations Charges) Amendment Regulations (No. 2) 2014</w:t>
      </w:r>
    </w:p>
    <w:p>
      <w:pPr>
        <w:pStyle w:val="TOC8"/>
        <w:rPr>
          <w:rFonts w:asciiTheme="minorHAnsi" w:eastAsiaTheme="minorEastAsia" w:hAnsiTheme="minorHAnsi" w:cstheme="minorBidi"/>
          <w:szCs w:val="22"/>
        </w:rPr>
      </w:pPr>
      <w:r>
        <w:t>62.</w:t>
      </w:r>
      <w:r>
        <w:tab/>
        <w:t>Application of r. 5</w:t>
      </w:r>
      <w:r>
        <w:tab/>
      </w:r>
      <w:r>
        <w:fldChar w:fldCharType="begin"/>
      </w:r>
      <w:r>
        <w:instrText xml:space="preserve"> PAGEREF _Toc434929776 \h </w:instrText>
      </w:r>
      <w:r>
        <w:fldChar w:fldCharType="separate"/>
      </w:r>
      <w:r>
        <w:t>51</w:t>
      </w:r>
      <w:r>
        <w:fldChar w:fldCharType="end"/>
      </w:r>
    </w:p>
    <w:p>
      <w:pPr>
        <w:pStyle w:val="TOC8"/>
        <w:rPr>
          <w:rFonts w:asciiTheme="minorHAnsi" w:eastAsiaTheme="minorEastAsia" w:hAnsiTheme="minorHAnsi" w:cstheme="minorBidi"/>
          <w:szCs w:val="22"/>
        </w:rPr>
      </w:pPr>
      <w:r>
        <w:t>63.</w:t>
      </w:r>
      <w:r>
        <w:tab/>
        <w:t>Reduction, waiver or refund of certain charges</w:t>
      </w:r>
      <w:r>
        <w:tab/>
      </w:r>
      <w:r>
        <w:fldChar w:fldCharType="begin"/>
      </w:r>
      <w:r>
        <w:instrText xml:space="preserve"> PAGEREF _Toc434929777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Schedule 1 — Charges for Bunbury Water Corporation</w:t>
      </w:r>
    </w:p>
    <w:p>
      <w:pPr>
        <w:pStyle w:val="TOC4"/>
        <w:tabs>
          <w:tab w:val="right" w:leader="dot" w:pos="7077"/>
        </w:tabs>
        <w:rPr>
          <w:rFonts w:asciiTheme="minorHAnsi" w:eastAsiaTheme="minorEastAsia" w:hAnsiTheme="minorHAnsi" w:cstheme="minorBidi"/>
          <w:b w:val="0"/>
          <w:szCs w:val="22"/>
        </w:rPr>
      </w:pPr>
      <w:r>
        <w:t>Division 1</w:t>
      </w:r>
      <w:r>
        <w:rPr>
          <w:b w:val="0"/>
        </w:rPr>
        <w:t> — </w:t>
      </w:r>
      <w:r>
        <w:t>Services charges</w:t>
      </w:r>
    </w:p>
    <w:p>
      <w:pPr>
        <w:pStyle w:val="TOC8"/>
        <w:rPr>
          <w:rFonts w:asciiTheme="minorHAnsi" w:eastAsiaTheme="minorEastAsia" w:hAnsiTheme="minorHAnsi" w:cstheme="minorBidi"/>
          <w:szCs w:val="22"/>
        </w:rPr>
      </w:pPr>
      <w:r>
        <w:t>1.</w:t>
      </w:r>
      <w:r>
        <w:tab/>
        <w:t>Service charges for 2015/16 year and subsequent years</w:t>
      </w:r>
      <w:r>
        <w:tab/>
      </w:r>
      <w:r>
        <w:fldChar w:fldCharType="begin"/>
      </w:r>
      <w:r>
        <w:instrText xml:space="preserve"> PAGEREF _Toc434929780 \h </w:instrText>
      </w:r>
      <w:r>
        <w:fldChar w:fldCharType="separate"/>
      </w:r>
      <w:r>
        <w:t>53</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_Toc434929781 \h </w:instrText>
      </w:r>
      <w:r>
        <w:fldChar w:fldCharType="separate"/>
      </w:r>
      <w:r>
        <w:t>53</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_Toc434929782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Division 2</w:t>
      </w:r>
      <w:r>
        <w:rPr>
          <w:b w:val="0"/>
        </w:rPr>
        <w:t> — </w:t>
      </w:r>
      <w:r>
        <w:t>Consumption charges</w:t>
      </w:r>
    </w:p>
    <w:p>
      <w:pPr>
        <w:pStyle w:val="TOC8"/>
        <w:rPr>
          <w:rFonts w:asciiTheme="minorHAnsi" w:eastAsiaTheme="minorEastAsia" w:hAnsiTheme="minorHAnsi" w:cstheme="minorBidi"/>
          <w:szCs w:val="22"/>
        </w:rPr>
      </w:pPr>
      <w:r>
        <w:t>4.</w:t>
      </w:r>
      <w:r>
        <w:tab/>
        <w:t>Consumption charges for 2015/16 year and subsequent years</w:t>
      </w:r>
      <w:r>
        <w:tab/>
      </w:r>
      <w:r>
        <w:fldChar w:fldCharType="begin"/>
      </w:r>
      <w:r>
        <w:instrText xml:space="preserve"> PAGEREF _Toc434929784 \h </w:instrText>
      </w:r>
      <w:r>
        <w:fldChar w:fldCharType="separate"/>
      </w:r>
      <w:r>
        <w:t>53</w:t>
      </w:r>
      <w:r>
        <w:fldChar w:fldCharType="end"/>
      </w:r>
    </w:p>
    <w:p>
      <w:pPr>
        <w:pStyle w:val="TOC8"/>
        <w:rPr>
          <w:rFonts w:asciiTheme="minorHAnsi" w:eastAsiaTheme="minorEastAsia" w:hAnsiTheme="minorHAnsi" w:cstheme="minorBidi"/>
          <w:szCs w:val="22"/>
        </w:rPr>
      </w:pPr>
      <w:r>
        <w:t>5.</w:t>
      </w:r>
      <w:r>
        <w:tab/>
        <w:t>Residential lots</w:t>
      </w:r>
      <w:r>
        <w:tab/>
      </w:r>
      <w:r>
        <w:fldChar w:fldCharType="begin"/>
      </w:r>
      <w:r>
        <w:instrText xml:space="preserve"> PAGEREF _Toc434929785 \h </w:instrText>
      </w:r>
      <w:r>
        <w:fldChar w:fldCharType="separate"/>
      </w:r>
      <w:r>
        <w:t>54</w:t>
      </w:r>
      <w:r>
        <w:fldChar w:fldCharType="end"/>
      </w:r>
    </w:p>
    <w:p>
      <w:pPr>
        <w:pStyle w:val="TOC8"/>
        <w:rPr>
          <w:rFonts w:asciiTheme="minorHAnsi" w:eastAsiaTheme="minorEastAsia" w:hAnsiTheme="minorHAnsi" w:cstheme="minorBidi"/>
          <w:szCs w:val="22"/>
        </w:rPr>
      </w:pPr>
      <w:r>
        <w:t>6.</w:t>
      </w:r>
      <w:r>
        <w:tab/>
        <w:t>Non</w:t>
      </w:r>
      <w:r>
        <w:noBreakHyphen/>
        <w:t>residential lots</w:t>
      </w:r>
      <w:r>
        <w:tab/>
      </w:r>
      <w:r>
        <w:fldChar w:fldCharType="begin"/>
      </w:r>
      <w:r>
        <w:instrText xml:space="preserve"> PAGEREF _Toc434929786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3 — Miscellaneous charges</w:t>
      </w:r>
    </w:p>
    <w:p>
      <w:pPr>
        <w:pStyle w:val="TOC8"/>
        <w:rPr>
          <w:rFonts w:asciiTheme="minorHAnsi" w:eastAsiaTheme="minorEastAsia" w:hAnsiTheme="minorHAnsi" w:cstheme="minorBidi"/>
          <w:szCs w:val="22"/>
        </w:rPr>
      </w:pPr>
      <w:r>
        <w:t>7.</w:t>
      </w:r>
      <w:r>
        <w:tab/>
        <w:t>Meters: multi</w:t>
      </w:r>
      <w:r>
        <w:noBreakHyphen/>
        <w:t>unit developments</w:t>
      </w:r>
      <w:r>
        <w:tab/>
      </w:r>
      <w:r>
        <w:fldChar w:fldCharType="begin"/>
      </w:r>
      <w:r>
        <w:instrText xml:space="preserve"> PAGEREF _Toc434929788 \h </w:instrText>
      </w:r>
      <w:r>
        <w:fldChar w:fldCharType="separate"/>
      </w:r>
      <w:r>
        <w:t>54</w:t>
      </w:r>
      <w:r>
        <w:fldChar w:fldCharType="end"/>
      </w:r>
    </w:p>
    <w:p>
      <w:pPr>
        <w:pStyle w:val="TOC8"/>
        <w:rPr>
          <w:rFonts w:asciiTheme="minorHAnsi" w:eastAsiaTheme="minorEastAsia" w:hAnsiTheme="minorHAnsi" w:cstheme="minorBidi"/>
          <w:szCs w:val="22"/>
        </w:rPr>
      </w:pPr>
      <w:r>
        <w:t>8.</w:t>
      </w:r>
      <w:r>
        <w:tab/>
        <w:t>Assessing meters: multi</w:t>
      </w:r>
      <w:r>
        <w:noBreakHyphen/>
        <w:t>unit developments</w:t>
      </w:r>
      <w:r>
        <w:tab/>
      </w:r>
      <w:r>
        <w:fldChar w:fldCharType="begin"/>
      </w:r>
      <w:r>
        <w:instrText xml:space="preserve"> PAGEREF _Toc434929789 \h </w:instrText>
      </w:r>
      <w:r>
        <w:fldChar w:fldCharType="separate"/>
      </w:r>
      <w:r>
        <w:t>54</w:t>
      </w:r>
      <w:r>
        <w:fldChar w:fldCharType="end"/>
      </w:r>
    </w:p>
    <w:p>
      <w:pPr>
        <w:pStyle w:val="TOC8"/>
        <w:rPr>
          <w:rFonts w:asciiTheme="minorHAnsi" w:eastAsiaTheme="minorEastAsia" w:hAnsiTheme="minorHAnsi" w:cstheme="minorBidi"/>
          <w:szCs w:val="22"/>
        </w:rPr>
      </w:pPr>
      <w:r>
        <w:t>9.</w:t>
      </w:r>
      <w:r>
        <w:tab/>
        <w:t>Testing meters</w:t>
      </w:r>
      <w:r>
        <w:tab/>
      </w:r>
      <w:r>
        <w:fldChar w:fldCharType="begin"/>
      </w:r>
      <w:r>
        <w:instrText xml:space="preserve"> PAGEREF _Toc434929790 \h </w:instrText>
      </w:r>
      <w:r>
        <w:fldChar w:fldCharType="separate"/>
      </w:r>
      <w:r>
        <w:t>55</w:t>
      </w:r>
      <w:r>
        <w:fldChar w:fldCharType="end"/>
      </w:r>
    </w:p>
    <w:p>
      <w:pPr>
        <w:pStyle w:val="TOC8"/>
        <w:rPr>
          <w:rFonts w:asciiTheme="minorHAnsi" w:eastAsiaTheme="minorEastAsia" w:hAnsiTheme="minorHAnsi" w:cstheme="minorBidi"/>
          <w:szCs w:val="22"/>
        </w:rPr>
      </w:pPr>
      <w:r>
        <w:t>10.</w:t>
      </w:r>
      <w:r>
        <w:tab/>
        <w:t>Copies of records</w:t>
      </w:r>
      <w:r>
        <w:tab/>
      </w:r>
      <w:r>
        <w:fldChar w:fldCharType="begin"/>
      </w:r>
      <w:r>
        <w:instrText xml:space="preserve"> PAGEREF _Toc434929791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Schedule 2 — Charges for Busselton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2015/16 year and subsequent years</w:t>
      </w:r>
      <w:r>
        <w:tab/>
      </w:r>
      <w:r>
        <w:fldChar w:fldCharType="begin"/>
      </w:r>
      <w:r>
        <w:instrText xml:space="preserve"> PAGEREF _Toc434929794 \h </w:instrText>
      </w:r>
      <w:r>
        <w:fldChar w:fldCharType="separate"/>
      </w:r>
      <w:r>
        <w:t>56</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_Toc434929795 \h </w:instrText>
      </w:r>
      <w:r>
        <w:fldChar w:fldCharType="separate"/>
      </w:r>
      <w:r>
        <w:t>56</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_Toc434929796 \h </w:instrText>
      </w:r>
      <w:r>
        <w:fldChar w:fldCharType="separate"/>
      </w:r>
      <w:r>
        <w:t>56</w:t>
      </w:r>
      <w:r>
        <w:fldChar w:fldCharType="end"/>
      </w:r>
    </w:p>
    <w:p>
      <w:pPr>
        <w:pStyle w:val="TOC8"/>
        <w:rPr>
          <w:rFonts w:asciiTheme="minorHAnsi" w:eastAsiaTheme="minorEastAsia" w:hAnsiTheme="minorHAnsi" w:cstheme="minorBidi"/>
          <w:szCs w:val="22"/>
        </w:rPr>
      </w:pPr>
      <w:r>
        <w:t>4.</w:t>
      </w:r>
      <w:r>
        <w:tab/>
        <w:t>Vacant land</w:t>
      </w:r>
      <w:r>
        <w:tab/>
      </w:r>
      <w:r>
        <w:fldChar w:fldCharType="begin"/>
      </w:r>
      <w:r>
        <w:instrText xml:space="preserve"> PAGEREF _Toc434929797 \h </w:instrText>
      </w:r>
      <w:r>
        <w:fldChar w:fldCharType="separate"/>
      </w:r>
      <w:r>
        <w:t>56</w:t>
      </w:r>
      <w:r>
        <w:fldChar w:fldCharType="end"/>
      </w:r>
    </w:p>
    <w:p>
      <w:pPr>
        <w:pStyle w:val="TOC8"/>
        <w:rPr>
          <w:rFonts w:asciiTheme="minorHAnsi" w:eastAsiaTheme="minorEastAsia" w:hAnsiTheme="minorHAnsi" w:cstheme="minorBidi"/>
          <w:szCs w:val="22"/>
        </w:rPr>
      </w:pPr>
      <w:r>
        <w:t>5.</w:t>
      </w:r>
      <w:r>
        <w:tab/>
        <w:t>Fire services</w:t>
      </w:r>
      <w:r>
        <w:tab/>
      </w:r>
      <w:r>
        <w:fldChar w:fldCharType="begin"/>
      </w:r>
      <w:r>
        <w:instrText xml:space="preserve"> PAGEREF _Toc434929798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2</w:t>
      </w:r>
      <w:r>
        <w:rPr>
          <w:b w:val="0"/>
        </w:rPr>
        <w:t> </w:t>
      </w:r>
      <w:r>
        <w:t>— Consumption charges</w:t>
      </w:r>
    </w:p>
    <w:p>
      <w:pPr>
        <w:pStyle w:val="TOC8"/>
        <w:rPr>
          <w:rFonts w:asciiTheme="minorHAnsi" w:eastAsiaTheme="minorEastAsia" w:hAnsiTheme="minorHAnsi" w:cstheme="minorBidi"/>
          <w:szCs w:val="22"/>
        </w:rPr>
      </w:pPr>
      <w:r>
        <w:t>6.</w:t>
      </w:r>
      <w:r>
        <w:tab/>
        <w:t>Consumption charges for 2015/16 year and subsequent years</w:t>
      </w:r>
      <w:r>
        <w:tab/>
      </w:r>
      <w:r>
        <w:fldChar w:fldCharType="begin"/>
      </w:r>
      <w:r>
        <w:instrText xml:space="preserve"> PAGEREF _Toc434929800 \h </w:instrText>
      </w:r>
      <w:r>
        <w:fldChar w:fldCharType="separate"/>
      </w:r>
      <w:r>
        <w:t>57</w:t>
      </w:r>
      <w:r>
        <w:fldChar w:fldCharType="end"/>
      </w:r>
    </w:p>
    <w:p>
      <w:pPr>
        <w:pStyle w:val="TOC8"/>
        <w:rPr>
          <w:rFonts w:asciiTheme="minorHAnsi" w:eastAsiaTheme="minorEastAsia" w:hAnsiTheme="minorHAnsi" w:cstheme="minorBidi"/>
          <w:szCs w:val="22"/>
        </w:rPr>
      </w:pPr>
      <w:r>
        <w:t>7.</w:t>
      </w:r>
      <w:r>
        <w:tab/>
        <w:t>Residential lots</w:t>
      </w:r>
      <w:r>
        <w:tab/>
      </w:r>
      <w:r>
        <w:fldChar w:fldCharType="begin"/>
      </w:r>
      <w:r>
        <w:instrText xml:space="preserve"> PAGEREF _Toc434929801 \h </w:instrText>
      </w:r>
      <w:r>
        <w:fldChar w:fldCharType="separate"/>
      </w:r>
      <w:r>
        <w:t>57</w:t>
      </w:r>
      <w:r>
        <w:fldChar w:fldCharType="end"/>
      </w:r>
    </w:p>
    <w:p>
      <w:pPr>
        <w:pStyle w:val="TOC8"/>
        <w:rPr>
          <w:rFonts w:asciiTheme="minorHAnsi" w:eastAsiaTheme="minorEastAsia" w:hAnsiTheme="minorHAnsi" w:cstheme="minorBidi"/>
          <w:szCs w:val="22"/>
        </w:rPr>
      </w:pPr>
      <w:r>
        <w:t>8.</w:t>
      </w:r>
      <w:r>
        <w:tab/>
        <w:t>Non</w:t>
      </w:r>
      <w:r>
        <w:noBreakHyphen/>
        <w:t>residential lots</w:t>
      </w:r>
      <w:r>
        <w:tab/>
      </w:r>
      <w:r>
        <w:fldChar w:fldCharType="begin"/>
      </w:r>
      <w:r>
        <w:instrText xml:space="preserve"> PAGEREF _Toc434929802 \h </w:instrText>
      </w:r>
      <w:r>
        <w:fldChar w:fldCharType="separate"/>
      </w:r>
      <w:r>
        <w:t>57</w:t>
      </w:r>
      <w:r>
        <w:fldChar w:fldCharType="end"/>
      </w:r>
    </w:p>
    <w:p>
      <w:pPr>
        <w:pStyle w:val="TOC8"/>
        <w:rPr>
          <w:rFonts w:asciiTheme="minorHAnsi" w:eastAsiaTheme="minorEastAsia" w:hAnsiTheme="minorHAnsi" w:cstheme="minorBidi"/>
          <w:szCs w:val="22"/>
        </w:rPr>
      </w:pPr>
      <w:r>
        <w:t>9.</w:t>
      </w:r>
      <w:r>
        <w:tab/>
        <w:t>Fire services</w:t>
      </w:r>
      <w:r>
        <w:tab/>
      </w:r>
      <w:r>
        <w:fldChar w:fldCharType="begin"/>
      </w:r>
      <w:r>
        <w:instrText xml:space="preserve"> PAGEREF _Toc434929803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Schedule 3 — Water supply charges for the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6"/>
        <w:tabs>
          <w:tab w:val="right" w:leader="dot" w:pos="7077"/>
        </w:tabs>
        <w:rPr>
          <w:rFonts w:asciiTheme="minorHAnsi" w:eastAsiaTheme="minorEastAsia" w:hAnsiTheme="minorHAnsi" w:cstheme="minorBidi"/>
          <w:b w:val="0"/>
          <w:sz w:val="22"/>
          <w:szCs w:val="22"/>
        </w:rPr>
      </w:pPr>
      <w:r>
        <w:t>Subdivision 1</w:t>
      </w:r>
      <w:r>
        <w:rPr>
          <w:b w:val="0"/>
        </w:rPr>
        <w:t> — </w:t>
      </w:r>
      <w:r>
        <w:t>Preliminary</w:t>
      </w:r>
    </w:p>
    <w:p>
      <w:pPr>
        <w:pStyle w:val="TOC8"/>
        <w:rPr>
          <w:rFonts w:asciiTheme="minorHAnsi" w:eastAsiaTheme="minorEastAsia" w:hAnsiTheme="minorHAnsi" w:cstheme="minorBidi"/>
          <w:szCs w:val="22"/>
        </w:rPr>
      </w:pPr>
      <w:r>
        <w:t>1.</w:t>
      </w:r>
      <w:r>
        <w:tab/>
        <w:t>Service charges for 2015/16 year and subsequent years</w:t>
      </w:r>
      <w:r>
        <w:tab/>
      </w:r>
      <w:r>
        <w:fldChar w:fldCharType="begin"/>
      </w:r>
      <w:r>
        <w:instrText xml:space="preserve"> PAGEREF _Toc434929807 \h </w:instrText>
      </w:r>
      <w:r>
        <w:fldChar w:fldCharType="separate"/>
      </w:r>
      <w:r>
        <w:t>58</w:t>
      </w:r>
      <w:r>
        <w:fldChar w:fldCharType="end"/>
      </w:r>
    </w:p>
    <w:p>
      <w:pPr>
        <w:pStyle w:val="TOC8"/>
        <w:rPr>
          <w:rFonts w:asciiTheme="minorHAnsi" w:eastAsiaTheme="minorEastAsia" w:hAnsiTheme="minorHAnsi" w:cstheme="minorBidi"/>
          <w:szCs w:val="22"/>
        </w:rPr>
      </w:pPr>
      <w:r>
        <w:t>2.</w:t>
      </w:r>
      <w:r>
        <w:tab/>
        <w:t>Table of meter</w:t>
      </w:r>
      <w:r>
        <w:noBreakHyphen/>
        <w:t>based charges</w:t>
      </w:r>
      <w:r>
        <w:tab/>
      </w:r>
      <w:r>
        <w:fldChar w:fldCharType="begin"/>
      </w:r>
      <w:r>
        <w:instrText xml:space="preserve"> PAGEREF _Toc434929808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Subdivision 2 — Service charges that apply in respect of land</w:t>
      </w:r>
    </w:p>
    <w:p>
      <w:pPr>
        <w:pStyle w:val="TOC8"/>
        <w:rPr>
          <w:rFonts w:asciiTheme="minorHAnsi" w:eastAsiaTheme="minorEastAsia" w:hAnsiTheme="minorHAnsi" w:cstheme="minorBidi"/>
          <w:szCs w:val="22"/>
        </w:rPr>
      </w:pPr>
      <w:r>
        <w:t>3.</w:t>
      </w:r>
      <w:r>
        <w:tab/>
        <w:t>Residential</w:t>
      </w:r>
      <w:r>
        <w:tab/>
      </w:r>
      <w:r>
        <w:fldChar w:fldCharType="begin"/>
      </w:r>
      <w:r>
        <w:instrText xml:space="preserve"> PAGEREF _Toc434929810 \h </w:instrText>
      </w:r>
      <w:r>
        <w:fldChar w:fldCharType="separate"/>
      </w:r>
      <w:r>
        <w:t>59</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_Toc434929811 \h </w:instrText>
      </w:r>
      <w:r>
        <w:fldChar w:fldCharType="separate"/>
      </w:r>
      <w:r>
        <w:t>59</w:t>
      </w:r>
      <w:r>
        <w:fldChar w:fldCharType="end"/>
      </w:r>
    </w:p>
    <w:p>
      <w:pPr>
        <w:pStyle w:val="TOC8"/>
        <w:rPr>
          <w:rFonts w:asciiTheme="minorHAnsi" w:eastAsiaTheme="minorEastAsia" w:hAnsiTheme="minorHAnsi" w:cstheme="minorBidi"/>
          <w:szCs w:val="22"/>
        </w:rPr>
      </w:pPr>
      <w:r>
        <w:t>5.</w:t>
      </w:r>
      <w:r>
        <w:tab/>
        <w:t>Strata</w:t>
      </w:r>
      <w:r>
        <w:noBreakHyphen/>
        <w:t>titled or long</w:t>
      </w:r>
      <w:r>
        <w:noBreakHyphen/>
        <w:t>term residential caravan bays</w:t>
      </w:r>
      <w:r>
        <w:tab/>
      </w:r>
      <w:r>
        <w:fldChar w:fldCharType="begin"/>
      </w:r>
      <w:r>
        <w:instrText xml:space="preserve"> PAGEREF _Toc434929812 \h </w:instrText>
      </w:r>
      <w:r>
        <w:fldChar w:fldCharType="separate"/>
      </w:r>
      <w:r>
        <w:t>59</w:t>
      </w:r>
      <w:r>
        <w:fldChar w:fldCharType="end"/>
      </w:r>
    </w:p>
    <w:p>
      <w:pPr>
        <w:pStyle w:val="TOC8"/>
        <w:rPr>
          <w:rFonts w:asciiTheme="minorHAnsi" w:eastAsiaTheme="minorEastAsia" w:hAnsiTheme="minorHAnsi" w:cstheme="minorBidi"/>
          <w:szCs w:val="22"/>
        </w:rPr>
      </w:pPr>
      <w:r>
        <w:t>6.</w:t>
      </w:r>
      <w:r>
        <w:tab/>
        <w:t>Strata</w:t>
      </w:r>
      <w:r>
        <w:noBreakHyphen/>
        <w:t>titled storage units or parking bays</w:t>
      </w:r>
      <w:r>
        <w:tab/>
      </w:r>
      <w:r>
        <w:fldChar w:fldCharType="begin"/>
      </w:r>
      <w:r>
        <w:instrText xml:space="preserve"> PAGEREF _Toc434929813 \h </w:instrText>
      </w:r>
      <w:r>
        <w:fldChar w:fldCharType="separate"/>
      </w:r>
      <w:r>
        <w:t>59</w:t>
      </w:r>
      <w:r>
        <w:fldChar w:fldCharType="end"/>
      </w:r>
    </w:p>
    <w:p>
      <w:pPr>
        <w:pStyle w:val="TOC8"/>
        <w:rPr>
          <w:rFonts w:asciiTheme="minorHAnsi" w:eastAsiaTheme="minorEastAsia" w:hAnsiTheme="minorHAnsi" w:cstheme="minorBidi"/>
          <w:szCs w:val="22"/>
        </w:rPr>
      </w:pPr>
      <w:r>
        <w:t>7.</w:t>
      </w:r>
      <w:r>
        <w:tab/>
        <w:t>Non</w:t>
      </w:r>
      <w:r>
        <w:noBreakHyphen/>
        <w:t>residential strata</w:t>
      </w:r>
      <w:r>
        <w:noBreakHyphen/>
        <w:t>titled units that share a service</w:t>
      </w:r>
      <w:r>
        <w:tab/>
      </w:r>
      <w:r>
        <w:fldChar w:fldCharType="begin"/>
      </w:r>
      <w:r>
        <w:instrText xml:space="preserve"> PAGEREF _Toc434929814 \h </w:instrText>
      </w:r>
      <w:r>
        <w:fldChar w:fldCharType="separate"/>
      </w:r>
      <w:r>
        <w:t>59</w:t>
      </w:r>
      <w:r>
        <w:fldChar w:fldCharType="end"/>
      </w:r>
    </w:p>
    <w:p>
      <w:pPr>
        <w:pStyle w:val="TOC8"/>
        <w:rPr>
          <w:rFonts w:asciiTheme="minorHAnsi" w:eastAsiaTheme="minorEastAsia" w:hAnsiTheme="minorHAnsi" w:cstheme="minorBidi"/>
          <w:szCs w:val="22"/>
        </w:rPr>
      </w:pPr>
      <w:r>
        <w:t>8.</w:t>
      </w:r>
      <w:r>
        <w:tab/>
        <w:t>Community residential</w:t>
      </w:r>
      <w:r>
        <w:tab/>
      </w:r>
      <w:r>
        <w:fldChar w:fldCharType="begin"/>
      </w:r>
      <w:r>
        <w:instrText xml:space="preserve"> PAGEREF _Toc434929815 \h </w:instrText>
      </w:r>
      <w:r>
        <w:fldChar w:fldCharType="separate"/>
      </w:r>
      <w:r>
        <w:t>60</w:t>
      </w:r>
      <w:r>
        <w:fldChar w:fldCharType="end"/>
      </w:r>
    </w:p>
    <w:p>
      <w:pPr>
        <w:pStyle w:val="TOC8"/>
        <w:rPr>
          <w:rFonts w:asciiTheme="minorHAnsi" w:eastAsiaTheme="minorEastAsia" w:hAnsiTheme="minorHAnsi" w:cstheme="minorBidi"/>
          <w:szCs w:val="22"/>
        </w:rPr>
      </w:pPr>
      <w:r>
        <w:t>9.</w:t>
      </w:r>
      <w:r>
        <w:tab/>
        <w:t>Semi</w:t>
      </w:r>
      <w:r>
        <w:noBreakHyphen/>
        <w:t>rural residential</w:t>
      </w:r>
      <w:r>
        <w:tab/>
      </w:r>
      <w:r>
        <w:fldChar w:fldCharType="begin"/>
      </w:r>
      <w:r>
        <w:instrText xml:space="preserve"> PAGEREF _Toc434929816 \h </w:instrText>
      </w:r>
      <w:r>
        <w:fldChar w:fldCharType="separate"/>
      </w:r>
      <w:r>
        <w:t>60</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_Toc434929817 \h </w:instrText>
      </w:r>
      <w:r>
        <w:fldChar w:fldCharType="separate"/>
      </w:r>
      <w:r>
        <w:t>60</w:t>
      </w:r>
      <w:r>
        <w:fldChar w:fldCharType="end"/>
      </w:r>
    </w:p>
    <w:p>
      <w:pPr>
        <w:pStyle w:val="TOC8"/>
        <w:rPr>
          <w:rFonts w:asciiTheme="minorHAnsi" w:eastAsiaTheme="minorEastAsia" w:hAnsiTheme="minorHAnsi" w:cstheme="minorBidi"/>
          <w:szCs w:val="22"/>
        </w:rPr>
      </w:pPr>
      <w:r>
        <w:t>11.</w:t>
      </w:r>
      <w:r>
        <w:tab/>
        <w:t>Non</w:t>
      </w:r>
      <w:r>
        <w:noBreakHyphen/>
        <w:t>residential or commercial residential (except certain strata</w:t>
      </w:r>
      <w:r>
        <w:noBreakHyphen/>
        <w:t>titled units)</w:t>
      </w:r>
      <w:r>
        <w:tab/>
      </w:r>
      <w:r>
        <w:fldChar w:fldCharType="begin"/>
      </w:r>
      <w:r>
        <w:instrText xml:space="preserve"> PAGEREF _Toc434929818 \h </w:instrText>
      </w:r>
      <w:r>
        <w:fldChar w:fldCharType="separate"/>
      </w:r>
      <w:r>
        <w:t>61</w:t>
      </w:r>
      <w:r>
        <w:fldChar w:fldCharType="end"/>
      </w:r>
    </w:p>
    <w:p>
      <w:pPr>
        <w:pStyle w:val="TOC8"/>
        <w:rPr>
          <w:rFonts w:asciiTheme="minorHAnsi" w:eastAsiaTheme="minorEastAsia" w:hAnsiTheme="minorHAnsi" w:cstheme="minorBidi"/>
          <w:szCs w:val="22"/>
        </w:rPr>
      </w:pPr>
      <w:r>
        <w:t>12.</w:t>
      </w:r>
      <w:r>
        <w:tab/>
        <w:t>Additional connections</w:t>
      </w:r>
      <w:r>
        <w:tab/>
      </w:r>
      <w:r>
        <w:fldChar w:fldCharType="begin"/>
      </w:r>
      <w:r>
        <w:instrText xml:space="preserve"> PAGEREF _Toc434929819 \h </w:instrText>
      </w:r>
      <w:r>
        <w:fldChar w:fldCharType="separate"/>
      </w:r>
      <w:r>
        <w:t>61</w:t>
      </w:r>
      <w:r>
        <w:fldChar w:fldCharType="end"/>
      </w:r>
    </w:p>
    <w:p>
      <w:pPr>
        <w:pStyle w:val="TOC8"/>
        <w:rPr>
          <w:rFonts w:asciiTheme="minorHAnsi" w:eastAsiaTheme="minorEastAsia" w:hAnsiTheme="minorHAnsi" w:cstheme="minorBidi"/>
          <w:szCs w:val="22"/>
        </w:rPr>
      </w:pPr>
      <w:r>
        <w:t>13.</w:t>
      </w:r>
      <w:r>
        <w:tab/>
        <w:t>Farmland</w:t>
      </w:r>
      <w:r>
        <w:tab/>
      </w:r>
      <w:r>
        <w:fldChar w:fldCharType="begin"/>
      </w:r>
      <w:r>
        <w:instrText xml:space="preserve"> PAGEREF _Toc434929820 \h </w:instrText>
      </w:r>
      <w:r>
        <w:fldChar w:fldCharType="separate"/>
      </w:r>
      <w:r>
        <w:t>62</w:t>
      </w:r>
      <w:r>
        <w:fldChar w:fldCharType="end"/>
      </w:r>
    </w:p>
    <w:p>
      <w:pPr>
        <w:pStyle w:val="TOC8"/>
        <w:rPr>
          <w:rFonts w:asciiTheme="minorHAnsi" w:eastAsiaTheme="minorEastAsia" w:hAnsiTheme="minorHAnsi" w:cstheme="minorBidi"/>
          <w:szCs w:val="22"/>
        </w:rPr>
      </w:pPr>
      <w:r>
        <w:t>14.</w:t>
      </w:r>
      <w:r>
        <w:tab/>
        <w:t>Vacant land</w:t>
      </w:r>
      <w:r>
        <w:tab/>
      </w:r>
      <w:r>
        <w:fldChar w:fldCharType="begin"/>
      </w:r>
      <w:r>
        <w:instrText xml:space="preserve"> PAGEREF _Toc434929821 \h </w:instrText>
      </w:r>
      <w:r>
        <w:fldChar w:fldCharType="separate"/>
      </w:r>
      <w:r>
        <w:t>62</w:t>
      </w:r>
      <w:r>
        <w:fldChar w:fldCharType="end"/>
      </w:r>
    </w:p>
    <w:p>
      <w:pPr>
        <w:pStyle w:val="TOC8"/>
        <w:rPr>
          <w:rFonts w:asciiTheme="minorHAnsi" w:eastAsiaTheme="minorEastAsia" w:hAnsiTheme="minorHAnsi" w:cstheme="minorBidi"/>
          <w:szCs w:val="22"/>
        </w:rPr>
      </w:pPr>
      <w:r>
        <w:t>15.</w:t>
      </w:r>
      <w:r>
        <w:tab/>
        <w:t>Garden supply</w:t>
      </w:r>
      <w:r>
        <w:tab/>
      </w:r>
      <w:r>
        <w:fldChar w:fldCharType="begin"/>
      </w:r>
      <w:r>
        <w:instrText xml:space="preserve"> PAGEREF _Toc434929822 \h </w:instrText>
      </w:r>
      <w:r>
        <w:fldChar w:fldCharType="separate"/>
      </w:r>
      <w:r>
        <w:t>62</w:t>
      </w:r>
      <w:r>
        <w:fldChar w:fldCharType="end"/>
      </w:r>
    </w:p>
    <w:p>
      <w:pPr>
        <w:pStyle w:val="TOC8"/>
        <w:rPr>
          <w:rFonts w:asciiTheme="minorHAnsi" w:eastAsiaTheme="minorEastAsia" w:hAnsiTheme="minorHAnsi" w:cstheme="minorBidi"/>
          <w:szCs w:val="22"/>
        </w:rPr>
      </w:pPr>
      <w:r>
        <w:t>16.</w:t>
      </w:r>
      <w:r>
        <w:tab/>
        <w:t>Government trading organisations and non</w:t>
      </w:r>
      <w:r>
        <w:noBreakHyphen/>
        <w:t>commercial government property</w:t>
      </w:r>
      <w:r>
        <w:tab/>
      </w:r>
      <w:r>
        <w:fldChar w:fldCharType="begin"/>
      </w:r>
      <w:r>
        <w:instrText xml:space="preserve"> PAGEREF _Toc434929823 \h </w:instrText>
      </w:r>
      <w:r>
        <w:fldChar w:fldCharType="separate"/>
      </w:r>
      <w:r>
        <w:t>63</w:t>
      </w:r>
      <w:r>
        <w:fldChar w:fldCharType="end"/>
      </w:r>
    </w:p>
    <w:p>
      <w:pPr>
        <w:pStyle w:val="TOC8"/>
        <w:rPr>
          <w:rFonts w:asciiTheme="minorHAnsi" w:eastAsiaTheme="minorEastAsia" w:hAnsiTheme="minorHAnsi" w:cstheme="minorBidi"/>
          <w:szCs w:val="22"/>
        </w:rPr>
      </w:pPr>
      <w:r>
        <w:t>17.</w:t>
      </w:r>
      <w:r>
        <w:tab/>
        <w:t>Government trading organisations and non</w:t>
      </w:r>
      <w:r>
        <w:noBreakHyphen/>
        <w:t>commercial government property: on</w:t>
      </w:r>
      <w:r>
        <w:noBreakHyphen/>
        <w:t>supply to lessees or ships</w:t>
      </w:r>
      <w:r>
        <w:tab/>
      </w:r>
      <w:r>
        <w:fldChar w:fldCharType="begin"/>
      </w:r>
      <w:r>
        <w:instrText xml:space="preserve"> PAGEREF _Toc434929824 \h </w:instrText>
      </w:r>
      <w:r>
        <w:fldChar w:fldCharType="separate"/>
      </w:r>
      <w:r>
        <w:t>64</w:t>
      </w:r>
      <w:r>
        <w:fldChar w:fldCharType="end"/>
      </w:r>
    </w:p>
    <w:p>
      <w:pPr>
        <w:pStyle w:val="TOC8"/>
        <w:rPr>
          <w:rFonts w:asciiTheme="minorHAnsi" w:eastAsiaTheme="minorEastAsia" w:hAnsiTheme="minorHAnsi" w:cstheme="minorBidi"/>
          <w:szCs w:val="22"/>
        </w:rPr>
      </w:pPr>
      <w:r>
        <w:t>18.</w:t>
      </w:r>
      <w:r>
        <w:tab/>
        <w:t>Capital infrastructure charges</w:t>
      </w:r>
      <w:r>
        <w:tab/>
      </w:r>
      <w:r>
        <w:fldChar w:fldCharType="begin"/>
      </w:r>
      <w:r>
        <w:instrText xml:space="preserve"> PAGEREF _Toc434929825 \h </w:instrText>
      </w:r>
      <w:r>
        <w:fldChar w:fldCharType="separate"/>
      </w:r>
      <w:r>
        <w:t>65</w:t>
      </w:r>
      <w:r>
        <w:fldChar w:fldCharType="end"/>
      </w:r>
    </w:p>
    <w:p>
      <w:pPr>
        <w:pStyle w:val="TOC6"/>
        <w:tabs>
          <w:tab w:val="right" w:leader="dot" w:pos="7077"/>
        </w:tabs>
        <w:rPr>
          <w:rFonts w:asciiTheme="minorHAnsi" w:eastAsiaTheme="minorEastAsia" w:hAnsiTheme="minorHAnsi" w:cstheme="minorBidi"/>
          <w:b w:val="0"/>
          <w:sz w:val="22"/>
          <w:szCs w:val="22"/>
        </w:rPr>
      </w:pPr>
      <w:r>
        <w:t>Subdivision 3 — Other service charges</w:t>
      </w:r>
    </w:p>
    <w:p>
      <w:pPr>
        <w:pStyle w:val="TOC8"/>
        <w:rPr>
          <w:rFonts w:asciiTheme="minorHAnsi" w:eastAsiaTheme="minorEastAsia" w:hAnsiTheme="minorHAnsi" w:cstheme="minorBidi"/>
          <w:szCs w:val="22"/>
        </w:rPr>
      </w:pPr>
      <w:r>
        <w:t>19.</w:t>
      </w:r>
      <w:r>
        <w:tab/>
        <w:t>Stock</w:t>
      </w:r>
      <w:r>
        <w:tab/>
      </w:r>
      <w:r>
        <w:fldChar w:fldCharType="begin"/>
      </w:r>
      <w:r>
        <w:instrText xml:space="preserve"> PAGEREF _Toc434929827 \h </w:instrText>
      </w:r>
      <w:r>
        <w:fldChar w:fldCharType="separate"/>
      </w:r>
      <w:r>
        <w:t>65</w:t>
      </w:r>
      <w:r>
        <w:fldChar w:fldCharType="end"/>
      </w:r>
    </w:p>
    <w:p>
      <w:pPr>
        <w:pStyle w:val="TOC8"/>
        <w:rPr>
          <w:rFonts w:asciiTheme="minorHAnsi" w:eastAsiaTheme="minorEastAsia" w:hAnsiTheme="minorHAnsi" w:cstheme="minorBidi"/>
          <w:szCs w:val="22"/>
        </w:rPr>
      </w:pPr>
      <w:r>
        <w:t>20.</w:t>
      </w:r>
      <w:r>
        <w:tab/>
        <w:t>Shipping</w:t>
      </w:r>
      <w:r>
        <w:tab/>
      </w:r>
      <w:r>
        <w:fldChar w:fldCharType="begin"/>
      </w:r>
      <w:r>
        <w:instrText xml:space="preserve"> PAGEREF _Toc434929828 \h </w:instrText>
      </w:r>
      <w:r>
        <w:fldChar w:fldCharType="separate"/>
      </w:r>
      <w:r>
        <w:t>66</w:t>
      </w:r>
      <w:r>
        <w:fldChar w:fldCharType="end"/>
      </w:r>
    </w:p>
    <w:p>
      <w:pPr>
        <w:pStyle w:val="TOC8"/>
        <w:rPr>
          <w:rFonts w:asciiTheme="minorHAnsi" w:eastAsiaTheme="minorEastAsia" w:hAnsiTheme="minorHAnsi" w:cstheme="minorBidi"/>
          <w:szCs w:val="22"/>
        </w:rPr>
      </w:pPr>
      <w:r>
        <w:t>21.</w:t>
      </w:r>
      <w:r>
        <w:tab/>
        <w:t>Local government standpipes</w:t>
      </w:r>
      <w:r>
        <w:tab/>
      </w:r>
      <w:r>
        <w:fldChar w:fldCharType="begin"/>
      </w:r>
      <w:r>
        <w:instrText xml:space="preserve"> PAGEREF _Toc434929829 \h </w:instrText>
      </w:r>
      <w:r>
        <w:fldChar w:fldCharType="separate"/>
      </w:r>
      <w:r>
        <w:t>66</w:t>
      </w:r>
      <w:r>
        <w:fldChar w:fldCharType="end"/>
      </w:r>
    </w:p>
    <w:p>
      <w:pPr>
        <w:pStyle w:val="TOC8"/>
        <w:rPr>
          <w:rFonts w:asciiTheme="minorHAnsi" w:eastAsiaTheme="minorEastAsia" w:hAnsiTheme="minorHAnsi" w:cstheme="minorBidi"/>
          <w:szCs w:val="22"/>
        </w:rPr>
      </w:pPr>
      <w:r>
        <w:t>22.</w:t>
      </w:r>
      <w:r>
        <w:tab/>
        <w:t>Fire service connections</w:t>
      </w:r>
      <w:r>
        <w:tab/>
      </w:r>
      <w:r>
        <w:fldChar w:fldCharType="begin"/>
      </w:r>
      <w:r>
        <w:instrText xml:space="preserve"> PAGEREF _Toc434929830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Division 2 — Consumption charges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23.</w:t>
      </w:r>
      <w:r>
        <w:tab/>
        <w:t>Consumption charges for 2015/16 year and subsequent years</w:t>
      </w:r>
      <w:r>
        <w:tab/>
      </w:r>
      <w:r>
        <w:fldChar w:fldCharType="begin"/>
      </w:r>
      <w:r>
        <w:instrText xml:space="preserve"> PAGEREF _Toc434929833 \h </w:instrText>
      </w:r>
      <w:r>
        <w:fldChar w:fldCharType="separate"/>
      </w:r>
      <w:r>
        <w:t>66</w:t>
      </w:r>
      <w:r>
        <w:fldChar w:fldCharType="end"/>
      </w:r>
    </w:p>
    <w:p>
      <w:pPr>
        <w:pStyle w:val="TOC8"/>
        <w:rPr>
          <w:rFonts w:asciiTheme="minorHAnsi" w:eastAsiaTheme="minorEastAsia" w:hAnsiTheme="minorHAnsi" w:cstheme="minorBidi"/>
          <w:szCs w:val="22"/>
        </w:rPr>
      </w:pPr>
      <w:r>
        <w:t>24.</w:t>
      </w:r>
      <w:r>
        <w:tab/>
        <w:t>Residential or non</w:t>
      </w:r>
      <w:r>
        <w:noBreakHyphen/>
        <w:t>residential class of town or area</w:t>
      </w:r>
      <w:r>
        <w:tab/>
      </w:r>
      <w:r>
        <w:fldChar w:fldCharType="begin"/>
      </w:r>
      <w:r>
        <w:instrText xml:space="preserve"> PAGEREF _Toc434929834 \h </w:instrText>
      </w:r>
      <w:r>
        <w:fldChar w:fldCharType="separate"/>
      </w:r>
      <w:r>
        <w:t>66</w:t>
      </w:r>
      <w:r>
        <w:fldChar w:fldCharType="end"/>
      </w:r>
    </w:p>
    <w:p>
      <w:pPr>
        <w:pStyle w:val="TOC8"/>
        <w:rPr>
          <w:rFonts w:asciiTheme="minorHAnsi" w:eastAsiaTheme="minorEastAsia" w:hAnsiTheme="minorHAnsi" w:cstheme="minorBidi"/>
          <w:szCs w:val="22"/>
        </w:rPr>
      </w:pPr>
      <w:r>
        <w:t>25.</w:t>
      </w:r>
      <w:r>
        <w:tab/>
        <w:t>Table of class</w:t>
      </w:r>
      <w:r>
        <w:noBreakHyphen/>
        <w:t>based charges</w:t>
      </w:r>
      <w:r>
        <w:tab/>
      </w:r>
      <w:r>
        <w:fldChar w:fldCharType="begin"/>
      </w:r>
      <w:r>
        <w:instrText xml:space="preserve"> PAGEREF _Toc434929835 \h </w:instrText>
      </w:r>
      <w:r>
        <w:fldChar w:fldCharType="separate"/>
      </w:r>
      <w:r>
        <w:t>67</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Consumption charges that apply in respect of land</w:t>
      </w:r>
    </w:p>
    <w:p>
      <w:pPr>
        <w:pStyle w:val="TOC8"/>
        <w:rPr>
          <w:rFonts w:asciiTheme="minorHAnsi" w:eastAsiaTheme="minorEastAsia" w:hAnsiTheme="minorHAnsi" w:cstheme="minorBidi"/>
          <w:szCs w:val="22"/>
        </w:rPr>
      </w:pPr>
      <w:r>
        <w:t>26.</w:t>
      </w:r>
      <w:r>
        <w:tab/>
        <w:t>Metropolitan residential and semi</w:t>
      </w:r>
      <w:r>
        <w:noBreakHyphen/>
        <w:t>rural residential</w:t>
      </w:r>
      <w:r>
        <w:tab/>
      </w:r>
      <w:r>
        <w:fldChar w:fldCharType="begin"/>
      </w:r>
      <w:r>
        <w:instrText xml:space="preserve"> PAGEREF _Toc434929837 \h </w:instrText>
      </w:r>
      <w:r>
        <w:fldChar w:fldCharType="separate"/>
      </w:r>
      <w:r>
        <w:t>68</w:t>
      </w:r>
      <w:r>
        <w:fldChar w:fldCharType="end"/>
      </w:r>
    </w:p>
    <w:p>
      <w:pPr>
        <w:pStyle w:val="TOC8"/>
        <w:rPr>
          <w:rFonts w:asciiTheme="minorHAnsi" w:eastAsiaTheme="minorEastAsia" w:hAnsiTheme="minorHAnsi" w:cstheme="minorBidi"/>
          <w:szCs w:val="22"/>
        </w:rPr>
      </w:pPr>
      <w:r>
        <w:t>27.</w:t>
      </w:r>
      <w:r>
        <w:tab/>
        <w:t>Metropolitan non</w:t>
      </w:r>
      <w:r>
        <w:noBreakHyphen/>
        <w:t>residential</w:t>
      </w:r>
      <w:r>
        <w:tab/>
      </w:r>
      <w:r>
        <w:fldChar w:fldCharType="begin"/>
      </w:r>
      <w:r>
        <w:instrText xml:space="preserve"> PAGEREF _Toc434929838 \h </w:instrText>
      </w:r>
      <w:r>
        <w:fldChar w:fldCharType="separate"/>
      </w:r>
      <w:r>
        <w:t>68</w:t>
      </w:r>
      <w:r>
        <w:fldChar w:fldCharType="end"/>
      </w:r>
    </w:p>
    <w:p>
      <w:pPr>
        <w:pStyle w:val="TOC8"/>
        <w:rPr>
          <w:rFonts w:asciiTheme="minorHAnsi" w:eastAsiaTheme="minorEastAsia" w:hAnsiTheme="minorHAnsi" w:cstheme="minorBidi"/>
          <w:szCs w:val="22"/>
        </w:rPr>
      </w:pPr>
      <w:r>
        <w:t>28.</w:t>
      </w:r>
      <w:r>
        <w:tab/>
        <w:t>Metropolitan non</w:t>
      </w:r>
      <w:r>
        <w:noBreakHyphen/>
        <w:t>residential concessional</w:t>
      </w:r>
      <w:r>
        <w:tab/>
      </w:r>
      <w:r>
        <w:fldChar w:fldCharType="begin"/>
      </w:r>
      <w:r>
        <w:instrText xml:space="preserve"> PAGEREF _Toc434929839 \h </w:instrText>
      </w:r>
      <w:r>
        <w:fldChar w:fldCharType="separate"/>
      </w:r>
      <w:r>
        <w:t>69</w:t>
      </w:r>
      <w:r>
        <w:fldChar w:fldCharType="end"/>
      </w:r>
    </w:p>
    <w:p>
      <w:pPr>
        <w:pStyle w:val="TOC8"/>
        <w:rPr>
          <w:rFonts w:asciiTheme="minorHAnsi" w:eastAsiaTheme="minorEastAsia" w:hAnsiTheme="minorHAnsi" w:cstheme="minorBidi"/>
          <w:szCs w:val="22"/>
        </w:rPr>
      </w:pPr>
      <w:r>
        <w:t>29.</w:t>
      </w:r>
      <w:r>
        <w:tab/>
        <w:t>Community residential</w:t>
      </w:r>
      <w:r>
        <w:tab/>
      </w:r>
      <w:r>
        <w:fldChar w:fldCharType="begin"/>
      </w:r>
      <w:r>
        <w:instrText xml:space="preserve"> PAGEREF _Toc434929840 \h </w:instrText>
      </w:r>
      <w:r>
        <w:fldChar w:fldCharType="separate"/>
      </w:r>
      <w:r>
        <w:t>69</w:t>
      </w:r>
      <w:r>
        <w:fldChar w:fldCharType="end"/>
      </w:r>
    </w:p>
    <w:p>
      <w:pPr>
        <w:pStyle w:val="TOC8"/>
        <w:rPr>
          <w:rFonts w:asciiTheme="minorHAnsi" w:eastAsiaTheme="minorEastAsia" w:hAnsiTheme="minorHAnsi" w:cstheme="minorBidi"/>
          <w:szCs w:val="22"/>
        </w:rPr>
      </w:pPr>
      <w:r>
        <w:t>30.</w:t>
      </w:r>
      <w:r>
        <w:tab/>
        <w:t>Non</w:t>
      </w:r>
      <w:r>
        <w:noBreakHyphen/>
        <w:t>metropolitan residential</w:t>
      </w:r>
      <w:r>
        <w:tab/>
      </w:r>
      <w:r>
        <w:fldChar w:fldCharType="begin"/>
      </w:r>
      <w:r>
        <w:instrText xml:space="preserve"> PAGEREF _Toc434929841 \h </w:instrText>
      </w:r>
      <w:r>
        <w:fldChar w:fldCharType="separate"/>
      </w:r>
      <w:r>
        <w:t>70</w:t>
      </w:r>
      <w:r>
        <w:fldChar w:fldCharType="end"/>
      </w:r>
    </w:p>
    <w:p>
      <w:pPr>
        <w:pStyle w:val="TOC8"/>
        <w:rPr>
          <w:rFonts w:asciiTheme="minorHAnsi" w:eastAsiaTheme="minorEastAsia" w:hAnsiTheme="minorHAnsi" w:cstheme="minorBidi"/>
          <w:szCs w:val="22"/>
        </w:rPr>
      </w:pPr>
      <w:r>
        <w:t>31.</w:t>
      </w:r>
      <w:r>
        <w:tab/>
        <w:t>Non</w:t>
      </w:r>
      <w:r>
        <w:noBreakHyphen/>
        <w:t>metropolitan non</w:t>
      </w:r>
      <w:r>
        <w:noBreakHyphen/>
        <w:t>residential</w:t>
      </w:r>
      <w:r>
        <w:tab/>
      </w:r>
      <w:r>
        <w:fldChar w:fldCharType="begin"/>
      </w:r>
      <w:r>
        <w:instrText xml:space="preserve"> PAGEREF _Toc434929842 \h </w:instrText>
      </w:r>
      <w:r>
        <w:fldChar w:fldCharType="separate"/>
      </w:r>
      <w:r>
        <w:t>72</w:t>
      </w:r>
      <w:r>
        <w:fldChar w:fldCharType="end"/>
      </w:r>
    </w:p>
    <w:p>
      <w:pPr>
        <w:pStyle w:val="TOC8"/>
        <w:rPr>
          <w:rFonts w:asciiTheme="minorHAnsi" w:eastAsiaTheme="minorEastAsia" w:hAnsiTheme="minorHAnsi" w:cstheme="minorBidi"/>
          <w:szCs w:val="22"/>
        </w:rPr>
      </w:pPr>
      <w:r>
        <w:t>32.</w:t>
      </w:r>
      <w:r>
        <w:tab/>
        <w:t>Non</w:t>
      </w:r>
      <w:r>
        <w:noBreakHyphen/>
        <w:t>metropolitan residential concessional</w:t>
      </w:r>
      <w:r>
        <w:tab/>
      </w:r>
      <w:r>
        <w:fldChar w:fldCharType="begin"/>
      </w:r>
      <w:r>
        <w:instrText xml:space="preserve"> PAGEREF _Toc434929843 \h </w:instrText>
      </w:r>
      <w:r>
        <w:fldChar w:fldCharType="separate"/>
      </w:r>
      <w:r>
        <w:t>73</w:t>
      </w:r>
      <w:r>
        <w:fldChar w:fldCharType="end"/>
      </w:r>
    </w:p>
    <w:p>
      <w:pPr>
        <w:pStyle w:val="TOC8"/>
        <w:rPr>
          <w:rFonts w:asciiTheme="minorHAnsi" w:eastAsiaTheme="minorEastAsia" w:hAnsiTheme="minorHAnsi" w:cstheme="minorBidi"/>
          <w:szCs w:val="22"/>
        </w:rPr>
      </w:pPr>
      <w:r>
        <w:t>33.</w:t>
      </w:r>
      <w:r>
        <w:tab/>
        <w:t>Strata</w:t>
      </w:r>
      <w:r>
        <w:noBreakHyphen/>
        <w:t>titled or long</w:t>
      </w:r>
      <w:r>
        <w:noBreakHyphen/>
        <w:t>term residential caravan bays</w:t>
      </w:r>
      <w:r>
        <w:tab/>
      </w:r>
      <w:r>
        <w:fldChar w:fldCharType="begin"/>
      </w:r>
      <w:r>
        <w:instrText xml:space="preserve"> PAGEREF _Toc434929844 \h </w:instrText>
      </w:r>
      <w:r>
        <w:fldChar w:fldCharType="separate"/>
      </w:r>
      <w:r>
        <w:t>73</w:t>
      </w:r>
      <w:r>
        <w:fldChar w:fldCharType="end"/>
      </w:r>
    </w:p>
    <w:p>
      <w:pPr>
        <w:pStyle w:val="TOC8"/>
        <w:rPr>
          <w:rFonts w:asciiTheme="minorHAnsi" w:eastAsiaTheme="minorEastAsia" w:hAnsiTheme="minorHAnsi" w:cstheme="minorBidi"/>
          <w:szCs w:val="22"/>
        </w:rPr>
      </w:pPr>
      <w:r>
        <w:t>34.</w:t>
      </w:r>
      <w:r>
        <w:tab/>
        <w:t>Government trading organisations and non</w:t>
      </w:r>
      <w:r>
        <w:noBreakHyphen/>
        <w:t>commercial government property</w:t>
      </w:r>
      <w:r>
        <w:tab/>
      </w:r>
      <w:r>
        <w:fldChar w:fldCharType="begin"/>
      </w:r>
      <w:r>
        <w:instrText xml:space="preserve"> PAGEREF _Toc434929845 \h </w:instrText>
      </w:r>
      <w:r>
        <w:fldChar w:fldCharType="separate"/>
      </w:r>
      <w:r>
        <w:t>73</w:t>
      </w:r>
      <w:r>
        <w:fldChar w:fldCharType="end"/>
      </w:r>
    </w:p>
    <w:p>
      <w:pPr>
        <w:pStyle w:val="TOC8"/>
        <w:rPr>
          <w:rFonts w:asciiTheme="minorHAnsi" w:eastAsiaTheme="minorEastAsia" w:hAnsiTheme="minorHAnsi" w:cstheme="minorBidi"/>
          <w:szCs w:val="22"/>
        </w:rPr>
      </w:pPr>
      <w:r>
        <w:t>35.</w:t>
      </w:r>
      <w:r>
        <w:tab/>
        <w:t>Coral Bay desalinated</w:t>
      </w:r>
      <w:r>
        <w:tab/>
      </w:r>
      <w:r>
        <w:fldChar w:fldCharType="begin"/>
      </w:r>
      <w:r>
        <w:instrText xml:space="preserve"> PAGEREF _Toc434929846 \h </w:instrText>
      </w:r>
      <w:r>
        <w:fldChar w:fldCharType="separate"/>
      </w:r>
      <w:r>
        <w:t>74</w:t>
      </w:r>
      <w:r>
        <w:fldChar w:fldCharType="end"/>
      </w:r>
    </w:p>
    <w:p>
      <w:pPr>
        <w:pStyle w:val="TOC8"/>
        <w:rPr>
          <w:rFonts w:asciiTheme="minorHAnsi" w:eastAsiaTheme="minorEastAsia" w:hAnsiTheme="minorHAnsi" w:cstheme="minorBidi"/>
          <w:szCs w:val="22"/>
        </w:rPr>
      </w:pPr>
      <w:r>
        <w:t>36.</w:t>
      </w:r>
      <w:r>
        <w:tab/>
        <w:t>Denham desalinated</w:t>
      </w:r>
      <w:r>
        <w:tab/>
      </w:r>
      <w:r>
        <w:fldChar w:fldCharType="begin"/>
      </w:r>
      <w:r>
        <w:instrText xml:space="preserve"> PAGEREF _Toc434929847 \h </w:instrText>
      </w:r>
      <w:r>
        <w:fldChar w:fldCharType="separate"/>
      </w:r>
      <w:r>
        <w:t>74</w:t>
      </w:r>
      <w:r>
        <w:fldChar w:fldCharType="end"/>
      </w:r>
    </w:p>
    <w:p>
      <w:pPr>
        <w:pStyle w:val="TOC8"/>
        <w:rPr>
          <w:rFonts w:asciiTheme="minorHAnsi" w:eastAsiaTheme="minorEastAsia" w:hAnsiTheme="minorHAnsi" w:cstheme="minorBidi"/>
          <w:szCs w:val="22"/>
        </w:rPr>
      </w:pPr>
      <w:r>
        <w:t>37.</w:t>
      </w:r>
      <w:r>
        <w:tab/>
        <w:t>Garden supply: Mulataga</w:t>
      </w:r>
      <w:r>
        <w:tab/>
      </w:r>
      <w:r>
        <w:fldChar w:fldCharType="begin"/>
      </w:r>
      <w:r>
        <w:instrText xml:space="preserve"> PAGEREF _Toc434929848 \h </w:instrText>
      </w:r>
      <w:r>
        <w:fldChar w:fldCharType="separate"/>
      </w:r>
      <w:r>
        <w:t>75</w:t>
      </w:r>
      <w:r>
        <w:fldChar w:fldCharType="end"/>
      </w:r>
    </w:p>
    <w:p>
      <w:pPr>
        <w:pStyle w:val="TOC6"/>
        <w:tabs>
          <w:tab w:val="right" w:leader="dot" w:pos="7077"/>
        </w:tabs>
        <w:rPr>
          <w:rFonts w:asciiTheme="minorHAnsi" w:eastAsiaTheme="minorEastAsia" w:hAnsiTheme="minorHAnsi" w:cstheme="minorBidi"/>
          <w:b w:val="0"/>
          <w:sz w:val="22"/>
          <w:szCs w:val="22"/>
        </w:rPr>
      </w:pPr>
      <w:r>
        <w:t>Subdivision 3 — Other consumption charges</w:t>
      </w:r>
    </w:p>
    <w:p>
      <w:pPr>
        <w:pStyle w:val="TOC8"/>
        <w:rPr>
          <w:rFonts w:asciiTheme="minorHAnsi" w:eastAsiaTheme="minorEastAsia" w:hAnsiTheme="minorHAnsi" w:cstheme="minorBidi"/>
          <w:szCs w:val="22"/>
        </w:rPr>
      </w:pPr>
      <w:r>
        <w:t>38.</w:t>
      </w:r>
      <w:r>
        <w:tab/>
        <w:t>Local government standpipes</w:t>
      </w:r>
      <w:r>
        <w:tab/>
      </w:r>
      <w:r>
        <w:fldChar w:fldCharType="begin"/>
      </w:r>
      <w:r>
        <w:instrText xml:space="preserve"> PAGEREF _Toc434929850 \h </w:instrText>
      </w:r>
      <w:r>
        <w:fldChar w:fldCharType="separate"/>
      </w:r>
      <w:r>
        <w:t>75</w:t>
      </w:r>
      <w:r>
        <w:fldChar w:fldCharType="end"/>
      </w:r>
    </w:p>
    <w:p>
      <w:pPr>
        <w:pStyle w:val="TOC8"/>
        <w:rPr>
          <w:rFonts w:asciiTheme="minorHAnsi" w:eastAsiaTheme="minorEastAsia" w:hAnsiTheme="minorHAnsi" w:cstheme="minorBidi"/>
          <w:szCs w:val="22"/>
        </w:rPr>
      </w:pPr>
      <w:r>
        <w:t>39.</w:t>
      </w:r>
      <w:r>
        <w:tab/>
        <w:t>Shipping</w:t>
      </w:r>
      <w:r>
        <w:tab/>
      </w:r>
      <w:r>
        <w:fldChar w:fldCharType="begin"/>
      </w:r>
      <w:r>
        <w:instrText xml:space="preserve"> PAGEREF _Toc434929851 \h </w:instrText>
      </w:r>
      <w:r>
        <w:fldChar w:fldCharType="separate"/>
      </w:r>
      <w:r>
        <w:t>75</w:t>
      </w:r>
      <w:r>
        <w:fldChar w:fldCharType="end"/>
      </w:r>
    </w:p>
    <w:p>
      <w:pPr>
        <w:pStyle w:val="TOC8"/>
        <w:rPr>
          <w:rFonts w:asciiTheme="minorHAnsi" w:eastAsiaTheme="minorEastAsia" w:hAnsiTheme="minorHAnsi" w:cstheme="minorBidi"/>
          <w:szCs w:val="22"/>
        </w:rPr>
      </w:pPr>
      <w:r>
        <w:t>40.</w:t>
      </w:r>
      <w:r>
        <w:tab/>
        <w:t>Stock</w:t>
      </w:r>
      <w:r>
        <w:tab/>
      </w:r>
      <w:r>
        <w:fldChar w:fldCharType="begin"/>
      </w:r>
      <w:r>
        <w:instrText xml:space="preserve"> PAGEREF _Toc434929852 \h </w:instrText>
      </w:r>
      <w:r>
        <w:fldChar w:fldCharType="separate"/>
      </w:r>
      <w:r>
        <w:t>76</w:t>
      </w:r>
      <w:r>
        <w:fldChar w:fldCharType="end"/>
      </w:r>
    </w:p>
    <w:p>
      <w:pPr>
        <w:pStyle w:val="TOC8"/>
        <w:rPr>
          <w:rFonts w:asciiTheme="minorHAnsi" w:eastAsiaTheme="minorEastAsia" w:hAnsiTheme="minorHAnsi" w:cstheme="minorBidi"/>
          <w:szCs w:val="22"/>
        </w:rPr>
      </w:pPr>
      <w:r>
        <w:t>41.</w:t>
      </w:r>
      <w:r>
        <w:tab/>
        <w:t>Hydrant standpipes</w:t>
      </w:r>
      <w:r>
        <w:tab/>
      </w:r>
      <w:r>
        <w:fldChar w:fldCharType="begin"/>
      </w:r>
      <w:r>
        <w:instrText xml:space="preserve"> PAGEREF _Toc434929853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Schedule 4 — Sewerage charges for the Water Corporation</w:t>
      </w:r>
    </w:p>
    <w:p>
      <w:pPr>
        <w:pStyle w:val="TOC4"/>
        <w:tabs>
          <w:tab w:val="right" w:leader="dot" w:pos="7077"/>
        </w:tabs>
        <w:rPr>
          <w:rFonts w:asciiTheme="minorHAnsi" w:eastAsiaTheme="minorEastAsia" w:hAnsiTheme="minorHAnsi" w:cstheme="minorBidi"/>
          <w:b w:val="0"/>
          <w:szCs w:val="22"/>
        </w:rPr>
      </w:pPr>
      <w:r>
        <w:t>Division 1</w:t>
      </w:r>
      <w:r>
        <w:rPr>
          <w:b w:val="0"/>
        </w:rPr>
        <w:t> — </w:t>
      </w:r>
      <w:r>
        <w:t>Service charges</w:t>
      </w:r>
    </w:p>
    <w:p>
      <w:pPr>
        <w:pStyle w:val="TOC8"/>
        <w:rPr>
          <w:rFonts w:asciiTheme="minorHAnsi" w:eastAsiaTheme="minorEastAsia" w:hAnsiTheme="minorHAnsi" w:cstheme="minorBidi"/>
          <w:szCs w:val="22"/>
        </w:rPr>
      </w:pPr>
      <w:r>
        <w:t>1.</w:t>
      </w:r>
      <w:r>
        <w:tab/>
        <w:t>Service charges for 2015/16 year and subsequent years</w:t>
      </w:r>
      <w:r>
        <w:tab/>
      </w:r>
      <w:r>
        <w:fldChar w:fldCharType="begin"/>
      </w:r>
      <w:r>
        <w:instrText xml:space="preserve"> PAGEREF _Toc434929856 \h </w:instrText>
      </w:r>
      <w:r>
        <w:fldChar w:fldCharType="separate"/>
      </w:r>
      <w:r>
        <w:t>77</w:t>
      </w:r>
      <w:r>
        <w:fldChar w:fldCharType="end"/>
      </w:r>
    </w:p>
    <w:p>
      <w:pPr>
        <w:pStyle w:val="TOC8"/>
        <w:rPr>
          <w:rFonts w:asciiTheme="minorHAnsi" w:eastAsiaTheme="minorEastAsia" w:hAnsiTheme="minorHAnsi" w:cstheme="minorBidi"/>
          <w:szCs w:val="22"/>
        </w:rPr>
      </w:pPr>
      <w:r>
        <w:t>2.</w:t>
      </w:r>
      <w:r>
        <w:tab/>
        <w:t>Metropolitan residential</w:t>
      </w:r>
      <w:r>
        <w:tab/>
      </w:r>
      <w:r>
        <w:fldChar w:fldCharType="begin"/>
      </w:r>
      <w:r>
        <w:instrText xml:space="preserve"> PAGEREF _Toc434929857 \h </w:instrText>
      </w:r>
      <w:r>
        <w:fldChar w:fldCharType="separate"/>
      </w:r>
      <w:r>
        <w:t>77</w:t>
      </w:r>
      <w:r>
        <w:fldChar w:fldCharType="end"/>
      </w:r>
    </w:p>
    <w:p>
      <w:pPr>
        <w:pStyle w:val="TOC8"/>
        <w:rPr>
          <w:rFonts w:asciiTheme="minorHAnsi" w:eastAsiaTheme="minorEastAsia" w:hAnsiTheme="minorHAnsi" w:cstheme="minorBidi"/>
          <w:szCs w:val="22"/>
        </w:rPr>
      </w:pPr>
      <w:r>
        <w:t>3.</w:t>
      </w:r>
      <w:r>
        <w:tab/>
        <w:t>Metropolitan vacant land</w:t>
      </w:r>
      <w:r>
        <w:tab/>
      </w:r>
      <w:r>
        <w:fldChar w:fldCharType="begin"/>
      </w:r>
      <w:r>
        <w:instrText xml:space="preserve"> PAGEREF _Toc434929858 \h </w:instrText>
      </w:r>
      <w:r>
        <w:fldChar w:fldCharType="separate"/>
      </w:r>
      <w:r>
        <w:t>77</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_Toc434929859 \h </w:instrText>
      </w:r>
      <w:r>
        <w:fldChar w:fldCharType="separate"/>
      </w:r>
      <w:r>
        <w:t>77</w:t>
      </w:r>
      <w:r>
        <w:fldChar w:fldCharType="end"/>
      </w:r>
    </w:p>
    <w:p>
      <w:pPr>
        <w:pStyle w:val="TOC8"/>
        <w:rPr>
          <w:rFonts w:asciiTheme="minorHAnsi" w:eastAsiaTheme="minorEastAsia" w:hAnsiTheme="minorHAnsi" w:cstheme="minorBidi"/>
          <w:szCs w:val="22"/>
        </w:rPr>
      </w:pPr>
      <w:r>
        <w:t>5.</w:t>
      </w:r>
      <w:r>
        <w:tab/>
        <w:t>Strata</w:t>
      </w:r>
      <w:r>
        <w:noBreakHyphen/>
        <w:t>titled caravan bay</w:t>
      </w:r>
      <w:r>
        <w:tab/>
      </w:r>
      <w:r>
        <w:fldChar w:fldCharType="begin"/>
      </w:r>
      <w:r>
        <w:instrText xml:space="preserve"> PAGEREF _Toc434929860 \h </w:instrText>
      </w:r>
      <w:r>
        <w:fldChar w:fldCharType="separate"/>
      </w:r>
      <w:r>
        <w:t>78</w:t>
      </w:r>
      <w:r>
        <w:fldChar w:fldCharType="end"/>
      </w:r>
    </w:p>
    <w:p>
      <w:pPr>
        <w:pStyle w:val="TOC8"/>
        <w:rPr>
          <w:rFonts w:asciiTheme="minorHAnsi" w:eastAsiaTheme="minorEastAsia" w:hAnsiTheme="minorHAnsi" w:cstheme="minorBidi"/>
          <w:szCs w:val="22"/>
        </w:rPr>
      </w:pPr>
      <w:r>
        <w:t>6.</w:t>
      </w:r>
      <w:r>
        <w:tab/>
        <w:t>Strata</w:t>
      </w:r>
      <w:r>
        <w:noBreakHyphen/>
        <w:t>titled storage unit or strata</w:t>
      </w:r>
      <w:r>
        <w:noBreakHyphen/>
        <w:t>titled parking bay</w:t>
      </w:r>
      <w:r>
        <w:tab/>
      </w:r>
      <w:r>
        <w:fldChar w:fldCharType="begin"/>
      </w:r>
      <w:r>
        <w:instrText xml:space="preserve"> PAGEREF _Toc434929861 \h </w:instrText>
      </w:r>
      <w:r>
        <w:fldChar w:fldCharType="separate"/>
      </w:r>
      <w:r>
        <w:t>78</w:t>
      </w:r>
      <w:r>
        <w:fldChar w:fldCharType="end"/>
      </w:r>
    </w:p>
    <w:p>
      <w:pPr>
        <w:pStyle w:val="TOC8"/>
        <w:rPr>
          <w:rFonts w:asciiTheme="minorHAnsi" w:eastAsiaTheme="minorEastAsia" w:hAnsiTheme="minorHAnsi" w:cstheme="minorBidi"/>
          <w:szCs w:val="22"/>
        </w:rPr>
      </w:pPr>
      <w:r>
        <w:t>7.</w:t>
      </w:r>
      <w:r>
        <w:tab/>
        <w:t>Land from which trade waste is discharged into sewer</w:t>
      </w:r>
      <w:r>
        <w:tab/>
      </w:r>
      <w:r>
        <w:fldChar w:fldCharType="begin"/>
      </w:r>
      <w:r>
        <w:instrText xml:space="preserve"> PAGEREF _Toc434929862 \h </w:instrText>
      </w:r>
      <w:r>
        <w:fldChar w:fldCharType="separate"/>
      </w:r>
      <w:r>
        <w:t>78</w:t>
      </w:r>
      <w:r>
        <w:fldChar w:fldCharType="end"/>
      </w:r>
    </w:p>
    <w:p>
      <w:pPr>
        <w:pStyle w:val="TOC8"/>
        <w:rPr>
          <w:rFonts w:asciiTheme="minorHAnsi" w:eastAsiaTheme="minorEastAsia" w:hAnsiTheme="minorHAnsi" w:cstheme="minorBidi"/>
          <w:szCs w:val="22"/>
        </w:rPr>
      </w:pPr>
      <w:r>
        <w:t>8.</w:t>
      </w:r>
      <w:r>
        <w:tab/>
        <w:t>Land from which trade waste is discharged into sewer through grease arrestor</w:t>
      </w:r>
      <w:r>
        <w:tab/>
      </w:r>
      <w:r>
        <w:fldChar w:fldCharType="begin"/>
      </w:r>
      <w:r>
        <w:instrText xml:space="preserve"> PAGEREF _Toc434929863 \h </w:instrText>
      </w:r>
      <w:r>
        <w:fldChar w:fldCharType="separate"/>
      </w:r>
      <w:r>
        <w:t>79</w:t>
      </w:r>
      <w:r>
        <w:fldChar w:fldCharType="end"/>
      </w:r>
    </w:p>
    <w:p>
      <w:pPr>
        <w:pStyle w:val="TOC8"/>
        <w:rPr>
          <w:rFonts w:asciiTheme="minorHAnsi" w:eastAsiaTheme="minorEastAsia" w:hAnsiTheme="minorHAnsi" w:cstheme="minorBidi"/>
          <w:szCs w:val="22"/>
        </w:rPr>
      </w:pPr>
      <w:r>
        <w:t>9.</w:t>
      </w:r>
      <w:r>
        <w:tab/>
        <w:t>Trade waste discharged from open area</w:t>
      </w:r>
      <w:r>
        <w:tab/>
      </w:r>
      <w:r>
        <w:fldChar w:fldCharType="begin"/>
      </w:r>
      <w:r>
        <w:instrText xml:space="preserve"> PAGEREF _Toc434929864 \h </w:instrText>
      </w:r>
      <w:r>
        <w:fldChar w:fldCharType="separate"/>
      </w:r>
      <w:r>
        <w:t>79</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_Toc434929865 \h </w:instrText>
      </w:r>
      <w:r>
        <w:fldChar w:fldCharType="separate"/>
      </w:r>
      <w:r>
        <w:t>80</w:t>
      </w:r>
      <w:r>
        <w:fldChar w:fldCharType="end"/>
      </w:r>
    </w:p>
    <w:p>
      <w:pPr>
        <w:pStyle w:val="TOC8"/>
        <w:rPr>
          <w:rFonts w:asciiTheme="minorHAnsi" w:eastAsiaTheme="minorEastAsia" w:hAnsiTheme="minorHAnsi" w:cstheme="minorBidi"/>
          <w:szCs w:val="22"/>
        </w:rPr>
      </w:pPr>
      <w:r>
        <w:t>11.</w:t>
      </w:r>
      <w:r>
        <w:tab/>
        <w:t>Non</w:t>
      </w:r>
      <w:r>
        <w:noBreakHyphen/>
        <w:t>metropolitan</w:t>
      </w:r>
      <w:r>
        <w:tab/>
      </w:r>
      <w:r>
        <w:fldChar w:fldCharType="begin"/>
      </w:r>
      <w:r>
        <w:instrText xml:space="preserve"> PAGEREF _Toc434929866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2 — Combined charges for certain non</w:t>
      </w:r>
      <w:r>
        <w:noBreakHyphen/>
        <w:t>residential property</w:t>
      </w:r>
    </w:p>
    <w:p>
      <w:pPr>
        <w:pStyle w:val="TOC6"/>
        <w:tabs>
          <w:tab w:val="right" w:leader="dot" w:pos="7077"/>
        </w:tabs>
        <w:rPr>
          <w:rFonts w:asciiTheme="minorHAnsi" w:eastAsiaTheme="minorEastAsia" w:hAnsiTheme="minorHAnsi" w:cstheme="minorBidi"/>
          <w:b w:val="0"/>
          <w:sz w:val="22"/>
          <w:szCs w:val="22"/>
        </w:rPr>
      </w:pPr>
      <w:r>
        <w:t>Subdivision 1</w:t>
      </w:r>
      <w:r>
        <w:rPr>
          <w:b w:val="0"/>
        </w:rPr>
        <w:t> — </w:t>
      </w:r>
      <w:r>
        <w:t>Preliminary</w:t>
      </w:r>
    </w:p>
    <w:p>
      <w:pPr>
        <w:pStyle w:val="TOC8"/>
        <w:rPr>
          <w:rFonts w:asciiTheme="minorHAnsi" w:eastAsiaTheme="minorEastAsia" w:hAnsiTheme="minorHAnsi" w:cstheme="minorBidi"/>
          <w:szCs w:val="22"/>
        </w:rPr>
      </w:pPr>
      <w:r>
        <w:t>12.</w:t>
      </w:r>
      <w:r>
        <w:tab/>
        <w:t>Combined charges for 2015/16 year and subsequent years</w:t>
      </w:r>
      <w:r>
        <w:tab/>
      </w:r>
      <w:r>
        <w:fldChar w:fldCharType="begin"/>
      </w:r>
      <w:r>
        <w:instrText xml:space="preserve"> PAGEREF _Toc434929869 \h </w:instrText>
      </w:r>
      <w:r>
        <w:fldChar w:fldCharType="separate"/>
      </w:r>
      <w:r>
        <w:t>85</w:t>
      </w:r>
      <w:r>
        <w:fldChar w:fldCharType="end"/>
      </w:r>
    </w:p>
    <w:p>
      <w:pPr>
        <w:pStyle w:val="TOC6"/>
        <w:tabs>
          <w:tab w:val="right" w:leader="dot" w:pos="7077"/>
        </w:tabs>
        <w:rPr>
          <w:rFonts w:asciiTheme="minorHAnsi" w:eastAsiaTheme="minorEastAsia" w:hAnsiTheme="minorHAnsi" w:cstheme="minorBidi"/>
          <w:b w:val="0"/>
          <w:sz w:val="22"/>
          <w:szCs w:val="22"/>
        </w:rPr>
      </w:pPr>
      <w:r>
        <w:t>Subdivision 2</w:t>
      </w:r>
      <w:r>
        <w:rPr>
          <w:b w:val="0"/>
        </w:rPr>
        <w:t> — </w:t>
      </w:r>
      <w:r>
        <w:t>Combined charges: metropolitan</w:t>
      </w:r>
    </w:p>
    <w:p>
      <w:pPr>
        <w:pStyle w:val="TOC8"/>
        <w:rPr>
          <w:rFonts w:asciiTheme="minorHAnsi" w:eastAsiaTheme="minorEastAsia" w:hAnsiTheme="minorHAnsi" w:cstheme="minorBidi"/>
          <w:szCs w:val="22"/>
        </w:rPr>
      </w:pPr>
      <w:r>
        <w:t>13.</w:t>
      </w:r>
      <w:r>
        <w:tab/>
        <w:t>Metropolitan non</w:t>
      </w:r>
      <w:r>
        <w:noBreakHyphen/>
        <w:t>residential</w:t>
      </w:r>
      <w:r>
        <w:tab/>
      </w:r>
      <w:r>
        <w:fldChar w:fldCharType="begin"/>
      </w:r>
      <w:r>
        <w:instrText xml:space="preserve"> PAGEREF _Toc434929871 \h </w:instrText>
      </w:r>
      <w:r>
        <w:fldChar w:fldCharType="separate"/>
      </w:r>
      <w:r>
        <w:t>86</w:t>
      </w:r>
      <w:r>
        <w:fldChar w:fldCharType="end"/>
      </w:r>
    </w:p>
    <w:p>
      <w:pPr>
        <w:pStyle w:val="TOC8"/>
        <w:rPr>
          <w:rFonts w:asciiTheme="minorHAnsi" w:eastAsiaTheme="minorEastAsia" w:hAnsiTheme="minorHAnsi" w:cstheme="minorBidi"/>
          <w:szCs w:val="22"/>
        </w:rPr>
      </w:pPr>
      <w:r>
        <w:t>14.</w:t>
      </w:r>
      <w:r>
        <w:tab/>
        <w:t>Metropolitan government trading organisation and non</w:t>
      </w:r>
      <w:r>
        <w:noBreakHyphen/>
        <w:t>commercial government property</w:t>
      </w:r>
      <w:r>
        <w:tab/>
      </w:r>
      <w:r>
        <w:fldChar w:fldCharType="begin"/>
      </w:r>
      <w:r>
        <w:instrText xml:space="preserve"> PAGEREF _Toc434929872 \h </w:instrText>
      </w:r>
      <w:r>
        <w:fldChar w:fldCharType="separate"/>
      </w:r>
      <w:r>
        <w:t>87</w:t>
      </w:r>
      <w:r>
        <w:fldChar w:fldCharType="end"/>
      </w:r>
    </w:p>
    <w:p>
      <w:pPr>
        <w:pStyle w:val="TOC8"/>
        <w:rPr>
          <w:rFonts w:asciiTheme="minorHAnsi" w:eastAsiaTheme="minorEastAsia" w:hAnsiTheme="minorHAnsi" w:cstheme="minorBidi"/>
          <w:szCs w:val="22"/>
        </w:rPr>
      </w:pPr>
      <w:r>
        <w:t>15.</w:t>
      </w:r>
      <w:r>
        <w:tab/>
        <w:t>Metropolitan non</w:t>
      </w:r>
      <w:r>
        <w:noBreakHyphen/>
        <w:t>strata titled caravan park with long</w:t>
      </w:r>
      <w:r>
        <w:noBreakHyphen/>
        <w:t>term residential caravan bays</w:t>
      </w:r>
      <w:r>
        <w:tab/>
      </w:r>
      <w:r>
        <w:fldChar w:fldCharType="begin"/>
      </w:r>
      <w:r>
        <w:instrText xml:space="preserve"> PAGEREF _Toc434929873 \h </w:instrText>
      </w:r>
      <w:r>
        <w:fldChar w:fldCharType="separate"/>
      </w:r>
      <w:r>
        <w:t>87</w:t>
      </w:r>
      <w:r>
        <w:fldChar w:fldCharType="end"/>
      </w:r>
    </w:p>
    <w:p>
      <w:pPr>
        <w:pStyle w:val="TOC8"/>
        <w:rPr>
          <w:rFonts w:asciiTheme="minorHAnsi" w:eastAsiaTheme="minorEastAsia" w:hAnsiTheme="minorHAnsi" w:cstheme="minorBidi"/>
          <w:szCs w:val="22"/>
        </w:rPr>
      </w:pPr>
      <w:r>
        <w:t>16.</w:t>
      </w:r>
      <w:r>
        <w:tab/>
        <w:t>Metropolitan nursing home</w:t>
      </w:r>
      <w:r>
        <w:tab/>
      </w:r>
      <w:r>
        <w:fldChar w:fldCharType="begin"/>
      </w:r>
      <w:r>
        <w:instrText xml:space="preserve"> PAGEREF _Toc434929874 \h </w:instrText>
      </w:r>
      <w:r>
        <w:fldChar w:fldCharType="separate"/>
      </w:r>
      <w:r>
        <w:t>88</w:t>
      </w:r>
      <w:r>
        <w:fldChar w:fldCharType="end"/>
      </w:r>
    </w:p>
    <w:p>
      <w:pPr>
        <w:pStyle w:val="TOC8"/>
        <w:rPr>
          <w:rFonts w:asciiTheme="minorHAnsi" w:eastAsiaTheme="minorEastAsia" w:hAnsiTheme="minorHAnsi" w:cstheme="minorBidi"/>
          <w:szCs w:val="22"/>
        </w:rPr>
      </w:pPr>
      <w:r>
        <w:t>17.</w:t>
      </w:r>
      <w:r>
        <w:tab/>
        <w:t>Certain metropolitan strata</w:t>
      </w:r>
      <w:r>
        <w:noBreakHyphen/>
        <w:t>titled units</w:t>
      </w:r>
      <w:r>
        <w:tab/>
      </w:r>
      <w:r>
        <w:fldChar w:fldCharType="begin"/>
      </w:r>
      <w:r>
        <w:instrText xml:space="preserve"> PAGEREF _Toc434929875 \h </w:instrText>
      </w:r>
      <w:r>
        <w:fldChar w:fldCharType="separate"/>
      </w:r>
      <w:r>
        <w:t>89</w:t>
      </w:r>
      <w:r>
        <w:fldChar w:fldCharType="end"/>
      </w:r>
    </w:p>
    <w:p>
      <w:pPr>
        <w:pStyle w:val="TOC6"/>
        <w:tabs>
          <w:tab w:val="right" w:leader="dot" w:pos="7077"/>
        </w:tabs>
        <w:rPr>
          <w:rFonts w:asciiTheme="minorHAnsi" w:eastAsiaTheme="minorEastAsia" w:hAnsiTheme="minorHAnsi" w:cstheme="minorBidi"/>
          <w:b w:val="0"/>
          <w:sz w:val="22"/>
          <w:szCs w:val="22"/>
        </w:rPr>
      </w:pPr>
      <w:r>
        <w:t>Subdivision 3</w:t>
      </w:r>
      <w:r>
        <w:rPr>
          <w:b w:val="0"/>
        </w:rPr>
        <w:t> — </w:t>
      </w:r>
      <w:r>
        <w:t>Calculation of certain factors for the purposes of Subdivision 2</w:t>
      </w:r>
    </w:p>
    <w:p>
      <w:pPr>
        <w:pStyle w:val="TOC8"/>
        <w:rPr>
          <w:rFonts w:asciiTheme="minorHAnsi" w:eastAsiaTheme="minorEastAsia" w:hAnsiTheme="minorHAnsi" w:cstheme="minorBidi"/>
          <w:szCs w:val="22"/>
        </w:rPr>
      </w:pPr>
      <w:r>
        <w:t>18.</w:t>
      </w:r>
      <w:r>
        <w:tab/>
        <w:t>Service charge</w:t>
      </w:r>
      <w:r>
        <w:tab/>
      </w:r>
      <w:r>
        <w:fldChar w:fldCharType="begin"/>
      </w:r>
      <w:r>
        <w:instrText xml:space="preserve"> PAGEREF _Toc434929877 \h </w:instrText>
      </w:r>
      <w:r>
        <w:fldChar w:fldCharType="separate"/>
      </w:r>
      <w:r>
        <w:t>90</w:t>
      </w:r>
      <w:r>
        <w:fldChar w:fldCharType="end"/>
      </w:r>
    </w:p>
    <w:p>
      <w:pPr>
        <w:pStyle w:val="TOC8"/>
        <w:rPr>
          <w:rFonts w:asciiTheme="minorHAnsi" w:eastAsiaTheme="minorEastAsia" w:hAnsiTheme="minorHAnsi" w:cstheme="minorBidi"/>
          <w:szCs w:val="22"/>
        </w:rPr>
      </w:pPr>
      <w:r>
        <w:t>19.</w:t>
      </w:r>
      <w:r>
        <w:tab/>
        <w:t>Discharge charge</w:t>
      </w:r>
      <w:r>
        <w:tab/>
      </w:r>
      <w:r>
        <w:fldChar w:fldCharType="begin"/>
      </w:r>
      <w:r>
        <w:instrText xml:space="preserve"> PAGEREF _Toc434929878 \h </w:instrText>
      </w:r>
      <w:r>
        <w:fldChar w:fldCharType="separate"/>
      </w:r>
      <w:r>
        <w:t>90</w:t>
      </w:r>
      <w:r>
        <w:fldChar w:fldCharType="end"/>
      </w:r>
    </w:p>
    <w:p>
      <w:pPr>
        <w:pStyle w:val="TOC8"/>
        <w:rPr>
          <w:rFonts w:asciiTheme="minorHAnsi" w:eastAsiaTheme="minorEastAsia" w:hAnsiTheme="minorHAnsi" w:cstheme="minorBidi"/>
          <w:szCs w:val="22"/>
        </w:rPr>
      </w:pPr>
      <w:r>
        <w:t>20.</w:t>
      </w:r>
      <w:r>
        <w:tab/>
        <w:t>Discharge allowance</w:t>
      </w:r>
      <w:r>
        <w:tab/>
      </w:r>
      <w:r>
        <w:fldChar w:fldCharType="begin"/>
      </w:r>
      <w:r>
        <w:instrText xml:space="preserve"> PAGEREF _Toc434929879 \h </w:instrText>
      </w:r>
      <w:r>
        <w:fldChar w:fldCharType="separate"/>
      </w:r>
      <w:r>
        <w:t>91</w:t>
      </w:r>
      <w:r>
        <w:fldChar w:fldCharType="end"/>
      </w:r>
    </w:p>
    <w:p>
      <w:pPr>
        <w:pStyle w:val="TOC6"/>
        <w:tabs>
          <w:tab w:val="right" w:leader="dot" w:pos="7077"/>
        </w:tabs>
        <w:rPr>
          <w:rFonts w:asciiTheme="minorHAnsi" w:eastAsiaTheme="minorEastAsia" w:hAnsiTheme="minorHAnsi" w:cstheme="minorBidi"/>
          <w:b w:val="0"/>
          <w:sz w:val="22"/>
          <w:szCs w:val="22"/>
        </w:rPr>
      </w:pPr>
      <w:r>
        <w:t>Subdivision 4</w:t>
      </w:r>
      <w:r>
        <w:rPr>
          <w:b w:val="0"/>
        </w:rPr>
        <w:t> — </w:t>
      </w:r>
      <w:r>
        <w:t>Combined charges: non</w:t>
      </w:r>
      <w:r>
        <w:noBreakHyphen/>
        <w:t>metropolitan</w:t>
      </w:r>
    </w:p>
    <w:p>
      <w:pPr>
        <w:pStyle w:val="TOC8"/>
        <w:rPr>
          <w:rFonts w:asciiTheme="minorHAnsi" w:eastAsiaTheme="minorEastAsia" w:hAnsiTheme="minorHAnsi" w:cstheme="minorBidi"/>
          <w:szCs w:val="22"/>
        </w:rPr>
      </w:pPr>
      <w:r>
        <w:t>21.</w:t>
      </w:r>
      <w:r>
        <w:tab/>
        <w:t>Non</w:t>
      </w:r>
      <w:r>
        <w:noBreakHyphen/>
        <w:t>metropolitan non</w:t>
      </w:r>
      <w:r>
        <w:noBreakHyphen/>
        <w:t>residential</w:t>
      </w:r>
      <w:r>
        <w:tab/>
      </w:r>
      <w:r>
        <w:fldChar w:fldCharType="begin"/>
      </w:r>
      <w:r>
        <w:instrText xml:space="preserve"> PAGEREF _Toc434929881 \h </w:instrText>
      </w:r>
      <w:r>
        <w:fldChar w:fldCharType="separate"/>
      </w:r>
      <w:r>
        <w:t>92</w:t>
      </w:r>
      <w:r>
        <w:fldChar w:fldCharType="end"/>
      </w:r>
    </w:p>
    <w:p>
      <w:pPr>
        <w:pStyle w:val="TOC8"/>
        <w:rPr>
          <w:rFonts w:asciiTheme="minorHAnsi" w:eastAsiaTheme="minorEastAsia" w:hAnsiTheme="minorHAnsi" w:cstheme="minorBidi"/>
          <w:szCs w:val="22"/>
        </w:rPr>
      </w:pPr>
      <w:r>
        <w:t>22.</w:t>
      </w:r>
      <w:r>
        <w:tab/>
        <w:t>Non</w:t>
      </w:r>
      <w:r>
        <w:noBreakHyphen/>
        <w:t>metropolitan non</w:t>
      </w:r>
      <w:r>
        <w:noBreakHyphen/>
        <w:t>strata titled caravan park with long</w:t>
      </w:r>
      <w:r>
        <w:noBreakHyphen/>
        <w:t>term residential caravan bays</w:t>
      </w:r>
      <w:r>
        <w:tab/>
      </w:r>
      <w:r>
        <w:fldChar w:fldCharType="begin"/>
      </w:r>
      <w:r>
        <w:instrText xml:space="preserve"> PAGEREF _Toc434929882 \h </w:instrText>
      </w:r>
      <w:r>
        <w:fldChar w:fldCharType="separate"/>
      </w:r>
      <w:r>
        <w:t>93</w:t>
      </w:r>
      <w:r>
        <w:fldChar w:fldCharType="end"/>
      </w:r>
    </w:p>
    <w:p>
      <w:pPr>
        <w:pStyle w:val="TOC8"/>
        <w:rPr>
          <w:rFonts w:asciiTheme="minorHAnsi" w:eastAsiaTheme="minorEastAsia" w:hAnsiTheme="minorHAnsi" w:cstheme="minorBidi"/>
          <w:szCs w:val="22"/>
        </w:rPr>
      </w:pPr>
      <w:r>
        <w:t>23.</w:t>
      </w:r>
      <w:r>
        <w:tab/>
        <w:t>Non</w:t>
      </w:r>
      <w:r>
        <w:noBreakHyphen/>
        <w:t>metropolitan nursing home</w:t>
      </w:r>
      <w:r>
        <w:tab/>
      </w:r>
      <w:r>
        <w:fldChar w:fldCharType="begin"/>
      </w:r>
      <w:r>
        <w:instrText xml:space="preserve"> PAGEREF _Toc434929883 \h </w:instrText>
      </w:r>
      <w:r>
        <w:fldChar w:fldCharType="separate"/>
      </w:r>
      <w:r>
        <w:t>94</w:t>
      </w:r>
      <w:r>
        <w:fldChar w:fldCharType="end"/>
      </w:r>
    </w:p>
    <w:p>
      <w:pPr>
        <w:pStyle w:val="TOC8"/>
        <w:rPr>
          <w:rFonts w:asciiTheme="minorHAnsi" w:eastAsiaTheme="minorEastAsia" w:hAnsiTheme="minorHAnsi" w:cstheme="minorBidi"/>
          <w:szCs w:val="22"/>
        </w:rPr>
      </w:pPr>
      <w:r>
        <w:t>24.</w:t>
      </w:r>
      <w:r>
        <w:tab/>
        <w:t>Certain non</w:t>
      </w:r>
      <w:r>
        <w:noBreakHyphen/>
        <w:t>metropolitan strata</w:t>
      </w:r>
      <w:r>
        <w:noBreakHyphen/>
        <w:t>titled units</w:t>
      </w:r>
      <w:r>
        <w:tab/>
      </w:r>
      <w:r>
        <w:fldChar w:fldCharType="begin"/>
      </w:r>
      <w:r>
        <w:instrText xml:space="preserve"> PAGEREF _Toc434929884 \h </w:instrText>
      </w:r>
      <w:r>
        <w:fldChar w:fldCharType="separate"/>
      </w:r>
      <w:r>
        <w:t>94</w:t>
      </w:r>
      <w:r>
        <w:fldChar w:fldCharType="end"/>
      </w:r>
    </w:p>
    <w:p>
      <w:pPr>
        <w:pStyle w:val="TOC6"/>
        <w:tabs>
          <w:tab w:val="right" w:leader="dot" w:pos="7077"/>
        </w:tabs>
        <w:rPr>
          <w:rFonts w:asciiTheme="minorHAnsi" w:eastAsiaTheme="minorEastAsia" w:hAnsiTheme="minorHAnsi" w:cstheme="minorBidi"/>
          <w:b w:val="0"/>
          <w:sz w:val="22"/>
          <w:szCs w:val="22"/>
        </w:rPr>
      </w:pPr>
      <w:r>
        <w:t>Subdivision 5</w:t>
      </w:r>
      <w:r>
        <w:rPr>
          <w:b w:val="0"/>
        </w:rPr>
        <w:t> — </w:t>
      </w:r>
      <w:r>
        <w:t>Calculation of certain factors for the purposes of Subdivision 4</w:t>
      </w:r>
    </w:p>
    <w:p>
      <w:pPr>
        <w:pStyle w:val="TOC8"/>
        <w:rPr>
          <w:rFonts w:asciiTheme="minorHAnsi" w:eastAsiaTheme="minorEastAsia" w:hAnsiTheme="minorHAnsi" w:cstheme="minorBidi"/>
          <w:szCs w:val="22"/>
        </w:rPr>
      </w:pPr>
      <w:r>
        <w:t>25.</w:t>
      </w:r>
      <w:r>
        <w:tab/>
        <w:t>Service charge</w:t>
      </w:r>
      <w:r>
        <w:tab/>
      </w:r>
      <w:r>
        <w:fldChar w:fldCharType="begin"/>
      </w:r>
      <w:r>
        <w:instrText xml:space="preserve"> PAGEREF _Toc434929886 \h </w:instrText>
      </w:r>
      <w:r>
        <w:fldChar w:fldCharType="separate"/>
      </w:r>
      <w:r>
        <w:t>95</w:t>
      </w:r>
      <w:r>
        <w:fldChar w:fldCharType="end"/>
      </w:r>
    </w:p>
    <w:p>
      <w:pPr>
        <w:pStyle w:val="TOC8"/>
        <w:rPr>
          <w:rFonts w:asciiTheme="minorHAnsi" w:eastAsiaTheme="minorEastAsia" w:hAnsiTheme="minorHAnsi" w:cstheme="minorBidi"/>
          <w:szCs w:val="22"/>
        </w:rPr>
      </w:pPr>
      <w:r>
        <w:t>26.</w:t>
      </w:r>
      <w:r>
        <w:tab/>
        <w:t>Discharge charge</w:t>
      </w:r>
      <w:r>
        <w:tab/>
      </w:r>
      <w:r>
        <w:fldChar w:fldCharType="begin"/>
      </w:r>
      <w:r>
        <w:instrText xml:space="preserve"> PAGEREF _Toc434929887 \h </w:instrText>
      </w:r>
      <w:r>
        <w:fldChar w:fldCharType="separate"/>
      </w:r>
      <w:r>
        <w:t>96</w:t>
      </w:r>
      <w:r>
        <w:fldChar w:fldCharType="end"/>
      </w:r>
    </w:p>
    <w:p>
      <w:pPr>
        <w:pStyle w:val="TOC8"/>
        <w:rPr>
          <w:rFonts w:asciiTheme="minorHAnsi" w:eastAsiaTheme="minorEastAsia" w:hAnsiTheme="minorHAnsi" w:cstheme="minorBidi"/>
          <w:szCs w:val="22"/>
        </w:rPr>
      </w:pPr>
      <w:r>
        <w:t>27.</w:t>
      </w:r>
      <w:r>
        <w:tab/>
        <w:t>Discharge allowance</w:t>
      </w:r>
      <w:r>
        <w:tab/>
      </w:r>
      <w:r>
        <w:fldChar w:fldCharType="begin"/>
      </w:r>
      <w:r>
        <w:instrText xml:space="preserve"> PAGEREF _Toc434929888 \h </w:instrText>
      </w:r>
      <w:r>
        <w:fldChar w:fldCharType="separate"/>
      </w:r>
      <w:r>
        <w:t>96</w:t>
      </w:r>
      <w:r>
        <w:fldChar w:fldCharType="end"/>
      </w:r>
    </w:p>
    <w:p>
      <w:pPr>
        <w:pStyle w:val="TOC8"/>
        <w:rPr>
          <w:rFonts w:asciiTheme="minorHAnsi" w:eastAsiaTheme="minorEastAsia" w:hAnsiTheme="minorHAnsi" w:cstheme="minorBidi"/>
          <w:szCs w:val="22"/>
        </w:rPr>
      </w:pPr>
      <w:r>
        <w:t>28.</w:t>
      </w:r>
      <w:r>
        <w:tab/>
        <w:t>Maximum charge</w:t>
      </w:r>
      <w:r>
        <w:tab/>
      </w:r>
      <w:r>
        <w:fldChar w:fldCharType="begin"/>
      </w:r>
      <w:r>
        <w:instrText xml:space="preserve"> PAGEREF _Toc434929889 \h </w:instrText>
      </w:r>
      <w:r>
        <w:fldChar w:fldCharType="separate"/>
      </w:r>
      <w:r>
        <w:t>97</w:t>
      </w:r>
      <w:r>
        <w:fldChar w:fldCharType="end"/>
      </w:r>
    </w:p>
    <w:p>
      <w:pPr>
        <w:pStyle w:val="TOC4"/>
        <w:tabs>
          <w:tab w:val="right" w:leader="dot" w:pos="7077"/>
        </w:tabs>
        <w:rPr>
          <w:rFonts w:asciiTheme="minorHAnsi" w:eastAsiaTheme="minorEastAsia" w:hAnsiTheme="minorHAnsi" w:cstheme="minorBidi"/>
          <w:b w:val="0"/>
          <w:szCs w:val="22"/>
        </w:rPr>
      </w:pPr>
      <w:r>
        <w:t>Division 3 — Discharge charges: trade waste and effluent</w:t>
      </w:r>
    </w:p>
    <w:p>
      <w:pPr>
        <w:pStyle w:val="TOC8"/>
        <w:rPr>
          <w:rFonts w:asciiTheme="minorHAnsi" w:eastAsiaTheme="minorEastAsia" w:hAnsiTheme="minorHAnsi" w:cstheme="minorBidi"/>
          <w:szCs w:val="22"/>
        </w:rPr>
      </w:pPr>
      <w:r>
        <w:t>29.</w:t>
      </w:r>
      <w:r>
        <w:tab/>
        <w:t>Discharge charges for 2015/16 year and subsequent years</w:t>
      </w:r>
      <w:r>
        <w:tab/>
      </w:r>
      <w:r>
        <w:fldChar w:fldCharType="begin"/>
      </w:r>
      <w:r>
        <w:instrText xml:space="preserve"> PAGEREF _Toc434929891 \h </w:instrText>
      </w:r>
      <w:r>
        <w:fldChar w:fldCharType="separate"/>
      </w:r>
      <w:r>
        <w:t>98</w:t>
      </w:r>
      <w:r>
        <w:fldChar w:fldCharType="end"/>
      </w:r>
    </w:p>
    <w:p>
      <w:pPr>
        <w:pStyle w:val="TOC8"/>
        <w:rPr>
          <w:rFonts w:asciiTheme="minorHAnsi" w:eastAsiaTheme="minorEastAsia" w:hAnsiTheme="minorHAnsi" w:cstheme="minorBidi"/>
          <w:szCs w:val="22"/>
        </w:rPr>
      </w:pPr>
      <w:r>
        <w:t>30.</w:t>
      </w:r>
      <w:r>
        <w:tab/>
        <w:t>Trade waste discharged into sewer under approval</w:t>
      </w:r>
      <w:r>
        <w:tab/>
      </w:r>
      <w:r>
        <w:fldChar w:fldCharType="begin"/>
      </w:r>
      <w:r>
        <w:instrText xml:space="preserve"> PAGEREF _Toc434929892 \h </w:instrText>
      </w:r>
      <w:r>
        <w:fldChar w:fldCharType="separate"/>
      </w:r>
      <w:r>
        <w:t>98</w:t>
      </w:r>
      <w:r>
        <w:fldChar w:fldCharType="end"/>
      </w:r>
    </w:p>
    <w:p>
      <w:pPr>
        <w:pStyle w:val="TOC8"/>
        <w:rPr>
          <w:rFonts w:asciiTheme="minorHAnsi" w:eastAsiaTheme="minorEastAsia" w:hAnsiTheme="minorHAnsi" w:cstheme="minorBidi"/>
          <w:szCs w:val="22"/>
        </w:rPr>
      </w:pPr>
      <w:r>
        <w:t>31.</w:t>
      </w:r>
      <w:r>
        <w:tab/>
        <w:t>Effluent discharged from septic tank effluent pumping system into sewer</w:t>
      </w:r>
      <w:r>
        <w:tab/>
      </w:r>
      <w:r>
        <w:fldChar w:fldCharType="begin"/>
      </w:r>
      <w:r>
        <w:instrText xml:space="preserve"> PAGEREF _Toc434929893 \h </w:instrText>
      </w:r>
      <w:r>
        <w:fldChar w:fldCharType="separate"/>
      </w:r>
      <w:r>
        <w:t>101</w:t>
      </w:r>
      <w:r>
        <w:fldChar w:fldCharType="end"/>
      </w:r>
    </w:p>
    <w:p>
      <w:pPr>
        <w:pStyle w:val="TOC2"/>
        <w:tabs>
          <w:tab w:val="right" w:leader="dot" w:pos="7077"/>
        </w:tabs>
        <w:rPr>
          <w:rFonts w:asciiTheme="minorHAnsi" w:eastAsiaTheme="minorEastAsia" w:hAnsiTheme="minorHAnsi" w:cstheme="minorBidi"/>
          <w:b w:val="0"/>
          <w:sz w:val="22"/>
          <w:szCs w:val="22"/>
        </w:rPr>
      </w:pPr>
      <w:r>
        <w:t>Schedule 5 — Drainage charges for the Water Corporation</w:t>
      </w:r>
    </w:p>
    <w:p>
      <w:pPr>
        <w:pStyle w:val="TOC8"/>
        <w:rPr>
          <w:rFonts w:asciiTheme="minorHAnsi" w:eastAsiaTheme="minorEastAsia" w:hAnsiTheme="minorHAnsi" w:cstheme="minorBidi"/>
          <w:szCs w:val="22"/>
        </w:rPr>
      </w:pPr>
      <w:r>
        <w:t>1.</w:t>
      </w:r>
      <w:r>
        <w:tab/>
        <w:t>Drainage charges for 2015/16 year and subsequent years</w:t>
      </w:r>
      <w:r>
        <w:tab/>
      </w:r>
      <w:r>
        <w:fldChar w:fldCharType="begin"/>
      </w:r>
      <w:r>
        <w:instrText xml:space="preserve"> PAGEREF _Toc434929895 \h </w:instrText>
      </w:r>
      <w:r>
        <w:fldChar w:fldCharType="separate"/>
      </w:r>
      <w:r>
        <w:t>102</w:t>
      </w:r>
      <w:r>
        <w:fldChar w:fldCharType="end"/>
      </w:r>
    </w:p>
    <w:p>
      <w:pPr>
        <w:pStyle w:val="TOC8"/>
        <w:rPr>
          <w:rFonts w:asciiTheme="minorHAnsi" w:eastAsiaTheme="minorEastAsia" w:hAnsiTheme="minorHAnsi" w:cstheme="minorBidi"/>
          <w:szCs w:val="22"/>
        </w:rPr>
      </w:pPr>
      <w:r>
        <w:t>2.</w:t>
      </w:r>
      <w:r>
        <w:tab/>
        <w:t>Strata</w:t>
      </w:r>
      <w:r>
        <w:noBreakHyphen/>
        <w:t>titled caravan bays</w:t>
      </w:r>
      <w:r>
        <w:tab/>
      </w:r>
      <w:r>
        <w:fldChar w:fldCharType="begin"/>
      </w:r>
      <w:r>
        <w:instrText xml:space="preserve"> PAGEREF _Toc434929896 \h </w:instrText>
      </w:r>
      <w:r>
        <w:fldChar w:fldCharType="separate"/>
      </w:r>
      <w:r>
        <w:t>102</w:t>
      </w:r>
      <w:r>
        <w:fldChar w:fldCharType="end"/>
      </w:r>
    </w:p>
    <w:p>
      <w:pPr>
        <w:pStyle w:val="TOC8"/>
        <w:rPr>
          <w:rFonts w:asciiTheme="minorHAnsi" w:eastAsiaTheme="minorEastAsia" w:hAnsiTheme="minorHAnsi" w:cstheme="minorBidi"/>
          <w:szCs w:val="22"/>
        </w:rPr>
      </w:pPr>
      <w:r>
        <w:t>3.</w:t>
      </w:r>
      <w:r>
        <w:tab/>
        <w:t>Strata</w:t>
      </w:r>
      <w:r>
        <w:noBreakHyphen/>
        <w:t>titled storage unit or strata</w:t>
      </w:r>
      <w:r>
        <w:noBreakHyphen/>
        <w:t>titled parking bay</w:t>
      </w:r>
      <w:r>
        <w:tab/>
      </w:r>
      <w:r>
        <w:fldChar w:fldCharType="begin"/>
      </w:r>
      <w:r>
        <w:instrText xml:space="preserve"> PAGEREF _Toc434929897 \h </w:instrText>
      </w:r>
      <w:r>
        <w:fldChar w:fldCharType="separate"/>
      </w:r>
      <w:r>
        <w:t>102</w:t>
      </w:r>
      <w:r>
        <w:fldChar w:fldCharType="end"/>
      </w:r>
    </w:p>
    <w:p>
      <w:pPr>
        <w:pStyle w:val="TOC8"/>
        <w:rPr>
          <w:rFonts w:asciiTheme="minorHAnsi" w:eastAsiaTheme="minorEastAsia" w:hAnsiTheme="minorHAnsi" w:cstheme="minorBidi"/>
          <w:szCs w:val="22"/>
        </w:rPr>
      </w:pPr>
      <w:r>
        <w:t>4.</w:t>
      </w:r>
      <w:r>
        <w:tab/>
        <w:t>Residential or semi</w:t>
      </w:r>
      <w:r>
        <w:noBreakHyphen/>
        <w:t>rural residential</w:t>
      </w:r>
      <w:r>
        <w:tab/>
      </w:r>
      <w:r>
        <w:fldChar w:fldCharType="begin"/>
      </w:r>
      <w:r>
        <w:instrText xml:space="preserve"> PAGEREF _Toc434929898 \h </w:instrText>
      </w:r>
      <w:r>
        <w:fldChar w:fldCharType="separate"/>
      </w:r>
      <w:r>
        <w:t>102</w:t>
      </w:r>
      <w:r>
        <w:fldChar w:fldCharType="end"/>
      </w:r>
    </w:p>
    <w:p>
      <w:pPr>
        <w:pStyle w:val="TOC8"/>
        <w:rPr>
          <w:rFonts w:asciiTheme="minorHAnsi" w:eastAsiaTheme="minorEastAsia" w:hAnsiTheme="minorHAnsi" w:cstheme="minorBidi"/>
          <w:szCs w:val="22"/>
        </w:rPr>
      </w:pPr>
      <w:r>
        <w:t>5.</w:t>
      </w:r>
      <w:r>
        <w:tab/>
        <w:t>Vacant land</w:t>
      </w:r>
      <w:r>
        <w:tab/>
      </w:r>
      <w:r>
        <w:fldChar w:fldCharType="begin"/>
      </w:r>
      <w:r>
        <w:instrText xml:space="preserve"> PAGEREF _Toc434929899 \h </w:instrText>
      </w:r>
      <w:r>
        <w:fldChar w:fldCharType="separate"/>
      </w:r>
      <w:r>
        <w:t>102</w:t>
      </w:r>
      <w:r>
        <w:fldChar w:fldCharType="end"/>
      </w:r>
    </w:p>
    <w:p>
      <w:pPr>
        <w:pStyle w:val="TOC8"/>
        <w:rPr>
          <w:rFonts w:asciiTheme="minorHAnsi" w:eastAsiaTheme="minorEastAsia" w:hAnsiTheme="minorHAnsi" w:cstheme="minorBidi"/>
          <w:szCs w:val="22"/>
        </w:rPr>
      </w:pPr>
      <w:r>
        <w:t>6.</w:t>
      </w:r>
      <w:r>
        <w:tab/>
        <w:t>Non</w:t>
      </w:r>
      <w:r>
        <w:noBreakHyphen/>
        <w:t>residential (except certain strata</w:t>
      </w:r>
      <w:r>
        <w:noBreakHyphen/>
        <w:t>titled units)</w:t>
      </w:r>
      <w:r>
        <w:tab/>
      </w:r>
      <w:r>
        <w:fldChar w:fldCharType="begin"/>
      </w:r>
      <w:r>
        <w:instrText xml:space="preserve"> PAGEREF _Toc434929900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t>Schedule 6 — Irrigation charges for the Water Corporation (Ord Irrigation District)</w:t>
      </w:r>
    </w:p>
    <w:p>
      <w:pPr>
        <w:pStyle w:val="TOC8"/>
        <w:rPr>
          <w:rFonts w:asciiTheme="minorHAnsi" w:eastAsiaTheme="minorEastAsia" w:hAnsiTheme="minorHAnsi" w:cstheme="minorBidi"/>
          <w:szCs w:val="22"/>
        </w:rPr>
      </w:pPr>
      <w:r>
        <w:t>1.</w:t>
      </w:r>
      <w:r>
        <w:tab/>
        <w:t>Irrigation charges for 2015/16 year and subsequent years</w:t>
      </w:r>
      <w:r>
        <w:tab/>
      </w:r>
      <w:r>
        <w:fldChar w:fldCharType="begin"/>
      </w:r>
      <w:r>
        <w:instrText xml:space="preserve"> PAGEREF _Toc434929902 \h </w:instrText>
      </w:r>
      <w:r>
        <w:fldChar w:fldCharType="separate"/>
      </w:r>
      <w:r>
        <w:t>103</w:t>
      </w:r>
      <w:r>
        <w:fldChar w:fldCharType="end"/>
      </w:r>
    </w:p>
    <w:p>
      <w:pPr>
        <w:pStyle w:val="TOC8"/>
        <w:rPr>
          <w:rFonts w:asciiTheme="minorHAnsi" w:eastAsiaTheme="minorEastAsia" w:hAnsiTheme="minorHAnsi" w:cstheme="minorBidi"/>
          <w:szCs w:val="22"/>
        </w:rPr>
      </w:pPr>
      <w:r>
        <w:t>2.</w:t>
      </w:r>
      <w:r>
        <w:tab/>
        <w:t>Water supplied for irrigation</w:t>
      </w:r>
      <w:r>
        <w:tab/>
      </w:r>
      <w:r>
        <w:fldChar w:fldCharType="begin"/>
      </w:r>
      <w:r>
        <w:instrText xml:space="preserve"> PAGEREF _Toc434929903 \h </w:instrText>
      </w:r>
      <w:r>
        <w:fldChar w:fldCharType="separate"/>
      </w:r>
      <w:r>
        <w:t>103</w:t>
      </w:r>
      <w:r>
        <w:fldChar w:fldCharType="end"/>
      </w:r>
    </w:p>
    <w:p>
      <w:pPr>
        <w:pStyle w:val="TOC8"/>
        <w:rPr>
          <w:rFonts w:asciiTheme="minorHAnsi" w:eastAsiaTheme="minorEastAsia" w:hAnsiTheme="minorHAnsi" w:cstheme="minorBidi"/>
          <w:szCs w:val="22"/>
        </w:rPr>
      </w:pPr>
      <w:r>
        <w:t>3.</w:t>
      </w:r>
      <w:r>
        <w:tab/>
        <w:t>Water supplied for watering stock or dust prevention</w:t>
      </w:r>
      <w:r>
        <w:tab/>
      </w:r>
      <w:r>
        <w:fldChar w:fldCharType="begin"/>
      </w:r>
      <w:r>
        <w:instrText xml:space="preserve"> PAGEREF _Toc434929904 \h </w:instrText>
      </w:r>
      <w:r>
        <w:fldChar w:fldCharType="separate"/>
      </w:r>
      <w:r>
        <w:t>103</w:t>
      </w:r>
      <w:r>
        <w:fldChar w:fldCharType="end"/>
      </w:r>
    </w:p>
    <w:p>
      <w:pPr>
        <w:pStyle w:val="TOC8"/>
        <w:rPr>
          <w:rFonts w:asciiTheme="minorHAnsi" w:eastAsiaTheme="minorEastAsia" w:hAnsiTheme="minorHAnsi" w:cstheme="minorBidi"/>
          <w:szCs w:val="22"/>
        </w:rPr>
      </w:pPr>
      <w:r>
        <w:t>4.</w:t>
      </w:r>
      <w:r>
        <w:tab/>
        <w:t>Water supplied for purposes other than irrigation, watering stock or dust prevention</w:t>
      </w:r>
      <w:r>
        <w:tab/>
      </w:r>
      <w:r>
        <w:fldChar w:fldCharType="begin"/>
      </w:r>
      <w:r>
        <w:instrText xml:space="preserve"> PAGEREF _Toc434929905 \h </w:instrText>
      </w:r>
      <w:r>
        <w:fldChar w:fldCharType="separate"/>
      </w:r>
      <w:r>
        <w:t>104</w:t>
      </w:r>
      <w:r>
        <w:fldChar w:fldCharType="end"/>
      </w:r>
    </w:p>
    <w:p>
      <w:pPr>
        <w:pStyle w:val="TOC2"/>
        <w:tabs>
          <w:tab w:val="right" w:leader="dot" w:pos="7077"/>
        </w:tabs>
        <w:rPr>
          <w:rFonts w:asciiTheme="minorHAnsi" w:eastAsiaTheme="minorEastAsia" w:hAnsiTheme="minorHAnsi" w:cstheme="minorBidi"/>
          <w:b w:val="0"/>
          <w:sz w:val="22"/>
          <w:szCs w:val="22"/>
        </w:rPr>
      </w:pPr>
      <w:r>
        <w:t>Schedule 7 — Miscellaneous charges for the Water Corporation</w:t>
      </w:r>
    </w:p>
    <w:p>
      <w:pPr>
        <w:pStyle w:val="TOC8"/>
        <w:rPr>
          <w:rFonts w:asciiTheme="minorHAnsi" w:eastAsiaTheme="minorEastAsia" w:hAnsiTheme="minorHAnsi" w:cstheme="minorBidi"/>
          <w:szCs w:val="22"/>
        </w:rPr>
      </w:pPr>
      <w:r>
        <w:t>1.</w:t>
      </w:r>
      <w:r>
        <w:tab/>
        <w:t>Meters: multi</w:t>
      </w:r>
      <w:r>
        <w:noBreakHyphen/>
        <w:t>unit developments</w:t>
      </w:r>
      <w:r>
        <w:tab/>
      </w:r>
      <w:r>
        <w:fldChar w:fldCharType="begin"/>
      </w:r>
      <w:r>
        <w:instrText xml:space="preserve"> PAGEREF _Toc434929907 \h </w:instrText>
      </w:r>
      <w:r>
        <w:fldChar w:fldCharType="separate"/>
      </w:r>
      <w:r>
        <w:t>105</w:t>
      </w:r>
      <w:r>
        <w:fldChar w:fldCharType="end"/>
      </w:r>
    </w:p>
    <w:p>
      <w:pPr>
        <w:pStyle w:val="TOC8"/>
        <w:rPr>
          <w:rFonts w:asciiTheme="minorHAnsi" w:eastAsiaTheme="minorEastAsia" w:hAnsiTheme="minorHAnsi" w:cstheme="minorBidi"/>
          <w:szCs w:val="22"/>
        </w:rPr>
      </w:pPr>
      <w:r>
        <w:t>2.</w:t>
      </w:r>
      <w:r>
        <w:tab/>
        <w:t>Assessing meters: multi</w:t>
      </w:r>
      <w:r>
        <w:noBreakHyphen/>
        <w:t>unit developments</w:t>
      </w:r>
      <w:r>
        <w:tab/>
      </w:r>
      <w:r>
        <w:fldChar w:fldCharType="begin"/>
      </w:r>
      <w:r>
        <w:instrText xml:space="preserve"> PAGEREF _Toc434929908 \h </w:instrText>
      </w:r>
      <w:r>
        <w:fldChar w:fldCharType="separate"/>
      </w:r>
      <w:r>
        <w:t>105</w:t>
      </w:r>
      <w:r>
        <w:fldChar w:fldCharType="end"/>
      </w:r>
    </w:p>
    <w:p>
      <w:pPr>
        <w:pStyle w:val="TOC8"/>
        <w:rPr>
          <w:rFonts w:asciiTheme="minorHAnsi" w:eastAsiaTheme="minorEastAsia" w:hAnsiTheme="minorHAnsi" w:cstheme="minorBidi"/>
          <w:szCs w:val="22"/>
        </w:rPr>
      </w:pPr>
      <w:r>
        <w:t>3.</w:t>
      </w:r>
      <w:r>
        <w:tab/>
        <w:t>Testing meters</w:t>
      </w:r>
      <w:r>
        <w:tab/>
      </w:r>
      <w:r>
        <w:fldChar w:fldCharType="begin"/>
      </w:r>
      <w:r>
        <w:instrText xml:space="preserve"> PAGEREF _Toc434929909 \h </w:instrText>
      </w:r>
      <w:r>
        <w:fldChar w:fldCharType="separate"/>
      </w:r>
      <w:r>
        <w:t>105</w:t>
      </w:r>
      <w:r>
        <w:fldChar w:fldCharType="end"/>
      </w:r>
    </w:p>
    <w:p>
      <w:pPr>
        <w:pStyle w:val="TOC8"/>
        <w:rPr>
          <w:rFonts w:asciiTheme="minorHAnsi" w:eastAsiaTheme="minorEastAsia" w:hAnsiTheme="minorHAnsi" w:cstheme="minorBidi"/>
          <w:szCs w:val="22"/>
        </w:rPr>
      </w:pPr>
      <w:r>
        <w:t>4.</w:t>
      </w:r>
      <w:r>
        <w:tab/>
        <w:t>Installing water supply connection</w:t>
      </w:r>
      <w:r>
        <w:tab/>
      </w:r>
      <w:r>
        <w:fldChar w:fldCharType="begin"/>
      </w:r>
      <w:r>
        <w:instrText xml:space="preserve"> PAGEREF _Toc434929910 \h </w:instrText>
      </w:r>
      <w:r>
        <w:fldChar w:fldCharType="separate"/>
      </w:r>
      <w:r>
        <w:t>105</w:t>
      </w:r>
      <w:r>
        <w:fldChar w:fldCharType="end"/>
      </w:r>
    </w:p>
    <w:p>
      <w:pPr>
        <w:pStyle w:val="TOC8"/>
        <w:rPr>
          <w:rFonts w:asciiTheme="minorHAnsi" w:eastAsiaTheme="minorEastAsia" w:hAnsiTheme="minorHAnsi" w:cstheme="minorBidi"/>
          <w:szCs w:val="22"/>
        </w:rPr>
      </w:pPr>
      <w:r>
        <w:t>5.</w:t>
      </w:r>
      <w:r>
        <w:tab/>
        <w:t>Activating water supply connection</w:t>
      </w:r>
      <w:r>
        <w:tab/>
      </w:r>
      <w:r>
        <w:fldChar w:fldCharType="begin"/>
      </w:r>
      <w:r>
        <w:instrText xml:space="preserve"> PAGEREF _Toc434929911 \h </w:instrText>
      </w:r>
      <w:r>
        <w:fldChar w:fldCharType="separate"/>
      </w:r>
      <w:r>
        <w:t>106</w:t>
      </w:r>
      <w:r>
        <w:fldChar w:fldCharType="end"/>
      </w:r>
    </w:p>
    <w:p>
      <w:pPr>
        <w:pStyle w:val="TOC8"/>
        <w:rPr>
          <w:rFonts w:asciiTheme="minorHAnsi" w:eastAsiaTheme="minorEastAsia" w:hAnsiTheme="minorHAnsi" w:cstheme="minorBidi"/>
          <w:szCs w:val="22"/>
        </w:rPr>
      </w:pPr>
      <w:r>
        <w:t>6.</w:t>
      </w:r>
      <w:r>
        <w:tab/>
        <w:t>Disconnecting water supply connection</w:t>
      </w:r>
      <w:r>
        <w:tab/>
      </w:r>
      <w:r>
        <w:fldChar w:fldCharType="begin"/>
      </w:r>
      <w:r>
        <w:instrText xml:space="preserve"> PAGEREF _Toc434929912 \h </w:instrText>
      </w:r>
      <w:r>
        <w:fldChar w:fldCharType="separate"/>
      </w:r>
      <w:r>
        <w:t>106</w:t>
      </w:r>
      <w:r>
        <w:fldChar w:fldCharType="end"/>
      </w:r>
    </w:p>
    <w:p>
      <w:pPr>
        <w:pStyle w:val="TOC8"/>
        <w:rPr>
          <w:rFonts w:asciiTheme="minorHAnsi" w:eastAsiaTheme="minorEastAsia" w:hAnsiTheme="minorHAnsi" w:cstheme="minorBidi"/>
          <w:szCs w:val="22"/>
        </w:rPr>
      </w:pPr>
      <w:r>
        <w:t>7.</w:t>
      </w:r>
      <w:r>
        <w:tab/>
        <w:t>Reconnecting water supply connection</w:t>
      </w:r>
      <w:r>
        <w:tab/>
      </w:r>
      <w:r>
        <w:fldChar w:fldCharType="begin"/>
      </w:r>
      <w:r>
        <w:instrText xml:space="preserve"> PAGEREF _Toc434929913 \h </w:instrText>
      </w:r>
      <w:r>
        <w:fldChar w:fldCharType="separate"/>
      </w:r>
      <w:r>
        <w:t>107</w:t>
      </w:r>
      <w:r>
        <w:fldChar w:fldCharType="end"/>
      </w:r>
    </w:p>
    <w:p>
      <w:pPr>
        <w:pStyle w:val="TOC8"/>
        <w:rPr>
          <w:rFonts w:asciiTheme="minorHAnsi" w:eastAsiaTheme="minorEastAsia" w:hAnsiTheme="minorHAnsi" w:cstheme="minorBidi"/>
          <w:szCs w:val="22"/>
        </w:rPr>
      </w:pPr>
      <w:r>
        <w:t>8.</w:t>
      </w:r>
      <w:r>
        <w:tab/>
        <w:t>Relocating water supply connection</w:t>
      </w:r>
      <w:r>
        <w:tab/>
      </w:r>
      <w:r>
        <w:fldChar w:fldCharType="begin"/>
      </w:r>
      <w:r>
        <w:instrText xml:space="preserve"> PAGEREF _Toc434929914 \h </w:instrText>
      </w:r>
      <w:r>
        <w:fldChar w:fldCharType="separate"/>
      </w:r>
      <w:r>
        <w:t>107</w:t>
      </w:r>
      <w:r>
        <w:fldChar w:fldCharType="end"/>
      </w:r>
    </w:p>
    <w:p>
      <w:pPr>
        <w:pStyle w:val="TOC8"/>
        <w:rPr>
          <w:rFonts w:asciiTheme="minorHAnsi" w:eastAsiaTheme="minorEastAsia" w:hAnsiTheme="minorHAnsi" w:cstheme="minorBidi"/>
          <w:szCs w:val="22"/>
        </w:rPr>
      </w:pPr>
      <w:r>
        <w:t>9.</w:t>
      </w:r>
      <w:r>
        <w:tab/>
        <w:t>Proposal to connect to sewer</w:t>
      </w:r>
      <w:r>
        <w:tab/>
      </w:r>
      <w:r>
        <w:fldChar w:fldCharType="begin"/>
      </w:r>
      <w:r>
        <w:instrText xml:space="preserve"> PAGEREF _Toc434929915 \h </w:instrText>
      </w:r>
      <w:r>
        <w:fldChar w:fldCharType="separate"/>
      </w:r>
      <w:r>
        <w:t>108</w:t>
      </w:r>
      <w:r>
        <w:fldChar w:fldCharType="end"/>
      </w:r>
    </w:p>
    <w:p>
      <w:pPr>
        <w:pStyle w:val="TOC8"/>
        <w:rPr>
          <w:rFonts w:asciiTheme="minorHAnsi" w:eastAsiaTheme="minorEastAsia" w:hAnsiTheme="minorHAnsi" w:cstheme="minorBidi"/>
          <w:szCs w:val="22"/>
        </w:rPr>
      </w:pPr>
      <w:r>
        <w:t>10.</w:t>
      </w:r>
      <w:r>
        <w:tab/>
        <w:t>Installing sewer junction</w:t>
      </w:r>
      <w:r>
        <w:tab/>
      </w:r>
      <w:r>
        <w:fldChar w:fldCharType="begin"/>
      </w:r>
      <w:r>
        <w:instrText xml:space="preserve"> PAGEREF _Toc434929916 \h </w:instrText>
      </w:r>
      <w:r>
        <w:fldChar w:fldCharType="separate"/>
      </w:r>
      <w:r>
        <w:t>108</w:t>
      </w:r>
      <w:r>
        <w:fldChar w:fldCharType="end"/>
      </w:r>
    </w:p>
    <w:p>
      <w:pPr>
        <w:pStyle w:val="TOC8"/>
        <w:rPr>
          <w:rFonts w:asciiTheme="minorHAnsi" w:eastAsiaTheme="minorEastAsia" w:hAnsiTheme="minorHAnsi" w:cstheme="minorBidi"/>
          <w:szCs w:val="22"/>
        </w:rPr>
      </w:pPr>
      <w:r>
        <w:t>11.</w:t>
      </w:r>
      <w:r>
        <w:tab/>
        <w:t>Hire of standpipe for fire hydrant</w:t>
      </w:r>
      <w:r>
        <w:tab/>
      </w:r>
      <w:r>
        <w:fldChar w:fldCharType="begin"/>
      </w:r>
      <w:r>
        <w:instrText xml:space="preserve"> PAGEREF _Toc434929917 \h </w:instrText>
      </w:r>
      <w:r>
        <w:fldChar w:fldCharType="separate"/>
      </w:r>
      <w:r>
        <w:t>108</w:t>
      </w:r>
      <w:r>
        <w:fldChar w:fldCharType="end"/>
      </w:r>
    </w:p>
    <w:p>
      <w:pPr>
        <w:pStyle w:val="TOC8"/>
        <w:rPr>
          <w:rFonts w:asciiTheme="minorHAnsi" w:eastAsiaTheme="minorEastAsia" w:hAnsiTheme="minorHAnsi" w:cstheme="minorBidi"/>
          <w:szCs w:val="22"/>
        </w:rPr>
      </w:pPr>
      <w:r>
        <w:t>12.</w:t>
      </w:r>
      <w:r>
        <w:tab/>
        <w:t>Trade waste: routine services</w:t>
      </w:r>
      <w:r>
        <w:tab/>
      </w:r>
      <w:r>
        <w:fldChar w:fldCharType="begin"/>
      </w:r>
      <w:r>
        <w:instrText xml:space="preserve"> PAGEREF _Toc434929918 \h </w:instrText>
      </w:r>
      <w:r>
        <w:fldChar w:fldCharType="separate"/>
      </w:r>
      <w:r>
        <w:t>109</w:t>
      </w:r>
      <w:r>
        <w:fldChar w:fldCharType="end"/>
      </w:r>
    </w:p>
    <w:p>
      <w:pPr>
        <w:pStyle w:val="TOC8"/>
        <w:rPr>
          <w:rFonts w:asciiTheme="minorHAnsi" w:eastAsiaTheme="minorEastAsia" w:hAnsiTheme="minorHAnsi" w:cstheme="minorBidi"/>
          <w:szCs w:val="22"/>
        </w:rPr>
      </w:pPr>
      <w:r>
        <w:t>13.</w:t>
      </w:r>
      <w:r>
        <w:tab/>
        <w:t>Trade waste: ad hoc services</w:t>
      </w:r>
      <w:r>
        <w:tab/>
      </w:r>
      <w:r>
        <w:fldChar w:fldCharType="begin"/>
      </w:r>
      <w:r>
        <w:instrText xml:space="preserve"> PAGEREF _Toc434929919 \h </w:instrText>
      </w:r>
      <w:r>
        <w:fldChar w:fldCharType="separate"/>
      </w:r>
      <w:r>
        <w:t>109</w:t>
      </w:r>
      <w:r>
        <w:fldChar w:fldCharType="end"/>
      </w:r>
    </w:p>
    <w:p>
      <w:pPr>
        <w:pStyle w:val="TOC8"/>
        <w:rPr>
          <w:rFonts w:asciiTheme="minorHAnsi" w:eastAsiaTheme="minorEastAsia" w:hAnsiTheme="minorHAnsi" w:cstheme="minorBidi"/>
          <w:szCs w:val="22"/>
        </w:rPr>
      </w:pPr>
      <w:r>
        <w:t>14.</w:t>
      </w:r>
      <w:r>
        <w:tab/>
        <w:t>Trade waste: one</w:t>
      </w:r>
      <w:r>
        <w:noBreakHyphen/>
        <w:t>off discharge services</w:t>
      </w:r>
      <w:r>
        <w:tab/>
      </w:r>
      <w:r>
        <w:fldChar w:fldCharType="begin"/>
      </w:r>
      <w:r>
        <w:instrText xml:space="preserve"> PAGEREF _Toc434929920 \h </w:instrText>
      </w:r>
      <w:r>
        <w:fldChar w:fldCharType="separate"/>
      </w:r>
      <w:r>
        <w:t>110</w:t>
      </w:r>
      <w:r>
        <w:fldChar w:fldCharType="end"/>
      </w:r>
    </w:p>
    <w:p>
      <w:pPr>
        <w:pStyle w:val="TOC8"/>
        <w:rPr>
          <w:rFonts w:asciiTheme="minorHAnsi" w:eastAsiaTheme="minorEastAsia" w:hAnsiTheme="minorHAnsi" w:cstheme="minorBidi"/>
          <w:szCs w:val="22"/>
        </w:rPr>
      </w:pPr>
      <w:r>
        <w:t>15.</w:t>
      </w:r>
      <w:r>
        <w:tab/>
        <w:t>Meter reading and other information</w:t>
      </w:r>
      <w:r>
        <w:tab/>
      </w:r>
      <w:r>
        <w:fldChar w:fldCharType="begin"/>
      </w:r>
      <w:r>
        <w:instrText xml:space="preserve"> PAGEREF _Toc434929921 \h </w:instrText>
      </w:r>
      <w:r>
        <w:fldChar w:fldCharType="separate"/>
      </w:r>
      <w:r>
        <w:t>110</w:t>
      </w:r>
      <w:r>
        <w:fldChar w:fldCharType="end"/>
      </w:r>
    </w:p>
    <w:p>
      <w:pPr>
        <w:pStyle w:val="TOC8"/>
        <w:rPr>
          <w:rFonts w:asciiTheme="minorHAnsi" w:eastAsiaTheme="minorEastAsia" w:hAnsiTheme="minorHAnsi" w:cstheme="minorBidi"/>
          <w:szCs w:val="22"/>
        </w:rPr>
      </w:pPr>
      <w:r>
        <w:t>16.</w:t>
      </w:r>
      <w:r>
        <w:tab/>
        <w:t>Plans and diagrams of property sewer connections or sewerage works</w:t>
      </w:r>
      <w:r>
        <w:tab/>
      </w:r>
      <w:r>
        <w:fldChar w:fldCharType="begin"/>
      </w:r>
      <w:r>
        <w:instrText xml:space="preserve"> PAGEREF _Toc434929922 \h </w:instrText>
      </w:r>
      <w:r>
        <w:fldChar w:fldCharType="separate"/>
      </w:r>
      <w:r>
        <w:t>111</w:t>
      </w:r>
      <w:r>
        <w:fldChar w:fldCharType="end"/>
      </w:r>
    </w:p>
    <w:p>
      <w:pPr>
        <w:pStyle w:val="TOC8"/>
        <w:rPr>
          <w:rFonts w:asciiTheme="minorHAnsi" w:eastAsiaTheme="minorEastAsia" w:hAnsiTheme="minorHAnsi" w:cstheme="minorBidi"/>
          <w:szCs w:val="22"/>
        </w:rPr>
      </w:pPr>
      <w:r>
        <w:t>17.</w:t>
      </w:r>
      <w:r>
        <w:tab/>
        <w:t>Copies of records</w:t>
      </w:r>
      <w:r>
        <w:tab/>
      </w:r>
      <w:r>
        <w:fldChar w:fldCharType="begin"/>
      </w:r>
      <w:r>
        <w:instrText xml:space="preserve"> PAGEREF _Toc434929923 \h </w:instrText>
      </w:r>
      <w:r>
        <w:fldChar w:fldCharType="separate"/>
      </w:r>
      <w:r>
        <w:t>111</w:t>
      </w:r>
      <w:r>
        <w:fldChar w:fldCharType="end"/>
      </w:r>
    </w:p>
    <w:p>
      <w:pPr>
        <w:pStyle w:val="TOC2"/>
        <w:tabs>
          <w:tab w:val="right" w:leader="dot" w:pos="7077"/>
        </w:tabs>
        <w:rPr>
          <w:rFonts w:asciiTheme="minorHAnsi" w:eastAsiaTheme="minorEastAsia" w:hAnsiTheme="minorHAnsi" w:cstheme="minorBidi"/>
          <w:b w:val="0"/>
          <w:sz w:val="22"/>
          <w:szCs w:val="22"/>
        </w:rPr>
      </w:pPr>
      <w:r>
        <w:t>Schedule 8 — Government trading organisations</w:t>
      </w:r>
    </w:p>
    <w:p>
      <w:pPr>
        <w:pStyle w:val="TOC2"/>
        <w:tabs>
          <w:tab w:val="right" w:leader="dot" w:pos="7077"/>
        </w:tabs>
        <w:rPr>
          <w:rFonts w:asciiTheme="minorHAnsi" w:eastAsiaTheme="minorEastAsia" w:hAnsiTheme="minorHAnsi" w:cstheme="minorBidi"/>
          <w:b w:val="0"/>
          <w:sz w:val="22"/>
          <w:szCs w:val="22"/>
        </w:rPr>
      </w:pPr>
      <w:r>
        <w:t>Schedule 9 — Central business districts</w:t>
      </w:r>
    </w:p>
    <w:p>
      <w:pPr>
        <w:pStyle w:val="TOC8"/>
        <w:rPr>
          <w:rFonts w:asciiTheme="minorHAnsi" w:eastAsiaTheme="minorEastAsia" w:hAnsiTheme="minorHAnsi" w:cstheme="minorBidi"/>
          <w:szCs w:val="22"/>
        </w:rPr>
      </w:pPr>
      <w:r>
        <w:t>1.</w:t>
      </w:r>
      <w:r>
        <w:tab/>
        <w:t>Central business districts</w:t>
      </w:r>
      <w:r>
        <w:tab/>
      </w:r>
      <w:r>
        <w:fldChar w:fldCharType="begin"/>
      </w:r>
      <w:r>
        <w:instrText xml:space="preserve"> PAGEREF _Toc434929926 \h </w:instrText>
      </w:r>
      <w:r>
        <w:fldChar w:fldCharType="separate"/>
      </w:r>
      <w:r>
        <w:t>114</w:t>
      </w:r>
      <w:r>
        <w:fldChar w:fldCharType="end"/>
      </w:r>
    </w:p>
    <w:p>
      <w:pPr>
        <w:pStyle w:val="TOC2"/>
        <w:tabs>
          <w:tab w:val="right" w:leader="dot" w:pos="7077"/>
        </w:tabs>
        <w:rPr>
          <w:rFonts w:asciiTheme="minorHAnsi" w:eastAsiaTheme="minorEastAsia" w:hAnsiTheme="minorHAnsi" w:cstheme="minorBidi"/>
          <w:b w:val="0"/>
          <w:sz w:val="22"/>
          <w:szCs w:val="22"/>
        </w:rPr>
      </w:pPr>
      <w:r>
        <w:t>Schedule 10 — Class of town or area: current consumption year</w:t>
      </w:r>
    </w:p>
    <w:p>
      <w:pPr>
        <w:pStyle w:val="TOC2"/>
        <w:tabs>
          <w:tab w:val="right" w:leader="dot" w:pos="7077"/>
        </w:tabs>
        <w:rPr>
          <w:rFonts w:asciiTheme="minorHAnsi" w:eastAsiaTheme="minorEastAsia" w:hAnsiTheme="minorHAnsi" w:cstheme="minorBidi"/>
          <w:b w:val="0"/>
          <w:sz w:val="22"/>
          <w:szCs w:val="22"/>
        </w:rPr>
      </w:pPr>
      <w:r>
        <w:t>Schedule 11 — Class of town or area: previous consumption year</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_Toc434929930 \h </w:instrText>
      </w:r>
      <w:r>
        <w:fldChar w:fldCharType="separate"/>
      </w:r>
      <w:r>
        <w:t>133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8 January 2016</w:t>
            </w:r>
          </w:p>
        </w:tc>
      </w:tr>
    </w:tbl>
    <w:p>
      <w:pPr>
        <w:pStyle w:val="WA"/>
        <w:spacing w:before="12"/>
      </w:pPr>
      <w:r>
        <w:t>Western Australia</w:t>
      </w:r>
    </w:p>
    <w:p>
      <w:pPr>
        <w:pStyle w:val="PrincipalActReg"/>
      </w:pPr>
      <w:r>
        <w:t>Water Services Act 2012</w:t>
      </w:r>
    </w:p>
    <w:p>
      <w:pPr>
        <w:pStyle w:val="NameofActReg"/>
      </w:pPr>
      <w:r>
        <w:t>Water Services (Water Corporations Charges) Regulations 2014</w:t>
      </w:r>
    </w:p>
    <w:p>
      <w:pPr>
        <w:pStyle w:val="Heading2"/>
        <w:pageBreakBefore w:val="0"/>
        <w:spacing w:before="240"/>
      </w:pPr>
      <w:bookmarkStart w:id="3" w:name="_Toc429576880"/>
      <w:bookmarkStart w:id="4" w:name="_Toc434929697"/>
      <w:r>
        <w:rPr>
          <w:rStyle w:val="CharPartNo"/>
        </w:rPr>
        <w:t>Part 1</w:t>
      </w:r>
      <w:r>
        <w:rPr>
          <w:rStyle w:val="CharDivNo"/>
        </w:rPr>
        <w:t> </w:t>
      </w:r>
      <w:r>
        <w:t>—</w:t>
      </w:r>
      <w:r>
        <w:rPr>
          <w:rStyle w:val="CharDivText"/>
        </w:rPr>
        <w:t> </w:t>
      </w:r>
      <w:r>
        <w:rPr>
          <w:rStyle w:val="CharPartText"/>
        </w:rPr>
        <w:t>Preliminary</w:t>
      </w:r>
      <w:bookmarkEnd w:id="3"/>
      <w:bookmarkEnd w:id="4"/>
    </w:p>
    <w:p>
      <w:pPr>
        <w:pStyle w:val="Heading5"/>
      </w:pPr>
      <w:bookmarkStart w:id="5" w:name="_Toc434929698"/>
      <w:r>
        <w:rPr>
          <w:rStyle w:val="CharSectno"/>
        </w:rPr>
        <w:t>1</w:t>
      </w:r>
      <w:r>
        <w:t>.</w:t>
      </w:r>
      <w:r>
        <w:tab/>
        <w:t>Citation</w:t>
      </w:r>
      <w:bookmarkEnd w:id="5"/>
    </w:p>
    <w:p>
      <w:pPr>
        <w:pStyle w:val="Subsection"/>
      </w:pPr>
      <w:r>
        <w:tab/>
      </w:r>
      <w:r>
        <w:tab/>
      </w:r>
      <w:bookmarkStart w:id="6" w:name="Start_Cursor"/>
      <w:bookmarkEnd w:id="6"/>
      <w:r>
        <w:rPr>
          <w:spacing w:val="-2"/>
        </w:rPr>
        <w:t>These</w:t>
      </w:r>
      <w:r>
        <w:t xml:space="preserve"> </w:t>
      </w:r>
      <w:r>
        <w:rPr>
          <w:spacing w:val="-2"/>
        </w:rPr>
        <w:t>regulations</w:t>
      </w:r>
      <w:r>
        <w:t xml:space="preserve"> are the </w:t>
      </w:r>
      <w:r>
        <w:rPr>
          <w:i/>
        </w:rPr>
        <w:t>Water Services (Water Corporations Charges) Regulations 2014</w:t>
      </w:r>
      <w:r>
        <w:rPr>
          <w:vertAlign w:val="superscript"/>
        </w:rPr>
        <w:t> 1</w:t>
      </w:r>
      <w:r>
        <w:t>.</w:t>
      </w:r>
    </w:p>
    <w:p>
      <w:pPr>
        <w:pStyle w:val="Heading5"/>
        <w:rPr>
          <w:spacing w:val="-2"/>
        </w:rPr>
      </w:pPr>
      <w:bookmarkStart w:id="7" w:name="_Toc434929699"/>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vertAlign w:val="superscript"/>
        </w:rPr>
        <w:t> 1</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8" w:name="_Toc434929700"/>
      <w:r>
        <w:rPr>
          <w:rStyle w:val="CharSectno"/>
        </w:rPr>
        <w:t>3</w:t>
      </w:r>
      <w:r>
        <w:t>.</w:t>
      </w:r>
      <w:r>
        <w:tab/>
        <w:t>Terms used</w:t>
      </w:r>
      <w:bookmarkEnd w:id="8"/>
    </w:p>
    <w:p>
      <w:pPr>
        <w:pStyle w:val="Subsection"/>
      </w:pPr>
      <w:r>
        <w:tab/>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has the meaning given in the </w:t>
      </w:r>
      <w:r>
        <w:rPr>
          <w:i/>
        </w:rPr>
        <w:t>Rates and Charges (Rebates and Deferments) Act 1992</w:t>
      </w:r>
      <w:r>
        <w:t xml:space="preserve"> section 3(1);</w:t>
      </w:r>
    </w:p>
    <w:p>
      <w:pPr>
        <w:pStyle w:val="Defstart"/>
      </w:pPr>
      <w:r>
        <w:tab/>
      </w:r>
      <w:r>
        <w:rPr>
          <w:rStyle w:val="CharDefText"/>
        </w:rPr>
        <w:t>multi</w:t>
      </w:r>
      <w:r>
        <w:rPr>
          <w:rStyle w:val="CharDefText"/>
        </w:rPr>
        <w:noBreakHyphen/>
        <w:t>unit development</w:t>
      </w:r>
      <w:r>
        <w:t xml:space="preserve"> has the meaning given in the </w:t>
      </w:r>
      <w:r>
        <w:rPr>
          <w:i/>
        </w:rPr>
        <w:t>Water Services Regulations 2013</w:t>
      </w:r>
      <w:r>
        <w:t xml:space="preserve"> regulation 3(1);</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Defstart"/>
      </w:pPr>
      <w:r>
        <w:tab/>
      </w:r>
      <w:r>
        <w:rPr>
          <w:rStyle w:val="CharDefText"/>
        </w:rPr>
        <w:t>water supply connection</w:t>
      </w:r>
      <w:r>
        <w:t xml:space="preserve"> has the meaning given in the </w:t>
      </w:r>
      <w:r>
        <w:rPr>
          <w:i/>
        </w:rPr>
        <w:t>Water Services Regulations 2013</w:t>
      </w:r>
      <w:r>
        <w:t xml:space="preserve"> regulation 3(1).</w:t>
      </w:r>
    </w:p>
    <w:p>
      <w:pPr>
        <w:pStyle w:val="Heading2"/>
      </w:pPr>
      <w:bookmarkStart w:id="9" w:name="_Toc429576884"/>
      <w:bookmarkStart w:id="10" w:name="_Toc434929701"/>
      <w:r>
        <w:rPr>
          <w:rStyle w:val="CharPartNo"/>
        </w:rPr>
        <w:t>Part 2</w:t>
      </w:r>
      <w:r>
        <w:rPr>
          <w:rStyle w:val="CharDivNo"/>
        </w:rPr>
        <w:t> </w:t>
      </w:r>
      <w:r>
        <w:t>—</w:t>
      </w:r>
      <w:r>
        <w:rPr>
          <w:rStyle w:val="CharDivText"/>
        </w:rPr>
        <w:t> </w:t>
      </w:r>
      <w:r>
        <w:rPr>
          <w:rStyle w:val="CharPartText"/>
        </w:rPr>
        <w:t>General provisions</w:t>
      </w:r>
      <w:bookmarkEnd w:id="9"/>
      <w:bookmarkEnd w:id="10"/>
    </w:p>
    <w:p>
      <w:pPr>
        <w:pStyle w:val="Heading5"/>
      </w:pPr>
      <w:bookmarkStart w:id="11" w:name="_Toc434929702"/>
      <w:r>
        <w:rPr>
          <w:rStyle w:val="CharSectno"/>
        </w:rPr>
        <w:t>4</w:t>
      </w:r>
      <w:r>
        <w:t>.</w:t>
      </w:r>
      <w:r>
        <w:tab/>
        <w:t>Annual charges and pro rata annual charges</w:t>
      </w:r>
      <w:bookmarkEnd w:id="11"/>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12" w:name="_Toc434929703"/>
      <w:r>
        <w:rPr>
          <w:rStyle w:val="CharSectno"/>
        </w:rPr>
        <w:t>5</w:t>
      </w:r>
      <w:r>
        <w:t>.</w:t>
      </w:r>
      <w:r>
        <w:tab/>
        <w:t>Amendment of consumption or discharge charges during charge period</w:t>
      </w:r>
      <w:bookmarkEnd w:id="12"/>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13" w:name="_Toc429576887"/>
      <w:bookmarkStart w:id="14" w:name="_Toc434929704"/>
      <w:r>
        <w:rPr>
          <w:rStyle w:val="CharPartNo"/>
        </w:rPr>
        <w:t>Part 3</w:t>
      </w:r>
      <w:r>
        <w:rPr>
          <w:rStyle w:val="CharDivNo"/>
        </w:rPr>
        <w:t> </w:t>
      </w:r>
      <w:r>
        <w:t>—</w:t>
      </w:r>
      <w:r>
        <w:rPr>
          <w:rStyle w:val="CharDivText"/>
        </w:rPr>
        <w:t> </w:t>
      </w:r>
      <w:r>
        <w:rPr>
          <w:rStyle w:val="CharPartText"/>
        </w:rPr>
        <w:t>Charges for Bunbury Water Corporation</w:t>
      </w:r>
      <w:bookmarkEnd w:id="13"/>
      <w:bookmarkEnd w:id="14"/>
    </w:p>
    <w:p>
      <w:pPr>
        <w:pStyle w:val="Heading5"/>
      </w:pPr>
      <w:bookmarkStart w:id="15" w:name="_Toc434929705"/>
      <w:r>
        <w:rPr>
          <w:rStyle w:val="CharSectno"/>
        </w:rPr>
        <w:t>6</w:t>
      </w:r>
      <w:r>
        <w:t>.</w:t>
      </w:r>
      <w:r>
        <w:tab/>
        <w:t>Terms used</w:t>
      </w:r>
      <w:bookmarkEnd w:id="15"/>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16" w:name="_Toc434929706"/>
      <w:r>
        <w:rPr>
          <w:rStyle w:val="CharSectno"/>
        </w:rPr>
        <w:t>7</w:t>
      </w:r>
      <w:r>
        <w:t>.</w:t>
      </w:r>
      <w:r>
        <w:tab/>
        <w:t>Water supply charges</w:t>
      </w:r>
      <w:bookmarkEnd w:id="16"/>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Heading5"/>
      </w:pPr>
      <w:bookmarkStart w:id="17" w:name="_Toc434929707"/>
      <w:r>
        <w:rPr>
          <w:rStyle w:val="CharSectno"/>
        </w:rPr>
        <w:t>8</w:t>
      </w:r>
      <w:r>
        <w:t>.</w:t>
      </w:r>
      <w:r>
        <w:tab/>
        <w:t>Miscellaneous charges</w:t>
      </w:r>
      <w:bookmarkEnd w:id="17"/>
    </w:p>
    <w:p>
      <w:pPr>
        <w:pStyle w:val="Subsection"/>
      </w:pPr>
      <w:r>
        <w:tab/>
        <w:t>(1)</w:t>
      </w:r>
      <w:r>
        <w:tab/>
        <w:t>Schedule 1 Division 3 sets out charges for certain things done, or goods and services provided, by the Bunbury Water Corporation as part of or incidental to the provision of a water service.</w:t>
      </w:r>
    </w:p>
    <w:p>
      <w:pPr>
        <w:pStyle w:val="Subsection"/>
        <w:keepNext/>
      </w:pPr>
      <w:r>
        <w:tab/>
        <w:t>(2)</w:t>
      </w:r>
      <w:r>
        <w:tab/>
        <w:t xml:space="preserve">The Bunbury Water Corporation may — </w:t>
      </w:r>
    </w:p>
    <w:p>
      <w:pPr>
        <w:pStyle w:val="Indenta"/>
      </w:pPr>
      <w:r>
        <w:tab/>
        <w:t>(a)</w:t>
      </w:r>
      <w:r>
        <w:tab/>
        <w:t>require payment of a charge, set out in Schedule 1 Division 3, in advance; and</w:t>
      </w:r>
    </w:p>
    <w:p>
      <w:pPr>
        <w:pStyle w:val="Indenta"/>
      </w:pPr>
      <w:r>
        <w:tab/>
        <w:t>(b)</w:t>
      </w:r>
      <w:r>
        <w:tab/>
        <w:t>reduce or waive a charge in a particular case, or generally, if it considers that to be appropriate.</w:t>
      </w:r>
    </w:p>
    <w:p>
      <w:pPr>
        <w:pStyle w:val="Heading5"/>
      </w:pPr>
      <w:bookmarkStart w:id="18" w:name="_Toc434929708"/>
      <w:r>
        <w:rPr>
          <w:rStyle w:val="CharSectno"/>
        </w:rPr>
        <w:t>9</w:t>
      </w:r>
      <w:r>
        <w:t>.</w:t>
      </w:r>
      <w:r>
        <w:tab/>
        <w:t>Concessions</w:t>
      </w:r>
      <w:bookmarkEnd w:id="18"/>
    </w:p>
    <w:p>
      <w:pPr>
        <w:pStyle w:val="Subsection"/>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19" w:name="_Toc434929709"/>
      <w:r>
        <w:rPr>
          <w:rStyle w:val="CharSectno"/>
        </w:rPr>
        <w:t>10</w:t>
      </w:r>
      <w:r>
        <w:t>.</w:t>
      </w:r>
      <w:r>
        <w:tab/>
        <w:t>Interest accruing on overdue amounts</w:t>
      </w:r>
      <w:bookmarkEnd w:id="19"/>
    </w:p>
    <w:p>
      <w:pPr>
        <w:pStyle w:val="Subsection"/>
      </w:pPr>
      <w:r>
        <w:tab/>
      </w:r>
      <w:r>
        <w:tab/>
        <w:t>If an amount payable under this Part is overdue, interest accrues daily on any part of that amount unpaid after the day on which the amount was due, at the rate of 12.38% per annum.</w:t>
      </w:r>
    </w:p>
    <w:p>
      <w:pPr>
        <w:pStyle w:val="Footnotesection"/>
      </w:pPr>
      <w:r>
        <w:tab/>
        <w:t>[Regulation 10 amended in Gazette 30 Jun 2015 p. 2363.]</w:t>
      </w:r>
    </w:p>
    <w:p>
      <w:pPr>
        <w:pStyle w:val="Heading2"/>
      </w:pPr>
      <w:bookmarkStart w:id="20" w:name="_Toc429576893"/>
      <w:bookmarkStart w:id="21" w:name="_Toc434929710"/>
      <w:r>
        <w:rPr>
          <w:rStyle w:val="CharPartNo"/>
        </w:rPr>
        <w:t>Part 4</w:t>
      </w:r>
      <w:r>
        <w:rPr>
          <w:rStyle w:val="CharDivNo"/>
        </w:rPr>
        <w:t> </w:t>
      </w:r>
      <w:r>
        <w:t>—</w:t>
      </w:r>
      <w:r>
        <w:rPr>
          <w:rStyle w:val="CharDivText"/>
        </w:rPr>
        <w:t> </w:t>
      </w:r>
      <w:r>
        <w:rPr>
          <w:rStyle w:val="CharPartText"/>
        </w:rPr>
        <w:t>Charges for Busselton Water Corporation</w:t>
      </w:r>
      <w:bookmarkEnd w:id="20"/>
      <w:bookmarkEnd w:id="21"/>
    </w:p>
    <w:p>
      <w:pPr>
        <w:pStyle w:val="Heading5"/>
      </w:pPr>
      <w:bookmarkStart w:id="22" w:name="_Toc434929711"/>
      <w:r>
        <w:rPr>
          <w:rStyle w:val="CharSectno"/>
        </w:rPr>
        <w:t>11</w:t>
      </w:r>
      <w:r>
        <w:t>.</w:t>
      </w:r>
      <w:r>
        <w:tab/>
        <w:t>Terms used</w:t>
      </w:r>
      <w:bookmarkEnd w:id="22"/>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fire service connection</w:t>
      </w:r>
      <w:r>
        <w:t xml:space="preserve"> means a water supply connection provided exclusively for the purposes of fighting fires;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23" w:name="_Toc434929712"/>
      <w:r>
        <w:rPr>
          <w:rStyle w:val="CharSectno"/>
        </w:rPr>
        <w:t>12</w:t>
      </w:r>
      <w:r>
        <w:t>.</w:t>
      </w:r>
      <w:r>
        <w:tab/>
        <w:t>Water supply charges</w:t>
      </w:r>
      <w:bookmarkEnd w:id="23"/>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Ednotesection"/>
      </w:pPr>
      <w:r>
        <w:t>[</w:t>
      </w:r>
      <w:r>
        <w:rPr>
          <w:b/>
        </w:rPr>
        <w:t>13.</w:t>
      </w:r>
      <w:r>
        <w:tab/>
        <w:t>Deleted in Gazette 30 Jun 2015 p. 2363.]</w:t>
      </w:r>
    </w:p>
    <w:p>
      <w:pPr>
        <w:pStyle w:val="Heading5"/>
      </w:pPr>
      <w:bookmarkStart w:id="24" w:name="_Toc434929713"/>
      <w:r>
        <w:rPr>
          <w:rStyle w:val="CharSectno"/>
        </w:rPr>
        <w:t>14</w:t>
      </w:r>
      <w:r>
        <w:t>.</w:t>
      </w:r>
      <w:r>
        <w:tab/>
        <w:t>Concessions</w:t>
      </w:r>
      <w:bookmarkEnd w:id="24"/>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25" w:name="_Toc434929714"/>
      <w:r>
        <w:rPr>
          <w:rStyle w:val="CharSectno"/>
        </w:rPr>
        <w:t>15A</w:t>
      </w:r>
      <w:r>
        <w:t>.</w:t>
      </w:r>
      <w:r>
        <w:tab/>
        <w:t>Charge for payment using credit card</w:t>
      </w:r>
      <w:bookmarkEnd w:id="25"/>
    </w:p>
    <w:p>
      <w:pPr>
        <w:pStyle w:val="Subsection"/>
      </w:pPr>
      <w:r>
        <w:tab/>
        <w:t>(1)</w:t>
      </w:r>
      <w:r>
        <w:tab/>
        <w:t>An invoice for a water service charge, or a portion of a water service charge, may include an additional charge for payments made using a credit card.</w:t>
      </w:r>
    </w:p>
    <w:p>
      <w:pPr>
        <w:pStyle w:val="Subsection"/>
      </w:pPr>
      <w:r>
        <w:tab/>
        <w:t>(2)</w:t>
      </w:r>
      <w:r>
        <w:tab/>
        <w:t xml:space="preserve">The additional charge — </w:t>
      </w:r>
    </w:p>
    <w:p>
      <w:pPr>
        <w:pStyle w:val="Indenta"/>
      </w:pPr>
      <w:r>
        <w:tab/>
        <w:t>(a)</w:t>
      </w:r>
      <w:r>
        <w:tab/>
        <w:t>is payable if the amount in the invoice is paid, in whole or in part, using a credit card; and</w:t>
      </w:r>
    </w:p>
    <w:p>
      <w:pPr>
        <w:pStyle w:val="Indenta"/>
      </w:pPr>
      <w:r>
        <w:tab/>
        <w:t>(b)</w:t>
      </w:r>
      <w:r>
        <w:tab/>
        <w:t>cannot exceed 0.481% of the amount paid.</w:t>
      </w:r>
    </w:p>
    <w:p>
      <w:pPr>
        <w:pStyle w:val="Footnotesection"/>
      </w:pPr>
      <w:r>
        <w:tab/>
        <w:t>[Regulation 15A inserted in Gazette 30 Jun 2015 p. 2364.]</w:t>
      </w:r>
    </w:p>
    <w:p>
      <w:pPr>
        <w:pStyle w:val="Heading5"/>
      </w:pPr>
      <w:bookmarkStart w:id="26" w:name="_Toc434929715"/>
      <w:r>
        <w:rPr>
          <w:rStyle w:val="CharSectno"/>
        </w:rPr>
        <w:t>15</w:t>
      </w:r>
      <w:r>
        <w:t>.</w:t>
      </w:r>
      <w:r>
        <w:tab/>
        <w:t>Interest accruing on overdue amounts</w:t>
      </w:r>
      <w:bookmarkEnd w:id="26"/>
    </w:p>
    <w:p>
      <w:pPr>
        <w:pStyle w:val="Subsection"/>
      </w:pPr>
      <w:r>
        <w:tab/>
      </w:r>
      <w:r>
        <w:tab/>
        <w:t>If an amount payable under this Part is overdue, interest accrues daily on any part of that amount unpaid after the day on which the amount was due, at the rate of 12.38% per annum.</w:t>
      </w:r>
    </w:p>
    <w:p>
      <w:pPr>
        <w:pStyle w:val="Heading2"/>
      </w:pPr>
      <w:bookmarkStart w:id="27" w:name="_Toc429576899"/>
      <w:bookmarkStart w:id="28" w:name="_Toc434929716"/>
      <w:r>
        <w:rPr>
          <w:rStyle w:val="CharPartNo"/>
        </w:rPr>
        <w:t>Part 5</w:t>
      </w:r>
      <w:r>
        <w:t> — </w:t>
      </w:r>
      <w:r>
        <w:rPr>
          <w:rStyle w:val="CharPartText"/>
        </w:rPr>
        <w:t>Charges for the Water Corporation</w:t>
      </w:r>
      <w:bookmarkEnd w:id="27"/>
      <w:bookmarkEnd w:id="28"/>
    </w:p>
    <w:p>
      <w:pPr>
        <w:pStyle w:val="Heading3"/>
        <w:rPr>
          <w:rStyle w:val="CharDivText"/>
        </w:rPr>
      </w:pPr>
      <w:bookmarkStart w:id="29" w:name="_Toc429576900"/>
      <w:bookmarkStart w:id="30" w:name="_Toc434929717"/>
      <w:r>
        <w:rPr>
          <w:rStyle w:val="CharDivNo"/>
        </w:rPr>
        <w:t>Division 1</w:t>
      </w:r>
      <w:r>
        <w:t> — </w:t>
      </w:r>
      <w:r>
        <w:rPr>
          <w:rStyle w:val="CharDivText"/>
        </w:rPr>
        <w:t>Preliminary</w:t>
      </w:r>
      <w:bookmarkEnd w:id="29"/>
      <w:bookmarkEnd w:id="30"/>
    </w:p>
    <w:p>
      <w:pPr>
        <w:pStyle w:val="Heading5"/>
      </w:pPr>
      <w:bookmarkStart w:id="31" w:name="_Toc434929718"/>
      <w:r>
        <w:rPr>
          <w:rStyle w:val="CharSectno"/>
        </w:rPr>
        <w:t>16</w:t>
      </w:r>
      <w:r>
        <w:t>.</w:t>
      </w:r>
      <w:r>
        <w:tab/>
        <w:t>Terms used</w:t>
      </w:r>
      <w:bookmarkEnd w:id="31"/>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concessional land</w:t>
      </w:r>
      <w:r>
        <w:t xml:space="preserve"> has the meaning given in regulation 17;</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farmland</w:t>
      </w:r>
      <w:r>
        <w:t xml:space="preserve"> has the meaning given in the </w:t>
      </w:r>
      <w:r>
        <w:rPr>
          <w:i/>
        </w:rPr>
        <w:t>Water Services Regulations 2013</w:t>
      </w:r>
      <w:r>
        <w:t xml:space="preserve"> regulation 3(1);</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pPr>
      <w:r>
        <w:tab/>
      </w:r>
      <w:r>
        <w:rPr>
          <w:rStyle w:val="CharDefText"/>
        </w:rPr>
        <w:t>GRV</w:t>
      </w:r>
      <w:r>
        <w:t xml:space="preserve">, of land, means the gross rental value of the land under the </w:t>
      </w:r>
      <w:r>
        <w:rPr>
          <w:i/>
        </w:rPr>
        <w:t>Valuation of Land Act 1978</w:t>
      </w:r>
      <w:r>
        <w:t>;</w:t>
      </w:r>
    </w:p>
    <w:p>
      <w:pPr>
        <w:pStyle w:val="Defstart"/>
        <w:keepNex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has the meaning given in the </w:t>
      </w:r>
      <w:r>
        <w:rPr>
          <w:i/>
        </w:rPr>
        <w:t>Strata Titles Act 1985</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metropolitan area</w:t>
      </w:r>
      <w:r>
        <w:t xml:space="preserve"> has the meaning given in the </w:t>
      </w:r>
      <w:r>
        <w:rPr>
          <w:i/>
        </w:rPr>
        <w:t>Water Services Regulations 2013</w:t>
      </w:r>
      <w:r>
        <w:t xml:space="preserve"> regulation 3(1);</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 junction</w:t>
      </w:r>
      <w:r>
        <w:t xml:space="preserve"> has the meaning given in the </w:t>
      </w:r>
      <w:r>
        <w:rPr>
          <w:i/>
        </w:rPr>
        <w:t>Water Services Regulations 2013</w:t>
      </w:r>
      <w:r>
        <w:t xml:space="preserve"> regulation 3(1);</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Heading5"/>
      </w:pPr>
      <w:bookmarkStart w:id="32" w:name="_Toc434929719"/>
      <w:r>
        <w:rPr>
          <w:rStyle w:val="CharSectno"/>
        </w:rPr>
        <w:t>17</w:t>
      </w:r>
      <w:r>
        <w:t>.</w:t>
      </w:r>
      <w:r>
        <w:tab/>
        <w:t>Concessional land</w:t>
      </w:r>
      <w:bookmarkEnd w:id="32"/>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33" w:name="_Toc429576903"/>
      <w:bookmarkStart w:id="34" w:name="_Toc434929720"/>
      <w:r>
        <w:rPr>
          <w:rStyle w:val="CharDivNo"/>
        </w:rPr>
        <w:t>Division 2</w:t>
      </w:r>
      <w:r>
        <w:t> — </w:t>
      </w:r>
      <w:r>
        <w:rPr>
          <w:rStyle w:val="CharDivText"/>
        </w:rPr>
        <w:t>Provisions of general application</w:t>
      </w:r>
      <w:bookmarkEnd w:id="33"/>
      <w:bookmarkEnd w:id="34"/>
    </w:p>
    <w:p>
      <w:pPr>
        <w:pStyle w:val="Heading5"/>
      </w:pPr>
      <w:bookmarkStart w:id="35" w:name="_Toc434929721"/>
      <w:r>
        <w:rPr>
          <w:rStyle w:val="CharSectno"/>
        </w:rPr>
        <w:t>18</w:t>
      </w:r>
      <w:r>
        <w:t>.</w:t>
      </w:r>
      <w:r>
        <w:tab/>
        <w:t>Application of this Division</w:t>
      </w:r>
      <w:bookmarkEnd w:id="35"/>
    </w:p>
    <w:p>
      <w:pPr>
        <w:pStyle w:val="Subsection"/>
      </w:pPr>
      <w:r>
        <w:tab/>
      </w:r>
      <w:r>
        <w:tab/>
        <w:t>This Division applies to water service charges applicable under Divisions 3, 4, 5 and 6.</w:t>
      </w:r>
    </w:p>
    <w:p>
      <w:pPr>
        <w:pStyle w:val="Heading5"/>
      </w:pPr>
      <w:bookmarkStart w:id="36" w:name="_Toc434929722"/>
      <w:r>
        <w:rPr>
          <w:rStyle w:val="CharSectno"/>
        </w:rPr>
        <w:t>19</w:t>
      </w:r>
      <w:r>
        <w:t>.</w:t>
      </w:r>
      <w:r>
        <w:tab/>
        <w:t>Payment of charges</w:t>
      </w:r>
      <w:bookmarkEnd w:id="36"/>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30 or Schedule 7 item 12, 13 or 14.</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12, 13 or 14.</w:t>
      </w:r>
    </w:p>
    <w:p>
      <w:pPr>
        <w:pStyle w:val="Heading5"/>
      </w:pPr>
      <w:bookmarkStart w:id="37" w:name="_Toc434929723"/>
      <w:r>
        <w:rPr>
          <w:rStyle w:val="CharSectno"/>
        </w:rPr>
        <w:t>20</w:t>
      </w:r>
      <w:r>
        <w:t>.</w:t>
      </w:r>
      <w:r>
        <w:tab/>
        <w:t>Charge for payment using credit card</w:t>
      </w:r>
      <w:bookmarkEnd w:id="37"/>
    </w:p>
    <w:p>
      <w:pPr>
        <w:pStyle w:val="Subsection"/>
      </w:pPr>
      <w:r>
        <w:tab/>
        <w:t>(1)</w:t>
      </w:r>
      <w:r>
        <w:tab/>
        <w:t>An invoice for a water service charge, or a portion of a water service charge, may include an additional charge for payments made using a credit card.</w:t>
      </w:r>
    </w:p>
    <w:p>
      <w:pPr>
        <w:pStyle w:val="Subsection"/>
      </w:pPr>
      <w:r>
        <w:tab/>
        <w:t>(2)</w:t>
      </w:r>
      <w:r>
        <w:tab/>
        <w:t xml:space="preserve">The additional charge — </w:t>
      </w:r>
    </w:p>
    <w:p>
      <w:pPr>
        <w:pStyle w:val="Indenta"/>
      </w:pPr>
      <w:r>
        <w:tab/>
        <w:t>(a)</w:t>
      </w:r>
      <w:r>
        <w:tab/>
        <w:t>is payable if the amount in the invoice is paid, in whole or in part, using a credit card; and</w:t>
      </w:r>
    </w:p>
    <w:p>
      <w:pPr>
        <w:pStyle w:val="Indenta"/>
      </w:pPr>
      <w:r>
        <w:tab/>
        <w:t>(b)</w:t>
      </w:r>
      <w:r>
        <w:tab/>
        <w:t>cannot exceed 0.53% of the amount paid.</w:t>
      </w:r>
    </w:p>
    <w:p>
      <w:pPr>
        <w:pStyle w:val="Heading5"/>
      </w:pPr>
      <w:bookmarkStart w:id="38" w:name="_Toc434929724"/>
      <w:r>
        <w:rPr>
          <w:rStyle w:val="CharSectno"/>
        </w:rPr>
        <w:t>21</w:t>
      </w:r>
      <w:r>
        <w:t>.</w:t>
      </w:r>
      <w:r>
        <w:tab/>
        <w:t>Special payment arrangements</w:t>
      </w:r>
      <w:bookmarkEnd w:id="38"/>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39" w:name="_Toc434929725"/>
      <w:r>
        <w:rPr>
          <w:rStyle w:val="CharSectno"/>
        </w:rPr>
        <w:t>22</w:t>
      </w:r>
      <w:r>
        <w:t>.</w:t>
      </w:r>
      <w:r>
        <w:tab/>
        <w:t>Estimating quantity of water or wastewater supplied, discharged or drained</w:t>
      </w:r>
      <w:bookmarkEnd w:id="39"/>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40" w:name="_Toc434929726"/>
      <w:r>
        <w:rPr>
          <w:rStyle w:val="CharSectno"/>
        </w:rPr>
        <w:t>23</w:t>
      </w:r>
      <w:r>
        <w:t>.</w:t>
      </w:r>
      <w:r>
        <w:tab/>
        <w:t>Determining quality and quantity of trade waste discharged</w:t>
      </w:r>
      <w:bookmarkEnd w:id="40"/>
    </w:p>
    <w:p>
      <w:pPr>
        <w:pStyle w:val="Subsection"/>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41" w:name="_Toc434929727"/>
      <w:r>
        <w:rPr>
          <w:rStyle w:val="CharSectno"/>
        </w:rPr>
        <w:t>24</w:t>
      </w:r>
      <w:r>
        <w:t>.</w:t>
      </w:r>
      <w:r>
        <w:tab/>
        <w:t>Vacant land: minimum charges before revaluation</w:t>
      </w:r>
      <w:bookmarkEnd w:id="41"/>
    </w:p>
    <w:p>
      <w:pPr>
        <w:pStyle w:val="Subsection"/>
      </w:pPr>
      <w:r>
        <w:tab/>
        <w:t>(1)</w:t>
      </w:r>
      <w:r>
        <w:tab/>
        <w:t xml:space="preserve">If — </w:t>
      </w:r>
    </w:p>
    <w:p>
      <w:pPr>
        <w:pStyle w:val="Indenta"/>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14;</w:t>
      </w:r>
    </w:p>
    <w:p>
      <w:pPr>
        <w:pStyle w:val="Indenta"/>
      </w:pPr>
      <w:r>
        <w:tab/>
        <w:t>(b)</w:t>
      </w:r>
      <w:r>
        <w:tab/>
        <w:t>for a sewerage service — the applicable charge set out in Schedule 4 item 3 or 11(3)(b);</w:t>
      </w:r>
    </w:p>
    <w:p>
      <w:pPr>
        <w:pStyle w:val="Indenta"/>
      </w:pPr>
      <w:r>
        <w:tab/>
        <w:t>(c)</w:t>
      </w:r>
      <w:r>
        <w:tab/>
        <w:t>for a drainage service — the charge set out in Schedule 5 item 5.</w:t>
      </w:r>
    </w:p>
    <w:p>
      <w:pPr>
        <w:pStyle w:val="Heading5"/>
      </w:pPr>
      <w:bookmarkStart w:id="42" w:name="_Toc434929728"/>
      <w:r>
        <w:rPr>
          <w:rStyle w:val="CharSectno"/>
        </w:rPr>
        <w:t>25</w:t>
      </w:r>
      <w:r>
        <w:t>.</w:t>
      </w:r>
      <w:r>
        <w:tab/>
        <w:t>Classification of land</w:t>
      </w:r>
      <w:bookmarkEnd w:id="42"/>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3</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spacing w:before="240"/>
      </w:pPr>
      <w:bookmarkStart w:id="43" w:name="_Toc434929729"/>
      <w:r>
        <w:rPr>
          <w:rStyle w:val="CharSectno"/>
        </w:rPr>
        <w:t>26</w:t>
      </w:r>
      <w:r>
        <w:t>.</w:t>
      </w:r>
      <w:r>
        <w:tab/>
        <w:t>Classification of land: holiday accommodation</w:t>
      </w:r>
      <w:bookmarkEnd w:id="43"/>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spacing w:before="240"/>
      </w:pPr>
      <w:bookmarkStart w:id="44" w:name="_Toc434929730"/>
      <w:r>
        <w:rPr>
          <w:rStyle w:val="CharSectno"/>
        </w:rPr>
        <w:t>27</w:t>
      </w:r>
      <w:r>
        <w:t>.</w:t>
      </w:r>
      <w:r>
        <w:tab/>
        <w:t>Commercial caravan parks</w:t>
      </w:r>
      <w:bookmarkEnd w:id="44"/>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32.25pt">
            <v:imagedata r:id="rId23" o:title=""/>
          </v:shape>
        </w:pict>
      </w:r>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pPr>
      <w:r>
        <w:tab/>
        <w:t>Note for this subregulation:</w:t>
      </w:r>
    </w:p>
    <w:p>
      <w:pPr>
        <w:pStyle w:val="PermNoteText"/>
      </w:pPr>
      <w:r>
        <w:tab/>
      </w:r>
      <w:r>
        <w:tab/>
        <w:t>See Schedule 4 items 15 and 22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Heading5"/>
      </w:pPr>
      <w:bookmarkStart w:id="45" w:name="_Toc434929731"/>
      <w:r>
        <w:rPr>
          <w:rStyle w:val="CharSectno"/>
        </w:rPr>
        <w:t>28</w:t>
      </w:r>
      <w:r>
        <w:t>.</w:t>
      </w:r>
      <w:r>
        <w:tab/>
        <w:t>Maximum increases for various GRV based charges</w:t>
      </w:r>
      <w:bookmarkEnd w:id="45"/>
    </w:p>
    <w:p>
      <w:pPr>
        <w:pStyle w:val="Subsection"/>
      </w:pPr>
      <w:r>
        <w:tab/>
        <w:t>(1)</w:t>
      </w:r>
      <w:r>
        <w:tab/>
        <w:t>If, for a financial year, a water service charge calculated in respect of land under Schedule 4 item 2, 3 or 11 or Schedule 5 item 6 is more than 14.5% greater than the charge payable in respect of the land for the same service under the same circumstances in the previous financial year, the charge payable for the financial year cannot be more than 14.5%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11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 amended in Gazette 30 Jun 2015 p. 2364.]</w:t>
      </w:r>
    </w:p>
    <w:p>
      <w:pPr>
        <w:pStyle w:val="Heading5"/>
      </w:pPr>
      <w:bookmarkStart w:id="46" w:name="_Toc434929732"/>
      <w:r>
        <w:rPr>
          <w:rStyle w:val="CharSectno"/>
        </w:rPr>
        <w:t>29</w:t>
      </w:r>
      <w:r>
        <w:t>.</w:t>
      </w:r>
      <w:r>
        <w:tab/>
        <w:t>Interest accruing on overdue amounts</w:t>
      </w:r>
      <w:bookmarkEnd w:id="46"/>
    </w:p>
    <w:p>
      <w:pPr>
        <w:pStyle w:val="Subsection"/>
      </w:pPr>
      <w:r>
        <w:tab/>
      </w:r>
      <w:r>
        <w:tab/>
        <w:t>If an amount payable under this Part is overdue, interest accrues daily on any part of that amount unpaid after the day on which the amount was due, at the rate of 12.38% per annum.</w:t>
      </w:r>
    </w:p>
    <w:p>
      <w:pPr>
        <w:pStyle w:val="Heading3"/>
      </w:pPr>
      <w:bookmarkStart w:id="47" w:name="_Toc429576916"/>
      <w:bookmarkStart w:id="48" w:name="_Toc434929733"/>
      <w:r>
        <w:rPr>
          <w:rStyle w:val="CharDivNo"/>
        </w:rPr>
        <w:t>Division 3</w:t>
      </w:r>
      <w:r>
        <w:t> — </w:t>
      </w:r>
      <w:r>
        <w:rPr>
          <w:rStyle w:val="CharDivText"/>
        </w:rPr>
        <w:t>Water supply charges</w:t>
      </w:r>
      <w:bookmarkEnd w:id="47"/>
      <w:bookmarkEnd w:id="48"/>
    </w:p>
    <w:p>
      <w:pPr>
        <w:pStyle w:val="Heading5"/>
      </w:pPr>
      <w:bookmarkStart w:id="49" w:name="_Toc434929734"/>
      <w:r>
        <w:rPr>
          <w:rStyle w:val="CharSectno"/>
        </w:rPr>
        <w:t>30</w:t>
      </w:r>
      <w:r>
        <w:t>.</w:t>
      </w:r>
      <w:r>
        <w:tab/>
        <w:t>Land connected to water supply works</w:t>
      </w:r>
      <w:bookmarkEnd w:id="49"/>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pPr>
      <w:bookmarkStart w:id="50" w:name="_Toc434929735"/>
      <w:r>
        <w:rPr>
          <w:rStyle w:val="CharSectno"/>
        </w:rPr>
        <w:t>31</w:t>
      </w:r>
      <w:r>
        <w:t>.</w:t>
      </w:r>
      <w:r>
        <w:tab/>
        <w:t>Water supply charges</w:t>
      </w:r>
      <w:bookmarkEnd w:id="50"/>
    </w:p>
    <w:p>
      <w:pPr>
        <w:pStyle w:val="Subsection"/>
        <w:keepNext/>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 xml:space="preserve">is either — </w:t>
      </w:r>
    </w:p>
    <w:p>
      <w:pPr>
        <w:pStyle w:val="Indenti"/>
      </w:pPr>
      <w:r>
        <w:tab/>
        <w:t>(i)</w:t>
      </w:r>
      <w:r>
        <w:tab/>
        <w:t>concessional land; or</w:t>
      </w:r>
    </w:p>
    <w:p>
      <w:pPr>
        <w:pStyle w:val="Indenti"/>
      </w:pPr>
      <w:r>
        <w:tab/>
        <w:t>(ii)</w:t>
      </w:r>
      <w:r>
        <w:tab/>
        <w:t>land that is not classified capital infrastructure but is reasonably capable of being supplied by the Water Corporation with water from works provided in relation to land that is so classified.</w:t>
      </w:r>
    </w:p>
    <w:p>
      <w:pPr>
        <w:pStyle w:val="Heading5"/>
        <w:spacing w:before="180"/>
      </w:pPr>
      <w:bookmarkStart w:id="51" w:name="_Toc434929736"/>
      <w:r>
        <w:rPr>
          <w:rStyle w:val="CharSectno"/>
        </w:rPr>
        <w:t>32</w:t>
      </w:r>
      <w:r>
        <w:t>.</w:t>
      </w:r>
      <w:r>
        <w:tab/>
        <w:t>Classification of land</w:t>
      </w:r>
      <w:bookmarkEnd w:id="51"/>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spacing w:before="60"/>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pPr>
        <w:pStyle w:val="Indenta"/>
      </w:pPr>
      <w:r>
        <w:tab/>
        <w:t>(e)</w:t>
      </w:r>
      <w:r>
        <w:tab/>
        <w:t>farmland — if the Water Corporation is satisfied that the land is farmland and is within 2.5 km of a conduit from which the Water Corporation is prepared to supply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keepNext/>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Heading5"/>
        <w:keepNext w:val="0"/>
        <w:keepLines w:val="0"/>
        <w:widowControl w:val="0"/>
      </w:pPr>
      <w:bookmarkStart w:id="52" w:name="_Toc434929737"/>
      <w:r>
        <w:rPr>
          <w:rStyle w:val="CharSectno"/>
        </w:rPr>
        <w:t>33</w:t>
      </w:r>
      <w:r>
        <w:t>.</w:t>
      </w:r>
      <w:r>
        <w:tab/>
        <w:t>Change of occupancy during year</w:t>
      </w:r>
      <w:bookmarkEnd w:id="52"/>
    </w:p>
    <w:p>
      <w:pPr>
        <w:pStyle w:val="Subsection"/>
      </w:pPr>
      <w:r>
        <w:tab/>
        <w:t>(1)</w:t>
      </w:r>
      <w:r>
        <w:tab/>
        <w:t xml:space="preserve">If — </w:t>
      </w:r>
    </w:p>
    <w:p>
      <w:pPr>
        <w:pStyle w:val="Indenta"/>
      </w:pPr>
      <w:r>
        <w:tab/>
        <w:t>(a)</w:t>
      </w:r>
      <w:r>
        <w:tab/>
        <w:t>there is a change in the occupation of a land to which a water service charge set out in Schedule 3 item 26 or 30 applies; and</w:t>
      </w:r>
    </w:p>
    <w:p>
      <w:pPr>
        <w:pStyle w:val="Indenta"/>
      </w:pPr>
      <w:r>
        <w:tab/>
        <w:t>(b)</w:t>
      </w:r>
      <w:r>
        <w:tab/>
        <w:t>within 10 days before or after the change in occupation the new occupier obtains a special meter reading from the Water Corporation,</w:t>
      </w:r>
    </w:p>
    <w:p>
      <w:pPr>
        <w:pStyle w:val="Subsection"/>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that does not exceed 350 kL by the following fraction — </w:t>
      </w:r>
    </w:p>
    <w:p>
      <w:pPr>
        <w:pStyle w:val="Subsection"/>
      </w:pPr>
      <w:r>
        <w:tab/>
      </w:r>
      <w:r>
        <w:tab/>
      </w:r>
      <w:r>
        <w:rPr>
          <w:position w:val="-24"/>
        </w:rPr>
        <w:pict>
          <v:shape id="_x0000_i1026" type="#_x0000_t75" style="width:16.5pt;height:32.25pt">
            <v:imagedata r:id="rId24" o:title=""/>
          </v:shape>
        </w:pict>
      </w:r>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Heading5"/>
        <w:keepNext w:val="0"/>
        <w:keepLines w:val="0"/>
        <w:pageBreakBefore/>
        <w:spacing w:before="0"/>
      </w:pPr>
      <w:bookmarkStart w:id="53" w:name="_Toc434929738"/>
      <w:r>
        <w:rPr>
          <w:rStyle w:val="CharSectno"/>
        </w:rPr>
        <w:t>34</w:t>
      </w:r>
      <w:r>
        <w:t>.</w:t>
      </w:r>
      <w:r>
        <w:tab/>
        <w:t>Concessions: consumption charges</w:t>
      </w:r>
      <w:bookmarkEnd w:id="53"/>
    </w:p>
    <w:p>
      <w:pPr>
        <w:pStyle w:val="Subsection"/>
      </w:pPr>
      <w:r>
        <w:tab/>
        <w:t>(1)</w:t>
      </w:r>
      <w:r>
        <w:tab/>
        <w:t xml:space="preserve">A person who is liable to pay a water supply charge set out in Schedule 3 item 26, 30 or 33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Heading5"/>
        <w:spacing w:before="180"/>
      </w:pPr>
      <w:bookmarkStart w:id="54" w:name="_Toc434929739"/>
      <w:r>
        <w:rPr>
          <w:rStyle w:val="CharSectno"/>
        </w:rPr>
        <w:t>35</w:t>
      </w:r>
      <w:r>
        <w:t>.</w:t>
      </w:r>
      <w:r>
        <w:tab/>
        <w:t>Concessions: certain occupiers of multi</w:t>
      </w:r>
      <w:r>
        <w:noBreakHyphen/>
        <w:t>unit developments</w:t>
      </w:r>
      <w:bookmarkEnd w:id="54"/>
    </w:p>
    <w:p>
      <w:pPr>
        <w:pStyle w:val="Subsection"/>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55" w:name="_Toc434929740"/>
      <w:r>
        <w:rPr>
          <w:rStyle w:val="CharSectno"/>
        </w:rPr>
        <w:t>36</w:t>
      </w:r>
      <w:r>
        <w:t>.</w:t>
      </w:r>
      <w:r>
        <w:tab/>
        <w:t>Concessions: certain retirement village residents</w:t>
      </w:r>
      <w:bookmarkEnd w:id="55"/>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$108.76.</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36 amended in Gazette 30 Jun 2015 p. 2364.]</w:t>
      </w:r>
    </w:p>
    <w:p>
      <w:pPr>
        <w:pStyle w:val="Heading3"/>
        <w:keepNext w:val="0"/>
        <w:pageBreakBefore/>
        <w:widowControl w:val="0"/>
        <w:spacing w:before="0"/>
      </w:pPr>
      <w:bookmarkStart w:id="56" w:name="_Toc429576924"/>
      <w:bookmarkStart w:id="57" w:name="_Toc434929741"/>
      <w:r>
        <w:rPr>
          <w:rStyle w:val="CharDivNo"/>
        </w:rPr>
        <w:t>Division 4</w:t>
      </w:r>
      <w:r>
        <w:t> — </w:t>
      </w:r>
      <w:r>
        <w:rPr>
          <w:rStyle w:val="CharDivText"/>
        </w:rPr>
        <w:t>Sewerage charges</w:t>
      </w:r>
      <w:bookmarkEnd w:id="56"/>
      <w:bookmarkEnd w:id="57"/>
    </w:p>
    <w:p>
      <w:pPr>
        <w:pStyle w:val="Heading5"/>
      </w:pPr>
      <w:bookmarkStart w:id="58" w:name="_Toc434929742"/>
      <w:r>
        <w:rPr>
          <w:rStyle w:val="CharSectno"/>
        </w:rPr>
        <w:t>37</w:t>
      </w:r>
      <w:r>
        <w:t>.</w:t>
      </w:r>
      <w:r>
        <w:tab/>
        <w:t>Land connected to sewerage works</w:t>
      </w:r>
      <w:bookmarkEnd w:id="58"/>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59" w:name="_Toc434929743"/>
      <w:r>
        <w:rPr>
          <w:rStyle w:val="CharSectno"/>
        </w:rPr>
        <w:t>38</w:t>
      </w:r>
      <w:r>
        <w:t>.</w:t>
      </w:r>
      <w:r>
        <w:tab/>
        <w:t>Sewerage areas</w:t>
      </w:r>
      <w:bookmarkEnd w:id="59"/>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rPr>
          <w:vertAlign w:val="superscript"/>
        </w:rPr>
        <w:t> 4</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4</w:t>
      </w:r>
      <w:r>
        <w:t xml:space="preserve"> section 4.</w:t>
      </w:r>
    </w:p>
    <w:p>
      <w:pPr>
        <w:pStyle w:val="Heading5"/>
        <w:spacing w:before="180"/>
      </w:pPr>
      <w:bookmarkStart w:id="60" w:name="_Toc434929744"/>
      <w:r>
        <w:rPr>
          <w:rStyle w:val="CharSectno"/>
        </w:rPr>
        <w:t>39</w:t>
      </w:r>
      <w:r>
        <w:t>.</w:t>
      </w:r>
      <w:r>
        <w:tab/>
        <w:t>Sewerage charges</w:t>
      </w:r>
      <w:bookmarkEnd w:id="60"/>
    </w:p>
    <w:p>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pPr>
        <w:pStyle w:val="Subsection"/>
        <w:spacing w:before="120"/>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Subsection"/>
      </w:pPr>
      <w:r>
        <w:tab/>
        <w:t>(4)</w:t>
      </w:r>
      <w:r>
        <w:tab/>
        <w:t xml:space="preserve">A sewerage charge is not payable if land in respect of which it applies is — </w:t>
      </w:r>
    </w:p>
    <w:p>
      <w:pPr>
        <w:pStyle w:val="Indenta"/>
      </w:pPr>
      <w:r>
        <w:tab/>
        <w:t>(a)</w:t>
      </w:r>
      <w:r>
        <w:tab/>
        <w:t>concessional land; and</w:t>
      </w:r>
    </w:p>
    <w:p>
      <w:pPr>
        <w:pStyle w:val="Indenta"/>
      </w:pPr>
      <w:r>
        <w:tab/>
        <w:t>(b)</w:t>
      </w:r>
      <w:r>
        <w:tab/>
        <w:t>not connected to sewerage works of the Water Corporation.</w:t>
      </w:r>
    </w:p>
    <w:p>
      <w:pPr>
        <w:pStyle w:val="Heading5"/>
      </w:pPr>
      <w:bookmarkStart w:id="61" w:name="_Toc434929745"/>
      <w:r>
        <w:rPr>
          <w:rStyle w:val="CharSectno"/>
        </w:rPr>
        <w:t>40</w:t>
      </w:r>
      <w:r>
        <w:t>.</w:t>
      </w:r>
      <w:r>
        <w:tab/>
        <w:t>Classification of land</w:t>
      </w:r>
      <w:bookmarkEnd w:id="61"/>
    </w:p>
    <w:p>
      <w:pPr>
        <w:pStyle w:val="Subsection"/>
      </w:pPr>
      <w:r>
        <w:tab/>
        <w:t>(1)</w:t>
      </w:r>
      <w:r>
        <w:tab/>
        <w:t xml:space="preserve">For the purposes of this Division, land that is not concessional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Heading5"/>
      </w:pPr>
      <w:bookmarkStart w:id="62" w:name="_Toc434929746"/>
      <w:r>
        <w:rPr>
          <w:rStyle w:val="CharSectno"/>
        </w:rPr>
        <w:t>41</w:t>
      </w:r>
      <w:r>
        <w:t>.</w:t>
      </w:r>
      <w:r>
        <w:tab/>
        <w:t>Minimum charges: Schedule 4 Division 2</w:t>
      </w:r>
      <w:bookmarkEnd w:id="62"/>
    </w:p>
    <w:p>
      <w:pPr>
        <w:pStyle w:val="Subsection"/>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18 or 25 (whichever is relevant); and</w:t>
      </w:r>
    </w:p>
    <w:p>
      <w:pPr>
        <w:pStyle w:val="Indenta"/>
      </w:pPr>
      <w:r>
        <w:tab/>
        <w:t>(b)</w:t>
      </w:r>
      <w:r>
        <w:tab/>
        <w:t>the charge according to the number of major fixtures for the land, that is, “</w:t>
      </w:r>
      <w:r>
        <w:rPr>
          <w:b/>
        </w:rPr>
        <w:t>C</w:t>
      </w:r>
      <w:r>
        <w:t>” in Schedule 4 item 18 or 25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Heading5"/>
      </w:pPr>
      <w:bookmarkStart w:id="63" w:name="_Toc434929747"/>
      <w:r>
        <w:rPr>
          <w:rStyle w:val="CharSectno"/>
        </w:rPr>
        <w:t>42</w:t>
      </w:r>
      <w:r>
        <w:t>.</w:t>
      </w:r>
      <w:r>
        <w:tab/>
        <w:t>Estimating charge, or volume discharged, for previous year: Schedule 4 Division 2</w:t>
      </w:r>
      <w:bookmarkEnd w:id="63"/>
    </w:p>
    <w:p>
      <w:pPr>
        <w:pStyle w:val="Subsection"/>
        <w:keepNext/>
        <w:keepLines/>
      </w:pPr>
      <w:r>
        <w:tab/>
        <w:t>(1)</w:t>
      </w:r>
      <w:r>
        <w:tab/>
        <w:t xml:space="preserve">In this regulation — </w:t>
      </w:r>
    </w:p>
    <w:p>
      <w:pPr>
        <w:pStyle w:val="Defstart"/>
        <w:keepNext/>
        <w:keepLines/>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64" w:name="_Toc434929748"/>
      <w:r>
        <w:rPr>
          <w:rStyle w:val="CharSectno"/>
        </w:rPr>
        <w:t>43</w:t>
      </w:r>
      <w:r>
        <w:t>.</w:t>
      </w:r>
      <w:r>
        <w:tab/>
        <w:t>Determining number of major fixtures: Schedule 4 Division 2</w:t>
      </w:r>
      <w:bookmarkEnd w:id="64"/>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65" w:name="_Toc434929749"/>
      <w:r>
        <w:rPr>
          <w:rStyle w:val="CharSectno"/>
        </w:rPr>
        <w:t>44</w:t>
      </w:r>
      <w:r>
        <w:t>.</w:t>
      </w:r>
      <w:r>
        <w:tab/>
        <w:t>Concessions: certain retirement village residents</w:t>
      </w:r>
      <w:bookmarkEnd w:id="65"/>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pPr>
        <w:pStyle w:val="Indenta"/>
      </w:pPr>
      <w:r>
        <w:tab/>
        <w:t>(a)</w:t>
      </w:r>
      <w:r>
        <w:tab/>
        <w:t>25% of the charge; and</w:t>
      </w:r>
    </w:p>
    <w:p>
      <w:pPr>
        <w:pStyle w:val="Indenta"/>
      </w:pPr>
      <w:r>
        <w:tab/>
        <w:t>(b)</w:t>
      </w:r>
      <w:r>
        <w:tab/>
        <w:t>$227.73.</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44 amended in Gazette 30 Jun 2015 p. 2364.]</w:t>
      </w:r>
    </w:p>
    <w:p>
      <w:pPr>
        <w:pStyle w:val="Heading3"/>
        <w:keepNext w:val="0"/>
        <w:spacing w:before="180"/>
      </w:pPr>
      <w:bookmarkStart w:id="66" w:name="_Toc429576933"/>
      <w:bookmarkStart w:id="67" w:name="_Toc434929750"/>
      <w:r>
        <w:rPr>
          <w:rStyle w:val="CharDivNo"/>
        </w:rPr>
        <w:t>Division 5</w:t>
      </w:r>
      <w:r>
        <w:t> — </w:t>
      </w:r>
      <w:r>
        <w:rPr>
          <w:rStyle w:val="CharDivText"/>
        </w:rPr>
        <w:t>Drainage charges</w:t>
      </w:r>
      <w:bookmarkEnd w:id="66"/>
      <w:bookmarkEnd w:id="67"/>
    </w:p>
    <w:p>
      <w:pPr>
        <w:pStyle w:val="Heading5"/>
        <w:spacing w:before="180"/>
      </w:pPr>
      <w:bookmarkStart w:id="68" w:name="_Toc434929751"/>
      <w:r>
        <w:rPr>
          <w:rStyle w:val="CharSectno"/>
        </w:rPr>
        <w:t>45</w:t>
      </w:r>
      <w:r>
        <w:t>.</w:t>
      </w:r>
      <w:r>
        <w:tab/>
        <w:t>Drainage areas</w:t>
      </w:r>
      <w:bookmarkEnd w:id="68"/>
    </w:p>
    <w:p>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spacing w:before="140"/>
      </w:pPr>
      <w:r>
        <w:tab/>
        <w:t>(2)</w:t>
      </w:r>
      <w:r>
        <w:tab/>
        <w:t>An area cannot be designated as a drainage area unless it is within the operating area of the Water Corporation’s licence for drainage services.</w:t>
      </w:r>
    </w:p>
    <w:p>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rPr>
          <w:vertAlign w:val="superscript"/>
        </w:rPr>
        <w:t> 5</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5</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69" w:name="_Toc434929752"/>
      <w:r>
        <w:rPr>
          <w:rStyle w:val="CharSectno"/>
        </w:rPr>
        <w:t>46</w:t>
      </w:r>
      <w:r>
        <w:t>.</w:t>
      </w:r>
      <w:r>
        <w:tab/>
        <w:t>Drainage areas: notice of and objections to proposed designation</w:t>
      </w:r>
      <w:bookmarkEnd w:id="69"/>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(as defined in the </w:t>
      </w:r>
      <w:r>
        <w:rPr>
          <w:i/>
        </w:rPr>
        <w:t>Water Services Regulations 2013</w:t>
      </w:r>
      <w:r>
        <w:t xml:space="preserve"> regulation 3(1)); and</w:t>
      </w:r>
    </w:p>
    <w:p>
      <w:pPr>
        <w:pStyle w:val="Indenta"/>
        <w:keepNext/>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Heading5"/>
      </w:pPr>
      <w:bookmarkStart w:id="70" w:name="_Toc434929753"/>
      <w:r>
        <w:rPr>
          <w:rStyle w:val="CharSectno"/>
        </w:rPr>
        <w:t>47</w:t>
      </w:r>
      <w:r>
        <w:t>.</w:t>
      </w:r>
      <w:r>
        <w:tab/>
        <w:t>Drainage charges</w:t>
      </w:r>
      <w:bookmarkEnd w:id="70"/>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rPr>
          <w:b/>
        </w:rPr>
        <w:tab/>
      </w:r>
      <w:r>
        <w:rPr>
          <w:rStyle w:val="CharDefText"/>
        </w:rPr>
        <w:t>rural land</w:t>
      </w:r>
      <w:r>
        <w:t xml:space="preserve"> means land zoned for agricultural or rural use under a local planning scheme made under the </w:t>
      </w:r>
      <w:r>
        <w:rPr>
          <w:i/>
        </w:rPr>
        <w:t>Planning and Development Act 2005</w:t>
      </w:r>
      <w:r>
        <w:t>.</w:t>
      </w:r>
    </w:p>
    <w:p>
      <w:pPr>
        <w:pStyle w:val="Heading5"/>
      </w:pPr>
      <w:bookmarkStart w:id="71" w:name="_Toc434929754"/>
      <w:r>
        <w:rPr>
          <w:rStyle w:val="CharSectno"/>
        </w:rPr>
        <w:t>48</w:t>
      </w:r>
      <w:r>
        <w:t>.</w:t>
      </w:r>
      <w:r>
        <w:tab/>
        <w:t>Classification of land</w:t>
      </w:r>
      <w:bookmarkEnd w:id="71"/>
    </w:p>
    <w:p>
      <w:pPr>
        <w:pStyle w:val="Subsection"/>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Heading5"/>
      </w:pPr>
      <w:bookmarkStart w:id="72" w:name="_Toc434929755"/>
      <w:r>
        <w:rPr>
          <w:rStyle w:val="CharSectno"/>
        </w:rPr>
        <w:t>49</w:t>
      </w:r>
      <w:r>
        <w:t>.</w:t>
      </w:r>
      <w:r>
        <w:tab/>
        <w:t>Concessions: certain retirement village residents</w:t>
      </w:r>
      <w:bookmarkEnd w:id="72"/>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$28.14.</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49 amended in Gazette 30 Jun 2015 p. 2365.]</w:t>
      </w:r>
    </w:p>
    <w:p>
      <w:pPr>
        <w:pStyle w:val="Heading3"/>
        <w:spacing w:before="200"/>
      </w:pPr>
      <w:bookmarkStart w:id="73" w:name="_Toc429576939"/>
      <w:bookmarkStart w:id="74" w:name="_Toc434929756"/>
      <w:r>
        <w:rPr>
          <w:rStyle w:val="CharDivNo"/>
        </w:rPr>
        <w:t>Division 6</w:t>
      </w:r>
      <w:r>
        <w:t> — </w:t>
      </w:r>
      <w:r>
        <w:rPr>
          <w:rStyle w:val="CharDivText"/>
        </w:rPr>
        <w:t>Irrigation charges</w:t>
      </w:r>
      <w:bookmarkEnd w:id="73"/>
      <w:bookmarkEnd w:id="74"/>
    </w:p>
    <w:p>
      <w:pPr>
        <w:pStyle w:val="Heading5"/>
      </w:pPr>
      <w:bookmarkStart w:id="75" w:name="_Toc434929757"/>
      <w:r>
        <w:rPr>
          <w:rStyle w:val="CharSectno"/>
        </w:rPr>
        <w:t>50</w:t>
      </w:r>
      <w:r>
        <w:t>.</w:t>
      </w:r>
      <w:r>
        <w:tab/>
        <w:t>Charges for water supplied from certain irrigation works</w:t>
      </w:r>
      <w:bookmarkEnd w:id="75"/>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keepNext w:val="0"/>
        <w:spacing w:before="200"/>
      </w:pPr>
      <w:bookmarkStart w:id="76" w:name="_Toc429576941"/>
      <w:bookmarkStart w:id="77" w:name="_Toc434929758"/>
      <w:r>
        <w:rPr>
          <w:rStyle w:val="CharDivNo"/>
        </w:rPr>
        <w:t>Division 7</w:t>
      </w:r>
      <w:r>
        <w:t> — </w:t>
      </w:r>
      <w:r>
        <w:rPr>
          <w:rStyle w:val="CharDivText"/>
        </w:rPr>
        <w:t>Miscellaneous charges</w:t>
      </w:r>
      <w:bookmarkEnd w:id="76"/>
      <w:bookmarkEnd w:id="77"/>
    </w:p>
    <w:p>
      <w:pPr>
        <w:pStyle w:val="Heading5"/>
        <w:keepNext w:val="0"/>
        <w:keepLines w:val="0"/>
        <w:spacing w:before="180"/>
      </w:pPr>
      <w:bookmarkStart w:id="78" w:name="_Toc434929759"/>
      <w:r>
        <w:rPr>
          <w:rStyle w:val="CharSectno"/>
        </w:rPr>
        <w:t>51</w:t>
      </w:r>
      <w:r>
        <w:t>.</w:t>
      </w:r>
      <w:r>
        <w:tab/>
        <w:t>Miscellaneous charges</w:t>
      </w:r>
      <w:bookmarkEnd w:id="78"/>
    </w:p>
    <w:p>
      <w:pPr>
        <w:pStyle w:val="Subsection"/>
        <w:spacing w:before="120"/>
      </w:pPr>
      <w:r>
        <w:tab/>
        <w:t>(1)</w:t>
      </w:r>
      <w:r>
        <w:tab/>
        <w:t>Schedule 7 sets out charges for certain things done, or goods and services provided, by the Water Corporation as part of or incidental to the provision of a water service.</w:t>
      </w:r>
    </w:p>
    <w:p>
      <w:pPr>
        <w:pStyle w:val="Subsection"/>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79" w:name="_Toc429576943"/>
      <w:bookmarkStart w:id="80" w:name="_Toc434929760"/>
      <w:r>
        <w:rPr>
          <w:rStyle w:val="CharPartNo"/>
        </w:rPr>
        <w:t>Part 6</w:t>
      </w:r>
      <w:r>
        <w:t> — </w:t>
      </w:r>
      <w:r>
        <w:rPr>
          <w:rStyle w:val="CharPartText"/>
        </w:rPr>
        <w:t>Repeal of regulations and transitional provisions</w:t>
      </w:r>
      <w:bookmarkEnd w:id="79"/>
      <w:bookmarkEnd w:id="80"/>
    </w:p>
    <w:p>
      <w:pPr>
        <w:pStyle w:val="Heading3"/>
      </w:pPr>
      <w:bookmarkStart w:id="81" w:name="_Toc429576944"/>
      <w:bookmarkStart w:id="82" w:name="_Toc434929761"/>
      <w:r>
        <w:rPr>
          <w:rStyle w:val="CharDivNo"/>
        </w:rPr>
        <w:t>Division 1</w:t>
      </w:r>
      <w:r>
        <w:t> — </w:t>
      </w:r>
      <w:r>
        <w:rPr>
          <w:rStyle w:val="CharDivText"/>
          <w:i/>
        </w:rPr>
        <w:t>Water Services (Water Corporations Charges) Regulations 2013</w:t>
      </w:r>
      <w:r>
        <w:rPr>
          <w:rStyle w:val="CharDivText"/>
        </w:rPr>
        <w:t xml:space="preserve"> repealed</w:t>
      </w:r>
      <w:bookmarkEnd w:id="81"/>
      <w:bookmarkEnd w:id="82"/>
    </w:p>
    <w:p>
      <w:pPr>
        <w:pStyle w:val="Heading5"/>
        <w:rPr>
          <w:b w:val="0"/>
        </w:rPr>
      </w:pPr>
      <w:bookmarkStart w:id="83" w:name="_Toc434929762"/>
      <w:r>
        <w:rPr>
          <w:rStyle w:val="CharSectno"/>
        </w:rPr>
        <w:t>52</w:t>
      </w:r>
      <w:r>
        <w:t>.</w:t>
      </w:r>
      <w:r>
        <w:tab/>
      </w:r>
      <w:r>
        <w:rPr>
          <w:i/>
        </w:rPr>
        <w:t>Water Services (Water Corporations Charges) Regulations 2013</w:t>
      </w:r>
      <w:r>
        <w:t xml:space="preserve"> repealed</w:t>
      </w:r>
      <w:bookmarkEnd w:id="83"/>
    </w:p>
    <w:p>
      <w:pPr>
        <w:pStyle w:val="Subsection"/>
      </w:pPr>
      <w:r>
        <w:tab/>
      </w:r>
      <w:r>
        <w:tab/>
        <w:t xml:space="preserve">The </w:t>
      </w:r>
      <w:r>
        <w:rPr>
          <w:i/>
        </w:rPr>
        <w:t>Water Services (Water Corporations Charges) Regulations 2013</w:t>
      </w:r>
      <w:r>
        <w:t xml:space="preserve"> are repealed.</w:t>
      </w:r>
    </w:p>
    <w:p>
      <w:pPr>
        <w:pStyle w:val="Heading3"/>
        <w:rPr>
          <w:rStyle w:val="CharDivText"/>
        </w:rPr>
      </w:pPr>
      <w:bookmarkStart w:id="84" w:name="_Toc429576946"/>
      <w:bookmarkStart w:id="85" w:name="_Toc434929763"/>
      <w:r>
        <w:rPr>
          <w:rStyle w:val="CharDivNo"/>
        </w:rPr>
        <w:t>Division 2</w:t>
      </w:r>
      <w:r>
        <w:t> — </w:t>
      </w:r>
      <w:r>
        <w:rPr>
          <w:rStyle w:val="CharDivText"/>
        </w:rPr>
        <w:t xml:space="preserve">Transitional provisions: </w:t>
      </w:r>
      <w:r>
        <w:rPr>
          <w:rStyle w:val="CharDivText"/>
          <w:i/>
        </w:rPr>
        <w:t>Water Services (Water Corporations Charges) Regulations 2014</w:t>
      </w:r>
      <w:bookmarkEnd w:id="84"/>
      <w:bookmarkEnd w:id="85"/>
    </w:p>
    <w:p>
      <w:pPr>
        <w:pStyle w:val="Footnoteheading"/>
      </w:pPr>
      <w:r>
        <w:tab/>
        <w:t>[Heading amended in Gazette 15 Oct 2014 p. 3943.]</w:t>
      </w:r>
    </w:p>
    <w:p>
      <w:pPr>
        <w:pStyle w:val="Heading4"/>
      </w:pPr>
      <w:bookmarkStart w:id="86" w:name="_Toc429576947"/>
      <w:bookmarkStart w:id="87" w:name="_Toc434929764"/>
      <w:r>
        <w:t>Subdivision 1 — General provisions</w:t>
      </w:r>
      <w:bookmarkEnd w:id="86"/>
      <w:bookmarkEnd w:id="87"/>
    </w:p>
    <w:p>
      <w:pPr>
        <w:pStyle w:val="Heading5"/>
        <w:rPr>
          <w:b w:val="0"/>
        </w:rPr>
      </w:pPr>
      <w:bookmarkStart w:id="88" w:name="_Toc434929765"/>
      <w:r>
        <w:rPr>
          <w:rStyle w:val="CharSectno"/>
        </w:rPr>
        <w:t>53</w:t>
      </w:r>
      <w:r>
        <w:t>.</w:t>
      </w:r>
      <w:r>
        <w:tab/>
        <w:t xml:space="preserve">Application of the </w:t>
      </w:r>
      <w:r>
        <w:rPr>
          <w:i/>
        </w:rPr>
        <w:t>Interpretation Act 1984</w:t>
      </w:r>
      <w:bookmarkEnd w:id="88"/>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89" w:name="_Toc434929766"/>
      <w:r>
        <w:rPr>
          <w:rStyle w:val="CharSectno"/>
        </w:rPr>
        <w:t>54</w:t>
      </w:r>
      <w:r>
        <w:t>.</w:t>
      </w:r>
      <w:r>
        <w:tab/>
        <w:t>Liability to water service charges</w:t>
      </w:r>
      <w:bookmarkEnd w:id="89"/>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3</w:t>
      </w:r>
      <w:r>
        <w:t xml:space="preserve"> had instead been amended to provide for water service charges in the terms in which they are provided for by these regulations.</w:t>
      </w:r>
    </w:p>
    <w:p>
      <w:pPr>
        <w:pStyle w:val="Heading5"/>
      </w:pPr>
      <w:bookmarkStart w:id="90" w:name="_Toc434929767"/>
      <w:r>
        <w:rPr>
          <w:rStyle w:val="CharSectno"/>
        </w:rPr>
        <w:t>55</w:t>
      </w:r>
      <w:r>
        <w:t>.</w:t>
      </w:r>
      <w:r>
        <w:tab/>
        <w:t>Continuing effect of things done before 1 July 2014</w:t>
      </w:r>
      <w:bookmarkEnd w:id="90"/>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3</w:t>
      </w:r>
      <w:r>
        <w:t xml:space="preserve"> (the </w:t>
      </w:r>
      <w:r>
        <w:rPr>
          <w:rStyle w:val="CharDefText"/>
        </w:rPr>
        <w:t>old provision</w:t>
      </w:r>
      <w:r>
        <w:t>) before 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91" w:name="_Toc434929768"/>
      <w:r>
        <w:rPr>
          <w:rStyle w:val="CharSectno"/>
        </w:rPr>
        <w:t>56</w:t>
      </w:r>
      <w:r>
        <w:t>.</w:t>
      </w:r>
      <w:r>
        <w:tab/>
        <w:t>Relationship between Subdivision 1 and Subdivision 2</w:t>
      </w:r>
      <w:bookmarkEnd w:id="91"/>
    </w:p>
    <w:p>
      <w:pPr>
        <w:pStyle w:val="Subsection"/>
      </w:pPr>
      <w:r>
        <w:tab/>
      </w:r>
      <w:r>
        <w:tab/>
        <w:t>The generality of the provisions in this Subdivision is not limited by the specificity of the provisions in Subdivision 2.</w:t>
      </w:r>
    </w:p>
    <w:p>
      <w:pPr>
        <w:pStyle w:val="Heading4"/>
      </w:pPr>
      <w:bookmarkStart w:id="92" w:name="_Toc429576952"/>
      <w:bookmarkStart w:id="93" w:name="_Toc434929769"/>
      <w:r>
        <w:t>Subdivision 2 — Specific provisions</w:t>
      </w:r>
      <w:bookmarkEnd w:id="92"/>
      <w:bookmarkEnd w:id="93"/>
    </w:p>
    <w:p>
      <w:pPr>
        <w:pStyle w:val="Heading5"/>
      </w:pPr>
      <w:bookmarkStart w:id="94" w:name="_Toc434929770"/>
      <w:r>
        <w:rPr>
          <w:rStyle w:val="CharSectno"/>
        </w:rPr>
        <w:t>57</w:t>
      </w:r>
      <w:r>
        <w:t>.</w:t>
      </w:r>
      <w:r>
        <w:tab/>
        <w:t>Commencement of these regulations during charge period</w:t>
      </w:r>
      <w:bookmarkEnd w:id="94"/>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3 </w:t>
      </w:r>
      <w:r>
        <w:t>as in effect immediately before 1 July 2014.</w:t>
      </w:r>
    </w:p>
    <w:p>
      <w:pPr>
        <w:pStyle w:val="Heading5"/>
      </w:pPr>
      <w:bookmarkStart w:id="95" w:name="_Toc434929771"/>
      <w:r>
        <w:rPr>
          <w:rStyle w:val="CharSectno"/>
        </w:rPr>
        <w:t>58</w:t>
      </w:r>
      <w:r>
        <w:t>.</w:t>
      </w:r>
      <w:r>
        <w:tab/>
        <w:t>Special payment arrangements</w:t>
      </w:r>
      <w:bookmarkEnd w:id="95"/>
    </w:p>
    <w:p>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3</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tab/>
        <w:t>(b)</w:t>
      </w:r>
      <w:r>
        <w:tab/>
        <w:t>in relation to the corresponding charge or charges under these regulations.</w:t>
      </w:r>
    </w:p>
    <w:p>
      <w:pPr>
        <w:pStyle w:val="Heading5"/>
      </w:pPr>
      <w:bookmarkStart w:id="96" w:name="_Toc434929772"/>
      <w:r>
        <w:rPr>
          <w:rStyle w:val="CharSectno"/>
        </w:rPr>
        <w:t>59</w:t>
      </w:r>
      <w:r>
        <w:t>.</w:t>
      </w:r>
      <w:r>
        <w:tab/>
        <w:t>Commercial caravan parks</w:t>
      </w:r>
      <w:bookmarkEnd w:id="96"/>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3</w:t>
      </w:r>
      <w:r>
        <w:t xml:space="preserve"> by</w:t>
      </w:r>
      <w:r>
        <w:noBreakHyphen/>
        <w:t>law 17A, has effect for the purposes of these regulations as if made under regulation 27.</w:t>
      </w:r>
    </w:p>
    <w:p>
      <w:pPr>
        <w:pStyle w:val="Heading5"/>
      </w:pPr>
      <w:bookmarkStart w:id="97" w:name="_Toc434929773"/>
      <w:r>
        <w:rPr>
          <w:rStyle w:val="CharSectno"/>
        </w:rPr>
        <w:t>60</w:t>
      </w:r>
      <w:r>
        <w:t>.</w:t>
      </w:r>
      <w:r>
        <w:tab/>
        <w:t>Certain charges and discharge volumes before 1 July 2014</w:t>
      </w:r>
      <w:bookmarkEnd w:id="97"/>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3 </w:t>
      </w:r>
      <w:r>
        <w:t>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3</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3</w:t>
      </w:r>
      <w:r>
        <w:t>, as in effect at the relevant time, are to be used.</w:t>
      </w:r>
    </w:p>
    <w:p>
      <w:pPr>
        <w:pStyle w:val="Heading5"/>
      </w:pPr>
      <w:bookmarkStart w:id="98" w:name="_Toc434929774"/>
      <w:r>
        <w:rPr>
          <w:rStyle w:val="CharSectno"/>
        </w:rPr>
        <w:t>61</w:t>
      </w:r>
      <w:r>
        <w:t>.</w:t>
      </w:r>
      <w:r>
        <w:tab/>
        <w:t>Concessions: r. 34 and 35</w:t>
      </w:r>
      <w:bookmarkEnd w:id="98"/>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3</w:t>
      </w:r>
      <w:r>
        <w:t xml:space="preserve"> being in arrears.</w:t>
      </w:r>
    </w:p>
    <w:p>
      <w:pPr>
        <w:pStyle w:val="Subsection"/>
      </w:pPr>
      <w:r>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3</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3</w:t>
      </w:r>
      <w:r>
        <w:t xml:space="preserve"> by</w:t>
      </w:r>
      <w:r>
        <w:noBreakHyphen/>
        <w:t>law 18B becomes, on 1 July 2014, a person registered with the Water Corporation for the purposes of regulation 35.</w:t>
      </w:r>
    </w:p>
    <w:p>
      <w:pPr>
        <w:pStyle w:val="Heading3"/>
      </w:pPr>
      <w:bookmarkStart w:id="99" w:name="_Toc429576958"/>
      <w:bookmarkStart w:id="100" w:name="_Toc434929775"/>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99"/>
      <w:bookmarkEnd w:id="100"/>
    </w:p>
    <w:p>
      <w:pPr>
        <w:pStyle w:val="Footnoteheading"/>
      </w:pPr>
      <w:r>
        <w:tab/>
        <w:t>[Heading inserted in Gazette 15 Oct 2014 p. 3944.]</w:t>
      </w:r>
    </w:p>
    <w:p>
      <w:pPr>
        <w:pStyle w:val="Heading5"/>
      </w:pPr>
      <w:bookmarkStart w:id="101" w:name="_Toc434929776"/>
      <w:r>
        <w:rPr>
          <w:rStyle w:val="CharSectno"/>
        </w:rPr>
        <w:t>62</w:t>
      </w:r>
      <w:r>
        <w:t>.</w:t>
      </w:r>
      <w:r>
        <w:tab/>
        <w:t>Application of r. 5</w:t>
      </w:r>
      <w:bookmarkEnd w:id="101"/>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 in Gazette 15 Oct 2014 p. 3944.]</w:t>
      </w:r>
    </w:p>
    <w:p>
      <w:pPr>
        <w:pStyle w:val="Heading5"/>
      </w:pPr>
      <w:bookmarkStart w:id="102" w:name="_Toc434929777"/>
      <w:r>
        <w:rPr>
          <w:rStyle w:val="CharSectno"/>
        </w:rPr>
        <w:t>63</w:t>
      </w:r>
      <w:r>
        <w:t>.</w:t>
      </w:r>
      <w:r>
        <w:tab/>
        <w:t>Reduction, waiver or refund of certain charges</w:t>
      </w:r>
      <w:bookmarkEnd w:id="102"/>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pPr>
        <w:pStyle w:val="Subsection"/>
      </w:pPr>
      <w:r>
        <w:tab/>
        <w:t>(4)</w:t>
      </w:r>
      <w:r>
        <w:tab/>
        <w:t>A refund may be provided in the form of a credit against future water service charges.</w:t>
      </w:r>
    </w:p>
    <w:p>
      <w:pPr>
        <w:pStyle w:val="Footnotesection"/>
      </w:pPr>
      <w:r>
        <w:tab/>
        <w:t>[Regulation 63 inserted in Gazette 15 Oct 2014 p. 3944.]</w:t>
      </w:r>
    </w:p>
    <w:p>
      <w:pPr>
        <w:sectPr>
          <w:headerReference w:type="even" r:id="rId25"/>
          <w:headerReference w:type="default" r:id="rId26"/>
          <w:headerReference w:type="first" r:id="rId27"/>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103" w:name="_Toc429576961"/>
      <w:bookmarkStart w:id="104" w:name="_Toc434929778"/>
      <w:r>
        <w:rPr>
          <w:rStyle w:val="CharSchNo"/>
        </w:rPr>
        <w:t>Schedule 1</w:t>
      </w:r>
      <w:r>
        <w:t> — </w:t>
      </w:r>
      <w:r>
        <w:rPr>
          <w:rStyle w:val="CharSchText"/>
        </w:rPr>
        <w:t>Charges for Bunbury Water Corporation</w:t>
      </w:r>
      <w:bookmarkEnd w:id="103"/>
      <w:bookmarkEnd w:id="104"/>
    </w:p>
    <w:p>
      <w:pPr>
        <w:pStyle w:val="yShoulderClause"/>
      </w:pPr>
      <w:r>
        <w:t>[r. 7 and 8]</w:t>
      </w:r>
    </w:p>
    <w:p>
      <w:pPr>
        <w:pStyle w:val="yHeading3"/>
      </w:pPr>
      <w:bookmarkStart w:id="105" w:name="_Toc429576962"/>
      <w:bookmarkStart w:id="106" w:name="_Toc434929779"/>
      <w:r>
        <w:rPr>
          <w:rStyle w:val="CharSDivNo"/>
        </w:rPr>
        <w:t>Division 1</w:t>
      </w:r>
      <w:r>
        <w:rPr>
          <w:b w:val="0"/>
        </w:rPr>
        <w:t> — </w:t>
      </w:r>
      <w:r>
        <w:rPr>
          <w:rStyle w:val="CharSDivText"/>
        </w:rPr>
        <w:t>Services charges</w:t>
      </w:r>
      <w:bookmarkEnd w:id="105"/>
      <w:bookmarkEnd w:id="106"/>
    </w:p>
    <w:p>
      <w:pPr>
        <w:pStyle w:val="yFootnoteheading"/>
      </w:pPr>
      <w:r>
        <w:tab/>
        <w:t>[Heading inserted in Gazette 15 Oct 2014 p. 3945.]</w:t>
      </w:r>
    </w:p>
    <w:p>
      <w:pPr>
        <w:pStyle w:val="yHeading5"/>
      </w:pPr>
      <w:bookmarkStart w:id="107" w:name="_Toc434929780"/>
      <w:r>
        <w:rPr>
          <w:rStyle w:val="CharSClsNo"/>
        </w:rPr>
        <w:t>1</w:t>
      </w:r>
      <w:r>
        <w:t>.</w:t>
      </w:r>
      <w:r>
        <w:tab/>
        <w:t>Service charges for 2015/16 year and subsequent years</w:t>
      </w:r>
      <w:bookmarkEnd w:id="107"/>
    </w:p>
    <w:p>
      <w:pPr>
        <w:pStyle w:val="yMiscellaneousBody"/>
        <w:tabs>
          <w:tab w:val="right" w:pos="709"/>
          <w:tab w:val="left" w:pos="851"/>
        </w:tabs>
        <w:ind w:left="851" w:hanging="851"/>
      </w:pPr>
      <w:r>
        <w:tab/>
      </w:r>
      <w:r>
        <w:tab/>
        <w:t xml:space="preserve">The charges set out in this Division apply for water supply services provided in the </w:t>
      </w:r>
      <w:r>
        <w:rPr>
          <w:szCs w:val="22"/>
        </w:rPr>
        <w:t>2015/16</w:t>
      </w:r>
      <w:r>
        <w:t> financial year and each subsequent year.</w:t>
      </w:r>
    </w:p>
    <w:p>
      <w:pPr>
        <w:pStyle w:val="yHeading5"/>
      </w:pPr>
      <w:bookmarkStart w:id="108" w:name="_Toc434929781"/>
      <w:r>
        <w:rPr>
          <w:rStyle w:val="CharSClsNo"/>
        </w:rPr>
        <w:t>2</w:t>
      </w:r>
      <w:r>
        <w:t>.</w:t>
      </w:r>
      <w:r>
        <w:tab/>
        <w:t>Residential lots</w:t>
      </w:r>
      <w:bookmarkEnd w:id="108"/>
    </w:p>
    <w:p>
      <w:pPr>
        <w:pStyle w:val="yMiscellaneousBody"/>
        <w:tabs>
          <w:tab w:val="right" w:leader="dot" w:pos="6804"/>
        </w:tabs>
        <w:spacing w:before="120"/>
        <w:ind w:left="851" w:right="2268" w:hanging="879"/>
      </w:pPr>
      <w:r>
        <w:tab/>
        <w:t xml:space="preserve">In respect of a residential lot, the charge is </w:t>
      </w:r>
      <w:r>
        <w:tab/>
        <w:t xml:space="preserve"> </w:t>
      </w:r>
      <w:r>
        <w:rPr>
          <w:szCs w:val="22"/>
        </w:rPr>
        <w:t>$223.70</w:t>
      </w:r>
    </w:p>
    <w:p>
      <w:pPr>
        <w:pStyle w:val="yHeading5"/>
      </w:pPr>
      <w:bookmarkStart w:id="109" w:name="_Toc434929782"/>
      <w:r>
        <w:rPr>
          <w:rStyle w:val="CharSClsNo"/>
        </w:rPr>
        <w:t>3</w:t>
      </w:r>
      <w:r>
        <w:t>.</w:t>
      </w:r>
      <w:r>
        <w:tab/>
        <w:t>Non</w:t>
      </w:r>
      <w:r>
        <w:noBreakHyphen/>
        <w:t>residential lots</w:t>
      </w:r>
      <w:bookmarkEnd w:id="109"/>
    </w:p>
    <w:p>
      <w:pPr>
        <w:pStyle w:val="yMiscellaneousBody"/>
        <w:tabs>
          <w:tab w:val="right" w:leader="dot" w:pos="6804"/>
        </w:tabs>
        <w:spacing w:after="120"/>
        <w:ind w:left="879" w:right="1985" w:hanging="879"/>
      </w:pPr>
      <w:r>
        <w:tab/>
        <w:t>In respect of a non</w:t>
      </w:r>
      <w:r>
        <w:noBreakHyphen/>
        <w:t>residential lot, the charge, according to the size of the meter, is —</w:t>
      </w:r>
    </w:p>
    <w:p>
      <w:pPr>
        <w:pStyle w:val="yMiscellaneousBody"/>
        <w:tabs>
          <w:tab w:val="right" w:leader="dot" w:pos="6804"/>
        </w:tabs>
        <w:spacing w:before="120"/>
        <w:ind w:left="1134" w:right="2268" w:hanging="879"/>
      </w:pPr>
      <w:r>
        <w:tab/>
        <w:t xml:space="preserve">20 mm </w:t>
      </w:r>
      <w:r>
        <w:tab/>
        <w:t xml:space="preserve"> </w:t>
      </w:r>
      <w:r>
        <w:rPr>
          <w:szCs w:val="22"/>
        </w:rPr>
        <w:t>$223.70</w:t>
      </w:r>
    </w:p>
    <w:p>
      <w:pPr>
        <w:pStyle w:val="yMiscellaneousBody"/>
        <w:tabs>
          <w:tab w:val="right" w:leader="dot" w:pos="6804"/>
        </w:tabs>
        <w:spacing w:before="120"/>
        <w:ind w:left="1134" w:right="2268" w:hanging="879"/>
      </w:pPr>
      <w:r>
        <w:tab/>
        <w:t xml:space="preserve">25 mm </w:t>
      </w:r>
      <w:r>
        <w:tab/>
        <w:t xml:space="preserve"> </w:t>
      </w:r>
      <w:r>
        <w:rPr>
          <w:szCs w:val="22"/>
        </w:rPr>
        <w:t>$349.53</w:t>
      </w:r>
    </w:p>
    <w:p>
      <w:pPr>
        <w:pStyle w:val="yMiscellaneousBody"/>
        <w:tabs>
          <w:tab w:val="right" w:leader="dot" w:pos="6804"/>
        </w:tabs>
        <w:spacing w:before="120"/>
        <w:ind w:left="1134" w:right="2268" w:hanging="879"/>
      </w:pPr>
      <w:r>
        <w:tab/>
        <w:t xml:space="preserve">40 mm </w:t>
      </w:r>
      <w:r>
        <w:tab/>
        <w:t xml:space="preserve"> </w:t>
      </w:r>
      <w:r>
        <w:rPr>
          <w:szCs w:val="22"/>
        </w:rPr>
        <w:t>$894.80</w:t>
      </w:r>
    </w:p>
    <w:p>
      <w:pPr>
        <w:pStyle w:val="yMiscellaneousBody"/>
        <w:tabs>
          <w:tab w:val="right" w:leader="dot" w:pos="6804"/>
        </w:tabs>
        <w:spacing w:before="120"/>
        <w:ind w:left="1134" w:right="2268" w:hanging="879"/>
      </w:pPr>
      <w:r>
        <w:tab/>
        <w:t xml:space="preserve">50 mm </w:t>
      </w:r>
      <w:r>
        <w:tab/>
        <w:t xml:space="preserve"> </w:t>
      </w:r>
      <w:r>
        <w:rPr>
          <w:szCs w:val="22"/>
        </w:rPr>
        <w:t>$1 398.13</w:t>
      </w:r>
    </w:p>
    <w:p>
      <w:pPr>
        <w:pStyle w:val="yMiscellaneousBody"/>
        <w:tabs>
          <w:tab w:val="right" w:leader="dot" w:pos="6804"/>
        </w:tabs>
        <w:spacing w:before="120"/>
        <w:ind w:left="1134" w:right="2268" w:hanging="879"/>
      </w:pPr>
      <w:r>
        <w:tab/>
        <w:t xml:space="preserve">80 mm </w:t>
      </w:r>
      <w:r>
        <w:tab/>
        <w:t xml:space="preserve"> </w:t>
      </w:r>
      <w:r>
        <w:rPr>
          <w:szCs w:val="22"/>
        </w:rPr>
        <w:t>$3 579.21</w:t>
      </w:r>
    </w:p>
    <w:p>
      <w:pPr>
        <w:pStyle w:val="yMiscellaneousBody"/>
        <w:tabs>
          <w:tab w:val="right" w:leader="dot" w:pos="6804"/>
        </w:tabs>
        <w:spacing w:before="120"/>
        <w:ind w:left="1134" w:right="2268" w:hanging="879"/>
      </w:pPr>
      <w:r>
        <w:tab/>
        <w:t xml:space="preserve">100 mm </w:t>
      </w:r>
      <w:r>
        <w:tab/>
        <w:t xml:space="preserve"> </w:t>
      </w:r>
      <w:r>
        <w:rPr>
          <w:szCs w:val="22"/>
        </w:rPr>
        <w:t>$5 592.52</w:t>
      </w:r>
    </w:p>
    <w:p>
      <w:pPr>
        <w:pStyle w:val="yMiscellaneousBody"/>
        <w:tabs>
          <w:tab w:val="right" w:leader="dot" w:pos="6804"/>
        </w:tabs>
        <w:spacing w:before="120"/>
        <w:ind w:left="1134" w:right="2268" w:hanging="879"/>
      </w:pPr>
      <w:r>
        <w:tab/>
        <w:t xml:space="preserve">150 mm </w:t>
      </w:r>
      <w:r>
        <w:tab/>
        <w:t xml:space="preserve"> </w:t>
      </w:r>
      <w:r>
        <w:rPr>
          <w:szCs w:val="22"/>
        </w:rPr>
        <w:t>$12 583.17</w:t>
      </w:r>
    </w:p>
    <w:p>
      <w:pPr>
        <w:pStyle w:val="yFootnotesection"/>
      </w:pPr>
      <w:r>
        <w:tab/>
        <w:t>[Division 1 inserted in Gazette 15 Oct 2014 p. 3945; amended in Gazette 30 Jun 2015 p. 2365.]</w:t>
      </w:r>
    </w:p>
    <w:p>
      <w:pPr>
        <w:pStyle w:val="yHeading3"/>
      </w:pPr>
      <w:bookmarkStart w:id="110" w:name="_Toc429576966"/>
      <w:bookmarkStart w:id="111" w:name="_Toc434929783"/>
      <w:r>
        <w:rPr>
          <w:rStyle w:val="CharSDivNo"/>
        </w:rPr>
        <w:t>Division 2</w:t>
      </w:r>
      <w:r>
        <w:rPr>
          <w:b w:val="0"/>
        </w:rPr>
        <w:t> — </w:t>
      </w:r>
      <w:r>
        <w:rPr>
          <w:rStyle w:val="CharSDivText"/>
        </w:rPr>
        <w:t>Consumption charges</w:t>
      </w:r>
      <w:bookmarkEnd w:id="110"/>
      <w:bookmarkEnd w:id="111"/>
    </w:p>
    <w:p>
      <w:pPr>
        <w:pStyle w:val="yFootnoteheading"/>
      </w:pPr>
      <w:r>
        <w:tab/>
        <w:t>[Heading inserted in Gazette 15 Oct 2014 p. 3945.]</w:t>
      </w:r>
    </w:p>
    <w:p>
      <w:pPr>
        <w:pStyle w:val="yHeading5"/>
      </w:pPr>
      <w:bookmarkStart w:id="112" w:name="_Toc434929784"/>
      <w:r>
        <w:rPr>
          <w:rStyle w:val="CharSClsNo"/>
        </w:rPr>
        <w:t>4</w:t>
      </w:r>
      <w:r>
        <w:t>.</w:t>
      </w:r>
      <w:r>
        <w:tab/>
        <w:t>Consumption charges for 2015/16 year and subsequent years</w:t>
      </w:r>
      <w:bookmarkEnd w:id="112"/>
    </w:p>
    <w:p>
      <w:pPr>
        <w:pStyle w:val="yMiscellaneousBody"/>
        <w:tabs>
          <w:tab w:val="right" w:pos="709"/>
          <w:tab w:val="left" w:pos="851"/>
        </w:tabs>
        <w:ind w:left="851" w:hanging="851"/>
      </w:pPr>
      <w:r>
        <w:tab/>
      </w:r>
      <w:r>
        <w:tab/>
        <w:t xml:space="preserve">The charges set out in this Division apply for water supplied in the </w:t>
      </w:r>
      <w:r>
        <w:rPr>
          <w:szCs w:val="22"/>
        </w:rPr>
        <w:t>2015/16</w:t>
      </w:r>
      <w:r>
        <w:t> financial year and each subsequent year.</w:t>
      </w:r>
    </w:p>
    <w:p>
      <w:pPr>
        <w:pStyle w:val="yHeading5"/>
      </w:pPr>
      <w:bookmarkStart w:id="113" w:name="_Toc434929785"/>
      <w:r>
        <w:rPr>
          <w:rStyle w:val="CharSClsNo"/>
        </w:rPr>
        <w:t>5</w:t>
      </w:r>
      <w:r>
        <w:t>.</w:t>
      </w:r>
      <w:r>
        <w:tab/>
        <w:t>Residential lots</w:t>
      </w:r>
      <w:bookmarkEnd w:id="113"/>
    </w:p>
    <w:p>
      <w:pPr>
        <w:pStyle w:val="yMiscellaneousBody"/>
        <w:tabs>
          <w:tab w:val="left" w:pos="284"/>
          <w:tab w:val="right" w:leader="dot" w:pos="6804"/>
        </w:tabs>
        <w:ind w:left="879" w:right="1983" w:hanging="879"/>
      </w:pPr>
      <w:r>
        <w:tab/>
        <w:t>(1)</w:t>
      </w:r>
      <w:r>
        <w:tab/>
        <w:t>For each kilolitre of water supplied to a residential lot, the charge is —</w:t>
      </w:r>
    </w:p>
    <w:p>
      <w:pPr>
        <w:pStyle w:val="yMiscellaneousBody"/>
        <w:tabs>
          <w:tab w:val="right" w:leader="dot" w:pos="6804"/>
        </w:tabs>
        <w:spacing w:before="120"/>
        <w:ind w:left="1134" w:right="2268" w:hanging="879"/>
      </w:pPr>
      <w:r>
        <w:tab/>
        <w:t xml:space="preserve">up to 150 kL </w:t>
      </w:r>
      <w:r>
        <w:tab/>
        <w:t xml:space="preserve"> </w:t>
      </w:r>
      <w:r>
        <w:rPr>
          <w:szCs w:val="22"/>
        </w:rPr>
        <w:t>$0.93</w:t>
      </w:r>
    </w:p>
    <w:p>
      <w:pPr>
        <w:pStyle w:val="yMiscellaneousBody"/>
        <w:tabs>
          <w:tab w:val="right" w:leader="dot" w:pos="6804"/>
        </w:tabs>
        <w:spacing w:before="120"/>
        <w:ind w:left="1134" w:right="2268" w:hanging="879"/>
      </w:pPr>
      <w:r>
        <w:tab/>
        <w:t xml:space="preserve">over 150 but not over 350 kL </w:t>
      </w:r>
      <w:r>
        <w:tab/>
        <w:t xml:space="preserve"> </w:t>
      </w:r>
      <w:r>
        <w:rPr>
          <w:szCs w:val="22"/>
        </w:rPr>
        <w:t>$1.72</w:t>
      </w:r>
    </w:p>
    <w:p>
      <w:pPr>
        <w:pStyle w:val="yMiscellaneousBody"/>
        <w:tabs>
          <w:tab w:val="right" w:leader="dot" w:pos="6804"/>
        </w:tabs>
        <w:spacing w:before="120"/>
        <w:ind w:left="1134" w:right="2268" w:hanging="879"/>
      </w:pPr>
      <w:r>
        <w:tab/>
        <w:t xml:space="preserve">over 350 but not over 500 kL </w:t>
      </w:r>
      <w:r>
        <w:tab/>
        <w:t xml:space="preserve"> </w:t>
      </w:r>
      <w:r>
        <w:rPr>
          <w:szCs w:val="22"/>
        </w:rPr>
        <w:t>$2.46</w:t>
      </w:r>
    </w:p>
    <w:p>
      <w:pPr>
        <w:pStyle w:val="yMiscellaneousBody"/>
        <w:tabs>
          <w:tab w:val="right" w:leader="dot" w:pos="6804"/>
        </w:tabs>
        <w:spacing w:before="120"/>
        <w:ind w:left="1134" w:right="2268" w:hanging="879"/>
      </w:pPr>
      <w:r>
        <w:tab/>
        <w:t xml:space="preserve">over 500 but not over 700 kL </w:t>
      </w:r>
      <w:r>
        <w:tab/>
        <w:t xml:space="preserve"> </w:t>
      </w:r>
      <w:r>
        <w:rPr>
          <w:szCs w:val="22"/>
        </w:rPr>
        <w:t>$3.06</w:t>
      </w:r>
    </w:p>
    <w:p>
      <w:pPr>
        <w:pStyle w:val="yMiscellaneousBody"/>
        <w:tabs>
          <w:tab w:val="right" w:leader="dot" w:pos="6804"/>
        </w:tabs>
        <w:spacing w:before="120"/>
        <w:ind w:left="1134" w:right="2268" w:hanging="879"/>
      </w:pPr>
      <w:r>
        <w:tab/>
        <w:t xml:space="preserve">over 700 kL </w:t>
      </w:r>
      <w:r>
        <w:tab/>
        <w:t xml:space="preserve"> </w:t>
      </w:r>
      <w:r>
        <w:rPr>
          <w:szCs w:val="22"/>
        </w:rPr>
        <w:t>$3.06</w:t>
      </w:r>
    </w:p>
    <w:p>
      <w:pPr>
        <w:pStyle w:val="yMiscellaneousBody"/>
        <w:tabs>
          <w:tab w:val="left" w:pos="284"/>
          <w:tab w:val="right" w:leader="dot" w:pos="6804"/>
        </w:tabs>
        <w:ind w:left="879" w:right="1983" w:hanging="879"/>
      </w:pPr>
      <w:r>
        <w:tab/>
        <w:t>(2)</w:t>
      </w:r>
      <w:r>
        <w:tab/>
        <w:t>The volumetric ranges in this item have effect by reference to the volume of water supplied in the current consumption year.</w:t>
      </w:r>
    </w:p>
    <w:p>
      <w:pPr>
        <w:pStyle w:val="yHeading5"/>
      </w:pPr>
      <w:bookmarkStart w:id="114" w:name="_Toc434929786"/>
      <w:r>
        <w:rPr>
          <w:rStyle w:val="CharSClsNo"/>
        </w:rPr>
        <w:t>6</w:t>
      </w:r>
      <w:r>
        <w:t>.</w:t>
      </w:r>
      <w:r>
        <w:tab/>
        <w:t>Non</w:t>
      </w:r>
      <w:r>
        <w:noBreakHyphen/>
        <w:t>residential lots</w:t>
      </w:r>
      <w:bookmarkEnd w:id="114"/>
    </w:p>
    <w:p>
      <w:pPr>
        <w:pStyle w:val="yMiscellaneousBody"/>
        <w:tabs>
          <w:tab w:val="left" w:pos="284"/>
          <w:tab w:val="right" w:leader="dot" w:pos="6804"/>
        </w:tabs>
        <w:ind w:left="879" w:right="1985" w:hanging="879"/>
      </w:pPr>
      <w:r>
        <w:tab/>
      </w:r>
      <w:r>
        <w:tab/>
        <w:t xml:space="preserve">For each kilolitre of water supplied to a </w:t>
      </w:r>
      <w:r>
        <w:br/>
        <w:t>non</w:t>
      </w:r>
      <w:r>
        <w:noBreakHyphen/>
        <w:t xml:space="preserve">residential lot, the charge is </w:t>
      </w:r>
      <w:r>
        <w:tab/>
        <w:t xml:space="preserve"> </w:t>
      </w:r>
      <w:r>
        <w:rPr>
          <w:szCs w:val="22"/>
        </w:rPr>
        <w:t>$2.46</w:t>
      </w:r>
    </w:p>
    <w:p>
      <w:pPr>
        <w:pStyle w:val="yFootnotesection"/>
      </w:pPr>
      <w:r>
        <w:tab/>
        <w:t>[Division 2 inserted in Gazette 15 Oct 2014 p. 3945</w:t>
      </w:r>
      <w:r>
        <w:noBreakHyphen/>
        <w:t>6; amended in Gazette 30 Jun 2015 p. 2366.]</w:t>
      </w:r>
    </w:p>
    <w:p>
      <w:pPr>
        <w:pStyle w:val="yHeading3"/>
      </w:pPr>
      <w:bookmarkStart w:id="115" w:name="_Toc429576970"/>
      <w:bookmarkStart w:id="116" w:name="_Toc434929787"/>
      <w:r>
        <w:rPr>
          <w:rStyle w:val="CharSDivNo"/>
        </w:rPr>
        <w:t>Division 3</w:t>
      </w:r>
      <w:r>
        <w:t> — </w:t>
      </w:r>
      <w:r>
        <w:rPr>
          <w:rStyle w:val="CharSDivText"/>
        </w:rPr>
        <w:t>Miscellaneous charges</w:t>
      </w:r>
      <w:bookmarkEnd w:id="115"/>
      <w:bookmarkEnd w:id="116"/>
    </w:p>
    <w:p>
      <w:pPr>
        <w:pStyle w:val="yHeading5"/>
      </w:pPr>
      <w:bookmarkStart w:id="117" w:name="_Toc434929788"/>
      <w:r>
        <w:t>7.</w:t>
      </w:r>
      <w:r>
        <w:tab/>
        <w:t>Meters: multi</w:t>
      </w:r>
      <w:r>
        <w:noBreakHyphen/>
        <w:t>unit developments</w:t>
      </w:r>
      <w:bookmarkEnd w:id="117"/>
    </w:p>
    <w:p>
      <w:pPr>
        <w:pStyle w:val="yMiscellaneousBody"/>
        <w:tabs>
          <w:tab w:val="left" w:pos="284"/>
          <w:tab w:val="right" w:leader="dot" w:pos="6804"/>
        </w:tabs>
        <w:ind w:left="879" w:right="1983" w:hanging="879"/>
      </w:pPr>
      <w:r>
        <w:tab/>
      </w:r>
      <w:r>
        <w:tab/>
        <w:t>For supplying a meter for connection to a pipe supplying water to a unit in a multi</w:t>
      </w:r>
      <w:r>
        <w:noBreakHyphen/>
        <w:t xml:space="preserve">unit development, the charge is </w:t>
      </w:r>
      <w:r>
        <w:tab/>
        <w:t xml:space="preserve"> </w:t>
      </w:r>
      <w:r>
        <w:rPr>
          <w:szCs w:val="22"/>
        </w:rPr>
        <w:t>$65.40</w:t>
      </w:r>
    </w:p>
    <w:p>
      <w:pPr>
        <w:pStyle w:val="yHeading5"/>
      </w:pPr>
      <w:bookmarkStart w:id="118" w:name="_Toc434929789"/>
      <w:r>
        <w:rPr>
          <w:rStyle w:val="CharSClsNo"/>
        </w:rPr>
        <w:t>8</w:t>
      </w:r>
      <w:r>
        <w:t>.</w:t>
      </w:r>
      <w:r>
        <w:tab/>
        <w:t>Assessing meters: multi</w:t>
      </w:r>
      <w:r>
        <w:noBreakHyphen/>
        <w:t>unit developments</w:t>
      </w:r>
      <w:bookmarkEnd w:id="118"/>
    </w:p>
    <w:p>
      <w:pPr>
        <w:pStyle w:val="yMiscellaneousBody"/>
        <w:tabs>
          <w:tab w:val="left" w:pos="284"/>
          <w:tab w:val="right" w:leader="dot" w:pos="6804"/>
        </w:tabs>
        <w:ind w:left="879" w:right="1983" w:hanging="879"/>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w:t>
      </w:r>
      <w:r>
        <w:rPr>
          <w:szCs w:val="22"/>
        </w:rPr>
        <w:t>$77.35</w:t>
      </w:r>
    </w:p>
    <w:p>
      <w:pPr>
        <w:pStyle w:val="yHeading5"/>
      </w:pPr>
      <w:bookmarkStart w:id="119" w:name="_Toc434929790"/>
      <w:r>
        <w:rPr>
          <w:rStyle w:val="CharSClsNo"/>
        </w:rPr>
        <w:t>9</w:t>
      </w:r>
      <w:r>
        <w:t>.</w:t>
      </w:r>
      <w:r>
        <w:tab/>
        <w:t>Testing meters</w:t>
      </w:r>
      <w:bookmarkEnd w:id="119"/>
    </w:p>
    <w:p>
      <w:pPr>
        <w:pStyle w:val="yMiscellaneousBody"/>
        <w:tabs>
          <w:tab w:val="left" w:pos="284"/>
          <w:tab w:val="right" w:leader="dot" w:pos="6804"/>
        </w:tabs>
        <w:ind w:left="879" w:right="1983" w:hanging="879"/>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left" w:leader="dot" w:pos="6117"/>
          <w:tab w:val="right" w:pos="7088"/>
        </w:tabs>
        <w:spacing w:before="120"/>
        <w:ind w:left="1134"/>
      </w:pPr>
      <w:r>
        <w:t xml:space="preserve">20 mm (no calibration) </w:t>
      </w:r>
      <w:r>
        <w:tab/>
      </w:r>
      <w:r>
        <w:tab/>
      </w:r>
      <w:r>
        <w:rPr>
          <w:szCs w:val="22"/>
        </w:rPr>
        <w:t>$40.65</w:t>
      </w:r>
    </w:p>
    <w:p>
      <w:pPr>
        <w:pStyle w:val="yMiscellaneousBody"/>
        <w:tabs>
          <w:tab w:val="left" w:leader="dot" w:pos="6096"/>
          <w:tab w:val="right" w:pos="7088"/>
        </w:tabs>
        <w:spacing w:before="120"/>
        <w:ind w:left="1134"/>
      </w:pPr>
      <w:r>
        <w:t xml:space="preserve">20 mm (with calibration) </w:t>
      </w:r>
      <w:r>
        <w:tab/>
        <w:t>an</w:t>
      </w:r>
    </w:p>
    <w:p>
      <w:pPr>
        <w:pStyle w:val="yMiscellaneousBody"/>
        <w:tabs>
          <w:tab w:val="left" w:pos="6096"/>
          <w:tab w:val="right" w:pos="7088"/>
        </w:tabs>
        <w:spacing w:before="0"/>
        <w:ind w:left="1134"/>
      </w:pPr>
      <w:r>
        <w:tab/>
        <w:t>amount</w:t>
      </w:r>
      <w:r>
        <w:br/>
      </w:r>
      <w:r>
        <w:tab/>
        <w:t>equal to</w:t>
      </w:r>
      <w:r>
        <w:br/>
      </w:r>
      <w:r>
        <w:tab/>
        <w:t>the actual</w:t>
      </w:r>
      <w:r>
        <w:br/>
      </w:r>
      <w:r>
        <w:tab/>
        <w:t>cost of</w:t>
      </w:r>
      <w:r>
        <w:br/>
      </w:r>
      <w:r>
        <w:tab/>
        <w:t>testing</w:t>
      </w:r>
    </w:p>
    <w:p>
      <w:pPr>
        <w:pStyle w:val="yMiscellaneousBody"/>
        <w:tabs>
          <w:tab w:val="left" w:leader="dot" w:pos="6096"/>
          <w:tab w:val="right" w:pos="7088"/>
        </w:tabs>
        <w:spacing w:before="120"/>
        <w:ind w:left="1134"/>
      </w:pPr>
      <w:r>
        <w:t xml:space="preserve">more than 20 mm </w:t>
      </w:r>
      <w:r>
        <w:tab/>
        <w:t>an</w:t>
      </w:r>
    </w:p>
    <w:p>
      <w:pPr>
        <w:pStyle w:val="yMiscellaneousBody"/>
        <w:tabs>
          <w:tab w:val="left" w:pos="6096"/>
          <w:tab w:val="right" w:pos="7088"/>
        </w:tabs>
        <w:spacing w:before="0"/>
        <w:ind w:left="1134"/>
      </w:pPr>
      <w:r>
        <w:tab/>
        <w:t>amount</w:t>
      </w:r>
      <w:r>
        <w:br/>
      </w:r>
      <w:r>
        <w:tab/>
        <w:t>equal to</w:t>
      </w:r>
      <w:r>
        <w:br/>
      </w:r>
      <w:r>
        <w:tab/>
        <w:t>the actual</w:t>
      </w:r>
      <w:r>
        <w:br/>
      </w:r>
      <w:r>
        <w:tab/>
        <w:t>cost of</w:t>
      </w:r>
      <w:r>
        <w:br/>
      </w:r>
      <w:r>
        <w:tab/>
        <w:t>testing</w:t>
      </w:r>
    </w:p>
    <w:p>
      <w:pPr>
        <w:pStyle w:val="yHeading5"/>
      </w:pPr>
      <w:bookmarkStart w:id="120" w:name="_Toc434929791"/>
      <w:r>
        <w:rPr>
          <w:rStyle w:val="CharSClsNo"/>
        </w:rPr>
        <w:t>10</w:t>
      </w:r>
      <w:r>
        <w:t>.</w:t>
      </w:r>
      <w:r>
        <w:tab/>
        <w:t>Copies of records</w:t>
      </w:r>
      <w:bookmarkEnd w:id="120"/>
    </w:p>
    <w:p>
      <w:pPr>
        <w:pStyle w:val="yMiscellaneousBody"/>
        <w:tabs>
          <w:tab w:val="left" w:pos="284"/>
          <w:tab w:val="right" w:leader="dot" w:pos="6804"/>
        </w:tabs>
        <w:ind w:left="879" w:right="1983" w:hanging="879"/>
      </w:pPr>
      <w:r>
        <w:tab/>
      </w:r>
      <w:r>
        <w:tab/>
        <w:t xml:space="preserve">For a copy of records under the </w:t>
      </w:r>
      <w:r>
        <w:rPr>
          <w:i/>
        </w:rPr>
        <w:t>Water Services Regulations 2013</w:t>
      </w:r>
      <w:r>
        <w:t xml:space="preserve"> regulation 65(4)(b), the charge is </w:t>
      </w:r>
      <w:r>
        <w:tab/>
        <w:t xml:space="preserve"> </w:t>
      </w:r>
      <w:r>
        <w:rPr>
          <w:szCs w:val="22"/>
        </w:rPr>
        <w:t>$9.09</w:t>
      </w:r>
    </w:p>
    <w:p>
      <w:pPr>
        <w:pStyle w:val="yFootnotesection"/>
      </w:pPr>
      <w:r>
        <w:tab/>
        <w:t>[Division 3 amended in Gazette 15 Oct 2014 p. 3946; 30 Jun 2015 p. 2366.]</w:t>
      </w:r>
    </w:p>
    <w:p>
      <w:pPr>
        <w:pStyle w:val="yScheduleHeading"/>
      </w:pPr>
      <w:bookmarkStart w:id="121" w:name="_Toc429576975"/>
      <w:bookmarkStart w:id="122" w:name="_Toc434929792"/>
      <w:r>
        <w:rPr>
          <w:rStyle w:val="CharSchNo"/>
        </w:rPr>
        <w:t>Schedule 2</w:t>
      </w:r>
      <w:r>
        <w:t> — </w:t>
      </w:r>
      <w:r>
        <w:rPr>
          <w:rStyle w:val="CharSchText"/>
        </w:rPr>
        <w:t>Charges for Busselton Water Corporation</w:t>
      </w:r>
      <w:bookmarkEnd w:id="121"/>
      <w:bookmarkEnd w:id="122"/>
    </w:p>
    <w:p>
      <w:pPr>
        <w:pStyle w:val="yShoulderClause"/>
      </w:pPr>
      <w:r>
        <w:t>[r. 12]</w:t>
      </w:r>
    </w:p>
    <w:p>
      <w:pPr>
        <w:pStyle w:val="yFootnoteheading"/>
      </w:pPr>
      <w:r>
        <w:tab/>
        <w:t>[Heading amended in Gazette 30 Jun 2015 p. 2367.]</w:t>
      </w:r>
    </w:p>
    <w:p>
      <w:pPr>
        <w:pStyle w:val="yHeading3"/>
      </w:pPr>
      <w:bookmarkStart w:id="123" w:name="_Toc429576976"/>
      <w:bookmarkStart w:id="124" w:name="_Toc434929793"/>
      <w:r>
        <w:rPr>
          <w:rStyle w:val="CharSDivNo"/>
        </w:rPr>
        <w:t>Division 1</w:t>
      </w:r>
      <w:r>
        <w:t> — </w:t>
      </w:r>
      <w:r>
        <w:rPr>
          <w:rStyle w:val="CharSDivText"/>
        </w:rPr>
        <w:t>Service charges</w:t>
      </w:r>
      <w:bookmarkEnd w:id="123"/>
      <w:bookmarkEnd w:id="124"/>
    </w:p>
    <w:p>
      <w:pPr>
        <w:pStyle w:val="yFootnoteheading"/>
      </w:pPr>
      <w:r>
        <w:tab/>
        <w:t>[Heading inserted in Gazette 15 Oct 2014 p. 3947.]</w:t>
      </w:r>
    </w:p>
    <w:p>
      <w:pPr>
        <w:pStyle w:val="yHeading5"/>
      </w:pPr>
      <w:bookmarkStart w:id="125" w:name="_Toc434929794"/>
      <w:r>
        <w:rPr>
          <w:rStyle w:val="CharSClsNo"/>
        </w:rPr>
        <w:t>1</w:t>
      </w:r>
      <w:r>
        <w:t>.</w:t>
      </w:r>
      <w:r>
        <w:tab/>
        <w:t>Service charges for 2015/16 year and subsequent years</w:t>
      </w:r>
      <w:bookmarkEnd w:id="125"/>
    </w:p>
    <w:p>
      <w:pPr>
        <w:pStyle w:val="yMiscellaneousBody"/>
        <w:tabs>
          <w:tab w:val="right" w:pos="709"/>
          <w:tab w:val="left" w:pos="851"/>
        </w:tabs>
        <w:ind w:left="851" w:hanging="851"/>
      </w:pPr>
      <w:r>
        <w:tab/>
      </w:r>
      <w:r>
        <w:tab/>
        <w:t xml:space="preserve">The charges set out in this Division apply for water supply services provided in the </w:t>
      </w:r>
      <w:r>
        <w:rPr>
          <w:szCs w:val="22"/>
        </w:rPr>
        <w:t>2015/16</w:t>
      </w:r>
      <w:r>
        <w:t> financial year and each subsequent year.</w:t>
      </w:r>
    </w:p>
    <w:p>
      <w:pPr>
        <w:pStyle w:val="yHeading5"/>
      </w:pPr>
      <w:bookmarkStart w:id="126" w:name="_Toc434929795"/>
      <w:r>
        <w:rPr>
          <w:rStyle w:val="CharSClsNo"/>
        </w:rPr>
        <w:t>2</w:t>
      </w:r>
      <w:r>
        <w:t>.</w:t>
      </w:r>
      <w:r>
        <w:tab/>
        <w:t>Residential lots</w:t>
      </w:r>
      <w:bookmarkEnd w:id="126"/>
    </w:p>
    <w:p>
      <w:pPr>
        <w:pStyle w:val="yMiscellaneousBody"/>
        <w:tabs>
          <w:tab w:val="right" w:leader="dot" w:pos="6804"/>
        </w:tabs>
        <w:ind w:left="879" w:right="1985" w:hanging="879"/>
      </w:pPr>
      <w:r>
        <w:tab/>
        <w:t xml:space="preserve">In respect of a residential lot, the charge is </w:t>
      </w:r>
      <w:r>
        <w:tab/>
        <w:t xml:space="preserve"> </w:t>
      </w:r>
      <w:r>
        <w:rPr>
          <w:szCs w:val="22"/>
        </w:rPr>
        <w:t>$196.26</w:t>
      </w:r>
    </w:p>
    <w:p>
      <w:pPr>
        <w:pStyle w:val="yHeading5"/>
      </w:pPr>
      <w:bookmarkStart w:id="127" w:name="_Toc434929796"/>
      <w:r>
        <w:rPr>
          <w:rStyle w:val="CharSClsNo"/>
        </w:rPr>
        <w:t>3</w:t>
      </w:r>
      <w:r>
        <w:t>.</w:t>
      </w:r>
      <w:r>
        <w:tab/>
        <w:t>Non</w:t>
      </w:r>
      <w:r>
        <w:noBreakHyphen/>
        <w:t>residential lots</w:t>
      </w:r>
      <w:bookmarkEnd w:id="127"/>
    </w:p>
    <w:p>
      <w:pPr>
        <w:pStyle w:val="yMiscellaneousBody"/>
        <w:tabs>
          <w:tab w:val="left" w:pos="284"/>
          <w:tab w:val="right" w:leader="dot" w:pos="6804"/>
        </w:tabs>
        <w:ind w:left="879" w:right="1983" w:hanging="879"/>
      </w:pPr>
      <w:r>
        <w:tab/>
      </w:r>
      <w:r>
        <w:tab/>
        <w:t>In respect of a non</w:t>
      </w:r>
      <w:r>
        <w:noBreakHyphen/>
        <w:t>residential lot, the charge, according to the size of the meter, is —</w:t>
      </w:r>
    </w:p>
    <w:p>
      <w:pPr>
        <w:pStyle w:val="yMiscellaneousBody"/>
        <w:tabs>
          <w:tab w:val="right" w:leader="dot" w:pos="6804"/>
        </w:tabs>
        <w:spacing w:before="120"/>
        <w:ind w:left="1134" w:right="2268" w:hanging="879"/>
      </w:pPr>
      <w:r>
        <w:tab/>
        <w:t xml:space="preserve">20 mm </w:t>
      </w:r>
      <w:r>
        <w:tab/>
        <w:t xml:space="preserve"> </w:t>
      </w:r>
      <w:r>
        <w:rPr>
          <w:szCs w:val="22"/>
        </w:rPr>
        <w:t>$196.26</w:t>
      </w:r>
    </w:p>
    <w:p>
      <w:pPr>
        <w:pStyle w:val="yMiscellaneousBody"/>
        <w:tabs>
          <w:tab w:val="right" w:leader="dot" w:pos="6804"/>
        </w:tabs>
        <w:spacing w:before="120"/>
        <w:ind w:left="1134" w:right="2268" w:hanging="879"/>
      </w:pPr>
      <w:r>
        <w:tab/>
        <w:t xml:space="preserve">25 mm </w:t>
      </w:r>
      <w:r>
        <w:tab/>
        <w:t xml:space="preserve"> </w:t>
      </w:r>
      <w:r>
        <w:rPr>
          <w:szCs w:val="22"/>
        </w:rPr>
        <w:t>$306.65</w:t>
      </w:r>
    </w:p>
    <w:p>
      <w:pPr>
        <w:pStyle w:val="yMiscellaneousBody"/>
        <w:tabs>
          <w:tab w:val="right" w:leader="dot" w:pos="6804"/>
        </w:tabs>
        <w:spacing w:before="120"/>
        <w:ind w:left="1134" w:right="2268" w:hanging="879"/>
      </w:pPr>
      <w:r>
        <w:tab/>
        <w:t xml:space="preserve">40 mm </w:t>
      </w:r>
      <w:r>
        <w:tab/>
        <w:t xml:space="preserve"> </w:t>
      </w:r>
      <w:r>
        <w:rPr>
          <w:szCs w:val="22"/>
        </w:rPr>
        <w:t>$785.02</w:t>
      </w:r>
    </w:p>
    <w:p>
      <w:pPr>
        <w:pStyle w:val="yMiscellaneousBody"/>
        <w:tabs>
          <w:tab w:val="right" w:leader="dot" w:pos="6804"/>
        </w:tabs>
        <w:spacing w:before="120"/>
        <w:ind w:left="1134" w:right="2268" w:hanging="879"/>
      </w:pPr>
      <w:r>
        <w:tab/>
        <w:t xml:space="preserve">50 mm </w:t>
      </w:r>
      <w:r>
        <w:tab/>
        <w:t xml:space="preserve"> </w:t>
      </w:r>
      <w:r>
        <w:rPr>
          <w:szCs w:val="22"/>
        </w:rPr>
        <w:t>$1 226.60</w:t>
      </w:r>
    </w:p>
    <w:p>
      <w:pPr>
        <w:pStyle w:val="yMiscellaneousBody"/>
        <w:tabs>
          <w:tab w:val="right" w:leader="dot" w:pos="6804"/>
        </w:tabs>
        <w:spacing w:before="120"/>
        <w:ind w:left="1134" w:right="2268" w:hanging="879"/>
      </w:pPr>
      <w:r>
        <w:tab/>
        <w:t xml:space="preserve">80 mm </w:t>
      </w:r>
      <w:r>
        <w:tab/>
        <w:t xml:space="preserve"> </w:t>
      </w:r>
      <w:r>
        <w:rPr>
          <w:szCs w:val="22"/>
        </w:rPr>
        <w:t>$3 140.09</w:t>
      </w:r>
    </w:p>
    <w:p>
      <w:pPr>
        <w:pStyle w:val="yMiscellaneousBody"/>
        <w:tabs>
          <w:tab w:val="right" w:leader="dot" w:pos="6804"/>
        </w:tabs>
        <w:spacing w:before="120"/>
        <w:ind w:left="1134" w:right="2268" w:hanging="879"/>
      </w:pPr>
      <w:r>
        <w:tab/>
        <w:t xml:space="preserve">100 mm </w:t>
      </w:r>
      <w:r>
        <w:tab/>
        <w:t xml:space="preserve"> </w:t>
      </w:r>
      <w:r>
        <w:rPr>
          <w:szCs w:val="22"/>
        </w:rPr>
        <w:t>$4 906.38</w:t>
      </w:r>
    </w:p>
    <w:p>
      <w:pPr>
        <w:pStyle w:val="yMiscellaneousBody"/>
        <w:tabs>
          <w:tab w:val="right" w:leader="dot" w:pos="6804"/>
        </w:tabs>
        <w:spacing w:before="120"/>
        <w:ind w:left="1134" w:right="2268" w:hanging="879"/>
      </w:pPr>
      <w:r>
        <w:tab/>
        <w:t xml:space="preserve">150 mm </w:t>
      </w:r>
      <w:r>
        <w:tab/>
        <w:t xml:space="preserve"> </w:t>
      </w:r>
      <w:r>
        <w:rPr>
          <w:szCs w:val="22"/>
        </w:rPr>
        <w:t>$11 039.37</w:t>
      </w:r>
    </w:p>
    <w:p>
      <w:pPr>
        <w:pStyle w:val="yHeading5"/>
      </w:pPr>
      <w:bookmarkStart w:id="128" w:name="_Toc434929797"/>
      <w:r>
        <w:rPr>
          <w:rStyle w:val="CharSClsNo"/>
        </w:rPr>
        <w:t>4</w:t>
      </w:r>
      <w:r>
        <w:t>.</w:t>
      </w:r>
      <w:r>
        <w:tab/>
        <w:t>Vacant land</w:t>
      </w:r>
      <w:bookmarkEnd w:id="128"/>
    </w:p>
    <w:p>
      <w:pPr>
        <w:pStyle w:val="yMiscellaneousBody"/>
        <w:tabs>
          <w:tab w:val="right" w:leader="dot" w:pos="6804"/>
        </w:tabs>
        <w:ind w:left="879" w:right="1985" w:hanging="879"/>
      </w:pPr>
      <w:r>
        <w:tab/>
        <w:t xml:space="preserve">In respect of vacant land, the charge is </w:t>
      </w:r>
      <w:r>
        <w:tab/>
        <w:t xml:space="preserve"> </w:t>
      </w:r>
      <w:r>
        <w:rPr>
          <w:szCs w:val="22"/>
        </w:rPr>
        <w:t>$196.26</w:t>
      </w:r>
    </w:p>
    <w:p>
      <w:pPr>
        <w:pStyle w:val="yHeading5"/>
      </w:pPr>
      <w:bookmarkStart w:id="129" w:name="_Toc434929798"/>
      <w:r>
        <w:rPr>
          <w:rStyle w:val="CharSClsNo"/>
        </w:rPr>
        <w:t>5</w:t>
      </w:r>
      <w:r>
        <w:t>.</w:t>
      </w:r>
      <w:r>
        <w:tab/>
        <w:t>Fire services</w:t>
      </w:r>
      <w:bookmarkEnd w:id="129"/>
    </w:p>
    <w:p>
      <w:pPr>
        <w:pStyle w:val="yMiscellaneousBody"/>
        <w:tabs>
          <w:tab w:val="right" w:leader="dot" w:pos="6804"/>
        </w:tabs>
        <w:ind w:left="879" w:right="1985" w:hanging="879"/>
      </w:pPr>
      <w:r>
        <w:tab/>
        <w:t xml:space="preserve">In respect of a fire service connection, the charge is </w:t>
      </w:r>
      <w:r>
        <w:tab/>
        <w:t xml:space="preserve"> </w:t>
      </w:r>
      <w:r>
        <w:rPr>
          <w:szCs w:val="22"/>
        </w:rPr>
        <w:t>$196.26</w:t>
      </w:r>
    </w:p>
    <w:p>
      <w:pPr>
        <w:pStyle w:val="yFootnotesection"/>
      </w:pPr>
      <w:r>
        <w:tab/>
        <w:t>[Division 1 inserted in Gazette 15 Oct 2014 p. 3947; amended in Gazette 30 Jun 2015 p. 2367.]</w:t>
      </w:r>
    </w:p>
    <w:p>
      <w:pPr>
        <w:pStyle w:val="yHeading3"/>
      </w:pPr>
      <w:bookmarkStart w:id="130" w:name="_Toc429576982"/>
      <w:bookmarkStart w:id="131" w:name="_Toc434929799"/>
      <w:r>
        <w:rPr>
          <w:rStyle w:val="CharSDivNo"/>
        </w:rPr>
        <w:t>Division 2</w:t>
      </w:r>
      <w:r>
        <w:rPr>
          <w:b w:val="0"/>
        </w:rPr>
        <w:t> </w:t>
      </w:r>
      <w:r>
        <w:t>— </w:t>
      </w:r>
      <w:r>
        <w:rPr>
          <w:rStyle w:val="CharSDivText"/>
        </w:rPr>
        <w:t>Consumption charges</w:t>
      </w:r>
      <w:bookmarkEnd w:id="130"/>
      <w:bookmarkEnd w:id="131"/>
    </w:p>
    <w:p>
      <w:pPr>
        <w:pStyle w:val="yFootnoteheading"/>
      </w:pPr>
      <w:r>
        <w:tab/>
        <w:t>[Heading inserted in Gazette 15 Oct 2014 p. 3948.]</w:t>
      </w:r>
    </w:p>
    <w:p>
      <w:pPr>
        <w:pStyle w:val="yHeading5"/>
      </w:pPr>
      <w:bookmarkStart w:id="132" w:name="_Toc434929800"/>
      <w:r>
        <w:rPr>
          <w:rStyle w:val="CharSClsNo"/>
        </w:rPr>
        <w:t>6</w:t>
      </w:r>
      <w:r>
        <w:t>.</w:t>
      </w:r>
      <w:r>
        <w:tab/>
        <w:t>Consumption charges for 2015/16 year and subsequent years</w:t>
      </w:r>
      <w:bookmarkEnd w:id="132"/>
    </w:p>
    <w:p>
      <w:pPr>
        <w:pStyle w:val="yMiscellaneousBody"/>
        <w:tabs>
          <w:tab w:val="right" w:pos="709"/>
          <w:tab w:val="left" w:pos="851"/>
        </w:tabs>
        <w:ind w:left="851" w:hanging="851"/>
      </w:pPr>
      <w:r>
        <w:tab/>
      </w:r>
      <w:r>
        <w:tab/>
        <w:t xml:space="preserve">The charges set out in this Division apply for water supplied in the </w:t>
      </w:r>
      <w:r>
        <w:rPr>
          <w:szCs w:val="22"/>
        </w:rPr>
        <w:t>2015/16</w:t>
      </w:r>
      <w:r>
        <w:t> financial year and each subsequent year.</w:t>
      </w:r>
    </w:p>
    <w:p>
      <w:pPr>
        <w:pStyle w:val="yHeading5"/>
      </w:pPr>
      <w:bookmarkStart w:id="133" w:name="_Toc434929801"/>
      <w:r>
        <w:rPr>
          <w:rStyle w:val="CharSClsNo"/>
        </w:rPr>
        <w:t>7</w:t>
      </w:r>
      <w:r>
        <w:t>.</w:t>
      </w:r>
      <w:r>
        <w:tab/>
        <w:t>Residential lots</w:t>
      </w:r>
      <w:bookmarkEnd w:id="133"/>
    </w:p>
    <w:p>
      <w:pPr>
        <w:pStyle w:val="yMiscellaneousBody"/>
        <w:tabs>
          <w:tab w:val="left" w:pos="284"/>
          <w:tab w:val="right" w:leader="dot" w:pos="6804"/>
        </w:tabs>
        <w:ind w:left="879" w:right="1983" w:hanging="879"/>
      </w:pPr>
      <w:r>
        <w:tab/>
        <w:t>(1)</w:t>
      </w:r>
      <w:r>
        <w:tab/>
        <w:t>For each kilolitre of water supplied to a residential lot, the charge is —</w:t>
      </w:r>
    </w:p>
    <w:p>
      <w:pPr>
        <w:pStyle w:val="yMiscellaneousBody"/>
        <w:tabs>
          <w:tab w:val="right" w:leader="dot" w:pos="6804"/>
        </w:tabs>
        <w:spacing w:before="120"/>
        <w:ind w:left="1134" w:right="2268" w:hanging="879"/>
      </w:pPr>
      <w:r>
        <w:tab/>
        <w:t xml:space="preserve">up to 150 kL </w:t>
      </w:r>
      <w:r>
        <w:tab/>
        <w:t xml:space="preserve"> </w:t>
      </w:r>
      <w:r>
        <w:rPr>
          <w:szCs w:val="22"/>
        </w:rPr>
        <w:t>$0.98</w:t>
      </w:r>
    </w:p>
    <w:p>
      <w:pPr>
        <w:pStyle w:val="yMiscellaneousBody"/>
        <w:tabs>
          <w:tab w:val="right" w:leader="dot" w:pos="6804"/>
        </w:tabs>
        <w:spacing w:before="120"/>
        <w:ind w:left="1134" w:right="2268" w:hanging="879"/>
      </w:pPr>
      <w:r>
        <w:tab/>
        <w:t xml:space="preserve">over 150 but not over 350 kL </w:t>
      </w:r>
      <w:r>
        <w:tab/>
        <w:t xml:space="preserve"> </w:t>
      </w:r>
      <w:r>
        <w:rPr>
          <w:szCs w:val="22"/>
        </w:rPr>
        <w:t>$1.37</w:t>
      </w:r>
    </w:p>
    <w:p>
      <w:pPr>
        <w:pStyle w:val="yMiscellaneousBody"/>
        <w:tabs>
          <w:tab w:val="right" w:leader="dot" w:pos="6804"/>
        </w:tabs>
        <w:spacing w:before="120"/>
        <w:ind w:left="1134" w:right="2268" w:hanging="879"/>
      </w:pPr>
      <w:r>
        <w:tab/>
        <w:t xml:space="preserve">over 350 but not over 500 kL </w:t>
      </w:r>
      <w:r>
        <w:tab/>
        <w:t xml:space="preserve"> </w:t>
      </w:r>
      <w:r>
        <w:rPr>
          <w:szCs w:val="22"/>
        </w:rPr>
        <w:t>$1.55</w:t>
      </w:r>
    </w:p>
    <w:p>
      <w:pPr>
        <w:pStyle w:val="yMiscellaneousBody"/>
        <w:tabs>
          <w:tab w:val="right" w:leader="dot" w:pos="6804"/>
        </w:tabs>
        <w:spacing w:before="120"/>
        <w:ind w:left="1134" w:right="2268" w:hanging="879"/>
      </w:pPr>
      <w:r>
        <w:tab/>
        <w:t xml:space="preserve">over 500 but not over 700 kL </w:t>
      </w:r>
      <w:r>
        <w:tab/>
        <w:t xml:space="preserve"> </w:t>
      </w:r>
      <w:r>
        <w:rPr>
          <w:szCs w:val="22"/>
        </w:rPr>
        <w:t>$2.06</w:t>
      </w:r>
    </w:p>
    <w:p>
      <w:pPr>
        <w:pStyle w:val="yMiscellaneousBody"/>
        <w:tabs>
          <w:tab w:val="right" w:leader="dot" w:pos="6804"/>
        </w:tabs>
        <w:spacing w:before="120"/>
        <w:ind w:left="1134" w:right="2268" w:hanging="879"/>
      </w:pPr>
      <w:r>
        <w:tab/>
        <w:t xml:space="preserve">over 700 but not over 1 000 kL </w:t>
      </w:r>
      <w:r>
        <w:tab/>
        <w:t xml:space="preserve"> </w:t>
      </w:r>
      <w:r>
        <w:rPr>
          <w:szCs w:val="22"/>
        </w:rPr>
        <w:t>$2.89</w:t>
      </w:r>
    </w:p>
    <w:p>
      <w:pPr>
        <w:pStyle w:val="yMiscellaneousBody"/>
        <w:tabs>
          <w:tab w:val="right" w:leader="dot" w:pos="6804"/>
        </w:tabs>
        <w:spacing w:before="120"/>
        <w:ind w:left="1134" w:right="2268" w:hanging="879"/>
      </w:pPr>
      <w:r>
        <w:tab/>
        <w:t xml:space="preserve">over 1 000 kL </w:t>
      </w:r>
      <w:r>
        <w:tab/>
        <w:t xml:space="preserve"> </w:t>
      </w:r>
      <w:r>
        <w:rPr>
          <w:szCs w:val="22"/>
        </w:rPr>
        <w:t>$2.96</w:t>
      </w:r>
    </w:p>
    <w:p>
      <w:pPr>
        <w:pStyle w:val="yMiscellaneousBody"/>
        <w:tabs>
          <w:tab w:val="left" w:pos="284"/>
          <w:tab w:val="right" w:leader="dot" w:pos="6804"/>
        </w:tabs>
        <w:ind w:left="879" w:right="1983" w:hanging="879"/>
      </w:pPr>
      <w:r>
        <w:tab/>
        <w:t>(2)</w:t>
      </w:r>
      <w:r>
        <w:tab/>
        <w:t>The volumetric ranges in this item have effect by reference to the volume of water supplied in the current consumption year.</w:t>
      </w:r>
    </w:p>
    <w:p>
      <w:pPr>
        <w:pStyle w:val="yHeading5"/>
      </w:pPr>
      <w:bookmarkStart w:id="134" w:name="_Toc434929802"/>
      <w:r>
        <w:rPr>
          <w:rStyle w:val="CharSClsNo"/>
        </w:rPr>
        <w:t>8</w:t>
      </w:r>
      <w:r>
        <w:t>.</w:t>
      </w:r>
      <w:r>
        <w:tab/>
        <w:t>Non</w:t>
      </w:r>
      <w:r>
        <w:noBreakHyphen/>
        <w:t>residential lots</w:t>
      </w:r>
      <w:bookmarkEnd w:id="134"/>
    </w:p>
    <w:p>
      <w:pPr>
        <w:pStyle w:val="yMiscellaneousBody"/>
        <w:tabs>
          <w:tab w:val="left" w:pos="284"/>
          <w:tab w:val="right" w:leader="dot" w:pos="6804"/>
        </w:tabs>
        <w:ind w:left="879" w:right="1983" w:hanging="879"/>
      </w:pPr>
      <w:r>
        <w:tab/>
      </w:r>
      <w:r>
        <w:tab/>
        <w:t>For each kilolitre of water supplied to a non</w:t>
      </w:r>
      <w:r>
        <w:noBreakHyphen/>
        <w:t xml:space="preserve">residential lot, the charge is </w:t>
      </w:r>
      <w:r>
        <w:tab/>
        <w:t xml:space="preserve"> </w:t>
      </w:r>
      <w:r>
        <w:rPr>
          <w:szCs w:val="22"/>
        </w:rPr>
        <w:t>$1.55</w:t>
      </w:r>
    </w:p>
    <w:p>
      <w:pPr>
        <w:pStyle w:val="yHeading5"/>
      </w:pPr>
      <w:bookmarkStart w:id="135" w:name="_Toc434929803"/>
      <w:r>
        <w:rPr>
          <w:rStyle w:val="CharSClsNo"/>
        </w:rPr>
        <w:t>9</w:t>
      </w:r>
      <w:r>
        <w:t>.</w:t>
      </w:r>
      <w:r>
        <w:tab/>
        <w:t>Fire services</w:t>
      </w:r>
      <w:bookmarkEnd w:id="135"/>
    </w:p>
    <w:p>
      <w:pPr>
        <w:pStyle w:val="yMiscellaneousBody"/>
        <w:tabs>
          <w:tab w:val="left" w:pos="284"/>
          <w:tab w:val="right" w:leader="dot" w:pos="6804"/>
        </w:tabs>
        <w:ind w:left="879" w:right="1983" w:hanging="879"/>
      </w:pPr>
      <w:r>
        <w:tab/>
      </w:r>
      <w:r>
        <w:tab/>
        <w:t xml:space="preserve">For each kilolitre of water supplied through a fire service connection, the charge is </w:t>
      </w:r>
      <w:r>
        <w:tab/>
        <w:t xml:space="preserve"> </w:t>
      </w:r>
      <w:r>
        <w:rPr>
          <w:szCs w:val="22"/>
        </w:rPr>
        <w:t>$2.02</w:t>
      </w:r>
    </w:p>
    <w:p>
      <w:pPr>
        <w:pStyle w:val="yFootnotesection"/>
      </w:pPr>
      <w:r>
        <w:tab/>
        <w:t>[Division 2 inserted in Gazette 15 Oct 2014 p. 3948; amended in Gazette 30 Jun 2015 p. 2368.]</w:t>
      </w:r>
    </w:p>
    <w:p>
      <w:pPr>
        <w:pStyle w:val="yEdnotedivision"/>
      </w:pPr>
      <w:r>
        <w:t>[Division 3 deleted in Gazette 30 Jun 2015 p. 2368.]</w:t>
      </w:r>
    </w:p>
    <w:p>
      <w:pPr>
        <w:pStyle w:val="yScheduleHeading"/>
      </w:pPr>
      <w:bookmarkStart w:id="136" w:name="_Toc429576987"/>
      <w:bookmarkStart w:id="137" w:name="_Toc434929804"/>
      <w:r>
        <w:rPr>
          <w:rStyle w:val="CharSchNo"/>
        </w:rPr>
        <w:t>Schedule 3</w:t>
      </w:r>
      <w:r>
        <w:t> — </w:t>
      </w:r>
      <w:r>
        <w:rPr>
          <w:rStyle w:val="CharSchText"/>
        </w:rPr>
        <w:t>Water supply charges for the Water Corporation</w:t>
      </w:r>
      <w:bookmarkEnd w:id="136"/>
      <w:bookmarkEnd w:id="137"/>
    </w:p>
    <w:p>
      <w:pPr>
        <w:pStyle w:val="yShoulderClause"/>
      </w:pPr>
      <w:r>
        <w:t>[r. 31]</w:t>
      </w:r>
    </w:p>
    <w:p>
      <w:pPr>
        <w:pStyle w:val="yFootnoteheading"/>
      </w:pPr>
      <w:r>
        <w:tab/>
        <w:t>[Heading inserted in Gazette 15 Oct 2014 p. 3949.]</w:t>
      </w:r>
    </w:p>
    <w:p>
      <w:pPr>
        <w:pStyle w:val="yHeading3"/>
      </w:pPr>
      <w:bookmarkStart w:id="138" w:name="_Toc429576988"/>
      <w:bookmarkStart w:id="139" w:name="_Toc434929805"/>
      <w:r>
        <w:rPr>
          <w:rStyle w:val="CharSDivNo"/>
        </w:rPr>
        <w:t>Division 1</w:t>
      </w:r>
      <w:r>
        <w:t> — </w:t>
      </w:r>
      <w:r>
        <w:rPr>
          <w:rStyle w:val="CharSDivText"/>
        </w:rPr>
        <w:t>Service charges</w:t>
      </w:r>
      <w:bookmarkEnd w:id="138"/>
      <w:bookmarkEnd w:id="139"/>
    </w:p>
    <w:p>
      <w:pPr>
        <w:pStyle w:val="yFootnoteheading"/>
      </w:pPr>
      <w:r>
        <w:tab/>
        <w:t>[Heading inserted in Gazette 15 Oct 2014 p. 3949.]</w:t>
      </w:r>
    </w:p>
    <w:p>
      <w:pPr>
        <w:pStyle w:val="yHeading4"/>
      </w:pPr>
      <w:bookmarkStart w:id="140" w:name="_Toc429576989"/>
      <w:bookmarkStart w:id="141" w:name="_Toc434929806"/>
      <w:r>
        <w:t>Subdivision 1</w:t>
      </w:r>
      <w:r>
        <w:rPr>
          <w:b w:val="0"/>
        </w:rPr>
        <w:t> — </w:t>
      </w:r>
      <w:r>
        <w:t>Preliminary</w:t>
      </w:r>
      <w:bookmarkEnd w:id="140"/>
      <w:bookmarkEnd w:id="141"/>
    </w:p>
    <w:p>
      <w:pPr>
        <w:pStyle w:val="yFootnoteheading"/>
      </w:pPr>
      <w:r>
        <w:tab/>
        <w:t>[Heading inserted in Gazette 15 Oct 2014 p. 3949.]</w:t>
      </w:r>
    </w:p>
    <w:p>
      <w:pPr>
        <w:pStyle w:val="yHeading5"/>
        <w:rPr>
          <w:rStyle w:val="CharSClsNo"/>
        </w:rPr>
      </w:pPr>
      <w:bookmarkStart w:id="142" w:name="_Toc434929807"/>
      <w:r>
        <w:rPr>
          <w:rStyle w:val="CharSClsNo"/>
        </w:rPr>
        <w:t>1</w:t>
      </w:r>
      <w:r>
        <w:t>.</w:t>
      </w:r>
      <w:r>
        <w:tab/>
        <w:t>Service charges for 2015/16 year and subsequent years</w:t>
      </w:r>
      <w:bookmarkEnd w:id="142"/>
    </w:p>
    <w:p>
      <w:pPr>
        <w:pStyle w:val="yMiscellaneousBody"/>
        <w:tabs>
          <w:tab w:val="right" w:pos="709"/>
          <w:tab w:val="left" w:pos="851"/>
        </w:tabs>
        <w:ind w:left="851" w:hanging="851"/>
      </w:pPr>
      <w:r>
        <w:tab/>
      </w:r>
      <w:r>
        <w:tab/>
        <w:t xml:space="preserve">The charges set out in this Division apply for water supply services provided in the </w:t>
      </w:r>
      <w:r>
        <w:rPr>
          <w:szCs w:val="22"/>
        </w:rPr>
        <w:t>2015/16</w:t>
      </w:r>
      <w:r>
        <w:t> financial year and each subsequent year.</w:t>
      </w:r>
    </w:p>
    <w:p>
      <w:pPr>
        <w:pStyle w:val="yHeading5"/>
        <w:rPr>
          <w:rStyle w:val="CharSClsNo"/>
        </w:rPr>
      </w:pPr>
      <w:bookmarkStart w:id="143" w:name="_Toc434929808"/>
      <w:r>
        <w:rPr>
          <w:rStyle w:val="CharSClsNo"/>
        </w:rPr>
        <w:t>2.</w:t>
      </w:r>
      <w:r>
        <w:rPr>
          <w:rStyle w:val="CharSClsNo"/>
        </w:rPr>
        <w:tab/>
        <w:t>Table of meter</w:t>
      </w:r>
      <w:r>
        <w:rPr>
          <w:rStyle w:val="CharSClsNo"/>
        </w:rPr>
        <w:noBreakHyphen/>
        <w:t>based charges</w:t>
      </w:r>
      <w:bookmarkEnd w:id="143"/>
    </w:p>
    <w:p>
      <w:pPr>
        <w:pStyle w:val="yMiscellaneousBody"/>
        <w:tabs>
          <w:tab w:val="right" w:pos="709"/>
          <w:tab w:val="left" w:pos="851"/>
        </w:tabs>
        <w:ind w:left="851" w:hanging="851"/>
      </w:pPr>
      <w:r>
        <w:tab/>
      </w:r>
      <w:r>
        <w:tab/>
        <w:t>For the purposes of this Division, meter</w:t>
      </w:r>
      <w:r>
        <w:noBreakHyphen/>
        <w:t>based charges are set out in the Table.</w:t>
      </w:r>
    </w:p>
    <w:p>
      <w:pPr>
        <w:pStyle w:val="yTHeadingNAm"/>
      </w:pPr>
      <w:r>
        <w:t>Table of meter</w:t>
      </w:r>
      <w:r>
        <w:noBreakHyphen/>
        <w:t>based charges</w:t>
      </w:r>
    </w:p>
    <w:tbl>
      <w:tblPr>
        <w:tblW w:w="0" w:type="auto"/>
        <w:jc w:val="center"/>
        <w:tblInd w:w="1065" w:type="dxa"/>
        <w:tblLayout w:type="fixed"/>
        <w:tblLook w:val="0000" w:firstRow="0" w:lastRow="0" w:firstColumn="0" w:lastColumn="0" w:noHBand="0" w:noVBand="0"/>
      </w:tblPr>
      <w:tblGrid>
        <w:gridCol w:w="2292"/>
        <w:gridCol w:w="2292"/>
      </w:tblGrid>
      <w:tr>
        <w:trPr>
          <w:cantSplit/>
          <w:tblHeader/>
          <w:jc w:val="center"/>
        </w:trPr>
        <w:tc>
          <w:tcPr>
            <w:tcW w:w="2292" w:type="dxa"/>
            <w:tcBorders>
              <w:top w:val="single" w:sz="4" w:space="0" w:color="auto"/>
              <w:bottom w:val="single" w:sz="4" w:space="0" w:color="auto"/>
            </w:tcBorders>
          </w:tcPr>
          <w:p>
            <w:pPr>
              <w:pStyle w:val="yTableNAm"/>
              <w:jc w:val="center"/>
            </w:pPr>
            <w:r>
              <w:rPr>
                <w:b/>
                <w:bCs/>
              </w:rPr>
              <w:t>Meter size</w:t>
            </w:r>
            <w:r>
              <w:rPr>
                <w:b/>
                <w:bCs/>
              </w:rPr>
              <w:br/>
              <w:t>mm</w:t>
            </w:r>
          </w:p>
        </w:tc>
        <w:tc>
          <w:tcPr>
            <w:tcW w:w="2292" w:type="dxa"/>
            <w:tcBorders>
              <w:top w:val="single" w:sz="4" w:space="0" w:color="auto"/>
              <w:bottom w:val="single" w:sz="4" w:space="0" w:color="auto"/>
            </w:tcBorders>
          </w:tcPr>
          <w:p>
            <w:pPr>
              <w:pStyle w:val="yTableNAm"/>
              <w:jc w:val="center"/>
            </w:pPr>
            <w:r>
              <w:rPr>
                <w:b/>
                <w:bCs/>
              </w:rPr>
              <w:t>Charge</w:t>
            </w:r>
            <w:r>
              <w:rPr>
                <w:b/>
                <w:bCs/>
              </w:rPr>
              <w:br/>
              <w:t>$</w:t>
            </w:r>
          </w:p>
        </w:tc>
      </w:tr>
      <w:tr>
        <w:trPr>
          <w:cantSplit/>
          <w:jc w:val="center"/>
        </w:trPr>
        <w:tc>
          <w:tcPr>
            <w:tcW w:w="2292" w:type="dxa"/>
          </w:tcPr>
          <w:p>
            <w:pPr>
              <w:pStyle w:val="yTableNAm"/>
              <w:jc w:val="center"/>
            </w:pPr>
            <w:r>
              <w:t>15, 20</w:t>
            </w:r>
          </w:p>
        </w:tc>
        <w:tc>
          <w:tcPr>
            <w:tcW w:w="2292" w:type="dxa"/>
            <w:vAlign w:val="bottom"/>
          </w:tcPr>
          <w:p>
            <w:pPr>
              <w:pStyle w:val="yTableNAm"/>
              <w:jc w:val="center"/>
            </w:pPr>
            <w:r>
              <w:rPr>
                <w:szCs w:val="22"/>
              </w:rPr>
              <w:t>226.05</w:t>
            </w:r>
          </w:p>
        </w:tc>
      </w:tr>
      <w:tr>
        <w:trPr>
          <w:cantSplit/>
          <w:jc w:val="center"/>
        </w:trPr>
        <w:tc>
          <w:tcPr>
            <w:tcW w:w="2292" w:type="dxa"/>
          </w:tcPr>
          <w:p>
            <w:pPr>
              <w:pStyle w:val="yTableNAm"/>
              <w:jc w:val="center"/>
            </w:pPr>
            <w:r>
              <w:t>25</w:t>
            </w:r>
          </w:p>
        </w:tc>
        <w:tc>
          <w:tcPr>
            <w:tcW w:w="2292" w:type="dxa"/>
            <w:vAlign w:val="bottom"/>
          </w:tcPr>
          <w:p>
            <w:pPr>
              <w:pStyle w:val="yTableNAm"/>
              <w:jc w:val="center"/>
            </w:pPr>
            <w:r>
              <w:rPr>
                <w:szCs w:val="22"/>
              </w:rPr>
              <w:t>353.22</w:t>
            </w:r>
          </w:p>
        </w:tc>
      </w:tr>
      <w:tr>
        <w:trPr>
          <w:cantSplit/>
          <w:jc w:val="center"/>
        </w:trPr>
        <w:tc>
          <w:tcPr>
            <w:tcW w:w="2292" w:type="dxa"/>
          </w:tcPr>
          <w:p>
            <w:pPr>
              <w:pStyle w:val="yTableNAm"/>
              <w:jc w:val="center"/>
            </w:pPr>
            <w:r>
              <w:t>30</w:t>
            </w:r>
          </w:p>
        </w:tc>
        <w:tc>
          <w:tcPr>
            <w:tcW w:w="2292" w:type="dxa"/>
            <w:vAlign w:val="bottom"/>
          </w:tcPr>
          <w:p>
            <w:pPr>
              <w:pStyle w:val="yTableNAm"/>
              <w:jc w:val="center"/>
            </w:pPr>
            <w:r>
              <w:rPr>
                <w:szCs w:val="22"/>
              </w:rPr>
              <w:t>508.60</w:t>
            </w:r>
          </w:p>
        </w:tc>
      </w:tr>
      <w:tr>
        <w:trPr>
          <w:cantSplit/>
          <w:jc w:val="center"/>
        </w:trPr>
        <w:tc>
          <w:tcPr>
            <w:tcW w:w="2292" w:type="dxa"/>
          </w:tcPr>
          <w:p>
            <w:pPr>
              <w:pStyle w:val="yTableNAm"/>
              <w:jc w:val="center"/>
            </w:pPr>
            <w:r>
              <w:t>35, 38, 40</w:t>
            </w:r>
          </w:p>
        </w:tc>
        <w:tc>
          <w:tcPr>
            <w:tcW w:w="2292" w:type="dxa"/>
            <w:vAlign w:val="bottom"/>
          </w:tcPr>
          <w:p>
            <w:pPr>
              <w:pStyle w:val="yTableNAm"/>
              <w:jc w:val="center"/>
            </w:pPr>
            <w:r>
              <w:rPr>
                <w:szCs w:val="22"/>
              </w:rPr>
              <w:t>904.24</w:t>
            </w:r>
          </w:p>
        </w:tc>
      </w:tr>
      <w:tr>
        <w:trPr>
          <w:cantSplit/>
          <w:jc w:val="center"/>
        </w:trPr>
        <w:tc>
          <w:tcPr>
            <w:tcW w:w="2292" w:type="dxa"/>
          </w:tcPr>
          <w:p>
            <w:pPr>
              <w:pStyle w:val="yTableNAm"/>
              <w:jc w:val="center"/>
            </w:pPr>
            <w:r>
              <w:t>50</w:t>
            </w:r>
          </w:p>
        </w:tc>
        <w:tc>
          <w:tcPr>
            <w:tcW w:w="2292" w:type="dxa"/>
            <w:vAlign w:val="bottom"/>
          </w:tcPr>
          <w:p>
            <w:pPr>
              <w:pStyle w:val="yTableNAm"/>
              <w:jc w:val="center"/>
            </w:pPr>
            <w:r>
              <w:rPr>
                <w:szCs w:val="22"/>
              </w:rPr>
              <w:t>1 412.86</w:t>
            </w:r>
          </w:p>
        </w:tc>
      </w:tr>
      <w:tr>
        <w:trPr>
          <w:cantSplit/>
          <w:jc w:val="center"/>
        </w:trPr>
        <w:tc>
          <w:tcPr>
            <w:tcW w:w="2292" w:type="dxa"/>
          </w:tcPr>
          <w:p>
            <w:pPr>
              <w:pStyle w:val="yTableNAm"/>
              <w:jc w:val="center"/>
            </w:pPr>
            <w:r>
              <w:t>70, 75, 80</w:t>
            </w:r>
          </w:p>
        </w:tc>
        <w:tc>
          <w:tcPr>
            <w:tcW w:w="2292" w:type="dxa"/>
            <w:vAlign w:val="bottom"/>
          </w:tcPr>
          <w:p>
            <w:pPr>
              <w:pStyle w:val="yTableNAm"/>
              <w:jc w:val="center"/>
            </w:pPr>
            <w:r>
              <w:rPr>
                <w:szCs w:val="22"/>
              </w:rPr>
              <w:t>3 616.92</w:t>
            </w:r>
          </w:p>
        </w:tc>
      </w:tr>
      <w:tr>
        <w:trPr>
          <w:cantSplit/>
          <w:jc w:val="center"/>
        </w:trPr>
        <w:tc>
          <w:tcPr>
            <w:tcW w:w="2292" w:type="dxa"/>
          </w:tcPr>
          <w:p>
            <w:pPr>
              <w:pStyle w:val="yTableNAm"/>
              <w:jc w:val="center"/>
            </w:pPr>
            <w:r>
              <w:t>100</w:t>
            </w:r>
          </w:p>
        </w:tc>
        <w:tc>
          <w:tcPr>
            <w:tcW w:w="2292" w:type="dxa"/>
            <w:vAlign w:val="bottom"/>
          </w:tcPr>
          <w:p>
            <w:pPr>
              <w:pStyle w:val="yTableNAm"/>
              <w:jc w:val="center"/>
            </w:pPr>
            <w:r>
              <w:rPr>
                <w:szCs w:val="22"/>
              </w:rPr>
              <w:t>5 651.44</w:t>
            </w:r>
          </w:p>
        </w:tc>
      </w:tr>
      <w:tr>
        <w:trPr>
          <w:cantSplit/>
          <w:jc w:val="center"/>
        </w:trPr>
        <w:tc>
          <w:tcPr>
            <w:tcW w:w="2292" w:type="dxa"/>
          </w:tcPr>
          <w:p>
            <w:pPr>
              <w:pStyle w:val="yTableNAm"/>
              <w:jc w:val="center"/>
            </w:pPr>
            <w:r>
              <w:t>140, 150</w:t>
            </w:r>
          </w:p>
        </w:tc>
        <w:tc>
          <w:tcPr>
            <w:tcW w:w="2292" w:type="dxa"/>
            <w:vAlign w:val="bottom"/>
          </w:tcPr>
          <w:p>
            <w:pPr>
              <w:pStyle w:val="yTableNAm"/>
              <w:jc w:val="center"/>
            </w:pPr>
            <w:r>
              <w:rPr>
                <w:szCs w:val="22"/>
              </w:rPr>
              <w:t>12 715.74</w:t>
            </w:r>
          </w:p>
        </w:tc>
      </w:tr>
      <w:tr>
        <w:trPr>
          <w:cantSplit/>
          <w:jc w:val="center"/>
        </w:trPr>
        <w:tc>
          <w:tcPr>
            <w:tcW w:w="2292" w:type="dxa"/>
          </w:tcPr>
          <w:p>
            <w:pPr>
              <w:pStyle w:val="yTableNAm"/>
              <w:jc w:val="center"/>
            </w:pPr>
            <w:r>
              <w:t>200</w:t>
            </w:r>
          </w:p>
        </w:tc>
        <w:tc>
          <w:tcPr>
            <w:tcW w:w="2292" w:type="dxa"/>
            <w:vAlign w:val="bottom"/>
          </w:tcPr>
          <w:p>
            <w:pPr>
              <w:pStyle w:val="yTableNAm"/>
              <w:jc w:val="center"/>
            </w:pPr>
            <w:r>
              <w:rPr>
                <w:szCs w:val="22"/>
              </w:rPr>
              <w:t>22 605.76</w:t>
            </w:r>
          </w:p>
        </w:tc>
      </w:tr>
      <w:tr>
        <w:trPr>
          <w:cantSplit/>
          <w:jc w:val="center"/>
        </w:trPr>
        <w:tc>
          <w:tcPr>
            <w:tcW w:w="2292" w:type="dxa"/>
            <w:tcBorders>
              <w:bottom w:val="single" w:sz="4" w:space="0" w:color="auto"/>
            </w:tcBorders>
          </w:tcPr>
          <w:p>
            <w:pPr>
              <w:pStyle w:val="yTableNAm"/>
              <w:jc w:val="center"/>
            </w:pPr>
            <w:r>
              <w:t>250</w:t>
            </w:r>
          </w:p>
        </w:tc>
        <w:tc>
          <w:tcPr>
            <w:tcW w:w="2292" w:type="dxa"/>
            <w:tcBorders>
              <w:bottom w:val="single" w:sz="4" w:space="0" w:color="auto"/>
            </w:tcBorders>
            <w:vAlign w:val="bottom"/>
          </w:tcPr>
          <w:p>
            <w:pPr>
              <w:pStyle w:val="yTableNAm"/>
              <w:jc w:val="center"/>
            </w:pPr>
            <w:r>
              <w:rPr>
                <w:szCs w:val="22"/>
              </w:rPr>
              <w:t>35 321.48</w:t>
            </w:r>
          </w:p>
        </w:tc>
      </w:tr>
      <w:tr>
        <w:trPr>
          <w:cantSplit/>
          <w:jc w:val="center"/>
        </w:trPr>
        <w:tc>
          <w:tcPr>
            <w:tcW w:w="2292" w:type="dxa"/>
            <w:tcBorders>
              <w:top w:val="single" w:sz="4" w:space="0" w:color="auto"/>
            </w:tcBorders>
          </w:tcPr>
          <w:p>
            <w:pPr>
              <w:pStyle w:val="yTableNAm"/>
              <w:jc w:val="center"/>
            </w:pPr>
            <w:r>
              <w:t>300</w:t>
            </w:r>
          </w:p>
        </w:tc>
        <w:tc>
          <w:tcPr>
            <w:tcW w:w="2292" w:type="dxa"/>
            <w:tcBorders>
              <w:top w:val="single" w:sz="4" w:space="0" w:color="auto"/>
            </w:tcBorders>
            <w:vAlign w:val="bottom"/>
          </w:tcPr>
          <w:p>
            <w:pPr>
              <w:pStyle w:val="yTableNAm"/>
              <w:jc w:val="center"/>
            </w:pPr>
            <w:r>
              <w:rPr>
                <w:szCs w:val="22"/>
              </w:rPr>
              <w:t>50 862.97</w:t>
            </w:r>
          </w:p>
        </w:tc>
      </w:tr>
      <w:tr>
        <w:trPr>
          <w:cantSplit/>
          <w:jc w:val="center"/>
        </w:trPr>
        <w:tc>
          <w:tcPr>
            <w:tcW w:w="2292" w:type="dxa"/>
            <w:tcBorders>
              <w:bottom w:val="single" w:sz="4" w:space="0" w:color="auto"/>
            </w:tcBorders>
          </w:tcPr>
          <w:p>
            <w:pPr>
              <w:pStyle w:val="yTableNAm"/>
              <w:jc w:val="center"/>
            </w:pPr>
            <w:r>
              <w:t>350</w:t>
            </w:r>
          </w:p>
        </w:tc>
        <w:tc>
          <w:tcPr>
            <w:tcW w:w="2292" w:type="dxa"/>
            <w:tcBorders>
              <w:bottom w:val="single" w:sz="4" w:space="0" w:color="auto"/>
            </w:tcBorders>
            <w:vAlign w:val="bottom"/>
          </w:tcPr>
          <w:p>
            <w:pPr>
              <w:pStyle w:val="yTableNAm"/>
              <w:jc w:val="center"/>
            </w:pPr>
            <w:r>
              <w:rPr>
                <w:szCs w:val="22"/>
              </w:rPr>
              <w:t>69 230.16</w:t>
            </w:r>
          </w:p>
        </w:tc>
      </w:tr>
    </w:tbl>
    <w:p>
      <w:pPr>
        <w:pStyle w:val="yHeading3"/>
      </w:pPr>
      <w:bookmarkStart w:id="144" w:name="_Toc429576992"/>
      <w:bookmarkStart w:id="145" w:name="_Toc434929809"/>
      <w:r>
        <w:t>Subdivision 2 — Service charges that apply in respect of land</w:t>
      </w:r>
      <w:bookmarkEnd w:id="144"/>
      <w:bookmarkEnd w:id="145"/>
    </w:p>
    <w:p>
      <w:pPr>
        <w:pStyle w:val="yFootnoteheading"/>
      </w:pPr>
      <w:r>
        <w:tab/>
        <w:t>[Heading inserted in Gazette 15 Oct 2014 p. 3950.]</w:t>
      </w:r>
    </w:p>
    <w:p>
      <w:pPr>
        <w:pStyle w:val="yHeading5"/>
        <w:rPr>
          <w:rStyle w:val="CharSClsNo"/>
        </w:rPr>
      </w:pPr>
      <w:bookmarkStart w:id="146" w:name="_Toc434929810"/>
      <w:r>
        <w:rPr>
          <w:rStyle w:val="CharSClsNo"/>
        </w:rPr>
        <w:t>3</w:t>
      </w:r>
      <w:r>
        <w:t>.</w:t>
      </w:r>
      <w:r>
        <w:tab/>
        <w:t>Residential</w:t>
      </w:r>
      <w:bookmarkEnd w:id="146"/>
    </w:p>
    <w:p>
      <w:pPr>
        <w:pStyle w:val="yMiscellaneousBody"/>
        <w:tabs>
          <w:tab w:val="left" w:pos="284"/>
          <w:tab w:val="right" w:leader="dot" w:pos="6804"/>
        </w:tabs>
        <w:ind w:left="879" w:right="1983" w:hanging="879"/>
      </w:pPr>
      <w:r>
        <w:tab/>
      </w:r>
      <w:r>
        <w:tab/>
        <w:t xml:space="preserve">In respect of a residential property not covered by item 4, 5, 8, 9 or 10, the charge is </w:t>
      </w:r>
      <w:r>
        <w:tab/>
        <w:t xml:space="preserve"> </w:t>
      </w:r>
      <w:r>
        <w:rPr>
          <w:szCs w:val="22"/>
        </w:rPr>
        <w:t>$226.05</w:t>
      </w:r>
    </w:p>
    <w:p>
      <w:pPr>
        <w:pStyle w:val="yHeading5"/>
        <w:rPr>
          <w:rStyle w:val="CharSClsNo"/>
        </w:rPr>
      </w:pPr>
      <w:bookmarkStart w:id="147" w:name="_Toc434929811"/>
      <w:r>
        <w:rPr>
          <w:rStyle w:val="CharSClsNo"/>
        </w:rPr>
        <w:t>4</w:t>
      </w:r>
      <w:r>
        <w:t>.</w:t>
      </w:r>
      <w:r>
        <w:tab/>
        <w:t>Metropolitan concessional</w:t>
      </w:r>
      <w:bookmarkEnd w:id="147"/>
    </w:p>
    <w:p>
      <w:pPr>
        <w:pStyle w:val="yMiscellaneousBody"/>
        <w:tabs>
          <w:tab w:val="left" w:pos="284"/>
          <w:tab w:val="right" w:leader="dot" w:pos="6804"/>
        </w:tabs>
        <w:ind w:left="879" w:right="1983" w:hanging="879"/>
      </w:pPr>
      <w:r>
        <w:tab/>
        <w:t>(1)</w:t>
      </w:r>
      <w:r>
        <w:tab/>
        <w:t>In respect of land in the metropolitan area that is classified as aged home, community purpose or charitable purposes, the charge, per water supply connection, is the charge set out in the Table in item 2, according to the relevant meter size, less a discount of 100%.</w:t>
      </w:r>
    </w:p>
    <w:p>
      <w:pPr>
        <w:pStyle w:val="yMiscellaneousBody"/>
        <w:tabs>
          <w:tab w:val="left" w:pos="284"/>
          <w:tab w:val="right" w:leader="dot" w:pos="6804"/>
        </w:tabs>
        <w:ind w:left="879" w:right="1983" w:hanging="879"/>
      </w:pPr>
      <w:r>
        <w:tab/>
        <w:t>(2)</w:t>
      </w:r>
      <w:r>
        <w:tab/>
        <w:t>Sub</w:t>
      </w:r>
      <w:r>
        <w:noBreakHyphen/>
        <w:t>item (1) does not apply to a connection covered by item 22.</w:t>
      </w:r>
    </w:p>
    <w:p>
      <w:pPr>
        <w:pStyle w:val="yHeading5"/>
      </w:pPr>
      <w:bookmarkStart w:id="148" w:name="_Toc434929812"/>
      <w:r>
        <w:rPr>
          <w:rStyle w:val="CharSClsNo"/>
        </w:rPr>
        <w:t>5</w:t>
      </w:r>
      <w:r>
        <w:t>.</w:t>
      </w:r>
      <w:r>
        <w:tab/>
        <w:t>Strata</w:t>
      </w:r>
      <w:r>
        <w:noBreakHyphen/>
        <w:t>titled or long</w:t>
      </w:r>
      <w:r>
        <w:noBreakHyphen/>
        <w:t>term residential caravan bays</w:t>
      </w:r>
      <w:bookmarkEnd w:id="148"/>
    </w:p>
    <w:p>
      <w:pPr>
        <w:pStyle w:val="yMiscellaneousBody"/>
        <w:tabs>
          <w:tab w:val="left" w:pos="284"/>
          <w:tab w:val="right" w:leader="dot" w:pos="6804"/>
        </w:tabs>
        <w:ind w:left="879" w:right="1983" w:hanging="879"/>
      </w:pPr>
      <w:r>
        <w:rPr>
          <w:szCs w:val="22"/>
        </w:rPr>
        <w:tab/>
      </w:r>
      <w:r>
        <w:rPr>
          <w:szCs w:val="22"/>
        </w:rPr>
        <w:tab/>
        <w:t>In respect of a strata</w:t>
      </w:r>
      <w:r>
        <w:rPr>
          <w:szCs w:val="22"/>
        </w:rPr>
        <w:noBreakHyphen/>
        <w:t xml:space="preserve">titled </w:t>
      </w:r>
      <w:r>
        <w:t>caravan</w:t>
      </w:r>
      <w:r>
        <w:rPr>
          <w:szCs w:val="22"/>
        </w:rPr>
        <w:t xml:space="preserve"> bay or a long</w:t>
      </w:r>
      <w:r>
        <w:rPr>
          <w:szCs w:val="22"/>
        </w:rPr>
        <w:noBreakHyphen/>
        <w:t>term residential caravan bay, the charge is </w:t>
      </w:r>
      <w:r>
        <w:rPr>
          <w:szCs w:val="22"/>
        </w:rPr>
        <w:tab/>
        <w:t>$158.87</w:t>
      </w:r>
    </w:p>
    <w:p>
      <w:pPr>
        <w:pStyle w:val="yHeading5"/>
        <w:spacing w:before="180"/>
      </w:pPr>
      <w:bookmarkStart w:id="149" w:name="_Toc434929813"/>
      <w:r>
        <w:rPr>
          <w:rStyle w:val="CharSClsNo"/>
        </w:rPr>
        <w:t>6</w:t>
      </w:r>
      <w:r>
        <w:t>.</w:t>
      </w:r>
      <w:r>
        <w:tab/>
        <w:t>Strata</w:t>
      </w:r>
      <w:r>
        <w:noBreakHyphen/>
        <w:t>titled storage units or parking bays</w:t>
      </w:r>
      <w:bookmarkEnd w:id="149"/>
    </w:p>
    <w:p>
      <w:pPr>
        <w:pStyle w:val="yMiscellaneousBody"/>
        <w:tabs>
          <w:tab w:val="left" w:pos="284"/>
          <w:tab w:val="right" w:leader="dot" w:pos="6804"/>
        </w:tabs>
        <w:ind w:left="879" w:right="1983" w:hanging="879"/>
      </w:pPr>
      <w:r>
        <w:rPr>
          <w:szCs w:val="22"/>
        </w:rPr>
        <w:tab/>
      </w:r>
      <w:r>
        <w:rPr>
          <w:szCs w:val="22"/>
        </w:rPr>
        <w:tab/>
        <w:t xml:space="preserve">In respect of a lot that is used for storage purposes or as a parking bay, the charge is </w:t>
      </w:r>
      <w:r>
        <w:rPr>
          <w:szCs w:val="22"/>
        </w:rPr>
        <w:tab/>
        <w:t xml:space="preserve"> $79.56</w:t>
      </w:r>
    </w:p>
    <w:p>
      <w:pPr>
        <w:pStyle w:val="yHeading5"/>
        <w:spacing w:before="180"/>
      </w:pPr>
      <w:bookmarkStart w:id="150" w:name="_Toc434929814"/>
      <w:r>
        <w:rPr>
          <w:rStyle w:val="CharSClsNo"/>
        </w:rPr>
        <w:t>7</w:t>
      </w:r>
      <w:r>
        <w:t>.</w:t>
      </w:r>
      <w:r>
        <w:tab/>
        <w:t>Non</w:t>
      </w:r>
      <w:r>
        <w:noBreakHyphen/>
        <w:t>residential strata</w:t>
      </w:r>
      <w:r>
        <w:noBreakHyphen/>
        <w:t>titled units that share a service</w:t>
      </w:r>
      <w:bookmarkEnd w:id="150"/>
    </w:p>
    <w:p>
      <w:pPr>
        <w:pStyle w:val="yMiscellaneousBody"/>
        <w:tabs>
          <w:tab w:val="right" w:pos="709"/>
          <w:tab w:val="left" w:pos="851"/>
        </w:tabs>
        <w:ind w:left="851" w:hanging="851"/>
      </w:pPr>
      <w:r>
        <w:tab/>
      </w:r>
      <w:r>
        <w:tab/>
        <w:t>In respect of land that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is contained in a lot;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is classified as non</w:t>
      </w:r>
      <w:r>
        <w:rPr>
          <w:szCs w:val="22"/>
        </w:rPr>
        <w:noBreakHyphen/>
        <w:t>residential; and</w:t>
      </w:r>
    </w:p>
    <w:p>
      <w:pPr>
        <w:pStyle w:val="yMiscellaneousBody"/>
        <w:tabs>
          <w:tab w:val="left" w:pos="1134"/>
          <w:tab w:val="left" w:pos="1560"/>
          <w:tab w:val="right" w:leader="dot" w:pos="6804"/>
        </w:tabs>
        <w:spacing w:before="120"/>
        <w:ind w:left="1559" w:right="1985" w:hanging="1559"/>
        <w:rPr>
          <w:szCs w:val="22"/>
        </w:rPr>
      </w:pPr>
      <w:r>
        <w:rPr>
          <w:szCs w:val="22"/>
        </w:rPr>
        <w:tab/>
        <w:t>(c)</w:t>
      </w:r>
      <w:r>
        <w:rPr>
          <w:szCs w:val="22"/>
        </w:rPr>
        <w:tab/>
        <w:t>is not covered by item 5 or 6; and</w:t>
      </w:r>
    </w:p>
    <w:p>
      <w:pPr>
        <w:pStyle w:val="yMiscellaneousBody"/>
        <w:tabs>
          <w:tab w:val="left" w:pos="1134"/>
          <w:tab w:val="left" w:pos="1560"/>
          <w:tab w:val="right" w:leader="dot" w:pos="6804"/>
        </w:tabs>
        <w:spacing w:before="120"/>
        <w:ind w:left="1559" w:right="1985" w:hanging="1559"/>
        <w:rPr>
          <w:szCs w:val="22"/>
        </w:rPr>
      </w:pPr>
      <w:r>
        <w:rPr>
          <w:szCs w:val="22"/>
        </w:rPr>
        <w:tab/>
        <w:t>(d)</w:t>
      </w:r>
      <w:r>
        <w:rPr>
          <w:szCs w:val="22"/>
        </w:rPr>
        <w:tab/>
        <w:t>shares a water supply connection with other such land,</w:t>
      </w:r>
    </w:p>
    <w:p>
      <w:pPr>
        <w:pStyle w:val="yMiscellaneousBody"/>
        <w:tabs>
          <w:tab w:val="left" w:pos="284"/>
          <w:tab w:val="right" w:leader="dot" w:pos="6804"/>
        </w:tabs>
        <w:ind w:left="879" w:right="1983" w:hanging="879"/>
      </w:pPr>
      <w:r>
        <w:tab/>
      </w:r>
      <w:r>
        <w:tab/>
        <w:t xml:space="preserve">the charge is </w:t>
      </w:r>
      <w:r>
        <w:tab/>
        <w:t xml:space="preserve"> </w:t>
      </w:r>
      <w:r>
        <w:rPr>
          <w:szCs w:val="22"/>
        </w:rPr>
        <w:t>$226.05</w:t>
      </w:r>
    </w:p>
    <w:p>
      <w:pPr>
        <w:pStyle w:val="yHeading5"/>
      </w:pPr>
      <w:bookmarkStart w:id="151" w:name="_Toc434929815"/>
      <w:r>
        <w:rPr>
          <w:rStyle w:val="CharSClsNo"/>
        </w:rPr>
        <w:t>8</w:t>
      </w:r>
      <w:r>
        <w:t>.</w:t>
      </w:r>
      <w:r>
        <w:tab/>
        <w:t>Community residential</w:t>
      </w:r>
      <w:bookmarkEnd w:id="151"/>
    </w:p>
    <w:p>
      <w:pPr>
        <w:pStyle w:val="yMiscellaneousBody"/>
        <w:tabs>
          <w:tab w:val="left" w:pos="284"/>
          <w:tab w:val="right" w:leader="dot" w:pos="6804"/>
        </w:tabs>
        <w:ind w:left="879" w:right="1983" w:hanging="879"/>
      </w:pPr>
      <w:r>
        <w:tab/>
        <w:t>(1)</w:t>
      </w:r>
      <w:r>
        <w:tab/>
        <w:t>In respect of land that is classified as community residential, the charge is, for each residential unit equivalent, 50% of the charge payable for a residential property under item 3.</w:t>
      </w:r>
    </w:p>
    <w:p>
      <w:pPr>
        <w:pStyle w:val="yMiscellaneousBody"/>
        <w:tabs>
          <w:tab w:val="left" w:pos="284"/>
          <w:tab w:val="right" w:leader="dot" w:pos="6804"/>
        </w:tabs>
        <w:ind w:left="879" w:right="1983" w:hanging="879"/>
      </w:pPr>
      <w:r>
        <w:tab/>
        <w:t>(2)</w:t>
      </w:r>
      <w:r>
        <w:tab/>
        <w:t>The Water Corporation must determine, by reference to the anticipated water supply requirements of the communal property, the number of residential unit equivalents to which the communal property equates.</w:t>
      </w:r>
    </w:p>
    <w:p>
      <w:pPr>
        <w:pStyle w:val="yHeading5"/>
      </w:pPr>
      <w:bookmarkStart w:id="152" w:name="_Toc434929816"/>
      <w:r>
        <w:rPr>
          <w:rStyle w:val="CharSClsNo"/>
        </w:rPr>
        <w:t>9</w:t>
      </w:r>
      <w:r>
        <w:t>.</w:t>
      </w:r>
      <w:r>
        <w:tab/>
        <w:t>Semi</w:t>
      </w:r>
      <w:r>
        <w:noBreakHyphen/>
        <w:t>rural residential</w:t>
      </w:r>
      <w:bookmarkEnd w:id="152"/>
    </w:p>
    <w:p>
      <w:pPr>
        <w:pStyle w:val="yMiscellaneousBody"/>
        <w:tabs>
          <w:tab w:val="left" w:pos="284"/>
          <w:tab w:val="right" w:leader="dot" w:pos="6804"/>
        </w:tabs>
        <w:ind w:left="879" w:right="1983" w:hanging="879"/>
      </w:pPr>
      <w:r>
        <w:tab/>
      </w:r>
      <w:r>
        <w:tab/>
      </w:r>
      <w:r>
        <w:rPr>
          <w:szCs w:val="22"/>
        </w:rPr>
        <w:t>In respect of a semi</w:t>
      </w:r>
      <w:r>
        <w:rPr>
          <w:szCs w:val="22"/>
        </w:rPr>
        <w:noBreakHyphen/>
        <w:t>rural residential property not covered by item </w:t>
      </w:r>
      <w:r>
        <w:t>4</w:t>
      </w:r>
      <w:r>
        <w:rPr>
          <w:szCs w:val="22"/>
        </w:rPr>
        <w:t xml:space="preserve">, the charge is </w:t>
      </w:r>
      <w:r>
        <w:rPr>
          <w:szCs w:val="22"/>
        </w:rPr>
        <w:tab/>
        <w:t xml:space="preserve"> $226.05</w:t>
      </w:r>
    </w:p>
    <w:p>
      <w:pPr>
        <w:pStyle w:val="yHeading5"/>
      </w:pPr>
      <w:bookmarkStart w:id="153" w:name="_Toc434929817"/>
      <w:r>
        <w:rPr>
          <w:rStyle w:val="CharSClsNo"/>
        </w:rPr>
        <w:t>10</w:t>
      </w:r>
      <w:r>
        <w:t>.</w:t>
      </w:r>
      <w:r>
        <w:tab/>
        <w:t>Non</w:t>
      </w:r>
      <w:r>
        <w:noBreakHyphen/>
        <w:t>metropolitan concessional</w:t>
      </w:r>
      <w:bookmarkEnd w:id="153"/>
    </w:p>
    <w:p>
      <w:pPr>
        <w:pStyle w:val="yMiscellaneousBody"/>
        <w:tabs>
          <w:tab w:val="left" w:pos="284"/>
          <w:tab w:val="right" w:leader="dot" w:pos="6804"/>
        </w:tabs>
        <w:ind w:left="879" w:right="1983" w:hanging="879"/>
      </w:pPr>
      <w:r>
        <w:tab/>
        <w:t>(1)</w:t>
      </w:r>
      <w:r>
        <w:tab/>
        <w:t>In respect of land in the non</w:t>
      </w:r>
      <w:r>
        <w:noBreakHyphen/>
        <w:t>metropolitan area that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is concessional land contained in a residential property; or</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is classified as charitable purposes, institutional public or local government and not contained in a residential property,</w:t>
      </w:r>
    </w:p>
    <w:p>
      <w:pPr>
        <w:pStyle w:val="yMiscellaneousBody"/>
        <w:tabs>
          <w:tab w:val="left" w:pos="284"/>
          <w:tab w:val="right" w:leader="dot" w:pos="6804"/>
        </w:tabs>
        <w:ind w:left="879" w:right="1983" w:hanging="879"/>
      </w:pPr>
      <w:r>
        <w:tab/>
      </w:r>
      <w:r>
        <w:tab/>
        <w:t>the charge, per water supply connection, is the charge set out in the Table in item 2, according to the relevant meter size, less a discount of 100%.</w:t>
      </w:r>
    </w:p>
    <w:p>
      <w:pPr>
        <w:pStyle w:val="yMiscellaneousBody"/>
        <w:tabs>
          <w:tab w:val="left" w:pos="284"/>
          <w:tab w:val="right" w:leader="dot" w:pos="6804"/>
        </w:tabs>
        <w:ind w:left="879" w:right="1983" w:hanging="879"/>
      </w:pPr>
      <w:r>
        <w:tab/>
        <w:t>(2)</w:t>
      </w:r>
      <w:r>
        <w:tab/>
        <w:t>Sub</w:t>
      </w:r>
      <w:r>
        <w:noBreakHyphen/>
        <w:t>item (1) does not apply to a connection covered by item 22.</w:t>
      </w:r>
    </w:p>
    <w:p>
      <w:pPr>
        <w:pStyle w:val="yHeading5"/>
      </w:pPr>
      <w:bookmarkStart w:id="154" w:name="_Toc434929818"/>
      <w:r>
        <w:rPr>
          <w:rStyle w:val="CharSClsNo"/>
        </w:rPr>
        <w:t>11</w:t>
      </w:r>
      <w:r>
        <w:t>.</w:t>
      </w:r>
      <w:r>
        <w:tab/>
        <w:t>Non</w:t>
      </w:r>
      <w:r>
        <w:noBreakHyphen/>
        <w:t>residential or commercial residential (except certain strata</w:t>
      </w:r>
      <w:r>
        <w:noBreakHyphen/>
        <w:t>titled units)</w:t>
      </w:r>
      <w:bookmarkEnd w:id="154"/>
    </w:p>
    <w:p>
      <w:pPr>
        <w:pStyle w:val="yMiscellaneousBody"/>
        <w:tabs>
          <w:tab w:val="left" w:pos="284"/>
          <w:tab w:val="right" w:leader="dot" w:pos="6804"/>
        </w:tabs>
        <w:ind w:left="879" w:right="1983" w:hanging="879"/>
      </w:pPr>
      <w:r>
        <w:tab/>
        <w:t>(1)</w:t>
      </w:r>
      <w:r>
        <w:tab/>
        <w:t>In respect of land that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is classified as non</w:t>
      </w:r>
      <w:r>
        <w:rPr>
          <w:szCs w:val="22"/>
        </w:rPr>
        <w:noBreakHyphen/>
        <w:t>residential or commercial residential;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is not contained in a residential property; and</w:t>
      </w:r>
    </w:p>
    <w:p>
      <w:pPr>
        <w:pStyle w:val="yMiscellaneousBody"/>
        <w:tabs>
          <w:tab w:val="left" w:pos="1134"/>
          <w:tab w:val="left" w:pos="1560"/>
          <w:tab w:val="right" w:leader="dot" w:pos="6804"/>
        </w:tabs>
        <w:spacing w:before="120"/>
        <w:ind w:left="1559" w:right="1985" w:hanging="1559"/>
        <w:rPr>
          <w:szCs w:val="22"/>
        </w:rPr>
      </w:pPr>
      <w:r>
        <w:rPr>
          <w:szCs w:val="22"/>
        </w:rPr>
        <w:tab/>
        <w:t>(c)</w:t>
      </w:r>
      <w:r>
        <w:rPr>
          <w:szCs w:val="22"/>
        </w:rPr>
        <w:tab/>
        <w:t>is not covered by item 5, 6 or 7,</w:t>
      </w:r>
    </w:p>
    <w:p>
      <w:pPr>
        <w:pStyle w:val="yMiscellaneousBody"/>
        <w:tabs>
          <w:tab w:val="left" w:pos="284"/>
          <w:tab w:val="right" w:leader="dot" w:pos="6804"/>
        </w:tabs>
        <w:ind w:left="879" w:right="1983" w:hanging="879"/>
      </w:pPr>
      <w:r>
        <w:tab/>
      </w:r>
      <w:r>
        <w:tab/>
        <w:t>the charge is the charge set out in the Table in item 2, according to the relevant meter size.</w:t>
      </w:r>
    </w:p>
    <w:p>
      <w:pPr>
        <w:pStyle w:val="yMiscellaneousBody"/>
        <w:tabs>
          <w:tab w:val="left" w:pos="284"/>
          <w:tab w:val="right" w:leader="dot" w:pos="6804"/>
        </w:tabs>
        <w:ind w:left="879" w:right="1983" w:hanging="879"/>
      </w:pPr>
      <w:r>
        <w:tab/>
        <w:t>(2)</w:t>
      </w:r>
      <w:r>
        <w:tab/>
        <w:t>Sub</w:t>
      </w:r>
      <w:r>
        <w:noBreakHyphen/>
        <w:t>item (1) does not apply to a connection covered by item 22.</w:t>
      </w:r>
    </w:p>
    <w:p>
      <w:pPr>
        <w:pStyle w:val="yMiscellaneousBody"/>
        <w:tabs>
          <w:tab w:val="left" w:pos="284"/>
          <w:tab w:val="right" w:leader="dot" w:pos="6804"/>
        </w:tabs>
        <w:ind w:left="879" w:right="1983" w:hanging="879"/>
      </w:pPr>
      <w:r>
        <w:tab/>
        <w:t>(3)</w:t>
      </w:r>
      <w:r>
        <w:tab/>
        <w:t>If land covered by sub</w:t>
      </w:r>
      <w:r>
        <w:noBreakHyphen/>
        <w:t>item (1) is connected to the water supply works of the Water Corporation but not metered, the charge is to be calculated as if the connection were metered through a meter of the same diameter as the pipe with which the connection is made.</w:t>
      </w:r>
    </w:p>
    <w:p>
      <w:pPr>
        <w:pStyle w:val="yMiscellaneousBody"/>
        <w:tabs>
          <w:tab w:val="left" w:pos="284"/>
          <w:tab w:val="right" w:leader="dot" w:pos="6804"/>
        </w:tabs>
        <w:ind w:left="879" w:right="1983" w:hanging="879"/>
      </w:pPr>
      <w:r>
        <w:tab/>
        <w:t>(4)</w:t>
      </w:r>
      <w:r>
        <w:tab/>
        <w:t>If land covered by sub</w:t>
      </w:r>
      <w:r>
        <w:noBreakHyphen/>
        <w:t>item (1) is not connected to the water supply works of the Water Corporation, the charge is to be calculated as if the land were connected and the connection metered through a 20 mm meter.</w:t>
      </w:r>
    </w:p>
    <w:p>
      <w:pPr>
        <w:pStyle w:val="yHeading5"/>
        <w:spacing w:before="180"/>
      </w:pPr>
      <w:bookmarkStart w:id="155" w:name="_Toc434929819"/>
      <w:r>
        <w:rPr>
          <w:rStyle w:val="CharSClsNo"/>
        </w:rPr>
        <w:t>12</w:t>
      </w:r>
      <w:r>
        <w:t>.</w:t>
      </w:r>
      <w:r>
        <w:tab/>
        <w:t>Additional connections</w:t>
      </w:r>
      <w:bookmarkEnd w:id="155"/>
    </w:p>
    <w:p>
      <w:pPr>
        <w:pStyle w:val="yMiscellaneousBody"/>
        <w:tabs>
          <w:tab w:val="left" w:pos="284"/>
          <w:tab w:val="right" w:leader="dot" w:pos="6804"/>
        </w:tabs>
        <w:spacing w:before="120"/>
        <w:ind w:left="879" w:right="1985" w:hanging="879"/>
      </w:pPr>
      <w:r>
        <w:tab/>
        <w:t>(1)</w:t>
      </w:r>
      <w:r>
        <w:tab/>
        <w:t>In respect of land supplied water through more than one water supply connection, the charge, for each additional connection, is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for land that is classified as non</w:t>
      </w:r>
      <w:r>
        <w:rPr>
          <w:szCs w:val="22"/>
        </w:rPr>
        <w:noBreakHyphen/>
        <w:t>residential or commercial residential, the charge set out in the Table in item 2, according to the relevant meter size; and</w:t>
      </w:r>
    </w:p>
    <w:p>
      <w:pPr>
        <w:pStyle w:val="yMiscellaneousBody"/>
        <w:tabs>
          <w:tab w:val="left" w:pos="1134"/>
          <w:tab w:val="left" w:pos="1560"/>
          <w:tab w:val="right" w:leader="dot" w:pos="6804"/>
        </w:tabs>
        <w:spacing w:before="120"/>
        <w:ind w:left="1559" w:right="1985" w:hanging="1559"/>
      </w:pPr>
      <w:r>
        <w:tab/>
        <w:t>(b)</w:t>
      </w:r>
      <w:r>
        <w:tab/>
        <w:t xml:space="preserve">for land to which paragraph (a) does not apply </w:t>
      </w:r>
      <w:r>
        <w:tab/>
        <w:t xml:space="preserve"> </w:t>
      </w:r>
      <w:r>
        <w:rPr>
          <w:szCs w:val="22"/>
        </w:rPr>
        <w:t>$226.05</w:t>
      </w:r>
    </w:p>
    <w:p>
      <w:pPr>
        <w:pStyle w:val="yMiscellaneousBody"/>
        <w:tabs>
          <w:tab w:val="left" w:pos="284"/>
          <w:tab w:val="right" w:leader="dot" w:pos="6804"/>
        </w:tabs>
        <w:ind w:left="879" w:right="1983" w:hanging="879"/>
      </w:pPr>
      <w:r>
        <w:tab/>
        <w:t>(2)</w:t>
      </w:r>
      <w:r>
        <w:tab/>
        <w:t>Sub</w:t>
      </w:r>
      <w:r>
        <w:noBreakHyphen/>
        <w:t>item (1) does not apply to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land covered by item 4 or 10;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a connection for a water supply covered by item 15; and</w:t>
      </w:r>
    </w:p>
    <w:p>
      <w:pPr>
        <w:pStyle w:val="yMiscellaneousBody"/>
        <w:tabs>
          <w:tab w:val="left" w:pos="1134"/>
          <w:tab w:val="left" w:pos="1560"/>
          <w:tab w:val="right" w:leader="dot" w:pos="6804"/>
        </w:tabs>
        <w:spacing w:before="120"/>
        <w:ind w:left="1559" w:right="1985" w:hanging="1559"/>
        <w:rPr>
          <w:szCs w:val="22"/>
        </w:rPr>
      </w:pPr>
      <w:r>
        <w:rPr>
          <w:szCs w:val="22"/>
        </w:rPr>
        <w:tab/>
        <w:t>(c)</w:t>
      </w:r>
      <w:r>
        <w:rPr>
          <w:szCs w:val="22"/>
        </w:rPr>
        <w:tab/>
        <w:t>a connection covered by item 22.</w:t>
      </w:r>
    </w:p>
    <w:p>
      <w:pPr>
        <w:pStyle w:val="yMiscellaneousBody"/>
        <w:tabs>
          <w:tab w:val="left" w:pos="284"/>
          <w:tab w:val="right" w:leader="dot" w:pos="6804"/>
        </w:tabs>
        <w:ind w:left="879" w:right="1983" w:hanging="879"/>
      </w:pPr>
      <w:r>
        <w:tab/>
        <w:t>(3)</w:t>
      </w:r>
      <w:r>
        <w:tab/>
        <w:t>The charge under sub</w:t>
      </w:r>
      <w:r>
        <w:noBreakHyphen/>
        <w:t>item (1) is in addition to any other charge applicable to the land under this Schedule.</w:t>
      </w:r>
    </w:p>
    <w:p>
      <w:pPr>
        <w:pStyle w:val="yMiscellaneousBody"/>
        <w:tabs>
          <w:tab w:val="left" w:pos="284"/>
          <w:tab w:val="right" w:leader="dot" w:pos="6804"/>
        </w:tabs>
        <w:ind w:left="879" w:right="1983" w:hanging="879"/>
      </w:pPr>
      <w:r>
        <w:tab/>
        <w:t>(4)</w:t>
      </w:r>
      <w:r>
        <w:tab/>
        <w:t>If a connection to which sub</w:t>
      </w:r>
      <w:r>
        <w:noBreakHyphen/>
        <w:t>item (1)(a) applies is not metered, the charge is to be calculated as if the connection were metered through a meter of a size equal to the diameter of the pipe making the connection.</w:t>
      </w:r>
    </w:p>
    <w:p>
      <w:pPr>
        <w:pStyle w:val="yHeading5"/>
        <w:spacing w:before="180"/>
      </w:pPr>
      <w:bookmarkStart w:id="156" w:name="_Toc434929820"/>
      <w:r>
        <w:rPr>
          <w:rStyle w:val="CharSClsNo"/>
        </w:rPr>
        <w:t>13</w:t>
      </w:r>
      <w:r>
        <w:t>.</w:t>
      </w:r>
      <w:r>
        <w:tab/>
        <w:t>Farmland</w:t>
      </w:r>
      <w:bookmarkEnd w:id="156"/>
    </w:p>
    <w:p>
      <w:pPr>
        <w:pStyle w:val="yMiscellaneousBody"/>
        <w:tabs>
          <w:tab w:val="left" w:pos="284"/>
          <w:tab w:val="right" w:leader="dot" w:pos="6804"/>
        </w:tabs>
        <w:ind w:left="879" w:right="1983" w:hanging="879"/>
      </w:pPr>
      <w:r>
        <w:rPr>
          <w:szCs w:val="22"/>
        </w:rPr>
        <w:tab/>
      </w:r>
      <w:r>
        <w:rPr>
          <w:szCs w:val="22"/>
        </w:rPr>
        <w:tab/>
        <w:t xml:space="preserve">In respect of land that is classified as farmland, the charge is </w:t>
      </w:r>
      <w:r>
        <w:rPr>
          <w:szCs w:val="22"/>
        </w:rPr>
        <w:tab/>
        <w:t xml:space="preserve"> $226.05</w:t>
      </w:r>
    </w:p>
    <w:p>
      <w:pPr>
        <w:pStyle w:val="yHeading5"/>
        <w:spacing w:before="180"/>
      </w:pPr>
      <w:bookmarkStart w:id="157" w:name="_Toc434929821"/>
      <w:r>
        <w:rPr>
          <w:rStyle w:val="CharSClsNo"/>
        </w:rPr>
        <w:t>14</w:t>
      </w:r>
      <w:r>
        <w:t>.</w:t>
      </w:r>
      <w:r>
        <w:tab/>
        <w:t>Vacant land</w:t>
      </w:r>
      <w:bookmarkEnd w:id="157"/>
    </w:p>
    <w:p>
      <w:pPr>
        <w:pStyle w:val="yMiscellaneousBody"/>
        <w:tabs>
          <w:tab w:val="left" w:pos="284"/>
          <w:tab w:val="right" w:leader="dot" w:pos="6804"/>
        </w:tabs>
        <w:ind w:left="879" w:right="1983" w:hanging="879"/>
      </w:pPr>
      <w:r>
        <w:rPr>
          <w:szCs w:val="22"/>
        </w:rPr>
        <w:tab/>
      </w:r>
      <w:r>
        <w:rPr>
          <w:szCs w:val="22"/>
        </w:rPr>
        <w:tab/>
        <w:t xml:space="preserve">In respect of land that is classified as vacant land, the charge is </w:t>
      </w:r>
      <w:r>
        <w:rPr>
          <w:szCs w:val="22"/>
        </w:rPr>
        <w:tab/>
        <w:t xml:space="preserve"> $226.05</w:t>
      </w:r>
    </w:p>
    <w:p>
      <w:pPr>
        <w:pStyle w:val="yHeading5"/>
        <w:spacing w:before="180"/>
      </w:pPr>
      <w:bookmarkStart w:id="158" w:name="_Toc434929822"/>
      <w:r>
        <w:rPr>
          <w:rStyle w:val="CharSClsNo"/>
        </w:rPr>
        <w:t>15</w:t>
      </w:r>
      <w:r>
        <w:t>.</w:t>
      </w:r>
      <w:r>
        <w:tab/>
        <w:t>Garden supply</w:t>
      </w:r>
      <w:bookmarkEnd w:id="158"/>
    </w:p>
    <w:p>
      <w:pPr>
        <w:pStyle w:val="yMiscellaneousBody"/>
        <w:tabs>
          <w:tab w:val="left" w:pos="284"/>
          <w:tab w:val="right" w:leader="dot" w:pos="6804"/>
        </w:tabs>
        <w:spacing w:before="120"/>
        <w:ind w:left="879" w:right="1985" w:hanging="879"/>
      </w:pPr>
      <w:r>
        <w:tab/>
        <w:t>(1)</w:t>
      </w:r>
      <w:r>
        <w:tab/>
        <w:t>In this item —</w:t>
      </w:r>
    </w:p>
    <w:p>
      <w:pPr>
        <w:pStyle w:val="yDefstart"/>
        <w:ind w:right="1983"/>
      </w:pPr>
      <w:r>
        <w:tab/>
      </w:r>
      <w:r>
        <w:rPr>
          <w:rStyle w:val="CharDefText"/>
        </w:rPr>
        <w:t>garden use</w:t>
      </w:r>
      <w:r>
        <w:t>, in relation to the supply of water, means the use of water for watering lawns and gardens in the area associated with a dwelling and in a street or road adjoining the land on which the dwelling is located.</w:t>
      </w:r>
    </w:p>
    <w:p>
      <w:pPr>
        <w:pStyle w:val="yMiscellaneousBody"/>
        <w:tabs>
          <w:tab w:val="left" w:pos="284"/>
          <w:tab w:val="right" w:leader="dot" w:pos="6804"/>
        </w:tabs>
        <w:spacing w:before="120"/>
        <w:ind w:left="879" w:right="1985" w:hanging="879"/>
      </w:pPr>
      <w:r>
        <w:tab/>
        <w:t>(2)</w:t>
      </w:r>
      <w:r>
        <w:tab/>
        <w:t>Sub</w:t>
      </w:r>
      <w:r>
        <w:noBreakHyphen/>
        <w:t>item (3) applies to land in the suburb of Butler (in the metropolitan area) that is provided with a water supply solely for garden use and reticulated separately from any other water supply provided in respect of the land.</w:t>
      </w:r>
    </w:p>
    <w:p>
      <w:pPr>
        <w:pStyle w:val="yMiscellaneousBody"/>
        <w:tabs>
          <w:tab w:val="left" w:pos="284"/>
          <w:tab w:val="right" w:leader="dot" w:pos="6804"/>
        </w:tabs>
        <w:ind w:left="879" w:right="1983" w:hanging="879"/>
      </w:pPr>
      <w:r>
        <w:tab/>
        <w:t>(3)</w:t>
      </w:r>
      <w:r>
        <w:tab/>
        <w:t xml:space="preserve">In respect of —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each residential property that is not covered by item 4, 5, 8, 9 or 10;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land that is classified as vacant land,</w:t>
      </w:r>
    </w:p>
    <w:p>
      <w:pPr>
        <w:pStyle w:val="yMiscellaneousBody"/>
        <w:tabs>
          <w:tab w:val="left" w:pos="284"/>
          <w:tab w:val="right" w:leader="dot" w:pos="6804"/>
        </w:tabs>
        <w:ind w:left="879" w:right="1983" w:hanging="879"/>
      </w:pPr>
      <w:r>
        <w:tab/>
      </w:r>
      <w:r>
        <w:tab/>
        <w:t xml:space="preserve">the charge, which is in addition to any other charge applicable to the land under this Schedule, is — </w:t>
      </w:r>
    </w:p>
    <w:p>
      <w:pPr>
        <w:pStyle w:val="yMiscellaneousBody"/>
        <w:tabs>
          <w:tab w:val="left" w:pos="1134"/>
          <w:tab w:val="left" w:pos="1560"/>
          <w:tab w:val="right" w:leader="dot" w:pos="6804"/>
        </w:tabs>
        <w:spacing w:before="120"/>
        <w:ind w:left="1559" w:right="1985" w:hanging="1559"/>
      </w:pPr>
      <w:r>
        <w:tab/>
        <w:t xml:space="preserve">for land with </w:t>
      </w:r>
      <w:r>
        <w:rPr>
          <w:szCs w:val="22"/>
        </w:rPr>
        <w:t>an</w:t>
      </w:r>
      <w:r>
        <w:t xml:space="preserve"> area of less than 400 m</w:t>
      </w:r>
      <w:r>
        <w:rPr>
          <w:vertAlign w:val="superscript"/>
        </w:rPr>
        <w:t>2</w:t>
      </w:r>
      <w:r>
        <w:t xml:space="preserve"> </w:t>
      </w:r>
      <w:r>
        <w:tab/>
        <w:t xml:space="preserve"> </w:t>
      </w:r>
      <w:r>
        <w:rPr>
          <w:szCs w:val="22"/>
        </w:rPr>
        <w:t>$78.82</w:t>
      </w:r>
    </w:p>
    <w:p>
      <w:pPr>
        <w:pStyle w:val="yMiscellaneousBody"/>
        <w:tabs>
          <w:tab w:val="left" w:pos="1134"/>
          <w:tab w:val="right" w:leader="dot" w:pos="6804"/>
        </w:tabs>
        <w:spacing w:before="120"/>
        <w:ind w:left="1134" w:right="1985" w:hanging="1134"/>
      </w:pPr>
      <w:r>
        <w:tab/>
        <w:t>for land with an area equal to or greater than 400 m</w:t>
      </w:r>
      <w:r>
        <w:rPr>
          <w:vertAlign w:val="superscript"/>
        </w:rPr>
        <w:t>2</w:t>
      </w:r>
      <w:r>
        <w:t xml:space="preserve"> </w:t>
      </w:r>
      <w:r>
        <w:tab/>
        <w:t xml:space="preserve"> </w:t>
      </w:r>
      <w:r>
        <w:rPr>
          <w:szCs w:val="22"/>
        </w:rPr>
        <w:t>$157.65</w:t>
      </w:r>
    </w:p>
    <w:p>
      <w:pPr>
        <w:pStyle w:val="yMiscellaneousBody"/>
        <w:tabs>
          <w:tab w:val="left" w:pos="284"/>
          <w:tab w:val="right" w:leader="dot" w:pos="6804"/>
        </w:tabs>
        <w:ind w:left="879" w:right="1983" w:hanging="879"/>
      </w:pPr>
      <w:r>
        <w:tab/>
        <w:t>(4)</w:t>
      </w:r>
      <w:r>
        <w:tab/>
        <w:t>Sub</w:t>
      </w:r>
      <w:r>
        <w:noBreakHyphen/>
        <w:t>item (5) applies to land in the suburb of Mulataga (in Karratha) that is provided with a water supply solely for garden use and reticulated separately from any other water supply provided in respect of the land.</w:t>
      </w:r>
    </w:p>
    <w:p>
      <w:pPr>
        <w:pStyle w:val="yMiscellaneousBody"/>
        <w:tabs>
          <w:tab w:val="left" w:pos="284"/>
          <w:tab w:val="right" w:leader="dot" w:pos="6804"/>
        </w:tabs>
        <w:ind w:left="879" w:right="1983" w:hanging="879"/>
      </w:pPr>
      <w:r>
        <w:tab/>
        <w:t>(5)</w:t>
      </w:r>
      <w:r>
        <w:tab/>
        <w:t xml:space="preserve">In respect of —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each residential property that is not covered by item 4, 5, 8, 9 or 10;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land that is classified as vacant land,</w:t>
      </w:r>
    </w:p>
    <w:p>
      <w:pPr>
        <w:pStyle w:val="yMiscellaneousBody"/>
        <w:tabs>
          <w:tab w:val="left" w:pos="284"/>
          <w:tab w:val="right" w:leader="dot" w:pos="6804"/>
        </w:tabs>
        <w:ind w:left="879" w:right="1983" w:hanging="879"/>
        <w:rPr>
          <w:szCs w:val="22"/>
        </w:rPr>
      </w:pPr>
      <w:r>
        <w:rPr>
          <w:szCs w:val="22"/>
        </w:rPr>
        <w:tab/>
      </w:r>
      <w:r>
        <w:rPr>
          <w:szCs w:val="22"/>
        </w:rPr>
        <w:tab/>
      </w:r>
      <w:r>
        <w:t>the</w:t>
      </w:r>
      <w:r>
        <w:rPr>
          <w:szCs w:val="22"/>
        </w:rPr>
        <w:t xml:space="preserve"> charge, which is in addition to any other charge applicable to the land under this Schedule, is </w:t>
      </w:r>
      <w:r>
        <w:rPr>
          <w:szCs w:val="22"/>
        </w:rPr>
        <w:tab/>
        <w:t xml:space="preserve"> $51.30</w:t>
      </w:r>
    </w:p>
    <w:p>
      <w:pPr>
        <w:pStyle w:val="yHeading5"/>
      </w:pPr>
      <w:bookmarkStart w:id="159" w:name="_Toc434929823"/>
      <w:r>
        <w:rPr>
          <w:rStyle w:val="CharSClsNo"/>
        </w:rPr>
        <w:t>16</w:t>
      </w:r>
      <w:r>
        <w:t>.</w:t>
      </w:r>
      <w:r>
        <w:tab/>
        <w:t>Government trading organisations and non</w:t>
      </w:r>
      <w:r>
        <w:noBreakHyphen/>
        <w:t>commercial government property</w:t>
      </w:r>
      <w:bookmarkEnd w:id="159"/>
    </w:p>
    <w:p>
      <w:pPr>
        <w:pStyle w:val="yMiscellaneousBody"/>
        <w:tabs>
          <w:tab w:val="left" w:pos="284"/>
          <w:tab w:val="right" w:leader="dot" w:pos="6804"/>
        </w:tabs>
        <w:ind w:left="879" w:right="1983" w:hanging="879"/>
      </w:pPr>
      <w:r>
        <w:tab/>
        <w:t>(1)</w:t>
      </w:r>
      <w:r>
        <w:tab/>
        <w:t>This item applies to land held by a government trading organisation, or a public authority that holds non</w:t>
      </w:r>
      <w:r>
        <w:noBreakHyphen/>
        <w:t>commercial government property, in respect of which a water service charge set out in item 4 or 10 would, but for this item, apply.</w:t>
      </w:r>
    </w:p>
    <w:p>
      <w:pPr>
        <w:pStyle w:val="yMiscellaneousBody"/>
        <w:tabs>
          <w:tab w:val="left" w:pos="284"/>
          <w:tab w:val="right" w:leader="dot" w:pos="6804"/>
        </w:tabs>
        <w:ind w:left="879" w:right="1983" w:hanging="879"/>
      </w:pPr>
      <w:r>
        <w:tab/>
        <w:t>(2)</w:t>
      </w:r>
      <w:r>
        <w:tab/>
        <w:t>This item does not apply to public land.</w:t>
      </w:r>
    </w:p>
    <w:p>
      <w:pPr>
        <w:pStyle w:val="yMiscellaneousBody"/>
        <w:keepNext/>
        <w:tabs>
          <w:tab w:val="left" w:pos="284"/>
          <w:tab w:val="right" w:leader="dot" w:pos="6804"/>
        </w:tabs>
        <w:ind w:left="879" w:right="1985" w:hanging="879"/>
      </w:pPr>
      <w:r>
        <w:tab/>
        <w:t>(3)</w:t>
      </w:r>
      <w:r>
        <w:tab/>
        <w:t xml:space="preserve">In respect of land to which this item applies —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the charge referred to in sub</w:t>
      </w:r>
      <w:r>
        <w:rPr>
          <w:szCs w:val="22"/>
        </w:rPr>
        <w:noBreakHyphen/>
        <w:t>item (1) that would otherwise apply, does not;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the charge, per water supply connection, is the charge set out in the Table in item 2 according to the relevant meter size.</w:t>
      </w:r>
    </w:p>
    <w:p>
      <w:pPr>
        <w:pStyle w:val="yMiscellaneousBody"/>
        <w:tabs>
          <w:tab w:val="left" w:pos="284"/>
          <w:tab w:val="right" w:leader="dot" w:pos="6804"/>
        </w:tabs>
        <w:ind w:left="879" w:right="1983" w:hanging="879"/>
      </w:pPr>
      <w:r>
        <w:tab/>
        <w:t>(4)</w:t>
      </w:r>
      <w:r>
        <w:tab/>
        <w:t>If a connection to which sub</w:t>
      </w:r>
      <w:r>
        <w:noBreakHyphen/>
        <w:t>item (3)(b) applies is not metered, the charge is to be calculated as if the connection were metered through a 20 mm meter.</w:t>
      </w:r>
    </w:p>
    <w:p>
      <w:pPr>
        <w:pStyle w:val="yHeading5"/>
      </w:pPr>
      <w:bookmarkStart w:id="160" w:name="_Toc434929824"/>
      <w:r>
        <w:rPr>
          <w:rStyle w:val="CharSClsNo"/>
        </w:rPr>
        <w:t>17</w:t>
      </w:r>
      <w:r>
        <w:t>.</w:t>
      </w:r>
      <w:r>
        <w:tab/>
        <w:t>Government trading organisations and non</w:t>
      </w:r>
      <w:r>
        <w:noBreakHyphen/>
        <w:t>commercial government property: on</w:t>
      </w:r>
      <w:r>
        <w:noBreakHyphen/>
        <w:t>supply to lessees or ships</w:t>
      </w:r>
      <w:bookmarkEnd w:id="160"/>
    </w:p>
    <w:p>
      <w:pPr>
        <w:pStyle w:val="yMiscellaneousBody"/>
        <w:tabs>
          <w:tab w:val="left" w:pos="284"/>
          <w:tab w:val="right" w:leader="dot" w:pos="6804"/>
        </w:tabs>
        <w:ind w:left="879" w:right="1983" w:hanging="879"/>
      </w:pPr>
      <w:r>
        <w:tab/>
        <w:t>(1)</w:t>
      </w:r>
      <w:r>
        <w:tab/>
        <w:t>This item applies to land held by a government trading organisation, or a public authority that holds non</w:t>
      </w:r>
      <w:r>
        <w:noBreakHyphen/>
        <w:t>commercial government property, if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the land is connected to the water supply works of the Water Corporation;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a meter is connected to the property water supply connection with which the Water Corporation supplies water to the land; and</w:t>
      </w:r>
    </w:p>
    <w:p>
      <w:pPr>
        <w:pStyle w:val="yMiscellaneousBody"/>
        <w:tabs>
          <w:tab w:val="left" w:pos="1134"/>
          <w:tab w:val="left" w:pos="1560"/>
          <w:tab w:val="right" w:leader="dot" w:pos="6804"/>
        </w:tabs>
        <w:spacing w:before="120"/>
        <w:ind w:left="1559" w:right="1985" w:hanging="1559"/>
        <w:rPr>
          <w:szCs w:val="22"/>
        </w:rPr>
      </w:pPr>
      <w:r>
        <w:rPr>
          <w:szCs w:val="22"/>
        </w:rPr>
        <w:tab/>
        <w:t>(c)</w:t>
      </w:r>
      <w:r>
        <w:rPr>
          <w:szCs w:val="22"/>
        </w:rPr>
        <w:tab/>
        <w:t>at least some of the water supplied through the meter referred to in paragraph (b) is supplied, through a meter, to one or more lessees of any of the land or to ships in port.</w:t>
      </w:r>
    </w:p>
    <w:p>
      <w:pPr>
        <w:pStyle w:val="yMiscellaneousBody"/>
        <w:tabs>
          <w:tab w:val="left" w:pos="284"/>
          <w:tab w:val="right" w:leader="dot" w:pos="6804"/>
        </w:tabs>
        <w:ind w:left="879" w:right="1983" w:hanging="879"/>
      </w:pPr>
      <w:r>
        <w:tab/>
        <w:t>(2)</w:t>
      </w:r>
      <w:r>
        <w:tab/>
        <w:t>In respect of land to which this item applies, the charge for the supply of water referred to in sub</w:t>
      </w:r>
      <w:r>
        <w:noBreakHyphen/>
        <w:t>item (1)(b) is reduced by the charge set out in the Table in item 2 for a meter of the size that would be required to supply, in aggregate, water as described in sub</w:t>
      </w:r>
      <w:r>
        <w:noBreakHyphen/>
        <w:t>item (1)(c).</w:t>
      </w:r>
    </w:p>
    <w:p>
      <w:pPr>
        <w:pStyle w:val="yMiscellaneousBody"/>
        <w:tabs>
          <w:tab w:val="left" w:pos="284"/>
          <w:tab w:val="right" w:leader="dot" w:pos="6804"/>
        </w:tabs>
        <w:ind w:left="879" w:right="1983" w:hanging="879"/>
      </w:pPr>
      <w:r>
        <w:tab/>
        <w:t>(3)</w:t>
      </w:r>
      <w:r>
        <w:tab/>
        <w:t>This item does not apply if the meter referred to in sub</w:t>
      </w:r>
      <w:r>
        <w:noBreakHyphen/>
        <w:t>item (1)(b) would be the same size whether or not the organisation or authority supplied water as described in sub</w:t>
      </w:r>
      <w:r>
        <w:noBreakHyphen/>
        <w:t>item (1)(c).</w:t>
      </w:r>
    </w:p>
    <w:p>
      <w:pPr>
        <w:pStyle w:val="yHeading5"/>
      </w:pPr>
      <w:bookmarkStart w:id="161" w:name="_Toc434929825"/>
      <w:r>
        <w:rPr>
          <w:rStyle w:val="CharSClsNo"/>
        </w:rPr>
        <w:t>18</w:t>
      </w:r>
      <w:r>
        <w:t>.</w:t>
      </w:r>
      <w:r>
        <w:tab/>
        <w:t>Capital infrastructure charges</w:t>
      </w:r>
      <w:bookmarkEnd w:id="161"/>
    </w:p>
    <w:p>
      <w:pPr>
        <w:pStyle w:val="yMiscellaneousBody"/>
        <w:tabs>
          <w:tab w:val="left" w:pos="284"/>
          <w:tab w:val="right" w:leader="dot" w:pos="6804"/>
        </w:tabs>
        <w:ind w:left="879" w:right="1983" w:hanging="879"/>
      </w:pPr>
      <w:r>
        <w:tab/>
        <w:t>(1)</w:t>
      </w:r>
      <w:r>
        <w:tab/>
        <w:t>In respect of land or, if there is more than one dwelling on the land, each residential property, that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is in the locality of Nilgen;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is classified as capital infrastructure,</w:t>
      </w:r>
    </w:p>
    <w:p>
      <w:pPr>
        <w:pStyle w:val="yMiscellaneousBody"/>
        <w:tabs>
          <w:tab w:val="left" w:pos="284"/>
          <w:tab w:val="right" w:leader="dot" w:pos="6804"/>
        </w:tabs>
        <w:ind w:left="879" w:right="1983" w:hanging="879"/>
      </w:pPr>
      <w:r>
        <w:tab/>
      </w:r>
      <w:r>
        <w:tab/>
        <w:t xml:space="preserve">the charge, which is in addition to any other charge applicable to the land under this Schedule, is </w:t>
      </w:r>
      <w:r>
        <w:tab/>
        <w:t xml:space="preserve"> $463.80</w:t>
      </w:r>
    </w:p>
    <w:p>
      <w:pPr>
        <w:pStyle w:val="yMiscellaneousBody"/>
        <w:tabs>
          <w:tab w:val="left" w:pos="284"/>
          <w:tab w:val="right" w:leader="dot" w:pos="6804"/>
        </w:tabs>
        <w:ind w:left="879" w:right="1983" w:hanging="879"/>
      </w:pPr>
      <w:r>
        <w:tab/>
        <w:t>(2)</w:t>
      </w:r>
      <w:r>
        <w:tab/>
        <w:t>The charge under sub</w:t>
      </w:r>
      <w:r>
        <w:noBreakHyphen/>
        <w:t>item (1) does not apply after 30 September 2016.</w:t>
      </w:r>
    </w:p>
    <w:p>
      <w:pPr>
        <w:pStyle w:val="yMiscellaneousBody"/>
        <w:tabs>
          <w:tab w:val="left" w:pos="284"/>
          <w:tab w:val="right" w:leader="dot" w:pos="6804"/>
        </w:tabs>
        <w:ind w:left="879" w:right="1983" w:hanging="879"/>
      </w:pPr>
      <w:r>
        <w:tab/>
        <w:t>(3)</w:t>
      </w:r>
      <w:r>
        <w:tab/>
      </w:r>
      <w:r>
        <w:rPr>
          <w:szCs w:val="22"/>
        </w:rPr>
        <w:t>A person liable to pay a charge under sub</w:t>
      </w:r>
      <w:r>
        <w:rPr>
          <w:szCs w:val="22"/>
        </w:rPr>
        <w:noBreakHyphen/>
        <w:t>item (1) may, within 28 </w:t>
      </w:r>
      <w:r>
        <w:t>days</w:t>
      </w:r>
      <w:r>
        <w:rPr>
          <w:szCs w:val="22"/>
        </w:rPr>
        <w:t xml:space="preserve"> of receiving an invoice for the charge from the Water Corporation, elect to pay the following charge (the </w:t>
      </w:r>
      <w:r>
        <w:rPr>
          <w:rStyle w:val="CharDefText"/>
        </w:rPr>
        <w:t>single capital infrastructure charge</w:t>
      </w:r>
      <w:r>
        <w:rPr>
          <w:szCs w:val="22"/>
        </w:rPr>
        <w:t xml:space="preserve">) </w:t>
      </w:r>
      <w:r>
        <w:rPr>
          <w:szCs w:val="22"/>
        </w:rPr>
        <w:tab/>
        <w:t xml:space="preserve"> </w:t>
      </w:r>
      <w:r>
        <w:t>$3 120.00</w:t>
      </w:r>
    </w:p>
    <w:p>
      <w:pPr>
        <w:pStyle w:val="yMiscellaneousBody"/>
        <w:tabs>
          <w:tab w:val="left" w:pos="284"/>
          <w:tab w:val="right" w:leader="dot" w:pos="6804"/>
        </w:tabs>
        <w:ind w:left="879" w:right="1983" w:hanging="879"/>
      </w:pPr>
      <w:r>
        <w:tab/>
        <w:t>(4)</w:t>
      </w:r>
      <w:r>
        <w:tab/>
        <w:t>If a person elects to pay a single capital infrastructure charge the single charge is payable in respect of the land instead of the annual charges under sub</w:t>
      </w:r>
      <w:r>
        <w:noBreakHyphen/>
        <w:t>item (1).</w:t>
      </w:r>
    </w:p>
    <w:p>
      <w:pPr>
        <w:pStyle w:val="yHeading4"/>
      </w:pPr>
      <w:bookmarkStart w:id="162" w:name="_Toc429577009"/>
      <w:bookmarkStart w:id="163" w:name="_Toc434929826"/>
      <w:r>
        <w:t>Subdivision 3 — Other service charges</w:t>
      </w:r>
      <w:bookmarkEnd w:id="162"/>
      <w:bookmarkEnd w:id="163"/>
    </w:p>
    <w:p>
      <w:pPr>
        <w:pStyle w:val="yFootnoteheading"/>
        <w:keepNext/>
      </w:pPr>
      <w:r>
        <w:tab/>
        <w:t>[Heading inserted in Gazette 15 Oct 2014 p. 3958.]</w:t>
      </w:r>
    </w:p>
    <w:p>
      <w:pPr>
        <w:pStyle w:val="yHeading5"/>
      </w:pPr>
      <w:bookmarkStart w:id="164" w:name="_Toc434929827"/>
      <w:r>
        <w:rPr>
          <w:rStyle w:val="CharSClsNo"/>
        </w:rPr>
        <w:t>19</w:t>
      </w:r>
      <w:r>
        <w:t>.</w:t>
      </w:r>
      <w:r>
        <w:tab/>
        <w:t>Stock</w:t>
      </w:r>
      <w:bookmarkEnd w:id="164"/>
    </w:p>
    <w:p>
      <w:pPr>
        <w:pStyle w:val="yMiscellaneousBody"/>
        <w:tabs>
          <w:tab w:val="left" w:pos="284"/>
          <w:tab w:val="right" w:leader="dot" w:pos="6804"/>
        </w:tabs>
        <w:ind w:left="879" w:right="1983" w:hanging="879"/>
      </w:pPr>
      <w:r>
        <w:rPr>
          <w:szCs w:val="22"/>
        </w:rPr>
        <w:tab/>
      </w:r>
      <w:r>
        <w:rPr>
          <w:szCs w:val="22"/>
        </w:rPr>
        <w:tab/>
        <w:t xml:space="preserve">For each water supply connection provided for the purpose of watering stock </w:t>
      </w:r>
      <w:r>
        <w:t>on</w:t>
      </w:r>
      <w:r>
        <w:rPr>
          <w:szCs w:val="22"/>
        </w:rPr>
        <w:t xml:space="preserve"> land that is not covered by item 13, the charge is </w:t>
      </w:r>
      <w:r>
        <w:rPr>
          <w:szCs w:val="22"/>
        </w:rPr>
        <w:tab/>
        <w:t>$226.05</w:t>
      </w:r>
    </w:p>
    <w:p>
      <w:pPr>
        <w:pStyle w:val="yHeading5"/>
      </w:pPr>
      <w:bookmarkStart w:id="165" w:name="_Toc434929828"/>
      <w:r>
        <w:rPr>
          <w:rStyle w:val="CharSClsNo"/>
        </w:rPr>
        <w:t>20</w:t>
      </w:r>
      <w:r>
        <w:t>.</w:t>
      </w:r>
      <w:r>
        <w:tab/>
        <w:t>Shipping</w:t>
      </w:r>
      <w:bookmarkEnd w:id="165"/>
    </w:p>
    <w:p>
      <w:pPr>
        <w:pStyle w:val="yMiscellaneousBody"/>
        <w:tabs>
          <w:tab w:val="left" w:pos="284"/>
          <w:tab w:val="right" w:leader="dot" w:pos="6804"/>
        </w:tabs>
        <w:ind w:left="879" w:right="1983" w:hanging="879"/>
      </w:pPr>
      <w:r>
        <w:tab/>
      </w:r>
      <w:r>
        <w:tab/>
        <w:t>For each water supply connection provided for the purpose of water being taken on board any ship in a port, the charge is the charge set out in the Table in item 2 according to the relevant meter size.</w:t>
      </w:r>
    </w:p>
    <w:p>
      <w:pPr>
        <w:pStyle w:val="yHeading5"/>
      </w:pPr>
      <w:bookmarkStart w:id="166" w:name="_Toc434929829"/>
      <w:r>
        <w:rPr>
          <w:rStyle w:val="CharSClsNo"/>
        </w:rPr>
        <w:t>21</w:t>
      </w:r>
      <w:r>
        <w:t>.</w:t>
      </w:r>
      <w:r>
        <w:tab/>
        <w:t>Local government standpipes</w:t>
      </w:r>
      <w:bookmarkEnd w:id="166"/>
    </w:p>
    <w:p>
      <w:pPr>
        <w:pStyle w:val="yMiscellaneousBody"/>
        <w:tabs>
          <w:tab w:val="left" w:pos="284"/>
          <w:tab w:val="right" w:leader="dot" w:pos="6804"/>
        </w:tabs>
        <w:ind w:left="879" w:right="1983" w:hanging="879"/>
      </w:pPr>
      <w:r>
        <w:rPr>
          <w:szCs w:val="22"/>
        </w:rPr>
        <w:tab/>
      </w:r>
      <w:r>
        <w:rPr>
          <w:szCs w:val="22"/>
        </w:rPr>
        <w:tab/>
        <w:t xml:space="preserve">For each local government standpipe, the charge is </w:t>
      </w:r>
      <w:r>
        <w:rPr>
          <w:szCs w:val="22"/>
        </w:rPr>
        <w:tab/>
        <w:t xml:space="preserve"> $226.05</w:t>
      </w:r>
    </w:p>
    <w:p>
      <w:pPr>
        <w:pStyle w:val="yHeading5"/>
      </w:pPr>
      <w:bookmarkStart w:id="167" w:name="_Toc434929830"/>
      <w:r>
        <w:rPr>
          <w:rStyle w:val="CharSClsNo"/>
        </w:rPr>
        <w:t>22</w:t>
      </w:r>
      <w:r>
        <w:t>.</w:t>
      </w:r>
      <w:r>
        <w:tab/>
        <w:t>Fire service connections</w:t>
      </w:r>
      <w:bookmarkEnd w:id="167"/>
    </w:p>
    <w:p>
      <w:pPr>
        <w:pStyle w:val="yMiscellaneousBody"/>
        <w:tabs>
          <w:tab w:val="left" w:pos="284"/>
          <w:tab w:val="right" w:leader="dot" w:pos="6804"/>
        </w:tabs>
        <w:ind w:left="879" w:right="1983" w:hanging="879"/>
      </w:pPr>
      <w:r>
        <w:rPr>
          <w:szCs w:val="22"/>
        </w:rPr>
        <w:tab/>
      </w:r>
      <w:r>
        <w:rPr>
          <w:szCs w:val="22"/>
        </w:rPr>
        <w:tab/>
        <w:t xml:space="preserve">For each water supply connection provided exclusively for the purpose of firefighting, the charge is </w:t>
      </w:r>
      <w:r>
        <w:rPr>
          <w:szCs w:val="22"/>
        </w:rPr>
        <w:tab/>
        <w:t xml:space="preserve"> $226.05</w:t>
      </w:r>
    </w:p>
    <w:p>
      <w:pPr>
        <w:pStyle w:val="yFootnotesection"/>
      </w:pPr>
      <w:r>
        <w:tab/>
        <w:t>[Division 1 inserted in Gazette 15 Oct 2014 p. 3949</w:t>
      </w:r>
      <w:r>
        <w:noBreakHyphen/>
        <w:t>58; amended in Gazette 30 Jun 2015 p. 2369</w:t>
      </w:r>
      <w:r>
        <w:noBreakHyphen/>
        <w:t>70.]</w:t>
      </w:r>
    </w:p>
    <w:p>
      <w:pPr>
        <w:pStyle w:val="yHeading3"/>
      </w:pPr>
      <w:bookmarkStart w:id="168" w:name="_Toc429577014"/>
      <w:bookmarkStart w:id="169" w:name="_Toc434929831"/>
      <w:r>
        <w:rPr>
          <w:rStyle w:val="CharSDivNo"/>
        </w:rPr>
        <w:t>Division 2</w:t>
      </w:r>
      <w:r>
        <w:t> — </w:t>
      </w:r>
      <w:r>
        <w:rPr>
          <w:rStyle w:val="CharSDivText"/>
        </w:rPr>
        <w:t>Consumption charges</w:t>
      </w:r>
      <w:bookmarkEnd w:id="168"/>
      <w:bookmarkEnd w:id="169"/>
    </w:p>
    <w:p>
      <w:pPr>
        <w:pStyle w:val="yFootnoteheading"/>
      </w:pPr>
      <w:r>
        <w:tab/>
        <w:t>[Heading inserted in Gazette 15 Oct 2014 p. 3958.]</w:t>
      </w:r>
    </w:p>
    <w:p>
      <w:pPr>
        <w:pStyle w:val="yHeading4"/>
      </w:pPr>
      <w:bookmarkStart w:id="170" w:name="_Toc429577015"/>
      <w:bookmarkStart w:id="171" w:name="_Toc434929832"/>
      <w:r>
        <w:t>Subdivision 1 — Preliminary</w:t>
      </w:r>
      <w:bookmarkEnd w:id="170"/>
      <w:bookmarkEnd w:id="171"/>
    </w:p>
    <w:p>
      <w:pPr>
        <w:pStyle w:val="yFootnoteheading"/>
      </w:pPr>
      <w:r>
        <w:tab/>
        <w:t>[Heading inserted in Gazette 15 Oct 2014 p. 3958.]</w:t>
      </w:r>
    </w:p>
    <w:p>
      <w:pPr>
        <w:pStyle w:val="yHeading5"/>
      </w:pPr>
      <w:bookmarkStart w:id="172" w:name="_Toc434929833"/>
      <w:r>
        <w:rPr>
          <w:rStyle w:val="CharSClsNo"/>
        </w:rPr>
        <w:t>23</w:t>
      </w:r>
      <w:r>
        <w:t>.</w:t>
      </w:r>
      <w:r>
        <w:tab/>
        <w:t>Consumption charges for 2015/16 year and subsequent years</w:t>
      </w:r>
      <w:bookmarkEnd w:id="172"/>
    </w:p>
    <w:p>
      <w:pPr>
        <w:pStyle w:val="yMiscellaneousBody"/>
        <w:tabs>
          <w:tab w:val="left" w:pos="284"/>
          <w:tab w:val="right" w:leader="dot" w:pos="6804"/>
        </w:tabs>
        <w:ind w:left="879" w:right="1983" w:hanging="879"/>
      </w:pPr>
      <w:r>
        <w:tab/>
        <w:t>(1)</w:t>
      </w:r>
      <w:r>
        <w:tab/>
        <w:t xml:space="preserve">The charges set out in this Division apply for water supplied in the </w:t>
      </w:r>
      <w:r>
        <w:rPr>
          <w:szCs w:val="22"/>
        </w:rPr>
        <w:t>2015/16</w:t>
      </w:r>
      <w:r>
        <w:t> financial year and each subsequent year.</w:t>
      </w:r>
    </w:p>
    <w:p>
      <w:pPr>
        <w:pStyle w:val="yMiscellaneousBody"/>
        <w:tabs>
          <w:tab w:val="left" w:pos="284"/>
          <w:tab w:val="right" w:leader="dot" w:pos="6804"/>
        </w:tabs>
        <w:ind w:left="879" w:right="1983" w:hanging="879"/>
      </w:pPr>
      <w:r>
        <w:tab/>
        <w:t>(2)</w:t>
      </w:r>
      <w:r>
        <w:tab/>
        <w:t>Volumetric ranges in an item of this Division have effect by reference to the volume of water supplied in the current consumption year.</w:t>
      </w:r>
    </w:p>
    <w:p>
      <w:pPr>
        <w:pStyle w:val="yHeading5"/>
      </w:pPr>
      <w:bookmarkStart w:id="173" w:name="_Toc434929834"/>
      <w:r>
        <w:rPr>
          <w:rStyle w:val="CharSClsNo"/>
        </w:rPr>
        <w:t>24</w:t>
      </w:r>
      <w:r>
        <w:t>.</w:t>
      </w:r>
      <w:r>
        <w:tab/>
        <w:t>Residential or non</w:t>
      </w:r>
      <w:r>
        <w:noBreakHyphen/>
        <w:t>residential class of town or area</w:t>
      </w:r>
      <w:bookmarkEnd w:id="173"/>
    </w:p>
    <w:p>
      <w:pPr>
        <w:pStyle w:val="yMiscellaneousBody"/>
        <w:tabs>
          <w:tab w:val="left" w:pos="284"/>
          <w:tab w:val="right" w:leader="dot" w:pos="6804"/>
        </w:tabs>
        <w:ind w:left="879" w:right="1983" w:hanging="879"/>
      </w:pPr>
      <w:r>
        <w:tab/>
      </w: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pPr>
        <w:pStyle w:val="yHeading5"/>
      </w:pPr>
      <w:bookmarkStart w:id="174" w:name="_Toc434929835"/>
      <w:r>
        <w:rPr>
          <w:rStyle w:val="CharSClsNo"/>
        </w:rPr>
        <w:t>25</w:t>
      </w:r>
      <w:r>
        <w:t>.</w:t>
      </w:r>
      <w:r>
        <w:tab/>
        <w:t>Table of class</w:t>
      </w:r>
      <w:r>
        <w:noBreakHyphen/>
        <w:t>based charges</w:t>
      </w:r>
      <w:bookmarkEnd w:id="174"/>
    </w:p>
    <w:p>
      <w:pPr>
        <w:pStyle w:val="yMiscellaneousBody"/>
        <w:tabs>
          <w:tab w:val="left" w:pos="284"/>
          <w:tab w:val="right" w:leader="dot" w:pos="6804"/>
        </w:tabs>
        <w:ind w:left="879" w:right="1983" w:hanging="879"/>
      </w:pPr>
      <w:r>
        <w:tab/>
      </w:r>
      <w:r>
        <w:tab/>
        <w:t>For the purposes of this Division, class</w:t>
      </w:r>
      <w:r>
        <w:noBreakHyphen/>
        <w:t>based charges are set out in the Table.</w:t>
      </w:r>
    </w:p>
    <w:p>
      <w:pPr>
        <w:pStyle w:val="yTHeadingNAm"/>
      </w:pPr>
      <w:r>
        <w:t>Table of class</w:t>
      </w:r>
      <w:r>
        <w:noBreakHyphen/>
        <w:t>based charges</w:t>
      </w:r>
    </w:p>
    <w:tbl>
      <w:tblPr>
        <w:tblW w:w="4395" w:type="dxa"/>
        <w:tblInd w:w="1162" w:type="dxa"/>
        <w:tblLayout w:type="fixed"/>
        <w:tblCellMar>
          <w:left w:w="28" w:type="dxa"/>
          <w:right w:w="28" w:type="dxa"/>
        </w:tblCellMar>
        <w:tblLook w:val="0000" w:firstRow="0" w:lastRow="0" w:firstColumn="0" w:lastColumn="0" w:noHBand="0" w:noVBand="0"/>
      </w:tblPr>
      <w:tblGrid>
        <w:gridCol w:w="2197"/>
        <w:gridCol w:w="2198"/>
      </w:tblGrid>
      <w:tr>
        <w:trPr>
          <w:cantSplit/>
          <w:trHeight w:val="217"/>
          <w:tblHeader/>
        </w:trPr>
        <w:tc>
          <w:tcPr>
            <w:tcW w:w="1701" w:type="dxa"/>
            <w:tcBorders>
              <w:top w:val="single" w:sz="4" w:space="0" w:color="auto"/>
              <w:bottom w:val="single" w:sz="4" w:space="0" w:color="auto"/>
            </w:tcBorders>
            <w:vAlign w:val="center"/>
          </w:tcPr>
          <w:p>
            <w:pPr>
              <w:pStyle w:val="yTableNAm"/>
              <w:jc w:val="center"/>
            </w:pPr>
            <w:r>
              <w:rPr>
                <w:b/>
                <w:bCs/>
              </w:rPr>
              <w:t>Class</w:t>
            </w:r>
          </w:p>
        </w:tc>
        <w:tc>
          <w:tcPr>
            <w:tcW w:w="1701" w:type="dxa"/>
            <w:tcBorders>
              <w:top w:val="single" w:sz="4" w:space="0" w:color="auto"/>
              <w:bottom w:val="single" w:sz="4" w:space="0" w:color="auto"/>
            </w:tcBorders>
          </w:tcPr>
          <w:p>
            <w:pPr>
              <w:pStyle w:val="yTableNAm"/>
              <w:jc w:val="center"/>
            </w:pPr>
            <w:r>
              <w:rPr>
                <w:b/>
                <w:bCs/>
              </w:rPr>
              <w:t>Charge (cents)</w:t>
            </w:r>
          </w:p>
        </w:tc>
      </w:tr>
      <w:tr>
        <w:tc>
          <w:tcPr>
            <w:tcW w:w="1701" w:type="dxa"/>
            <w:tcBorders>
              <w:top w:val="single" w:sz="4" w:space="0" w:color="auto"/>
            </w:tcBorders>
            <w:vAlign w:val="center"/>
          </w:tcPr>
          <w:p>
            <w:pPr>
              <w:pStyle w:val="yTableNAm"/>
              <w:jc w:val="center"/>
            </w:pPr>
            <w:r>
              <w:rPr>
                <w:bCs/>
              </w:rPr>
              <w:t>1</w:t>
            </w:r>
          </w:p>
        </w:tc>
        <w:tc>
          <w:tcPr>
            <w:tcW w:w="1701" w:type="dxa"/>
            <w:tcBorders>
              <w:top w:val="single" w:sz="4" w:space="0" w:color="auto"/>
            </w:tcBorders>
            <w:vAlign w:val="bottom"/>
          </w:tcPr>
          <w:p>
            <w:pPr>
              <w:pStyle w:val="yTableNAm"/>
              <w:jc w:val="center"/>
            </w:pPr>
            <w:r>
              <w:rPr>
                <w:szCs w:val="22"/>
              </w:rPr>
              <w:t>215.9</w:t>
            </w:r>
          </w:p>
        </w:tc>
      </w:tr>
      <w:tr>
        <w:tc>
          <w:tcPr>
            <w:tcW w:w="1701" w:type="dxa"/>
            <w:vAlign w:val="center"/>
          </w:tcPr>
          <w:p>
            <w:pPr>
              <w:pStyle w:val="yTableNAm"/>
              <w:jc w:val="center"/>
            </w:pPr>
            <w:r>
              <w:rPr>
                <w:bCs/>
              </w:rPr>
              <w:t>2</w:t>
            </w:r>
          </w:p>
        </w:tc>
        <w:tc>
          <w:tcPr>
            <w:tcW w:w="1701" w:type="dxa"/>
            <w:vAlign w:val="bottom"/>
          </w:tcPr>
          <w:p>
            <w:pPr>
              <w:pStyle w:val="yTableNAm"/>
              <w:jc w:val="center"/>
            </w:pPr>
            <w:r>
              <w:rPr>
                <w:szCs w:val="22"/>
              </w:rPr>
              <w:t>235.2</w:t>
            </w:r>
          </w:p>
        </w:tc>
      </w:tr>
      <w:tr>
        <w:tc>
          <w:tcPr>
            <w:tcW w:w="1701" w:type="dxa"/>
            <w:vAlign w:val="center"/>
          </w:tcPr>
          <w:p>
            <w:pPr>
              <w:pStyle w:val="yTableNAm"/>
              <w:jc w:val="center"/>
            </w:pPr>
            <w:r>
              <w:rPr>
                <w:bCs/>
              </w:rPr>
              <w:t>3</w:t>
            </w:r>
          </w:p>
        </w:tc>
        <w:tc>
          <w:tcPr>
            <w:tcW w:w="1701" w:type="dxa"/>
            <w:vAlign w:val="bottom"/>
          </w:tcPr>
          <w:p>
            <w:pPr>
              <w:pStyle w:val="yTableNAm"/>
              <w:jc w:val="center"/>
            </w:pPr>
            <w:r>
              <w:rPr>
                <w:szCs w:val="22"/>
              </w:rPr>
              <w:t>255.8</w:t>
            </w:r>
          </w:p>
        </w:tc>
      </w:tr>
      <w:tr>
        <w:tc>
          <w:tcPr>
            <w:tcW w:w="1701" w:type="dxa"/>
            <w:vAlign w:val="center"/>
          </w:tcPr>
          <w:p>
            <w:pPr>
              <w:pStyle w:val="yTableNAm"/>
              <w:jc w:val="center"/>
            </w:pPr>
            <w:r>
              <w:rPr>
                <w:bCs/>
              </w:rPr>
              <w:t>4</w:t>
            </w:r>
          </w:p>
        </w:tc>
        <w:tc>
          <w:tcPr>
            <w:tcW w:w="1701" w:type="dxa"/>
            <w:vAlign w:val="bottom"/>
          </w:tcPr>
          <w:p>
            <w:pPr>
              <w:pStyle w:val="yTableNAm"/>
              <w:jc w:val="center"/>
            </w:pPr>
            <w:r>
              <w:rPr>
                <w:szCs w:val="22"/>
              </w:rPr>
              <w:t>278.7</w:t>
            </w:r>
          </w:p>
        </w:tc>
      </w:tr>
      <w:tr>
        <w:tc>
          <w:tcPr>
            <w:tcW w:w="1701" w:type="dxa"/>
            <w:vAlign w:val="center"/>
          </w:tcPr>
          <w:p>
            <w:pPr>
              <w:pStyle w:val="yTableNAm"/>
              <w:jc w:val="center"/>
            </w:pPr>
            <w:r>
              <w:rPr>
                <w:bCs/>
              </w:rPr>
              <w:t>5</w:t>
            </w:r>
          </w:p>
        </w:tc>
        <w:tc>
          <w:tcPr>
            <w:tcW w:w="1701" w:type="dxa"/>
            <w:vAlign w:val="bottom"/>
          </w:tcPr>
          <w:p>
            <w:pPr>
              <w:pStyle w:val="yTableNAm"/>
              <w:jc w:val="center"/>
            </w:pPr>
            <w:r>
              <w:rPr>
                <w:szCs w:val="22"/>
              </w:rPr>
              <w:t>303.5</w:t>
            </w:r>
          </w:p>
        </w:tc>
      </w:tr>
      <w:tr>
        <w:tc>
          <w:tcPr>
            <w:tcW w:w="1701" w:type="dxa"/>
            <w:vAlign w:val="center"/>
          </w:tcPr>
          <w:p>
            <w:pPr>
              <w:pStyle w:val="yTableNAm"/>
              <w:jc w:val="center"/>
            </w:pPr>
            <w:r>
              <w:rPr>
                <w:bCs/>
              </w:rPr>
              <w:t>6</w:t>
            </w:r>
          </w:p>
        </w:tc>
        <w:tc>
          <w:tcPr>
            <w:tcW w:w="1701" w:type="dxa"/>
            <w:vAlign w:val="bottom"/>
          </w:tcPr>
          <w:p>
            <w:pPr>
              <w:pStyle w:val="yTableNAm"/>
              <w:jc w:val="center"/>
            </w:pPr>
            <w:r>
              <w:rPr>
                <w:szCs w:val="22"/>
              </w:rPr>
              <w:t>330.4</w:t>
            </w:r>
          </w:p>
        </w:tc>
      </w:tr>
      <w:tr>
        <w:tc>
          <w:tcPr>
            <w:tcW w:w="1701" w:type="dxa"/>
            <w:vAlign w:val="center"/>
          </w:tcPr>
          <w:p>
            <w:pPr>
              <w:pStyle w:val="yTableNAm"/>
              <w:jc w:val="center"/>
            </w:pPr>
            <w:r>
              <w:rPr>
                <w:bCs/>
              </w:rPr>
              <w:t>7</w:t>
            </w:r>
          </w:p>
        </w:tc>
        <w:tc>
          <w:tcPr>
            <w:tcW w:w="1701" w:type="dxa"/>
            <w:vAlign w:val="bottom"/>
          </w:tcPr>
          <w:p>
            <w:pPr>
              <w:pStyle w:val="yTableNAm"/>
              <w:jc w:val="center"/>
            </w:pPr>
            <w:r>
              <w:rPr>
                <w:szCs w:val="22"/>
              </w:rPr>
              <w:t>359.9</w:t>
            </w:r>
          </w:p>
        </w:tc>
      </w:tr>
      <w:tr>
        <w:tc>
          <w:tcPr>
            <w:tcW w:w="1701" w:type="dxa"/>
            <w:vAlign w:val="center"/>
          </w:tcPr>
          <w:p>
            <w:pPr>
              <w:pStyle w:val="yTableNAm"/>
              <w:jc w:val="center"/>
            </w:pPr>
            <w:r>
              <w:rPr>
                <w:bCs/>
              </w:rPr>
              <w:t>8</w:t>
            </w:r>
          </w:p>
        </w:tc>
        <w:tc>
          <w:tcPr>
            <w:tcW w:w="1701" w:type="dxa"/>
            <w:vAlign w:val="bottom"/>
          </w:tcPr>
          <w:p>
            <w:pPr>
              <w:pStyle w:val="yTableNAm"/>
              <w:jc w:val="center"/>
            </w:pPr>
            <w:r>
              <w:rPr>
                <w:szCs w:val="22"/>
              </w:rPr>
              <w:t>391.9</w:t>
            </w:r>
          </w:p>
        </w:tc>
      </w:tr>
      <w:tr>
        <w:tc>
          <w:tcPr>
            <w:tcW w:w="1701" w:type="dxa"/>
            <w:vAlign w:val="center"/>
          </w:tcPr>
          <w:p>
            <w:pPr>
              <w:pStyle w:val="yTableNAm"/>
              <w:jc w:val="center"/>
            </w:pPr>
            <w:r>
              <w:rPr>
                <w:bCs/>
              </w:rPr>
              <w:t>9</w:t>
            </w:r>
          </w:p>
        </w:tc>
        <w:tc>
          <w:tcPr>
            <w:tcW w:w="1701" w:type="dxa"/>
            <w:vAlign w:val="bottom"/>
          </w:tcPr>
          <w:p>
            <w:pPr>
              <w:pStyle w:val="yTableNAm"/>
              <w:jc w:val="center"/>
            </w:pPr>
            <w:r>
              <w:rPr>
                <w:szCs w:val="22"/>
              </w:rPr>
              <w:t>426.7</w:t>
            </w:r>
          </w:p>
        </w:tc>
      </w:tr>
      <w:tr>
        <w:tc>
          <w:tcPr>
            <w:tcW w:w="1701" w:type="dxa"/>
            <w:vAlign w:val="center"/>
          </w:tcPr>
          <w:p>
            <w:pPr>
              <w:pStyle w:val="yTableNAm"/>
              <w:jc w:val="center"/>
            </w:pPr>
            <w:r>
              <w:rPr>
                <w:bCs/>
              </w:rPr>
              <w:t>10</w:t>
            </w:r>
          </w:p>
        </w:tc>
        <w:tc>
          <w:tcPr>
            <w:tcW w:w="1701" w:type="dxa"/>
            <w:vAlign w:val="bottom"/>
          </w:tcPr>
          <w:p>
            <w:pPr>
              <w:pStyle w:val="yTableNAm"/>
              <w:jc w:val="center"/>
            </w:pPr>
            <w:r>
              <w:rPr>
                <w:szCs w:val="22"/>
              </w:rPr>
              <w:t>464.8</w:t>
            </w:r>
          </w:p>
        </w:tc>
      </w:tr>
      <w:tr>
        <w:tc>
          <w:tcPr>
            <w:tcW w:w="1701" w:type="dxa"/>
            <w:vAlign w:val="center"/>
          </w:tcPr>
          <w:p>
            <w:pPr>
              <w:pStyle w:val="yTableNAm"/>
              <w:jc w:val="center"/>
            </w:pPr>
            <w:r>
              <w:rPr>
                <w:bCs/>
              </w:rPr>
              <w:t>11</w:t>
            </w:r>
          </w:p>
        </w:tc>
        <w:tc>
          <w:tcPr>
            <w:tcW w:w="1701" w:type="dxa"/>
            <w:vAlign w:val="bottom"/>
          </w:tcPr>
          <w:p>
            <w:pPr>
              <w:pStyle w:val="yTableNAm"/>
              <w:jc w:val="center"/>
            </w:pPr>
            <w:r>
              <w:rPr>
                <w:szCs w:val="22"/>
              </w:rPr>
              <w:t>505.9</w:t>
            </w:r>
          </w:p>
        </w:tc>
      </w:tr>
      <w:tr>
        <w:tc>
          <w:tcPr>
            <w:tcW w:w="1701" w:type="dxa"/>
            <w:vAlign w:val="center"/>
          </w:tcPr>
          <w:p>
            <w:pPr>
              <w:pStyle w:val="yTableNAm"/>
              <w:jc w:val="center"/>
            </w:pPr>
            <w:r>
              <w:rPr>
                <w:bCs/>
              </w:rPr>
              <w:t>12</w:t>
            </w:r>
          </w:p>
        </w:tc>
        <w:tc>
          <w:tcPr>
            <w:tcW w:w="1701" w:type="dxa"/>
            <w:vAlign w:val="bottom"/>
          </w:tcPr>
          <w:p>
            <w:pPr>
              <w:pStyle w:val="yTableNAm"/>
              <w:jc w:val="center"/>
            </w:pPr>
            <w:r>
              <w:rPr>
                <w:szCs w:val="22"/>
              </w:rPr>
              <w:t>551.0</w:t>
            </w:r>
          </w:p>
        </w:tc>
      </w:tr>
      <w:tr>
        <w:tc>
          <w:tcPr>
            <w:tcW w:w="1701" w:type="dxa"/>
            <w:vAlign w:val="center"/>
          </w:tcPr>
          <w:p>
            <w:pPr>
              <w:pStyle w:val="yTableNAm"/>
              <w:jc w:val="center"/>
            </w:pPr>
            <w:r>
              <w:rPr>
                <w:bCs/>
              </w:rPr>
              <w:t>13</w:t>
            </w:r>
          </w:p>
        </w:tc>
        <w:tc>
          <w:tcPr>
            <w:tcW w:w="1701" w:type="dxa"/>
            <w:vAlign w:val="bottom"/>
          </w:tcPr>
          <w:p>
            <w:pPr>
              <w:pStyle w:val="yTableNAm"/>
              <w:jc w:val="center"/>
            </w:pPr>
            <w:r>
              <w:rPr>
                <w:szCs w:val="22"/>
              </w:rPr>
              <w:t>600.0</w:t>
            </w:r>
          </w:p>
        </w:tc>
      </w:tr>
      <w:tr>
        <w:tc>
          <w:tcPr>
            <w:tcW w:w="1701" w:type="dxa"/>
            <w:vAlign w:val="center"/>
          </w:tcPr>
          <w:p>
            <w:pPr>
              <w:pStyle w:val="yTableNAm"/>
              <w:jc w:val="center"/>
            </w:pPr>
            <w:r>
              <w:rPr>
                <w:bCs/>
              </w:rPr>
              <w:t>14</w:t>
            </w:r>
          </w:p>
        </w:tc>
        <w:tc>
          <w:tcPr>
            <w:tcW w:w="1701" w:type="dxa"/>
            <w:vAlign w:val="bottom"/>
          </w:tcPr>
          <w:p>
            <w:pPr>
              <w:pStyle w:val="yTableNAm"/>
              <w:jc w:val="center"/>
            </w:pPr>
            <w:r>
              <w:rPr>
                <w:szCs w:val="22"/>
              </w:rPr>
              <w:t>653.4</w:t>
            </w:r>
          </w:p>
        </w:tc>
      </w:tr>
      <w:tr>
        <w:tc>
          <w:tcPr>
            <w:tcW w:w="1701" w:type="dxa"/>
            <w:tcBorders>
              <w:bottom w:val="single" w:sz="4" w:space="0" w:color="auto"/>
            </w:tcBorders>
            <w:vAlign w:val="center"/>
          </w:tcPr>
          <w:p>
            <w:pPr>
              <w:pStyle w:val="yTableNAm"/>
              <w:jc w:val="center"/>
            </w:pPr>
            <w:r>
              <w:rPr>
                <w:bCs/>
              </w:rPr>
              <w:t>15</w:t>
            </w:r>
          </w:p>
        </w:tc>
        <w:tc>
          <w:tcPr>
            <w:tcW w:w="1701" w:type="dxa"/>
            <w:tcBorders>
              <w:bottom w:val="single" w:sz="4" w:space="0" w:color="auto"/>
            </w:tcBorders>
            <w:vAlign w:val="bottom"/>
          </w:tcPr>
          <w:p>
            <w:pPr>
              <w:pStyle w:val="yTableNAm"/>
              <w:jc w:val="center"/>
            </w:pPr>
            <w:r>
              <w:rPr>
                <w:szCs w:val="22"/>
              </w:rPr>
              <w:t>711.4</w:t>
            </w:r>
          </w:p>
        </w:tc>
      </w:tr>
    </w:tbl>
    <w:p>
      <w:pPr>
        <w:pStyle w:val="yHeading4"/>
        <w:keepNext w:val="0"/>
        <w:pageBreakBefore/>
        <w:spacing w:before="0"/>
      </w:pPr>
      <w:bookmarkStart w:id="175" w:name="_Toc429577019"/>
      <w:bookmarkStart w:id="176" w:name="_Toc434929836"/>
      <w:r>
        <w:t>Subdivision 2 — Consumption charges that apply in respect of land</w:t>
      </w:r>
      <w:bookmarkEnd w:id="175"/>
      <w:bookmarkEnd w:id="176"/>
    </w:p>
    <w:p>
      <w:pPr>
        <w:pStyle w:val="yFootnoteheading"/>
      </w:pPr>
      <w:r>
        <w:tab/>
        <w:t>[Heading inserted in Gazette 15 Oct 2014 p. 3960.]</w:t>
      </w:r>
    </w:p>
    <w:p>
      <w:pPr>
        <w:pStyle w:val="yHeading5"/>
      </w:pPr>
      <w:bookmarkStart w:id="177" w:name="_Toc434929837"/>
      <w:r>
        <w:rPr>
          <w:rStyle w:val="CharSClsNo"/>
        </w:rPr>
        <w:t>26</w:t>
      </w:r>
      <w:r>
        <w:t>.</w:t>
      </w:r>
      <w:r>
        <w:tab/>
        <w:t>Metropolitan residential and semi</w:t>
      </w:r>
      <w:r>
        <w:noBreakHyphen/>
        <w:t>rural residential</w:t>
      </w:r>
      <w:bookmarkEnd w:id="177"/>
    </w:p>
    <w:p>
      <w:pPr>
        <w:pStyle w:val="yMiscellaneousBody"/>
        <w:tabs>
          <w:tab w:val="left" w:pos="284"/>
          <w:tab w:val="right" w:leader="dot" w:pos="6804"/>
        </w:tabs>
        <w:ind w:left="879" w:right="1983" w:hanging="879"/>
      </w:pPr>
      <w:r>
        <w:tab/>
        <w:t>(1)</w:t>
      </w:r>
      <w:r>
        <w:tab/>
        <w:t xml:space="preserve">For each kilolitre of water supplied to land in the metropolitan area that is —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a residential property; or</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classified as vacant land but held for residential purposes; or</w:t>
      </w:r>
    </w:p>
    <w:p>
      <w:pPr>
        <w:pStyle w:val="yMiscellaneousBody"/>
        <w:tabs>
          <w:tab w:val="left" w:pos="1134"/>
          <w:tab w:val="left" w:pos="1560"/>
          <w:tab w:val="right" w:leader="dot" w:pos="6804"/>
        </w:tabs>
        <w:spacing w:before="120"/>
        <w:ind w:left="1559" w:right="1985" w:hanging="1559"/>
        <w:rPr>
          <w:szCs w:val="22"/>
        </w:rPr>
      </w:pPr>
      <w:r>
        <w:rPr>
          <w:szCs w:val="22"/>
        </w:rPr>
        <w:tab/>
        <w:t>(c)</w:t>
      </w:r>
      <w:r>
        <w:rPr>
          <w:szCs w:val="22"/>
        </w:rPr>
        <w:tab/>
        <w:t>a semi</w:t>
      </w:r>
      <w:r>
        <w:rPr>
          <w:szCs w:val="22"/>
        </w:rPr>
        <w:noBreakHyphen/>
        <w:t>rural residential property,</w:t>
      </w:r>
    </w:p>
    <w:p>
      <w:pPr>
        <w:pStyle w:val="yMiscellaneousBody"/>
        <w:tabs>
          <w:tab w:val="left" w:pos="284"/>
          <w:tab w:val="right" w:leader="dot" w:pos="6804"/>
        </w:tabs>
        <w:ind w:left="879" w:right="1983" w:hanging="879"/>
      </w:pPr>
      <w:r>
        <w:tab/>
      </w:r>
      <w:r>
        <w:tab/>
        <w:t xml:space="preserve">the charge is — </w:t>
      </w:r>
    </w:p>
    <w:p>
      <w:pPr>
        <w:pStyle w:val="yMiscellaneousBody"/>
        <w:tabs>
          <w:tab w:val="left" w:pos="1134"/>
          <w:tab w:val="left" w:pos="1560"/>
          <w:tab w:val="right" w:leader="dot" w:pos="6804"/>
        </w:tabs>
        <w:spacing w:before="80"/>
        <w:ind w:left="1559" w:right="1985" w:hanging="1559"/>
      </w:pPr>
      <w:r>
        <w:tab/>
        <w:t xml:space="preserve">up to 150 kL </w:t>
      </w:r>
      <w:r>
        <w:tab/>
        <w:t xml:space="preserve"> </w:t>
      </w:r>
      <w:r>
        <w:rPr>
          <w:szCs w:val="22"/>
        </w:rPr>
        <w:t>151.8</w:t>
      </w:r>
      <w:r>
        <w:t xml:space="preserve"> cents</w:t>
      </w:r>
    </w:p>
    <w:p>
      <w:pPr>
        <w:pStyle w:val="yMiscellaneousBody"/>
        <w:tabs>
          <w:tab w:val="left" w:pos="1134"/>
          <w:tab w:val="left" w:pos="1560"/>
          <w:tab w:val="right" w:leader="dot" w:pos="6804"/>
        </w:tabs>
        <w:spacing w:before="80"/>
        <w:ind w:left="1559" w:right="1985" w:hanging="1559"/>
      </w:pPr>
      <w:r>
        <w:tab/>
        <w:t xml:space="preserve">over 150 but not over 500 kL </w:t>
      </w:r>
      <w:r>
        <w:tab/>
        <w:t xml:space="preserve"> </w:t>
      </w:r>
      <w:r>
        <w:rPr>
          <w:szCs w:val="22"/>
        </w:rPr>
        <w:t>202.3</w:t>
      </w:r>
      <w:r>
        <w:t xml:space="preserve"> cents</w:t>
      </w:r>
    </w:p>
    <w:p>
      <w:pPr>
        <w:pStyle w:val="yMiscellaneousBody"/>
        <w:tabs>
          <w:tab w:val="left" w:pos="1134"/>
          <w:tab w:val="left" w:pos="1560"/>
          <w:tab w:val="right" w:leader="dot" w:pos="6804"/>
        </w:tabs>
        <w:spacing w:before="80"/>
        <w:ind w:left="1559" w:right="1985" w:hanging="1559"/>
      </w:pPr>
      <w:r>
        <w:tab/>
        <w:t xml:space="preserve">over 500 kL </w:t>
      </w:r>
      <w:r>
        <w:tab/>
        <w:t xml:space="preserve"> </w:t>
      </w:r>
      <w:r>
        <w:rPr>
          <w:szCs w:val="22"/>
        </w:rPr>
        <w:t>286.4</w:t>
      </w:r>
      <w:r>
        <w:t xml:space="preserve"> cents</w:t>
      </w:r>
    </w:p>
    <w:p>
      <w:pPr>
        <w:pStyle w:val="yMiscellaneousBody"/>
        <w:tabs>
          <w:tab w:val="left" w:pos="284"/>
          <w:tab w:val="right" w:leader="dot" w:pos="6804"/>
        </w:tabs>
        <w:ind w:left="879" w:right="1983" w:hanging="879"/>
      </w:pPr>
      <w:r>
        <w:tab/>
        <w:t>(2)</w:t>
      </w:r>
      <w:r>
        <w:tab/>
        <w:t>The charge under sub</w:t>
      </w:r>
      <w:r>
        <w:noBreakHyphen/>
        <w:t>item (1) does not apply to the supply of water for which a more specific charge is provided in this Subdivision or the supply of water covered by item 15.</w:t>
      </w:r>
    </w:p>
    <w:p>
      <w:pPr>
        <w:pStyle w:val="yHeading5"/>
      </w:pPr>
      <w:bookmarkStart w:id="178" w:name="_Toc434929838"/>
      <w:r>
        <w:rPr>
          <w:rStyle w:val="CharSClsNo"/>
        </w:rPr>
        <w:t>27</w:t>
      </w:r>
      <w:r>
        <w:t>.</w:t>
      </w:r>
      <w:r>
        <w:tab/>
        <w:t>Metropolitan non</w:t>
      </w:r>
      <w:r>
        <w:noBreakHyphen/>
        <w:t>residential</w:t>
      </w:r>
      <w:bookmarkEnd w:id="178"/>
    </w:p>
    <w:p>
      <w:pPr>
        <w:pStyle w:val="yMiscellaneousBody"/>
        <w:tabs>
          <w:tab w:val="left" w:pos="284"/>
          <w:tab w:val="right" w:leader="dot" w:pos="6804"/>
        </w:tabs>
        <w:ind w:left="879" w:right="1983" w:hanging="879"/>
      </w:pPr>
      <w:r>
        <w:tab/>
        <w:t>(1)</w:t>
      </w:r>
      <w:r>
        <w:tab/>
        <w:t>For each kilolitre of water supplied to land in the metropolitan area that is neither classified as residential nor classified as vacant land but held for residential purposes, the charge is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if the land is classified as commercial residential —</w:t>
      </w:r>
    </w:p>
    <w:p>
      <w:pPr>
        <w:pStyle w:val="yMiscellaneousBody"/>
        <w:tabs>
          <w:tab w:val="left" w:pos="1701"/>
          <w:tab w:val="left" w:pos="2127"/>
          <w:tab w:val="right" w:leader="dot" w:pos="6804"/>
        </w:tabs>
        <w:spacing w:before="80"/>
        <w:ind w:left="2127" w:right="1985" w:hanging="2127"/>
        <w:rPr>
          <w:szCs w:val="22"/>
        </w:rPr>
      </w:pPr>
      <w:r>
        <w:tab/>
        <w:t xml:space="preserve">up to 150 kL </w:t>
      </w:r>
      <w:r>
        <w:tab/>
        <w:t xml:space="preserve"> </w:t>
      </w:r>
      <w:r>
        <w:rPr>
          <w:szCs w:val="22"/>
        </w:rPr>
        <w:t>151.8 cents</w:t>
      </w:r>
    </w:p>
    <w:p>
      <w:pPr>
        <w:pStyle w:val="yMiscellaneousBody"/>
        <w:tabs>
          <w:tab w:val="left" w:pos="1701"/>
          <w:tab w:val="left" w:pos="2127"/>
          <w:tab w:val="right" w:leader="dot" w:pos="6804"/>
        </w:tabs>
        <w:spacing w:before="80"/>
        <w:ind w:left="2127" w:right="1985" w:hanging="2127"/>
        <w:rPr>
          <w:szCs w:val="22"/>
        </w:rPr>
      </w:pPr>
      <w:r>
        <w:rPr>
          <w:szCs w:val="22"/>
        </w:rPr>
        <w:tab/>
      </w:r>
      <w:r>
        <w:t xml:space="preserve">over 150 kL </w:t>
      </w:r>
      <w:r>
        <w:tab/>
        <w:t xml:space="preserve"> </w:t>
      </w:r>
      <w:r>
        <w:rPr>
          <w:szCs w:val="22"/>
        </w:rPr>
        <w:t>209.3 cents</w:t>
      </w:r>
    </w:p>
    <w:p>
      <w:pPr>
        <w:pStyle w:val="yMiscellaneousBody"/>
        <w:tabs>
          <w:tab w:val="left" w:pos="1134"/>
          <w:tab w:val="left" w:pos="1560"/>
          <w:tab w:val="right" w:leader="dot" w:pos="6804"/>
        </w:tabs>
        <w:spacing w:before="120"/>
        <w:ind w:left="1559" w:right="1985" w:hanging="1559"/>
      </w:pPr>
      <w:r>
        <w:tab/>
        <w:t>(b)</w:t>
      </w:r>
      <w:r>
        <w:tab/>
        <w:t xml:space="preserve">if paragraph (a) does not apply </w:t>
      </w:r>
      <w:r>
        <w:tab/>
        <w:t xml:space="preserve"> </w:t>
      </w:r>
      <w:r>
        <w:rPr>
          <w:szCs w:val="22"/>
        </w:rPr>
        <w:t>209.3</w:t>
      </w:r>
      <w:r>
        <w:t xml:space="preserve"> cents</w:t>
      </w:r>
    </w:p>
    <w:p>
      <w:pPr>
        <w:pStyle w:val="yMiscellaneousBody"/>
        <w:tabs>
          <w:tab w:val="left" w:pos="284"/>
          <w:tab w:val="right" w:leader="dot" w:pos="6804"/>
        </w:tabs>
        <w:ind w:left="879" w:right="1983" w:hanging="879"/>
      </w:pPr>
      <w:r>
        <w:tab/>
        <w:t>(2)</w:t>
      </w:r>
      <w:r>
        <w:tab/>
        <w:t>A charge under sub</w:t>
      </w:r>
      <w:r>
        <w:noBreakHyphen/>
        <w:t>item (1) does not apply to the supply of water for which a more specific charge is provided in this Subdivision.</w:t>
      </w:r>
    </w:p>
    <w:p>
      <w:pPr>
        <w:pStyle w:val="yHeading5"/>
      </w:pPr>
      <w:bookmarkStart w:id="179" w:name="_Toc434929839"/>
      <w:r>
        <w:rPr>
          <w:rStyle w:val="CharSClsNo"/>
        </w:rPr>
        <w:t>28</w:t>
      </w:r>
      <w:r>
        <w:t>.</w:t>
      </w:r>
      <w:r>
        <w:tab/>
        <w:t>Metropolitan non</w:t>
      </w:r>
      <w:r>
        <w:noBreakHyphen/>
        <w:t>residential concessional</w:t>
      </w:r>
      <w:bookmarkEnd w:id="179"/>
    </w:p>
    <w:p>
      <w:pPr>
        <w:pStyle w:val="yMiscellaneousBody"/>
        <w:tabs>
          <w:tab w:val="left" w:pos="284"/>
          <w:tab w:val="right" w:leader="dot" w:pos="6804"/>
        </w:tabs>
        <w:ind w:left="879" w:right="1983" w:hanging="879"/>
      </w:pPr>
      <w:r>
        <w:tab/>
        <w:t>(1)</w:t>
      </w:r>
      <w:r>
        <w:tab/>
        <w:t>For each kilolitre of water supplied to concessional land that is in the metropolitan area and is not classified as residential, the charge is</w:t>
      </w:r>
      <w:r>
        <w:rPr>
          <w:szCs w:val="22"/>
        </w:rPr>
        <w:t xml:space="preserve"> </w:t>
      </w:r>
      <w:r>
        <w:rPr>
          <w:szCs w:val="22"/>
        </w:rPr>
        <w:tab/>
        <w:t xml:space="preserve"> 209.3</w:t>
      </w:r>
      <w:r>
        <w:t xml:space="preserve"> cents </w:t>
      </w:r>
    </w:p>
    <w:p>
      <w:pPr>
        <w:pStyle w:val="yMiscellaneousBody"/>
        <w:tabs>
          <w:tab w:val="left" w:pos="284"/>
          <w:tab w:val="right" w:leader="dot" w:pos="6804"/>
        </w:tabs>
        <w:ind w:left="879" w:right="1983" w:hanging="879"/>
      </w:pPr>
      <w:r>
        <w:tab/>
        <w:t>(2)</w:t>
      </w:r>
      <w:r>
        <w:tab/>
        <w:t>Sub</w:t>
      </w:r>
      <w:r>
        <w:noBreakHyphen/>
        <w:t>item (1) does not apply if the supply of water is covered by item 39.</w:t>
      </w:r>
    </w:p>
    <w:p>
      <w:pPr>
        <w:pStyle w:val="yHeading5"/>
      </w:pPr>
      <w:bookmarkStart w:id="180" w:name="_Toc434929840"/>
      <w:r>
        <w:rPr>
          <w:rStyle w:val="CharSClsNo"/>
        </w:rPr>
        <w:t>29</w:t>
      </w:r>
      <w:r>
        <w:t>.</w:t>
      </w:r>
      <w:r>
        <w:tab/>
        <w:t>Community residential</w:t>
      </w:r>
      <w:bookmarkEnd w:id="180"/>
    </w:p>
    <w:p>
      <w:pPr>
        <w:pStyle w:val="yMiscellaneousBody"/>
        <w:tabs>
          <w:tab w:val="left" w:pos="284"/>
          <w:tab w:val="right" w:leader="dot" w:pos="6804"/>
        </w:tabs>
        <w:ind w:left="879" w:right="1983" w:hanging="879"/>
      </w:pPr>
      <w:r>
        <w:tab/>
        <w:t>(1)</w:t>
      </w:r>
      <w:r>
        <w:tab/>
        <w:t>This item has effect in relation to land as if the volumetric ranges were increased by the number of residential unit equivalents determined for the land for the purposes of item 8, that is, as if the boundary volumes for the volumetric ranges were multiplied by the number of residential unit equivalents.</w:t>
      </w:r>
    </w:p>
    <w:p>
      <w:pPr>
        <w:pStyle w:val="yMiscellaneousBody"/>
        <w:tabs>
          <w:tab w:val="left" w:pos="284"/>
          <w:tab w:val="right" w:leader="dot" w:pos="6804"/>
        </w:tabs>
        <w:ind w:left="879" w:right="1983" w:hanging="879"/>
      </w:pPr>
      <w:r>
        <w:tab/>
        <w:t>(2)</w:t>
      </w:r>
      <w:r>
        <w:tab/>
        <w:t>For each kilolitre of water supplied to land in the metropolitan area that is classified as community residential, the charge is —</w:t>
      </w:r>
    </w:p>
    <w:p>
      <w:pPr>
        <w:pStyle w:val="yMiscellaneousBody"/>
        <w:tabs>
          <w:tab w:val="left" w:pos="1134"/>
          <w:tab w:val="left" w:pos="1560"/>
          <w:tab w:val="right" w:leader="dot" w:pos="6804"/>
        </w:tabs>
        <w:spacing w:before="80"/>
        <w:ind w:left="1559" w:right="1985" w:hanging="1559"/>
      </w:pPr>
      <w:r>
        <w:tab/>
        <w:t xml:space="preserve">up to 150 kL </w:t>
      </w:r>
      <w:r>
        <w:tab/>
        <w:t xml:space="preserve"> </w:t>
      </w:r>
      <w:r>
        <w:rPr>
          <w:szCs w:val="22"/>
        </w:rPr>
        <w:t>75.9</w:t>
      </w:r>
      <w:r>
        <w:t xml:space="preserve"> cents</w:t>
      </w:r>
    </w:p>
    <w:p>
      <w:pPr>
        <w:pStyle w:val="yMiscellaneousBody"/>
        <w:tabs>
          <w:tab w:val="left" w:pos="1134"/>
          <w:tab w:val="left" w:pos="1560"/>
          <w:tab w:val="right" w:leader="dot" w:pos="6804"/>
        </w:tabs>
        <w:spacing w:before="80"/>
        <w:ind w:left="1559" w:right="1985" w:hanging="1559"/>
      </w:pPr>
      <w:r>
        <w:tab/>
        <w:t xml:space="preserve">over 150 kL but not over 500 kL </w:t>
      </w:r>
      <w:r>
        <w:tab/>
        <w:t xml:space="preserve"> </w:t>
      </w:r>
      <w:r>
        <w:rPr>
          <w:szCs w:val="22"/>
        </w:rPr>
        <w:t>202.3</w:t>
      </w:r>
      <w:r>
        <w:t xml:space="preserve"> cents</w:t>
      </w:r>
    </w:p>
    <w:p>
      <w:pPr>
        <w:pStyle w:val="yMiscellaneousBody"/>
        <w:tabs>
          <w:tab w:val="left" w:pos="1134"/>
          <w:tab w:val="left" w:pos="1560"/>
          <w:tab w:val="right" w:leader="dot" w:pos="6804"/>
        </w:tabs>
        <w:spacing w:before="80"/>
        <w:ind w:left="1559" w:right="1985" w:hanging="1559"/>
      </w:pPr>
      <w:r>
        <w:tab/>
        <w:t xml:space="preserve">over 500 kL </w:t>
      </w:r>
      <w:r>
        <w:tab/>
        <w:t xml:space="preserve"> </w:t>
      </w:r>
      <w:r>
        <w:rPr>
          <w:szCs w:val="22"/>
        </w:rPr>
        <w:t>286.4</w:t>
      </w:r>
      <w:r>
        <w:t xml:space="preserve"> cents</w:t>
      </w:r>
    </w:p>
    <w:p>
      <w:pPr>
        <w:pStyle w:val="yMiscellaneousBody"/>
        <w:tabs>
          <w:tab w:val="left" w:pos="284"/>
          <w:tab w:val="right" w:leader="dot" w:pos="6804"/>
        </w:tabs>
        <w:spacing w:after="80"/>
        <w:ind w:left="879" w:right="1985" w:hanging="879"/>
      </w:pPr>
      <w:r>
        <w:tab/>
        <w:t>(3)</w:t>
      </w:r>
      <w:r>
        <w:tab/>
        <w:t>For each kilolitre of water supplied to land in the non</w:t>
      </w:r>
      <w:r>
        <w:noBreakHyphen/>
        <w:t>metropolitan area that is classified as community residential,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328"/>
        <w:gridCol w:w="992"/>
        <w:gridCol w:w="992"/>
        <w:gridCol w:w="993"/>
        <w:gridCol w:w="992"/>
        <w:gridCol w:w="851"/>
      </w:tblGrid>
      <w:tr>
        <w:trPr>
          <w:cantSplit/>
          <w:tblHeader/>
        </w:trPr>
        <w:tc>
          <w:tcPr>
            <w:tcW w:w="1134" w:type="dxa"/>
            <w:tcBorders>
              <w:top w:val="single" w:sz="4" w:space="0" w:color="auto"/>
              <w:bottom w:val="single" w:sz="4" w:space="0" w:color="auto"/>
            </w:tcBorders>
          </w:tcPr>
          <w:p>
            <w:pPr>
              <w:pStyle w:val="yTableNAm"/>
            </w:pPr>
            <w:r>
              <w:rPr>
                <w:b/>
                <w:bCs/>
                <w:szCs w:val="22"/>
              </w:rPr>
              <w:br w:type="page"/>
              <w:t>Consumption (kL)</w:t>
            </w:r>
          </w:p>
        </w:tc>
        <w:tc>
          <w:tcPr>
            <w:tcW w:w="992" w:type="dxa"/>
            <w:tcBorders>
              <w:top w:val="single" w:sz="4" w:space="0" w:color="auto"/>
              <w:bottom w:val="single" w:sz="4" w:space="0" w:color="auto"/>
            </w:tcBorders>
          </w:tcPr>
          <w:p>
            <w:pPr>
              <w:pStyle w:val="yTableNAm"/>
              <w:jc w:val="center"/>
            </w:pPr>
            <w:r>
              <w:rPr>
                <w:b/>
                <w:bCs/>
                <w:szCs w:val="22"/>
              </w:rPr>
              <w:t>Class 1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2 (</w:t>
            </w:r>
            <w:r>
              <w:rPr>
                <w:b/>
                <w:bCs/>
              </w:rPr>
              <w:t>cents</w:t>
            </w:r>
            <w:r>
              <w:rPr>
                <w:b/>
                <w:bCs/>
                <w:szCs w:val="22"/>
              </w:rPr>
              <w:t>)</w:t>
            </w:r>
          </w:p>
        </w:tc>
        <w:tc>
          <w:tcPr>
            <w:tcW w:w="993" w:type="dxa"/>
            <w:tcBorders>
              <w:top w:val="single" w:sz="4" w:space="0" w:color="auto"/>
              <w:bottom w:val="single" w:sz="4" w:space="0" w:color="auto"/>
            </w:tcBorders>
          </w:tcPr>
          <w:p>
            <w:pPr>
              <w:pStyle w:val="yTableNAm"/>
              <w:jc w:val="center"/>
            </w:pPr>
            <w:r>
              <w:rPr>
                <w:b/>
                <w:bCs/>
                <w:szCs w:val="22"/>
              </w:rPr>
              <w:t>Class 3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4 (</w:t>
            </w:r>
            <w:r>
              <w:rPr>
                <w:b/>
                <w:bCs/>
              </w:rPr>
              <w:t>cents</w:t>
            </w:r>
            <w:r>
              <w:rPr>
                <w:b/>
                <w:bCs/>
                <w:szCs w:val="22"/>
              </w:rPr>
              <w:t>)</w:t>
            </w:r>
          </w:p>
        </w:tc>
        <w:tc>
          <w:tcPr>
            <w:tcW w:w="851" w:type="dxa"/>
            <w:tcBorders>
              <w:top w:val="single" w:sz="4" w:space="0" w:color="auto"/>
              <w:bottom w:val="single" w:sz="4" w:space="0" w:color="auto"/>
            </w:tcBorders>
          </w:tcPr>
          <w:p>
            <w:pPr>
              <w:pStyle w:val="yTableNAm"/>
              <w:jc w:val="center"/>
            </w:pPr>
            <w:r>
              <w:rPr>
                <w:b/>
                <w:bCs/>
                <w:szCs w:val="22"/>
              </w:rPr>
              <w:t>Class 5 (</w:t>
            </w:r>
            <w:r>
              <w:rPr>
                <w:b/>
                <w:bCs/>
              </w:rPr>
              <w:t>cents</w:t>
            </w:r>
            <w:r>
              <w:rPr>
                <w:b/>
                <w:bCs/>
                <w:szCs w:val="22"/>
              </w:rPr>
              <w:t>)</w:t>
            </w:r>
          </w:p>
        </w:tc>
      </w:tr>
      <w:tr>
        <w:trPr>
          <w:cantSplit/>
        </w:trPr>
        <w:tc>
          <w:tcPr>
            <w:tcW w:w="1134" w:type="dxa"/>
          </w:tcPr>
          <w:p>
            <w:pPr>
              <w:pStyle w:val="yTableNAm"/>
            </w:pPr>
            <w:r>
              <w:rPr>
                <w:szCs w:val="22"/>
              </w:rPr>
              <w:t>Up to 150</w:t>
            </w:r>
          </w:p>
        </w:tc>
        <w:tc>
          <w:tcPr>
            <w:tcW w:w="992" w:type="dxa"/>
            <w:vAlign w:val="bottom"/>
          </w:tcPr>
          <w:p>
            <w:pPr>
              <w:pStyle w:val="yTableNAm"/>
              <w:jc w:val="center"/>
            </w:pPr>
            <w:r>
              <w:rPr>
                <w:szCs w:val="22"/>
              </w:rPr>
              <w:t>58.0</w:t>
            </w:r>
          </w:p>
        </w:tc>
        <w:tc>
          <w:tcPr>
            <w:tcW w:w="992" w:type="dxa"/>
            <w:vAlign w:val="bottom"/>
          </w:tcPr>
          <w:p>
            <w:pPr>
              <w:pStyle w:val="yTableNAm"/>
              <w:jc w:val="center"/>
            </w:pPr>
            <w:r>
              <w:rPr>
                <w:szCs w:val="22"/>
              </w:rPr>
              <w:t>75.9</w:t>
            </w:r>
          </w:p>
        </w:tc>
        <w:tc>
          <w:tcPr>
            <w:tcW w:w="993" w:type="dxa"/>
            <w:vAlign w:val="bottom"/>
          </w:tcPr>
          <w:p>
            <w:pPr>
              <w:pStyle w:val="yTableNAm"/>
              <w:jc w:val="center"/>
            </w:pPr>
            <w:r>
              <w:rPr>
                <w:szCs w:val="22"/>
              </w:rPr>
              <w:t>75.9</w:t>
            </w:r>
          </w:p>
        </w:tc>
        <w:tc>
          <w:tcPr>
            <w:tcW w:w="992" w:type="dxa"/>
            <w:vAlign w:val="bottom"/>
          </w:tcPr>
          <w:p>
            <w:pPr>
              <w:pStyle w:val="yTableNAm"/>
              <w:jc w:val="center"/>
            </w:pPr>
            <w:r>
              <w:rPr>
                <w:szCs w:val="22"/>
              </w:rPr>
              <w:t>75.9</w:t>
            </w:r>
          </w:p>
        </w:tc>
        <w:tc>
          <w:tcPr>
            <w:tcW w:w="851" w:type="dxa"/>
            <w:vAlign w:val="bottom"/>
          </w:tcPr>
          <w:p>
            <w:pPr>
              <w:pStyle w:val="yTableNAm"/>
              <w:jc w:val="center"/>
            </w:pPr>
            <w:r>
              <w:rPr>
                <w:szCs w:val="22"/>
              </w:rPr>
              <w:t>75.9</w:t>
            </w:r>
          </w:p>
        </w:tc>
      </w:tr>
      <w:tr>
        <w:trPr>
          <w:cantSplit/>
        </w:trPr>
        <w:tc>
          <w:tcPr>
            <w:tcW w:w="1134" w:type="dxa"/>
          </w:tcPr>
          <w:p>
            <w:pPr>
              <w:pStyle w:val="yTableNAm"/>
            </w:pPr>
            <w:r>
              <w:rPr>
                <w:szCs w:val="22"/>
              </w:rPr>
              <w:t>Over 150 but not over 300</w:t>
            </w:r>
          </w:p>
        </w:tc>
        <w:tc>
          <w:tcPr>
            <w:tcW w:w="992" w:type="dxa"/>
            <w:vAlign w:val="bottom"/>
          </w:tcPr>
          <w:p>
            <w:pPr>
              <w:pStyle w:val="yTableNAm"/>
              <w:jc w:val="center"/>
            </w:pPr>
            <w:r>
              <w:rPr>
                <w:szCs w:val="22"/>
              </w:rPr>
              <w:t>77.2</w:t>
            </w:r>
          </w:p>
        </w:tc>
        <w:tc>
          <w:tcPr>
            <w:tcW w:w="992" w:type="dxa"/>
            <w:vAlign w:val="bottom"/>
          </w:tcPr>
          <w:p>
            <w:pPr>
              <w:pStyle w:val="yTableNAm"/>
              <w:jc w:val="center"/>
            </w:pPr>
            <w:r>
              <w:rPr>
                <w:szCs w:val="22"/>
              </w:rPr>
              <w:t>101.2</w:t>
            </w:r>
          </w:p>
        </w:tc>
        <w:tc>
          <w:tcPr>
            <w:tcW w:w="993" w:type="dxa"/>
            <w:vAlign w:val="bottom"/>
          </w:tcPr>
          <w:p>
            <w:pPr>
              <w:pStyle w:val="yTableNAm"/>
              <w:jc w:val="center"/>
            </w:pPr>
            <w:r>
              <w:rPr>
                <w:szCs w:val="22"/>
              </w:rPr>
              <w:t>101.2</w:t>
            </w:r>
          </w:p>
        </w:tc>
        <w:tc>
          <w:tcPr>
            <w:tcW w:w="992" w:type="dxa"/>
            <w:vAlign w:val="bottom"/>
          </w:tcPr>
          <w:p>
            <w:pPr>
              <w:pStyle w:val="yTableNAm"/>
              <w:jc w:val="center"/>
            </w:pPr>
            <w:r>
              <w:rPr>
                <w:szCs w:val="22"/>
              </w:rPr>
              <w:t>101.2</w:t>
            </w:r>
          </w:p>
        </w:tc>
        <w:tc>
          <w:tcPr>
            <w:tcW w:w="851" w:type="dxa"/>
            <w:vAlign w:val="bottom"/>
          </w:tcPr>
          <w:p>
            <w:pPr>
              <w:pStyle w:val="yTableNAm"/>
              <w:jc w:val="center"/>
            </w:pPr>
            <w:r>
              <w:rPr>
                <w:szCs w:val="22"/>
              </w:rPr>
              <w:t>101.2</w:t>
            </w:r>
          </w:p>
        </w:tc>
      </w:tr>
      <w:tr>
        <w:trPr>
          <w:cantSplit/>
        </w:trPr>
        <w:tc>
          <w:tcPr>
            <w:tcW w:w="1134" w:type="dxa"/>
          </w:tcPr>
          <w:p>
            <w:pPr>
              <w:pStyle w:val="yTableNAm"/>
            </w:pPr>
            <w:r>
              <w:rPr>
                <w:szCs w:val="22"/>
              </w:rPr>
              <w:t>Over 300 but not over 400</w:t>
            </w:r>
          </w:p>
        </w:tc>
        <w:tc>
          <w:tcPr>
            <w:tcW w:w="992" w:type="dxa"/>
            <w:vAlign w:val="bottom"/>
          </w:tcPr>
          <w:p>
            <w:pPr>
              <w:pStyle w:val="yTableNAm"/>
              <w:jc w:val="center"/>
            </w:pPr>
            <w:r>
              <w:rPr>
                <w:szCs w:val="22"/>
              </w:rPr>
              <w:t>81.7</w:t>
            </w:r>
          </w:p>
        </w:tc>
        <w:tc>
          <w:tcPr>
            <w:tcW w:w="992" w:type="dxa"/>
            <w:vAlign w:val="bottom"/>
          </w:tcPr>
          <w:p>
            <w:pPr>
              <w:pStyle w:val="yTableNAm"/>
              <w:jc w:val="center"/>
            </w:pPr>
            <w:r>
              <w:rPr>
                <w:szCs w:val="22"/>
              </w:rPr>
              <w:t>112.3</w:t>
            </w:r>
          </w:p>
        </w:tc>
        <w:tc>
          <w:tcPr>
            <w:tcW w:w="993" w:type="dxa"/>
            <w:vAlign w:val="bottom"/>
          </w:tcPr>
          <w:p>
            <w:pPr>
              <w:pStyle w:val="yTableNAm"/>
              <w:jc w:val="center"/>
            </w:pPr>
            <w:r>
              <w:rPr>
                <w:szCs w:val="22"/>
              </w:rPr>
              <w:t>149.6</w:t>
            </w:r>
          </w:p>
        </w:tc>
        <w:tc>
          <w:tcPr>
            <w:tcW w:w="992" w:type="dxa"/>
            <w:vAlign w:val="bottom"/>
          </w:tcPr>
          <w:p>
            <w:pPr>
              <w:pStyle w:val="yTableNAm"/>
              <w:jc w:val="center"/>
            </w:pPr>
            <w:r>
              <w:rPr>
                <w:szCs w:val="22"/>
              </w:rPr>
              <w:t>175.9</w:t>
            </w:r>
          </w:p>
        </w:tc>
        <w:tc>
          <w:tcPr>
            <w:tcW w:w="851" w:type="dxa"/>
            <w:vAlign w:val="bottom"/>
          </w:tcPr>
          <w:p>
            <w:pPr>
              <w:pStyle w:val="yTableNAm"/>
              <w:jc w:val="center"/>
            </w:pPr>
            <w:r>
              <w:rPr>
                <w:szCs w:val="22"/>
              </w:rPr>
              <w:t>206.9</w:t>
            </w:r>
          </w:p>
        </w:tc>
      </w:tr>
      <w:tr>
        <w:trPr>
          <w:cantSplit/>
        </w:trPr>
        <w:tc>
          <w:tcPr>
            <w:tcW w:w="1134" w:type="dxa"/>
          </w:tcPr>
          <w:p>
            <w:pPr>
              <w:pStyle w:val="yTableNAm"/>
            </w:pPr>
            <w:r>
              <w:rPr>
                <w:szCs w:val="22"/>
              </w:rPr>
              <w:t>Over 400 but not over 550</w:t>
            </w:r>
          </w:p>
        </w:tc>
        <w:tc>
          <w:tcPr>
            <w:tcW w:w="992" w:type="dxa"/>
            <w:vAlign w:val="bottom"/>
          </w:tcPr>
          <w:p>
            <w:pPr>
              <w:pStyle w:val="yTableNAm"/>
              <w:jc w:val="center"/>
            </w:pPr>
            <w:r>
              <w:rPr>
                <w:szCs w:val="22"/>
              </w:rPr>
              <w:t>163.3</w:t>
            </w:r>
          </w:p>
        </w:tc>
        <w:tc>
          <w:tcPr>
            <w:tcW w:w="992" w:type="dxa"/>
            <w:vAlign w:val="bottom"/>
          </w:tcPr>
          <w:p>
            <w:pPr>
              <w:pStyle w:val="yTableNAm"/>
              <w:jc w:val="center"/>
            </w:pPr>
            <w:r>
              <w:rPr>
                <w:szCs w:val="22"/>
              </w:rPr>
              <w:t>224.5</w:t>
            </w:r>
          </w:p>
        </w:tc>
        <w:tc>
          <w:tcPr>
            <w:tcW w:w="993" w:type="dxa"/>
            <w:vAlign w:val="bottom"/>
          </w:tcPr>
          <w:p>
            <w:pPr>
              <w:pStyle w:val="yTableNAm"/>
              <w:jc w:val="center"/>
            </w:pPr>
            <w:r>
              <w:rPr>
                <w:szCs w:val="22"/>
              </w:rPr>
              <w:t>299.1</w:t>
            </w:r>
          </w:p>
        </w:tc>
        <w:tc>
          <w:tcPr>
            <w:tcW w:w="992" w:type="dxa"/>
            <w:vAlign w:val="bottom"/>
          </w:tcPr>
          <w:p>
            <w:pPr>
              <w:pStyle w:val="yTableNAm"/>
              <w:jc w:val="center"/>
            </w:pPr>
            <w:r>
              <w:rPr>
                <w:szCs w:val="22"/>
              </w:rPr>
              <w:t>351.7</w:t>
            </w:r>
          </w:p>
        </w:tc>
        <w:tc>
          <w:tcPr>
            <w:tcW w:w="851" w:type="dxa"/>
            <w:vAlign w:val="bottom"/>
          </w:tcPr>
          <w:p>
            <w:pPr>
              <w:pStyle w:val="yTableNAm"/>
              <w:jc w:val="center"/>
            </w:pPr>
            <w:r>
              <w:rPr>
                <w:szCs w:val="22"/>
              </w:rPr>
              <w:t>413.8</w:t>
            </w:r>
          </w:p>
        </w:tc>
      </w:tr>
      <w:tr>
        <w:trPr>
          <w:cantSplit/>
        </w:trPr>
        <w:tc>
          <w:tcPr>
            <w:tcW w:w="1134" w:type="dxa"/>
            <w:tcBorders>
              <w:bottom w:val="single" w:sz="4" w:space="0" w:color="auto"/>
            </w:tcBorders>
          </w:tcPr>
          <w:p>
            <w:pPr>
              <w:pStyle w:val="yTableNAm"/>
            </w:pPr>
            <w:r>
              <w:rPr>
                <w:szCs w:val="22"/>
              </w:rPr>
              <w:t>Over 550</w:t>
            </w:r>
          </w:p>
        </w:tc>
        <w:tc>
          <w:tcPr>
            <w:tcW w:w="992" w:type="dxa"/>
            <w:tcBorders>
              <w:bottom w:val="single" w:sz="4" w:space="0" w:color="auto"/>
            </w:tcBorders>
            <w:vAlign w:val="bottom"/>
          </w:tcPr>
          <w:p>
            <w:pPr>
              <w:pStyle w:val="yTableNAm"/>
              <w:jc w:val="center"/>
            </w:pPr>
            <w:r>
              <w:rPr>
                <w:szCs w:val="22"/>
              </w:rPr>
              <w:t>190.5</w:t>
            </w:r>
          </w:p>
        </w:tc>
        <w:tc>
          <w:tcPr>
            <w:tcW w:w="992" w:type="dxa"/>
            <w:tcBorders>
              <w:bottom w:val="single" w:sz="4" w:space="0" w:color="auto"/>
            </w:tcBorders>
            <w:vAlign w:val="bottom"/>
          </w:tcPr>
          <w:p>
            <w:pPr>
              <w:pStyle w:val="yTableNAm"/>
              <w:jc w:val="center"/>
            </w:pPr>
            <w:r>
              <w:rPr>
                <w:szCs w:val="22"/>
              </w:rPr>
              <w:t>286.4</w:t>
            </w:r>
          </w:p>
        </w:tc>
        <w:tc>
          <w:tcPr>
            <w:tcW w:w="993" w:type="dxa"/>
            <w:tcBorders>
              <w:bottom w:val="single" w:sz="4" w:space="0" w:color="auto"/>
            </w:tcBorders>
            <w:vAlign w:val="bottom"/>
          </w:tcPr>
          <w:p>
            <w:pPr>
              <w:pStyle w:val="yTableNAm"/>
              <w:jc w:val="center"/>
            </w:pPr>
            <w:r>
              <w:rPr>
                <w:szCs w:val="22"/>
              </w:rPr>
              <w:t>381.3</w:t>
            </w:r>
          </w:p>
        </w:tc>
        <w:tc>
          <w:tcPr>
            <w:tcW w:w="992" w:type="dxa"/>
            <w:tcBorders>
              <w:bottom w:val="single" w:sz="4" w:space="0" w:color="auto"/>
            </w:tcBorders>
            <w:vAlign w:val="bottom"/>
          </w:tcPr>
          <w:p>
            <w:pPr>
              <w:pStyle w:val="yTableNAm"/>
              <w:jc w:val="center"/>
            </w:pPr>
            <w:r>
              <w:rPr>
                <w:szCs w:val="22"/>
              </w:rPr>
              <w:t>527.5</w:t>
            </w:r>
          </w:p>
        </w:tc>
        <w:tc>
          <w:tcPr>
            <w:tcW w:w="851" w:type="dxa"/>
            <w:tcBorders>
              <w:bottom w:val="single" w:sz="4" w:space="0" w:color="auto"/>
            </w:tcBorders>
            <w:vAlign w:val="bottom"/>
          </w:tcPr>
          <w:p>
            <w:pPr>
              <w:pStyle w:val="yTableNAm"/>
              <w:jc w:val="center"/>
            </w:pPr>
            <w:r>
              <w:rPr>
                <w:szCs w:val="22"/>
              </w:rPr>
              <w:t>711.4</w:t>
            </w:r>
          </w:p>
        </w:tc>
      </w:tr>
    </w:tbl>
    <w:p>
      <w:pPr>
        <w:pStyle w:val="yMiscellaneousBody"/>
        <w:tabs>
          <w:tab w:val="left" w:pos="284"/>
          <w:tab w:val="right" w:leader="dot" w:pos="6804"/>
        </w:tabs>
        <w:ind w:left="879" w:right="1983" w:hanging="879"/>
      </w:pPr>
      <w:r>
        <w:tab/>
        <w:t>(4)</w:t>
      </w:r>
      <w:r>
        <w:tab/>
        <w:t>Sub</w:t>
      </w:r>
      <w:r>
        <w:noBreakHyphen/>
        <w:t>item (3) applies unless the land is located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in the town of Cue, Laverton, Leonora, Meekatharra, Menzies, Mount Magnet, Mullewa, Sandstone, Wiluna or Yalgoo; or</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north of 26°S Latitude,</w:t>
      </w:r>
    </w:p>
    <w:p>
      <w:pPr>
        <w:pStyle w:val="yMiscellaneousBody"/>
        <w:tabs>
          <w:tab w:val="left" w:pos="284"/>
          <w:tab w:val="right" w:leader="dot" w:pos="6804"/>
        </w:tabs>
        <w:spacing w:after="80"/>
        <w:ind w:left="879" w:right="1985" w:hanging="879"/>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328"/>
        <w:gridCol w:w="986"/>
        <w:gridCol w:w="986"/>
        <w:gridCol w:w="987"/>
        <w:gridCol w:w="987"/>
        <w:gridCol w:w="989"/>
      </w:tblGrid>
      <w:tr>
        <w:trPr>
          <w:cantSplit/>
          <w:tblHeader/>
        </w:trPr>
        <w:tc>
          <w:tcPr>
            <w:tcW w:w="1328" w:type="dxa"/>
            <w:tcBorders>
              <w:top w:val="single" w:sz="4" w:space="0" w:color="auto"/>
              <w:bottom w:val="single" w:sz="4" w:space="0" w:color="auto"/>
            </w:tcBorders>
          </w:tcPr>
          <w:p>
            <w:pPr>
              <w:pStyle w:val="yTableNAm"/>
            </w:pPr>
            <w:r>
              <w:rPr>
                <w:b/>
                <w:bCs/>
              </w:rPr>
              <w:br w:type="page"/>
              <w:t>Consumption (kL)</w:t>
            </w:r>
          </w:p>
        </w:tc>
        <w:tc>
          <w:tcPr>
            <w:tcW w:w="986" w:type="dxa"/>
            <w:tcBorders>
              <w:top w:val="single" w:sz="4" w:space="0" w:color="auto"/>
              <w:bottom w:val="single" w:sz="4" w:space="0" w:color="auto"/>
            </w:tcBorders>
          </w:tcPr>
          <w:p>
            <w:pPr>
              <w:pStyle w:val="yTableNAm"/>
              <w:jc w:val="center"/>
            </w:pPr>
            <w:r>
              <w:rPr>
                <w:b/>
                <w:bCs/>
              </w:rPr>
              <w:t>Class 1 (cents)</w:t>
            </w:r>
          </w:p>
        </w:tc>
        <w:tc>
          <w:tcPr>
            <w:tcW w:w="986" w:type="dxa"/>
            <w:tcBorders>
              <w:top w:val="single" w:sz="4" w:space="0" w:color="auto"/>
              <w:bottom w:val="single" w:sz="4" w:space="0" w:color="auto"/>
            </w:tcBorders>
          </w:tcPr>
          <w:p>
            <w:pPr>
              <w:pStyle w:val="yTableNAm"/>
              <w:jc w:val="center"/>
            </w:pPr>
            <w:r>
              <w:rPr>
                <w:b/>
                <w:bCs/>
              </w:rPr>
              <w:t>Class 2 (cents)</w:t>
            </w:r>
          </w:p>
        </w:tc>
        <w:tc>
          <w:tcPr>
            <w:tcW w:w="987" w:type="dxa"/>
            <w:tcBorders>
              <w:top w:val="single" w:sz="4" w:space="0" w:color="auto"/>
              <w:bottom w:val="single" w:sz="4" w:space="0" w:color="auto"/>
            </w:tcBorders>
          </w:tcPr>
          <w:p>
            <w:pPr>
              <w:pStyle w:val="yTableNAm"/>
              <w:jc w:val="center"/>
            </w:pPr>
            <w:r>
              <w:rPr>
                <w:b/>
                <w:bCs/>
              </w:rPr>
              <w:t>Class 3 (cents)</w:t>
            </w:r>
          </w:p>
        </w:tc>
        <w:tc>
          <w:tcPr>
            <w:tcW w:w="987" w:type="dxa"/>
            <w:tcBorders>
              <w:top w:val="single" w:sz="4" w:space="0" w:color="auto"/>
              <w:bottom w:val="single" w:sz="4" w:space="0" w:color="auto"/>
            </w:tcBorders>
          </w:tcPr>
          <w:p>
            <w:pPr>
              <w:pStyle w:val="yTableNAm"/>
              <w:jc w:val="center"/>
            </w:pPr>
            <w:r>
              <w:rPr>
                <w:b/>
                <w:bCs/>
              </w:rPr>
              <w:t>Class 4 (cents)</w:t>
            </w:r>
          </w:p>
        </w:tc>
        <w:tc>
          <w:tcPr>
            <w:tcW w:w="989" w:type="dxa"/>
            <w:tcBorders>
              <w:top w:val="single" w:sz="4" w:space="0" w:color="auto"/>
              <w:bottom w:val="single" w:sz="4" w:space="0" w:color="auto"/>
            </w:tcBorders>
          </w:tcPr>
          <w:p>
            <w:pPr>
              <w:pStyle w:val="yTableNAm"/>
              <w:jc w:val="center"/>
            </w:pPr>
            <w:r>
              <w:rPr>
                <w:b/>
                <w:bCs/>
              </w:rPr>
              <w:t>Class 5 (cents)</w:t>
            </w:r>
          </w:p>
        </w:tc>
      </w:tr>
      <w:tr>
        <w:trPr>
          <w:cantSplit/>
        </w:trPr>
        <w:tc>
          <w:tcPr>
            <w:tcW w:w="1328" w:type="dxa"/>
          </w:tcPr>
          <w:p>
            <w:pPr>
              <w:pStyle w:val="yTableNAm"/>
            </w:pPr>
            <w:r>
              <w:t>Up to 350</w:t>
            </w:r>
          </w:p>
        </w:tc>
        <w:tc>
          <w:tcPr>
            <w:tcW w:w="986" w:type="dxa"/>
            <w:vAlign w:val="bottom"/>
          </w:tcPr>
          <w:p>
            <w:pPr>
              <w:pStyle w:val="yTableNAm"/>
              <w:jc w:val="center"/>
            </w:pPr>
            <w:r>
              <w:rPr>
                <w:szCs w:val="22"/>
              </w:rPr>
              <w:t>58.0</w:t>
            </w:r>
          </w:p>
        </w:tc>
        <w:tc>
          <w:tcPr>
            <w:tcW w:w="986" w:type="dxa"/>
            <w:vAlign w:val="bottom"/>
          </w:tcPr>
          <w:p>
            <w:pPr>
              <w:pStyle w:val="yTableNAm"/>
              <w:jc w:val="center"/>
            </w:pPr>
            <w:r>
              <w:rPr>
                <w:szCs w:val="22"/>
              </w:rPr>
              <w:t>75.9</w:t>
            </w:r>
          </w:p>
        </w:tc>
        <w:tc>
          <w:tcPr>
            <w:tcW w:w="987" w:type="dxa"/>
            <w:vAlign w:val="bottom"/>
          </w:tcPr>
          <w:p>
            <w:pPr>
              <w:pStyle w:val="yTableNAm"/>
              <w:jc w:val="center"/>
            </w:pPr>
            <w:r>
              <w:rPr>
                <w:szCs w:val="22"/>
              </w:rPr>
              <w:t>75.9</w:t>
            </w:r>
          </w:p>
        </w:tc>
        <w:tc>
          <w:tcPr>
            <w:tcW w:w="987" w:type="dxa"/>
            <w:vAlign w:val="bottom"/>
          </w:tcPr>
          <w:p>
            <w:pPr>
              <w:pStyle w:val="yTableNAm"/>
              <w:jc w:val="center"/>
            </w:pPr>
            <w:r>
              <w:rPr>
                <w:szCs w:val="22"/>
              </w:rPr>
              <w:t>75.9</w:t>
            </w:r>
          </w:p>
        </w:tc>
        <w:tc>
          <w:tcPr>
            <w:tcW w:w="989" w:type="dxa"/>
            <w:vAlign w:val="bottom"/>
          </w:tcPr>
          <w:p>
            <w:pPr>
              <w:pStyle w:val="yTableNAm"/>
              <w:jc w:val="center"/>
            </w:pPr>
            <w:r>
              <w:rPr>
                <w:szCs w:val="22"/>
              </w:rPr>
              <w:t>75.9</w:t>
            </w:r>
          </w:p>
        </w:tc>
      </w:tr>
      <w:tr>
        <w:trPr>
          <w:cantSplit/>
        </w:trPr>
        <w:tc>
          <w:tcPr>
            <w:tcW w:w="1328" w:type="dxa"/>
          </w:tcPr>
          <w:p>
            <w:pPr>
              <w:pStyle w:val="yTableNAm"/>
            </w:pPr>
            <w:r>
              <w:t>Over 350 but not over 500</w:t>
            </w:r>
          </w:p>
        </w:tc>
        <w:tc>
          <w:tcPr>
            <w:tcW w:w="986" w:type="dxa"/>
            <w:vAlign w:val="bottom"/>
          </w:tcPr>
          <w:p>
            <w:pPr>
              <w:pStyle w:val="yTableNAm"/>
              <w:jc w:val="center"/>
            </w:pPr>
            <w:r>
              <w:rPr>
                <w:szCs w:val="22"/>
              </w:rPr>
              <w:t>77.2</w:t>
            </w:r>
          </w:p>
        </w:tc>
        <w:tc>
          <w:tcPr>
            <w:tcW w:w="986" w:type="dxa"/>
            <w:vAlign w:val="bottom"/>
          </w:tcPr>
          <w:p>
            <w:pPr>
              <w:pStyle w:val="yTableNAm"/>
              <w:jc w:val="center"/>
            </w:pPr>
            <w:r>
              <w:rPr>
                <w:szCs w:val="22"/>
              </w:rPr>
              <w:t>101.2</w:t>
            </w:r>
          </w:p>
        </w:tc>
        <w:tc>
          <w:tcPr>
            <w:tcW w:w="987" w:type="dxa"/>
            <w:vAlign w:val="bottom"/>
          </w:tcPr>
          <w:p>
            <w:pPr>
              <w:pStyle w:val="yTableNAm"/>
              <w:jc w:val="center"/>
            </w:pPr>
            <w:r>
              <w:rPr>
                <w:szCs w:val="22"/>
              </w:rPr>
              <w:t>101.2</w:t>
            </w:r>
          </w:p>
        </w:tc>
        <w:tc>
          <w:tcPr>
            <w:tcW w:w="987" w:type="dxa"/>
            <w:vAlign w:val="bottom"/>
          </w:tcPr>
          <w:p>
            <w:pPr>
              <w:pStyle w:val="yTableNAm"/>
              <w:jc w:val="center"/>
            </w:pPr>
            <w:r>
              <w:rPr>
                <w:szCs w:val="22"/>
              </w:rPr>
              <w:t>101.2</w:t>
            </w:r>
          </w:p>
        </w:tc>
        <w:tc>
          <w:tcPr>
            <w:tcW w:w="989" w:type="dxa"/>
            <w:vAlign w:val="bottom"/>
          </w:tcPr>
          <w:p>
            <w:pPr>
              <w:pStyle w:val="yTableNAm"/>
              <w:jc w:val="center"/>
            </w:pPr>
            <w:r>
              <w:rPr>
                <w:szCs w:val="22"/>
              </w:rPr>
              <w:t>101.2</w:t>
            </w:r>
          </w:p>
        </w:tc>
      </w:tr>
      <w:tr>
        <w:trPr>
          <w:cantSplit/>
        </w:trPr>
        <w:tc>
          <w:tcPr>
            <w:tcW w:w="1328" w:type="dxa"/>
          </w:tcPr>
          <w:p>
            <w:pPr>
              <w:pStyle w:val="yTableNAm"/>
            </w:pPr>
            <w:r>
              <w:t>Over 500 but not over 600</w:t>
            </w:r>
          </w:p>
        </w:tc>
        <w:tc>
          <w:tcPr>
            <w:tcW w:w="986" w:type="dxa"/>
            <w:vAlign w:val="bottom"/>
          </w:tcPr>
          <w:p>
            <w:pPr>
              <w:pStyle w:val="yTableNAm"/>
              <w:jc w:val="center"/>
            </w:pPr>
            <w:r>
              <w:rPr>
                <w:szCs w:val="22"/>
              </w:rPr>
              <w:t>81.7</w:t>
            </w:r>
          </w:p>
        </w:tc>
        <w:tc>
          <w:tcPr>
            <w:tcW w:w="986" w:type="dxa"/>
            <w:vAlign w:val="bottom"/>
          </w:tcPr>
          <w:p>
            <w:pPr>
              <w:pStyle w:val="yTableNAm"/>
              <w:jc w:val="center"/>
            </w:pPr>
            <w:r>
              <w:rPr>
                <w:szCs w:val="22"/>
              </w:rPr>
              <w:t>112.3</w:t>
            </w:r>
          </w:p>
        </w:tc>
        <w:tc>
          <w:tcPr>
            <w:tcW w:w="987" w:type="dxa"/>
            <w:vAlign w:val="bottom"/>
          </w:tcPr>
          <w:p>
            <w:pPr>
              <w:pStyle w:val="yTableNAm"/>
              <w:jc w:val="center"/>
            </w:pPr>
            <w:r>
              <w:rPr>
                <w:szCs w:val="22"/>
              </w:rPr>
              <w:t>149.6</w:t>
            </w:r>
          </w:p>
        </w:tc>
        <w:tc>
          <w:tcPr>
            <w:tcW w:w="987" w:type="dxa"/>
            <w:vAlign w:val="bottom"/>
          </w:tcPr>
          <w:p>
            <w:pPr>
              <w:pStyle w:val="yTableNAm"/>
              <w:jc w:val="center"/>
            </w:pPr>
            <w:r>
              <w:rPr>
                <w:szCs w:val="22"/>
              </w:rPr>
              <w:t>175.9</w:t>
            </w:r>
          </w:p>
        </w:tc>
        <w:tc>
          <w:tcPr>
            <w:tcW w:w="989" w:type="dxa"/>
            <w:vAlign w:val="bottom"/>
          </w:tcPr>
          <w:p>
            <w:pPr>
              <w:pStyle w:val="yTableNAm"/>
              <w:jc w:val="center"/>
            </w:pPr>
            <w:r>
              <w:rPr>
                <w:szCs w:val="22"/>
              </w:rPr>
              <w:t>206.9</w:t>
            </w:r>
          </w:p>
        </w:tc>
      </w:tr>
      <w:tr>
        <w:trPr>
          <w:cantSplit/>
        </w:trPr>
        <w:tc>
          <w:tcPr>
            <w:tcW w:w="1328" w:type="dxa"/>
          </w:tcPr>
          <w:p>
            <w:pPr>
              <w:pStyle w:val="yTableNAm"/>
            </w:pPr>
            <w:r>
              <w:t>Over 600 but not over 750</w:t>
            </w:r>
          </w:p>
        </w:tc>
        <w:tc>
          <w:tcPr>
            <w:tcW w:w="986" w:type="dxa"/>
            <w:vAlign w:val="bottom"/>
          </w:tcPr>
          <w:p>
            <w:pPr>
              <w:pStyle w:val="yTableNAm"/>
              <w:jc w:val="center"/>
            </w:pPr>
            <w:r>
              <w:rPr>
                <w:szCs w:val="22"/>
              </w:rPr>
              <w:t>163.3</w:t>
            </w:r>
          </w:p>
        </w:tc>
        <w:tc>
          <w:tcPr>
            <w:tcW w:w="986" w:type="dxa"/>
            <w:vAlign w:val="bottom"/>
          </w:tcPr>
          <w:p>
            <w:pPr>
              <w:pStyle w:val="yTableNAm"/>
              <w:jc w:val="center"/>
            </w:pPr>
            <w:r>
              <w:rPr>
                <w:szCs w:val="22"/>
              </w:rPr>
              <w:t>224.5</w:t>
            </w:r>
          </w:p>
        </w:tc>
        <w:tc>
          <w:tcPr>
            <w:tcW w:w="987" w:type="dxa"/>
            <w:vAlign w:val="bottom"/>
          </w:tcPr>
          <w:p>
            <w:pPr>
              <w:pStyle w:val="yTableNAm"/>
              <w:jc w:val="center"/>
            </w:pPr>
            <w:r>
              <w:rPr>
                <w:szCs w:val="22"/>
              </w:rPr>
              <w:t>299.1</w:t>
            </w:r>
          </w:p>
        </w:tc>
        <w:tc>
          <w:tcPr>
            <w:tcW w:w="987" w:type="dxa"/>
            <w:vAlign w:val="bottom"/>
          </w:tcPr>
          <w:p>
            <w:pPr>
              <w:pStyle w:val="yTableNAm"/>
              <w:jc w:val="center"/>
            </w:pPr>
            <w:r>
              <w:rPr>
                <w:szCs w:val="22"/>
              </w:rPr>
              <w:t>351.7</w:t>
            </w:r>
          </w:p>
        </w:tc>
        <w:tc>
          <w:tcPr>
            <w:tcW w:w="989" w:type="dxa"/>
            <w:vAlign w:val="bottom"/>
          </w:tcPr>
          <w:p>
            <w:pPr>
              <w:pStyle w:val="yTableNAm"/>
              <w:jc w:val="center"/>
            </w:pPr>
            <w:r>
              <w:rPr>
                <w:szCs w:val="22"/>
              </w:rPr>
              <w:t>413.8</w:t>
            </w:r>
          </w:p>
        </w:tc>
      </w:tr>
      <w:tr>
        <w:trPr>
          <w:cantSplit/>
        </w:trPr>
        <w:tc>
          <w:tcPr>
            <w:tcW w:w="1328" w:type="dxa"/>
            <w:tcBorders>
              <w:bottom w:val="single" w:sz="4" w:space="0" w:color="auto"/>
            </w:tcBorders>
          </w:tcPr>
          <w:p>
            <w:pPr>
              <w:pStyle w:val="yTableNAm"/>
            </w:pPr>
            <w:r>
              <w:t>Over 750</w:t>
            </w:r>
          </w:p>
        </w:tc>
        <w:tc>
          <w:tcPr>
            <w:tcW w:w="986" w:type="dxa"/>
            <w:tcBorders>
              <w:bottom w:val="single" w:sz="4" w:space="0" w:color="auto"/>
            </w:tcBorders>
            <w:vAlign w:val="bottom"/>
          </w:tcPr>
          <w:p>
            <w:pPr>
              <w:pStyle w:val="yTableNAm"/>
              <w:jc w:val="center"/>
            </w:pPr>
            <w:r>
              <w:rPr>
                <w:szCs w:val="22"/>
              </w:rPr>
              <w:t>190.5</w:t>
            </w:r>
          </w:p>
        </w:tc>
        <w:tc>
          <w:tcPr>
            <w:tcW w:w="986" w:type="dxa"/>
            <w:tcBorders>
              <w:bottom w:val="single" w:sz="4" w:space="0" w:color="auto"/>
            </w:tcBorders>
            <w:vAlign w:val="bottom"/>
          </w:tcPr>
          <w:p>
            <w:pPr>
              <w:pStyle w:val="yTableNAm"/>
              <w:jc w:val="center"/>
            </w:pPr>
            <w:r>
              <w:rPr>
                <w:szCs w:val="22"/>
              </w:rPr>
              <w:t>286.4</w:t>
            </w:r>
          </w:p>
        </w:tc>
        <w:tc>
          <w:tcPr>
            <w:tcW w:w="987" w:type="dxa"/>
            <w:tcBorders>
              <w:bottom w:val="single" w:sz="4" w:space="0" w:color="auto"/>
            </w:tcBorders>
            <w:vAlign w:val="bottom"/>
          </w:tcPr>
          <w:p>
            <w:pPr>
              <w:pStyle w:val="yTableNAm"/>
              <w:jc w:val="center"/>
            </w:pPr>
            <w:r>
              <w:rPr>
                <w:szCs w:val="22"/>
              </w:rPr>
              <w:t>381.3</w:t>
            </w:r>
          </w:p>
        </w:tc>
        <w:tc>
          <w:tcPr>
            <w:tcW w:w="987" w:type="dxa"/>
            <w:tcBorders>
              <w:bottom w:val="single" w:sz="4" w:space="0" w:color="auto"/>
            </w:tcBorders>
            <w:vAlign w:val="bottom"/>
          </w:tcPr>
          <w:p>
            <w:pPr>
              <w:pStyle w:val="yTableNAm"/>
              <w:jc w:val="center"/>
            </w:pPr>
            <w:r>
              <w:rPr>
                <w:szCs w:val="22"/>
              </w:rPr>
              <w:t>527.5</w:t>
            </w:r>
          </w:p>
        </w:tc>
        <w:tc>
          <w:tcPr>
            <w:tcW w:w="989" w:type="dxa"/>
            <w:tcBorders>
              <w:bottom w:val="single" w:sz="4" w:space="0" w:color="auto"/>
            </w:tcBorders>
            <w:vAlign w:val="bottom"/>
          </w:tcPr>
          <w:p>
            <w:pPr>
              <w:pStyle w:val="yTableNAm"/>
              <w:jc w:val="center"/>
            </w:pPr>
            <w:r>
              <w:rPr>
                <w:szCs w:val="22"/>
              </w:rPr>
              <w:t>711.4</w:t>
            </w:r>
          </w:p>
        </w:tc>
      </w:tr>
    </w:tbl>
    <w:p>
      <w:pPr>
        <w:pStyle w:val="yHeading5"/>
      </w:pPr>
      <w:bookmarkStart w:id="181" w:name="_Toc434929841"/>
      <w:r>
        <w:rPr>
          <w:rStyle w:val="CharSClsNo"/>
        </w:rPr>
        <w:t>30</w:t>
      </w:r>
      <w:r>
        <w:t>.</w:t>
      </w:r>
      <w:r>
        <w:tab/>
        <w:t>Non</w:t>
      </w:r>
      <w:r>
        <w:noBreakHyphen/>
        <w:t>metropolitan residential</w:t>
      </w:r>
      <w:bookmarkEnd w:id="181"/>
    </w:p>
    <w:p>
      <w:pPr>
        <w:pStyle w:val="yMiscellaneousBody"/>
        <w:tabs>
          <w:tab w:val="left" w:pos="284"/>
          <w:tab w:val="right" w:leader="dot" w:pos="6804"/>
        </w:tabs>
        <w:ind w:left="879" w:right="1983" w:hanging="879"/>
      </w:pPr>
      <w:r>
        <w:tab/>
        <w:t>(1)</w:t>
      </w:r>
      <w:r>
        <w:tab/>
        <w:t>For each kilolitre of water supplied to land in the non</w:t>
      </w:r>
      <w:r>
        <w:noBreakHyphen/>
        <w:t xml:space="preserve">metropolitan area that is —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a residential property; or</w:t>
      </w:r>
    </w:p>
    <w:p>
      <w:pPr>
        <w:pStyle w:val="yMiscellaneousBody"/>
        <w:keepNext/>
        <w:tabs>
          <w:tab w:val="left" w:pos="1134"/>
          <w:tab w:val="left" w:pos="1560"/>
          <w:tab w:val="right" w:leader="dot" w:pos="6804"/>
        </w:tabs>
        <w:spacing w:before="120"/>
        <w:ind w:left="1559" w:right="1985" w:hanging="1559"/>
        <w:rPr>
          <w:szCs w:val="22"/>
        </w:rPr>
      </w:pPr>
      <w:r>
        <w:rPr>
          <w:szCs w:val="22"/>
        </w:rPr>
        <w:tab/>
        <w:t>(b)</w:t>
      </w:r>
      <w:r>
        <w:rPr>
          <w:szCs w:val="22"/>
        </w:rPr>
        <w:tab/>
        <w:t>classified as vacant land but held for residential purposes,</w:t>
      </w:r>
    </w:p>
    <w:p>
      <w:pPr>
        <w:pStyle w:val="yMiscellaneousBody"/>
        <w:tabs>
          <w:tab w:val="left" w:pos="284"/>
          <w:tab w:val="right" w:leader="dot" w:pos="6804"/>
        </w:tabs>
        <w:spacing w:after="80"/>
        <w:ind w:left="879" w:right="1985" w:hanging="879"/>
      </w:pPr>
      <w:r>
        <w:tab/>
      </w:r>
      <w:r>
        <w:tab/>
        <w:t xml:space="preserve">the charge, according to the residential class of the town or area in which the land is located, is — </w:t>
      </w:r>
    </w:p>
    <w:tbl>
      <w:tblPr>
        <w:tblW w:w="0" w:type="auto"/>
        <w:tblInd w:w="879" w:type="dxa"/>
        <w:tblCellMar>
          <w:left w:w="28" w:type="dxa"/>
          <w:right w:w="28" w:type="dxa"/>
        </w:tblCellMar>
        <w:tblLook w:val="0000" w:firstRow="0" w:lastRow="0" w:firstColumn="0" w:lastColumn="0" w:noHBand="0" w:noVBand="0"/>
      </w:tblPr>
      <w:tblGrid>
        <w:gridCol w:w="1328"/>
        <w:gridCol w:w="986"/>
        <w:gridCol w:w="987"/>
        <w:gridCol w:w="987"/>
        <w:gridCol w:w="987"/>
        <w:gridCol w:w="989"/>
      </w:tblGrid>
      <w:tr>
        <w:trPr>
          <w:cantSplit/>
          <w:tblHeader/>
        </w:trPr>
        <w:tc>
          <w:tcPr>
            <w:tcW w:w="992" w:type="dxa"/>
            <w:tcBorders>
              <w:top w:val="single" w:sz="4" w:space="0" w:color="auto"/>
              <w:bottom w:val="single" w:sz="4" w:space="0" w:color="auto"/>
            </w:tcBorders>
          </w:tcPr>
          <w:p>
            <w:pPr>
              <w:pStyle w:val="yTableNAm"/>
            </w:pPr>
            <w:r>
              <w:rPr>
                <w:b/>
                <w:bCs/>
              </w:rPr>
              <w:br w:type="page"/>
              <w:t>Consumption (kL)</w:t>
            </w:r>
          </w:p>
        </w:tc>
        <w:tc>
          <w:tcPr>
            <w:tcW w:w="992" w:type="dxa"/>
            <w:tcBorders>
              <w:top w:val="single" w:sz="4" w:space="0" w:color="auto"/>
              <w:bottom w:val="single" w:sz="4" w:space="0" w:color="auto"/>
            </w:tcBorders>
          </w:tcPr>
          <w:p>
            <w:pPr>
              <w:pStyle w:val="yTableNAm"/>
              <w:jc w:val="center"/>
            </w:pPr>
            <w:r>
              <w:rPr>
                <w:b/>
                <w:bCs/>
              </w:rPr>
              <w:t>Class 1 (cents)</w:t>
            </w:r>
          </w:p>
        </w:tc>
        <w:tc>
          <w:tcPr>
            <w:tcW w:w="992" w:type="dxa"/>
            <w:tcBorders>
              <w:top w:val="single" w:sz="4" w:space="0" w:color="auto"/>
              <w:bottom w:val="single" w:sz="4" w:space="0" w:color="auto"/>
            </w:tcBorders>
          </w:tcPr>
          <w:p>
            <w:pPr>
              <w:pStyle w:val="yTableNAm"/>
              <w:jc w:val="center"/>
            </w:pPr>
            <w:r>
              <w:rPr>
                <w:b/>
                <w:bCs/>
              </w:rPr>
              <w:t>Class 2 (cents)</w:t>
            </w:r>
          </w:p>
        </w:tc>
        <w:tc>
          <w:tcPr>
            <w:tcW w:w="992" w:type="dxa"/>
            <w:tcBorders>
              <w:top w:val="single" w:sz="4" w:space="0" w:color="auto"/>
              <w:bottom w:val="single" w:sz="4" w:space="0" w:color="auto"/>
            </w:tcBorders>
          </w:tcPr>
          <w:p>
            <w:pPr>
              <w:pStyle w:val="yTableNAm"/>
              <w:jc w:val="center"/>
            </w:pPr>
            <w:r>
              <w:rPr>
                <w:b/>
                <w:bCs/>
              </w:rPr>
              <w:t>Class 3 (cents)</w:t>
            </w:r>
          </w:p>
        </w:tc>
        <w:tc>
          <w:tcPr>
            <w:tcW w:w="992" w:type="dxa"/>
            <w:tcBorders>
              <w:top w:val="single" w:sz="4" w:space="0" w:color="auto"/>
              <w:bottom w:val="single" w:sz="4" w:space="0" w:color="auto"/>
            </w:tcBorders>
          </w:tcPr>
          <w:p>
            <w:pPr>
              <w:pStyle w:val="yTableNAm"/>
              <w:jc w:val="center"/>
            </w:pPr>
            <w:r>
              <w:rPr>
                <w:b/>
                <w:bCs/>
              </w:rPr>
              <w:t>Class 4 (cents)</w:t>
            </w:r>
          </w:p>
        </w:tc>
        <w:tc>
          <w:tcPr>
            <w:tcW w:w="994" w:type="dxa"/>
            <w:tcBorders>
              <w:top w:val="single" w:sz="4" w:space="0" w:color="auto"/>
              <w:bottom w:val="single" w:sz="4" w:space="0" w:color="auto"/>
            </w:tcBorders>
          </w:tcPr>
          <w:p>
            <w:pPr>
              <w:pStyle w:val="yTableNAm"/>
              <w:jc w:val="center"/>
            </w:pPr>
            <w:r>
              <w:rPr>
                <w:b/>
                <w:bCs/>
              </w:rPr>
              <w:t>Class 5 (cents)</w:t>
            </w:r>
          </w:p>
        </w:tc>
      </w:tr>
      <w:tr>
        <w:trPr>
          <w:cantSplit/>
        </w:trPr>
        <w:tc>
          <w:tcPr>
            <w:tcW w:w="992" w:type="dxa"/>
          </w:tcPr>
          <w:p>
            <w:pPr>
              <w:pStyle w:val="yTableNAm"/>
            </w:pPr>
            <w:r>
              <w:t>Up to 150</w:t>
            </w:r>
          </w:p>
        </w:tc>
        <w:tc>
          <w:tcPr>
            <w:tcW w:w="992" w:type="dxa"/>
            <w:vAlign w:val="bottom"/>
          </w:tcPr>
          <w:p>
            <w:pPr>
              <w:pStyle w:val="yTableNAm"/>
              <w:jc w:val="center"/>
            </w:pPr>
            <w:r>
              <w:rPr>
                <w:szCs w:val="22"/>
              </w:rPr>
              <w:t>115.9</w:t>
            </w:r>
          </w:p>
        </w:tc>
        <w:tc>
          <w:tcPr>
            <w:tcW w:w="992" w:type="dxa"/>
            <w:vAlign w:val="bottom"/>
          </w:tcPr>
          <w:p>
            <w:pPr>
              <w:pStyle w:val="yTableNAm"/>
              <w:jc w:val="center"/>
            </w:pPr>
            <w:r>
              <w:rPr>
                <w:szCs w:val="22"/>
              </w:rPr>
              <w:t>151.8</w:t>
            </w:r>
          </w:p>
        </w:tc>
        <w:tc>
          <w:tcPr>
            <w:tcW w:w="992" w:type="dxa"/>
            <w:vAlign w:val="bottom"/>
          </w:tcPr>
          <w:p>
            <w:pPr>
              <w:pStyle w:val="yTableNAm"/>
              <w:jc w:val="center"/>
            </w:pPr>
            <w:r>
              <w:rPr>
                <w:szCs w:val="22"/>
              </w:rPr>
              <w:t>151.8</w:t>
            </w:r>
          </w:p>
        </w:tc>
        <w:tc>
          <w:tcPr>
            <w:tcW w:w="992" w:type="dxa"/>
            <w:vAlign w:val="bottom"/>
          </w:tcPr>
          <w:p>
            <w:pPr>
              <w:pStyle w:val="yTableNAm"/>
              <w:jc w:val="center"/>
            </w:pPr>
            <w:r>
              <w:rPr>
                <w:szCs w:val="22"/>
              </w:rPr>
              <w:t>151.8</w:t>
            </w:r>
          </w:p>
        </w:tc>
        <w:tc>
          <w:tcPr>
            <w:tcW w:w="994" w:type="dxa"/>
            <w:vAlign w:val="bottom"/>
          </w:tcPr>
          <w:p>
            <w:pPr>
              <w:pStyle w:val="yTableNAm"/>
              <w:jc w:val="center"/>
            </w:pPr>
            <w:r>
              <w:rPr>
                <w:szCs w:val="22"/>
              </w:rPr>
              <w:t>151.8</w:t>
            </w:r>
          </w:p>
        </w:tc>
      </w:tr>
      <w:tr>
        <w:trPr>
          <w:cantSplit/>
        </w:trPr>
        <w:tc>
          <w:tcPr>
            <w:tcW w:w="992" w:type="dxa"/>
          </w:tcPr>
          <w:p>
            <w:pPr>
              <w:pStyle w:val="yTableNAm"/>
            </w:pPr>
            <w:r>
              <w:t>Over 150 but not over 300</w:t>
            </w:r>
          </w:p>
        </w:tc>
        <w:tc>
          <w:tcPr>
            <w:tcW w:w="992" w:type="dxa"/>
            <w:vAlign w:val="bottom"/>
          </w:tcPr>
          <w:p>
            <w:pPr>
              <w:pStyle w:val="yTableNAm"/>
              <w:jc w:val="center"/>
            </w:pPr>
            <w:r>
              <w:rPr>
                <w:szCs w:val="22"/>
              </w:rPr>
              <w:t>154.3</w:t>
            </w:r>
          </w:p>
        </w:tc>
        <w:tc>
          <w:tcPr>
            <w:tcW w:w="992" w:type="dxa"/>
            <w:vAlign w:val="bottom"/>
          </w:tcPr>
          <w:p>
            <w:pPr>
              <w:pStyle w:val="yTableNAm"/>
              <w:jc w:val="center"/>
            </w:pPr>
            <w:r>
              <w:rPr>
                <w:szCs w:val="22"/>
              </w:rPr>
              <w:t>202.3</w:t>
            </w:r>
          </w:p>
        </w:tc>
        <w:tc>
          <w:tcPr>
            <w:tcW w:w="992" w:type="dxa"/>
            <w:vAlign w:val="bottom"/>
          </w:tcPr>
          <w:p>
            <w:pPr>
              <w:pStyle w:val="yTableNAm"/>
              <w:jc w:val="center"/>
            </w:pPr>
            <w:r>
              <w:rPr>
                <w:szCs w:val="22"/>
              </w:rPr>
              <w:t>202.3</w:t>
            </w:r>
          </w:p>
        </w:tc>
        <w:tc>
          <w:tcPr>
            <w:tcW w:w="992" w:type="dxa"/>
            <w:vAlign w:val="bottom"/>
          </w:tcPr>
          <w:p>
            <w:pPr>
              <w:pStyle w:val="yTableNAm"/>
              <w:jc w:val="center"/>
            </w:pPr>
            <w:r>
              <w:rPr>
                <w:szCs w:val="22"/>
              </w:rPr>
              <w:t>202.3</w:t>
            </w:r>
          </w:p>
        </w:tc>
        <w:tc>
          <w:tcPr>
            <w:tcW w:w="994" w:type="dxa"/>
            <w:vAlign w:val="bottom"/>
          </w:tcPr>
          <w:p>
            <w:pPr>
              <w:pStyle w:val="yTableNAm"/>
              <w:jc w:val="center"/>
            </w:pPr>
            <w:r>
              <w:rPr>
                <w:szCs w:val="22"/>
              </w:rPr>
              <w:t>202.3</w:t>
            </w:r>
          </w:p>
        </w:tc>
      </w:tr>
      <w:tr>
        <w:trPr>
          <w:cantSplit/>
        </w:trPr>
        <w:tc>
          <w:tcPr>
            <w:tcW w:w="992" w:type="dxa"/>
          </w:tcPr>
          <w:p>
            <w:pPr>
              <w:pStyle w:val="yTableNAm"/>
            </w:pPr>
            <w:r>
              <w:t>Over 300 but not over 550</w:t>
            </w:r>
          </w:p>
        </w:tc>
        <w:tc>
          <w:tcPr>
            <w:tcW w:w="992" w:type="dxa"/>
            <w:vAlign w:val="bottom"/>
          </w:tcPr>
          <w:p>
            <w:pPr>
              <w:pStyle w:val="yTableNAm"/>
              <w:jc w:val="center"/>
            </w:pPr>
            <w:r>
              <w:rPr>
                <w:szCs w:val="22"/>
              </w:rPr>
              <w:t>163.3</w:t>
            </w:r>
          </w:p>
        </w:tc>
        <w:tc>
          <w:tcPr>
            <w:tcW w:w="992" w:type="dxa"/>
            <w:vAlign w:val="bottom"/>
          </w:tcPr>
          <w:p>
            <w:pPr>
              <w:pStyle w:val="yTableNAm"/>
              <w:jc w:val="center"/>
            </w:pPr>
            <w:r>
              <w:rPr>
                <w:szCs w:val="22"/>
              </w:rPr>
              <w:t>224.5</w:t>
            </w:r>
          </w:p>
        </w:tc>
        <w:tc>
          <w:tcPr>
            <w:tcW w:w="992" w:type="dxa"/>
            <w:vAlign w:val="bottom"/>
          </w:tcPr>
          <w:p>
            <w:pPr>
              <w:pStyle w:val="yTableNAm"/>
              <w:jc w:val="center"/>
            </w:pPr>
            <w:r>
              <w:rPr>
                <w:szCs w:val="22"/>
              </w:rPr>
              <w:t>299.1</w:t>
            </w:r>
          </w:p>
        </w:tc>
        <w:tc>
          <w:tcPr>
            <w:tcW w:w="992" w:type="dxa"/>
            <w:vAlign w:val="bottom"/>
          </w:tcPr>
          <w:p>
            <w:pPr>
              <w:pStyle w:val="yTableNAm"/>
              <w:jc w:val="center"/>
            </w:pPr>
            <w:r>
              <w:rPr>
                <w:szCs w:val="22"/>
              </w:rPr>
              <w:t>351.7</w:t>
            </w:r>
          </w:p>
        </w:tc>
        <w:tc>
          <w:tcPr>
            <w:tcW w:w="994" w:type="dxa"/>
            <w:vAlign w:val="bottom"/>
          </w:tcPr>
          <w:p>
            <w:pPr>
              <w:pStyle w:val="yTableNAm"/>
              <w:jc w:val="center"/>
            </w:pPr>
            <w:r>
              <w:rPr>
                <w:szCs w:val="22"/>
              </w:rPr>
              <w:t>413.8</w:t>
            </w:r>
          </w:p>
        </w:tc>
      </w:tr>
      <w:tr>
        <w:trPr>
          <w:cantSplit/>
        </w:trPr>
        <w:tc>
          <w:tcPr>
            <w:tcW w:w="992" w:type="dxa"/>
            <w:tcBorders>
              <w:bottom w:val="single" w:sz="4" w:space="0" w:color="auto"/>
            </w:tcBorders>
          </w:tcPr>
          <w:p>
            <w:pPr>
              <w:pStyle w:val="yTableNAm"/>
            </w:pPr>
            <w:r>
              <w:t>Over 550</w:t>
            </w:r>
          </w:p>
        </w:tc>
        <w:tc>
          <w:tcPr>
            <w:tcW w:w="992" w:type="dxa"/>
            <w:tcBorders>
              <w:bottom w:val="single" w:sz="4" w:space="0" w:color="auto"/>
            </w:tcBorders>
            <w:vAlign w:val="bottom"/>
          </w:tcPr>
          <w:p>
            <w:pPr>
              <w:pStyle w:val="yTableNAm"/>
              <w:jc w:val="center"/>
            </w:pPr>
            <w:r>
              <w:rPr>
                <w:szCs w:val="22"/>
              </w:rPr>
              <w:t>190.5</w:t>
            </w:r>
          </w:p>
        </w:tc>
        <w:tc>
          <w:tcPr>
            <w:tcW w:w="992" w:type="dxa"/>
            <w:tcBorders>
              <w:bottom w:val="single" w:sz="4" w:space="0" w:color="auto"/>
            </w:tcBorders>
            <w:vAlign w:val="bottom"/>
          </w:tcPr>
          <w:p>
            <w:pPr>
              <w:pStyle w:val="yTableNAm"/>
              <w:jc w:val="center"/>
            </w:pPr>
            <w:r>
              <w:rPr>
                <w:szCs w:val="22"/>
              </w:rPr>
              <w:t>286.4</w:t>
            </w:r>
          </w:p>
        </w:tc>
        <w:tc>
          <w:tcPr>
            <w:tcW w:w="992" w:type="dxa"/>
            <w:tcBorders>
              <w:bottom w:val="single" w:sz="4" w:space="0" w:color="auto"/>
            </w:tcBorders>
            <w:vAlign w:val="bottom"/>
          </w:tcPr>
          <w:p>
            <w:pPr>
              <w:pStyle w:val="yTableNAm"/>
              <w:jc w:val="center"/>
            </w:pPr>
            <w:r>
              <w:rPr>
                <w:szCs w:val="22"/>
              </w:rPr>
              <w:t>381.3</w:t>
            </w:r>
          </w:p>
        </w:tc>
        <w:tc>
          <w:tcPr>
            <w:tcW w:w="992" w:type="dxa"/>
            <w:tcBorders>
              <w:bottom w:val="single" w:sz="4" w:space="0" w:color="auto"/>
            </w:tcBorders>
            <w:vAlign w:val="bottom"/>
          </w:tcPr>
          <w:p>
            <w:pPr>
              <w:pStyle w:val="yTableNAm"/>
              <w:jc w:val="center"/>
            </w:pPr>
            <w:r>
              <w:rPr>
                <w:szCs w:val="22"/>
              </w:rPr>
              <w:t>527.5</w:t>
            </w:r>
          </w:p>
        </w:tc>
        <w:tc>
          <w:tcPr>
            <w:tcW w:w="994" w:type="dxa"/>
            <w:tcBorders>
              <w:bottom w:val="single" w:sz="4" w:space="0" w:color="auto"/>
            </w:tcBorders>
            <w:vAlign w:val="bottom"/>
          </w:tcPr>
          <w:p>
            <w:pPr>
              <w:pStyle w:val="yTableNAm"/>
              <w:jc w:val="center"/>
            </w:pPr>
            <w:r>
              <w:rPr>
                <w:szCs w:val="22"/>
              </w:rPr>
              <w:t>711.4</w:t>
            </w:r>
          </w:p>
        </w:tc>
      </w:tr>
    </w:tbl>
    <w:p>
      <w:pPr>
        <w:pStyle w:val="yMiscellaneousBody"/>
        <w:tabs>
          <w:tab w:val="left" w:pos="284"/>
          <w:tab w:val="right" w:leader="dot" w:pos="6804"/>
        </w:tabs>
        <w:ind w:left="879" w:right="1983" w:hanging="879"/>
      </w:pPr>
      <w:r>
        <w:tab/>
        <w:t>(2)</w:t>
      </w:r>
      <w:r>
        <w:tab/>
        <w:t>Sub</w:t>
      </w:r>
      <w:r>
        <w:noBreakHyphen/>
        <w:t xml:space="preserve">item (1) applies unless the land is located —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in the town of Cue, Laverton, Leonora, Meekatharra, Menzies, Mount Magnet, Mullewa, Sandstone, Wiluna or Yalgoo; or</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north of 26°S Latitude,</w:t>
      </w:r>
    </w:p>
    <w:p>
      <w:pPr>
        <w:pStyle w:val="yMiscellaneousBody"/>
        <w:tabs>
          <w:tab w:val="left" w:pos="284"/>
          <w:tab w:val="right" w:leader="dot" w:pos="6804"/>
        </w:tabs>
        <w:spacing w:after="80"/>
        <w:ind w:left="879" w:right="1985" w:hanging="879"/>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328"/>
        <w:gridCol w:w="971"/>
        <w:gridCol w:w="972"/>
        <w:gridCol w:w="972"/>
        <w:gridCol w:w="972"/>
        <w:gridCol w:w="1048"/>
      </w:tblGrid>
      <w:tr>
        <w:trPr>
          <w:cantSplit/>
          <w:tblHeader/>
        </w:trPr>
        <w:tc>
          <w:tcPr>
            <w:tcW w:w="1328" w:type="dxa"/>
            <w:tcBorders>
              <w:top w:val="single" w:sz="4" w:space="0" w:color="auto"/>
              <w:bottom w:val="single" w:sz="4" w:space="0" w:color="auto"/>
            </w:tcBorders>
          </w:tcPr>
          <w:p>
            <w:pPr>
              <w:pStyle w:val="yTableNAm"/>
            </w:pPr>
            <w:r>
              <w:rPr>
                <w:b/>
                <w:bCs/>
              </w:rPr>
              <w:br w:type="page"/>
              <w:t>Consumption (kL)</w:t>
            </w:r>
          </w:p>
        </w:tc>
        <w:tc>
          <w:tcPr>
            <w:tcW w:w="971" w:type="dxa"/>
            <w:tcBorders>
              <w:top w:val="single" w:sz="4" w:space="0" w:color="auto"/>
              <w:bottom w:val="single" w:sz="4" w:space="0" w:color="auto"/>
            </w:tcBorders>
          </w:tcPr>
          <w:p>
            <w:pPr>
              <w:pStyle w:val="yTableNAm"/>
              <w:jc w:val="center"/>
            </w:pPr>
            <w:r>
              <w:rPr>
                <w:b/>
                <w:bCs/>
              </w:rPr>
              <w:t>Class 1 (cents)</w:t>
            </w:r>
          </w:p>
        </w:tc>
        <w:tc>
          <w:tcPr>
            <w:tcW w:w="972" w:type="dxa"/>
            <w:tcBorders>
              <w:top w:val="single" w:sz="4" w:space="0" w:color="auto"/>
              <w:bottom w:val="single" w:sz="4" w:space="0" w:color="auto"/>
            </w:tcBorders>
          </w:tcPr>
          <w:p>
            <w:pPr>
              <w:pStyle w:val="yTableNAm"/>
              <w:jc w:val="center"/>
            </w:pPr>
            <w:r>
              <w:rPr>
                <w:b/>
                <w:bCs/>
              </w:rPr>
              <w:t>Class 2 (cents)</w:t>
            </w:r>
          </w:p>
        </w:tc>
        <w:tc>
          <w:tcPr>
            <w:tcW w:w="972" w:type="dxa"/>
            <w:tcBorders>
              <w:top w:val="single" w:sz="4" w:space="0" w:color="auto"/>
              <w:bottom w:val="single" w:sz="4" w:space="0" w:color="auto"/>
            </w:tcBorders>
          </w:tcPr>
          <w:p>
            <w:pPr>
              <w:pStyle w:val="yTableNAm"/>
              <w:jc w:val="center"/>
            </w:pPr>
            <w:r>
              <w:rPr>
                <w:b/>
                <w:bCs/>
              </w:rPr>
              <w:t>Class 3 (cents)</w:t>
            </w:r>
          </w:p>
        </w:tc>
        <w:tc>
          <w:tcPr>
            <w:tcW w:w="972" w:type="dxa"/>
            <w:tcBorders>
              <w:top w:val="single" w:sz="4" w:space="0" w:color="auto"/>
              <w:bottom w:val="single" w:sz="4" w:space="0" w:color="auto"/>
            </w:tcBorders>
          </w:tcPr>
          <w:p>
            <w:pPr>
              <w:pStyle w:val="yTableNAm"/>
              <w:jc w:val="center"/>
            </w:pPr>
            <w:r>
              <w:rPr>
                <w:b/>
                <w:bCs/>
              </w:rPr>
              <w:t>Class 4 (cents)</w:t>
            </w:r>
          </w:p>
        </w:tc>
        <w:tc>
          <w:tcPr>
            <w:tcW w:w="1048" w:type="dxa"/>
            <w:tcBorders>
              <w:top w:val="single" w:sz="4" w:space="0" w:color="auto"/>
              <w:bottom w:val="single" w:sz="4" w:space="0" w:color="auto"/>
            </w:tcBorders>
          </w:tcPr>
          <w:p>
            <w:pPr>
              <w:pStyle w:val="yTableNAm"/>
              <w:jc w:val="center"/>
            </w:pPr>
            <w:r>
              <w:rPr>
                <w:b/>
                <w:bCs/>
              </w:rPr>
              <w:t>Class 5 (cents)</w:t>
            </w:r>
          </w:p>
        </w:tc>
      </w:tr>
      <w:tr>
        <w:trPr>
          <w:cantSplit/>
        </w:trPr>
        <w:tc>
          <w:tcPr>
            <w:tcW w:w="1328" w:type="dxa"/>
          </w:tcPr>
          <w:p>
            <w:pPr>
              <w:pStyle w:val="yTableNAm"/>
            </w:pPr>
            <w:r>
              <w:t>Up to 350</w:t>
            </w:r>
          </w:p>
        </w:tc>
        <w:tc>
          <w:tcPr>
            <w:tcW w:w="971" w:type="dxa"/>
            <w:vAlign w:val="bottom"/>
          </w:tcPr>
          <w:p>
            <w:pPr>
              <w:pStyle w:val="yTableNAm"/>
              <w:jc w:val="center"/>
            </w:pPr>
            <w:r>
              <w:rPr>
                <w:szCs w:val="22"/>
              </w:rPr>
              <w:t>115.9</w:t>
            </w:r>
          </w:p>
        </w:tc>
        <w:tc>
          <w:tcPr>
            <w:tcW w:w="972" w:type="dxa"/>
            <w:vAlign w:val="bottom"/>
          </w:tcPr>
          <w:p>
            <w:pPr>
              <w:pStyle w:val="yTableNAm"/>
              <w:jc w:val="center"/>
            </w:pPr>
            <w:r>
              <w:rPr>
                <w:szCs w:val="22"/>
              </w:rPr>
              <w:t>151.8</w:t>
            </w:r>
          </w:p>
        </w:tc>
        <w:tc>
          <w:tcPr>
            <w:tcW w:w="972" w:type="dxa"/>
            <w:vAlign w:val="bottom"/>
          </w:tcPr>
          <w:p>
            <w:pPr>
              <w:pStyle w:val="yTableNAm"/>
              <w:jc w:val="center"/>
            </w:pPr>
            <w:r>
              <w:rPr>
                <w:szCs w:val="22"/>
              </w:rPr>
              <w:t>151.8</w:t>
            </w:r>
          </w:p>
        </w:tc>
        <w:tc>
          <w:tcPr>
            <w:tcW w:w="972" w:type="dxa"/>
            <w:vAlign w:val="bottom"/>
          </w:tcPr>
          <w:p>
            <w:pPr>
              <w:pStyle w:val="yTableNAm"/>
              <w:jc w:val="center"/>
            </w:pPr>
            <w:r>
              <w:rPr>
                <w:szCs w:val="22"/>
              </w:rPr>
              <w:t>151.8</w:t>
            </w:r>
          </w:p>
        </w:tc>
        <w:tc>
          <w:tcPr>
            <w:tcW w:w="1048" w:type="dxa"/>
            <w:vAlign w:val="bottom"/>
          </w:tcPr>
          <w:p>
            <w:pPr>
              <w:pStyle w:val="yTableNAm"/>
              <w:jc w:val="center"/>
            </w:pPr>
            <w:r>
              <w:rPr>
                <w:szCs w:val="22"/>
              </w:rPr>
              <w:t>151.8</w:t>
            </w:r>
          </w:p>
        </w:tc>
      </w:tr>
      <w:tr>
        <w:trPr>
          <w:cantSplit/>
        </w:trPr>
        <w:tc>
          <w:tcPr>
            <w:tcW w:w="1328" w:type="dxa"/>
          </w:tcPr>
          <w:p>
            <w:pPr>
              <w:pStyle w:val="yTableNAm"/>
            </w:pPr>
            <w:r>
              <w:t>Over 350 but not over 500</w:t>
            </w:r>
          </w:p>
        </w:tc>
        <w:tc>
          <w:tcPr>
            <w:tcW w:w="971" w:type="dxa"/>
            <w:vAlign w:val="bottom"/>
          </w:tcPr>
          <w:p>
            <w:pPr>
              <w:pStyle w:val="yTableNAm"/>
              <w:jc w:val="center"/>
            </w:pPr>
            <w:r>
              <w:rPr>
                <w:szCs w:val="22"/>
              </w:rPr>
              <w:t>154.3</w:t>
            </w:r>
          </w:p>
        </w:tc>
        <w:tc>
          <w:tcPr>
            <w:tcW w:w="972" w:type="dxa"/>
            <w:vAlign w:val="bottom"/>
          </w:tcPr>
          <w:p>
            <w:pPr>
              <w:pStyle w:val="yTableNAm"/>
              <w:jc w:val="center"/>
            </w:pPr>
            <w:r>
              <w:rPr>
                <w:szCs w:val="22"/>
              </w:rPr>
              <w:t>202.3</w:t>
            </w:r>
          </w:p>
        </w:tc>
        <w:tc>
          <w:tcPr>
            <w:tcW w:w="972" w:type="dxa"/>
            <w:vAlign w:val="bottom"/>
          </w:tcPr>
          <w:p>
            <w:pPr>
              <w:pStyle w:val="yTableNAm"/>
              <w:jc w:val="center"/>
            </w:pPr>
            <w:r>
              <w:rPr>
                <w:szCs w:val="22"/>
              </w:rPr>
              <w:t>202.3</w:t>
            </w:r>
          </w:p>
        </w:tc>
        <w:tc>
          <w:tcPr>
            <w:tcW w:w="972" w:type="dxa"/>
            <w:vAlign w:val="bottom"/>
          </w:tcPr>
          <w:p>
            <w:pPr>
              <w:pStyle w:val="yTableNAm"/>
              <w:jc w:val="center"/>
            </w:pPr>
            <w:r>
              <w:rPr>
                <w:szCs w:val="22"/>
              </w:rPr>
              <w:t>202.3</w:t>
            </w:r>
          </w:p>
        </w:tc>
        <w:tc>
          <w:tcPr>
            <w:tcW w:w="1048" w:type="dxa"/>
            <w:vAlign w:val="bottom"/>
          </w:tcPr>
          <w:p>
            <w:pPr>
              <w:pStyle w:val="yTableNAm"/>
              <w:jc w:val="center"/>
            </w:pPr>
            <w:r>
              <w:rPr>
                <w:szCs w:val="22"/>
              </w:rPr>
              <w:t>202.3</w:t>
            </w:r>
          </w:p>
        </w:tc>
      </w:tr>
      <w:tr>
        <w:trPr>
          <w:cantSplit/>
        </w:trPr>
        <w:tc>
          <w:tcPr>
            <w:tcW w:w="1328" w:type="dxa"/>
          </w:tcPr>
          <w:p>
            <w:pPr>
              <w:pStyle w:val="yTableNAm"/>
            </w:pPr>
            <w:r>
              <w:t>Over 500 but not over 750</w:t>
            </w:r>
          </w:p>
        </w:tc>
        <w:tc>
          <w:tcPr>
            <w:tcW w:w="971" w:type="dxa"/>
            <w:vAlign w:val="bottom"/>
          </w:tcPr>
          <w:p>
            <w:pPr>
              <w:pStyle w:val="yTableNAm"/>
              <w:jc w:val="center"/>
            </w:pPr>
            <w:r>
              <w:rPr>
                <w:szCs w:val="22"/>
              </w:rPr>
              <w:t>163.3</w:t>
            </w:r>
          </w:p>
        </w:tc>
        <w:tc>
          <w:tcPr>
            <w:tcW w:w="972" w:type="dxa"/>
            <w:vAlign w:val="bottom"/>
          </w:tcPr>
          <w:p>
            <w:pPr>
              <w:pStyle w:val="yTableNAm"/>
              <w:jc w:val="center"/>
            </w:pPr>
            <w:r>
              <w:rPr>
                <w:szCs w:val="22"/>
              </w:rPr>
              <w:t>224.5</w:t>
            </w:r>
          </w:p>
        </w:tc>
        <w:tc>
          <w:tcPr>
            <w:tcW w:w="972" w:type="dxa"/>
            <w:vAlign w:val="bottom"/>
          </w:tcPr>
          <w:p>
            <w:pPr>
              <w:pStyle w:val="yTableNAm"/>
              <w:jc w:val="center"/>
            </w:pPr>
            <w:r>
              <w:rPr>
                <w:szCs w:val="22"/>
              </w:rPr>
              <w:t>299.1</w:t>
            </w:r>
          </w:p>
        </w:tc>
        <w:tc>
          <w:tcPr>
            <w:tcW w:w="972" w:type="dxa"/>
            <w:vAlign w:val="bottom"/>
          </w:tcPr>
          <w:p>
            <w:pPr>
              <w:pStyle w:val="yTableNAm"/>
              <w:jc w:val="center"/>
            </w:pPr>
            <w:r>
              <w:rPr>
                <w:szCs w:val="22"/>
              </w:rPr>
              <w:t>351.7</w:t>
            </w:r>
          </w:p>
        </w:tc>
        <w:tc>
          <w:tcPr>
            <w:tcW w:w="1048" w:type="dxa"/>
            <w:vAlign w:val="bottom"/>
          </w:tcPr>
          <w:p>
            <w:pPr>
              <w:pStyle w:val="yTableNAm"/>
              <w:jc w:val="center"/>
            </w:pPr>
            <w:r>
              <w:rPr>
                <w:szCs w:val="22"/>
              </w:rPr>
              <w:t>413.8</w:t>
            </w:r>
          </w:p>
        </w:tc>
      </w:tr>
      <w:tr>
        <w:trPr>
          <w:cantSplit/>
        </w:trPr>
        <w:tc>
          <w:tcPr>
            <w:tcW w:w="1328" w:type="dxa"/>
            <w:tcBorders>
              <w:bottom w:val="single" w:sz="4" w:space="0" w:color="auto"/>
            </w:tcBorders>
          </w:tcPr>
          <w:p>
            <w:pPr>
              <w:pStyle w:val="yTableNAm"/>
            </w:pPr>
            <w:r>
              <w:t>Over 750</w:t>
            </w:r>
          </w:p>
        </w:tc>
        <w:tc>
          <w:tcPr>
            <w:tcW w:w="971" w:type="dxa"/>
            <w:tcBorders>
              <w:bottom w:val="single" w:sz="4" w:space="0" w:color="auto"/>
            </w:tcBorders>
            <w:vAlign w:val="bottom"/>
          </w:tcPr>
          <w:p>
            <w:pPr>
              <w:pStyle w:val="yTableNAm"/>
              <w:jc w:val="center"/>
            </w:pPr>
            <w:r>
              <w:rPr>
                <w:szCs w:val="22"/>
              </w:rPr>
              <w:t>190.5</w:t>
            </w:r>
          </w:p>
        </w:tc>
        <w:tc>
          <w:tcPr>
            <w:tcW w:w="972" w:type="dxa"/>
            <w:tcBorders>
              <w:bottom w:val="single" w:sz="4" w:space="0" w:color="auto"/>
            </w:tcBorders>
            <w:vAlign w:val="bottom"/>
          </w:tcPr>
          <w:p>
            <w:pPr>
              <w:pStyle w:val="yTableNAm"/>
              <w:jc w:val="center"/>
            </w:pPr>
            <w:r>
              <w:rPr>
                <w:szCs w:val="22"/>
              </w:rPr>
              <w:t>286.4</w:t>
            </w:r>
          </w:p>
        </w:tc>
        <w:tc>
          <w:tcPr>
            <w:tcW w:w="972" w:type="dxa"/>
            <w:tcBorders>
              <w:bottom w:val="single" w:sz="4" w:space="0" w:color="auto"/>
            </w:tcBorders>
            <w:vAlign w:val="bottom"/>
          </w:tcPr>
          <w:p>
            <w:pPr>
              <w:pStyle w:val="yTableNAm"/>
              <w:jc w:val="center"/>
            </w:pPr>
            <w:r>
              <w:rPr>
                <w:szCs w:val="22"/>
              </w:rPr>
              <w:t>381.3</w:t>
            </w:r>
          </w:p>
        </w:tc>
        <w:tc>
          <w:tcPr>
            <w:tcW w:w="972" w:type="dxa"/>
            <w:tcBorders>
              <w:bottom w:val="single" w:sz="4" w:space="0" w:color="auto"/>
            </w:tcBorders>
            <w:vAlign w:val="bottom"/>
          </w:tcPr>
          <w:p>
            <w:pPr>
              <w:pStyle w:val="yTableNAm"/>
              <w:jc w:val="center"/>
            </w:pPr>
            <w:r>
              <w:rPr>
                <w:szCs w:val="22"/>
              </w:rPr>
              <w:t>527.5</w:t>
            </w:r>
          </w:p>
        </w:tc>
        <w:tc>
          <w:tcPr>
            <w:tcW w:w="1048" w:type="dxa"/>
            <w:tcBorders>
              <w:bottom w:val="single" w:sz="4" w:space="0" w:color="auto"/>
            </w:tcBorders>
            <w:vAlign w:val="bottom"/>
          </w:tcPr>
          <w:p>
            <w:pPr>
              <w:pStyle w:val="yTableNAm"/>
              <w:jc w:val="center"/>
            </w:pPr>
            <w:r>
              <w:rPr>
                <w:szCs w:val="22"/>
              </w:rPr>
              <w:t>711.4</w:t>
            </w:r>
          </w:p>
        </w:tc>
      </w:tr>
    </w:tbl>
    <w:p>
      <w:pPr>
        <w:pStyle w:val="yMiscellaneousBody"/>
        <w:tabs>
          <w:tab w:val="left" w:pos="284"/>
          <w:tab w:val="right" w:leader="dot" w:pos="6804"/>
        </w:tabs>
        <w:ind w:left="879" w:right="1983" w:hanging="879"/>
      </w:pPr>
      <w:r>
        <w:tab/>
        <w:t>(3)</w:t>
      </w:r>
      <w:r>
        <w:tab/>
        <w:t>A charge under sub</w:t>
      </w:r>
      <w:r>
        <w:noBreakHyphen/>
        <w:t>item (1) or (2) does not apply to the supply of water for which a more specific charge is provided in this Subdivision.</w:t>
      </w:r>
    </w:p>
    <w:p>
      <w:pPr>
        <w:pStyle w:val="yHeading5"/>
        <w:spacing w:before="180"/>
      </w:pPr>
      <w:bookmarkStart w:id="182" w:name="_Toc434929842"/>
      <w:r>
        <w:rPr>
          <w:rStyle w:val="CharSClsNo"/>
        </w:rPr>
        <w:t>31</w:t>
      </w:r>
      <w:r>
        <w:t>.</w:t>
      </w:r>
      <w:r>
        <w:tab/>
        <w:t>Non</w:t>
      </w:r>
      <w:r>
        <w:noBreakHyphen/>
        <w:t>metropolitan non</w:t>
      </w:r>
      <w:r>
        <w:noBreakHyphen/>
        <w:t>residential</w:t>
      </w:r>
      <w:bookmarkEnd w:id="182"/>
    </w:p>
    <w:p>
      <w:pPr>
        <w:pStyle w:val="yMiscellaneousBody"/>
        <w:tabs>
          <w:tab w:val="left" w:pos="284"/>
          <w:tab w:val="right" w:leader="dot" w:pos="6804"/>
        </w:tabs>
        <w:ind w:left="879" w:right="1983" w:hanging="879"/>
      </w:pPr>
      <w:r>
        <w:tab/>
        <w:t>(1)</w:t>
      </w:r>
      <w:r>
        <w:tab/>
        <w:t>For each kilolitre of water supplied to land in the non</w:t>
      </w:r>
      <w:r>
        <w:noBreakHyphen/>
        <w:t>metropolitan area that is neither classified as residential nor classified as vacant land but held for residential purposes, the charge is —</w:t>
      </w:r>
    </w:p>
    <w:p>
      <w:pPr>
        <w:pStyle w:val="yMiscellaneousBody"/>
        <w:tabs>
          <w:tab w:val="left" w:pos="1134"/>
          <w:tab w:val="left" w:pos="1560"/>
          <w:tab w:val="right" w:leader="dot" w:pos="6804"/>
        </w:tabs>
        <w:spacing w:before="120"/>
        <w:ind w:left="1559" w:right="1985" w:hanging="1559"/>
      </w:pPr>
      <w:r>
        <w:tab/>
        <w:t>(a)</w:t>
      </w:r>
      <w:r>
        <w:tab/>
        <w:t xml:space="preserve">if </w:t>
      </w:r>
      <w:r>
        <w:rPr>
          <w:szCs w:val="22"/>
        </w:rPr>
        <w:t>the</w:t>
      </w:r>
      <w:r>
        <w:t xml:space="preserve"> land is classified as local government, institutional public or charitable purposes </w:t>
      </w:r>
      <w:r>
        <w:tab/>
        <w:t xml:space="preserve"> </w:t>
      </w:r>
      <w:r>
        <w:rPr>
          <w:szCs w:val="22"/>
        </w:rPr>
        <w:t>215.9</w:t>
      </w:r>
      <w:r>
        <w:t xml:space="preserve"> cents</w:t>
      </w:r>
    </w:p>
    <w:p>
      <w:pPr>
        <w:pStyle w:val="yMiscellaneousBody"/>
        <w:tabs>
          <w:tab w:val="left" w:pos="1134"/>
          <w:tab w:val="left" w:pos="1560"/>
          <w:tab w:val="right" w:leader="dot" w:pos="6804"/>
        </w:tabs>
        <w:spacing w:before="120"/>
        <w:ind w:left="1559" w:right="1985" w:hanging="1559"/>
      </w:pPr>
      <w:r>
        <w:tab/>
        <w:t>(b)</w:t>
      </w:r>
      <w:r>
        <w:tab/>
        <w:t xml:space="preserve">if the land is classified as farmland </w:t>
      </w:r>
      <w:r>
        <w:tab/>
        <w:t xml:space="preserve"> </w:t>
      </w:r>
      <w:r>
        <w:rPr>
          <w:szCs w:val="22"/>
        </w:rPr>
        <w:t>209.2</w:t>
      </w:r>
      <w:r>
        <w:t xml:space="preserve"> cents</w:t>
      </w:r>
    </w:p>
    <w:p>
      <w:pPr>
        <w:pStyle w:val="yMiscellaneousBody"/>
        <w:tabs>
          <w:tab w:val="left" w:pos="1134"/>
          <w:tab w:val="left" w:pos="1560"/>
          <w:tab w:val="right" w:leader="dot" w:pos="6804"/>
        </w:tabs>
        <w:spacing w:before="120"/>
        <w:ind w:left="1559" w:right="1985" w:hanging="1559"/>
        <w:rPr>
          <w:szCs w:val="22"/>
        </w:rPr>
      </w:pPr>
      <w:r>
        <w:rPr>
          <w:szCs w:val="22"/>
        </w:rPr>
        <w:tab/>
        <w:t>(c)</w:t>
      </w:r>
      <w:r>
        <w:rPr>
          <w:szCs w:val="22"/>
        </w:rPr>
        <w:tab/>
        <w:t>if the land is classified as mining — the charge applicable in the Table in item 25 according to the non</w:t>
      </w:r>
      <w:r>
        <w:rPr>
          <w:szCs w:val="22"/>
        </w:rPr>
        <w:noBreakHyphen/>
        <w:t>residential class of the town or area in which the land is located, except that the Table is to have effect as if the charge for classes 10 to 15 were 515.2 cents;</w:t>
      </w:r>
    </w:p>
    <w:p>
      <w:pPr>
        <w:pStyle w:val="yMiscellaneousBody"/>
        <w:tabs>
          <w:tab w:val="left" w:pos="1134"/>
          <w:tab w:val="left" w:pos="1560"/>
          <w:tab w:val="right" w:leader="dot" w:pos="6804"/>
        </w:tabs>
        <w:spacing w:before="120"/>
        <w:ind w:left="1559" w:right="1985" w:hanging="1559"/>
        <w:rPr>
          <w:szCs w:val="22"/>
        </w:rPr>
      </w:pPr>
      <w:r>
        <w:rPr>
          <w:szCs w:val="22"/>
        </w:rPr>
        <w:tab/>
        <w:t>(d)</w:t>
      </w:r>
      <w:r>
        <w:rPr>
          <w:szCs w:val="22"/>
        </w:rPr>
        <w:tab/>
        <w:t>if the land is classified as non</w:t>
      </w:r>
      <w:r>
        <w:rPr>
          <w:szCs w:val="22"/>
        </w:rPr>
        <w:noBreakHyphen/>
        <w:t>residential or vacant land — the charge applicable in the Table in item 25 according to the non</w:t>
      </w:r>
      <w:r>
        <w:rPr>
          <w:szCs w:val="22"/>
        </w:rPr>
        <w:noBreakHyphen/>
        <w:t>residential class of the town or area in which the land is located;</w:t>
      </w:r>
    </w:p>
    <w:p>
      <w:pPr>
        <w:pStyle w:val="yMiscellaneousBody"/>
        <w:tabs>
          <w:tab w:val="left" w:pos="1134"/>
          <w:tab w:val="left" w:pos="1560"/>
          <w:tab w:val="right" w:leader="dot" w:pos="6804"/>
        </w:tabs>
        <w:spacing w:before="120"/>
        <w:ind w:left="1559" w:right="1985" w:hanging="1559"/>
        <w:rPr>
          <w:szCs w:val="22"/>
        </w:rPr>
      </w:pPr>
      <w:r>
        <w:rPr>
          <w:szCs w:val="22"/>
        </w:rPr>
        <w:tab/>
        <w:t>(e)</w:t>
      </w:r>
      <w:r>
        <w:rPr>
          <w:szCs w:val="22"/>
        </w:rPr>
        <w:tab/>
        <w:t>if the land is classified as commercial residential —</w:t>
      </w:r>
    </w:p>
    <w:p>
      <w:pPr>
        <w:pStyle w:val="yMiscellaneousBody"/>
        <w:tabs>
          <w:tab w:val="left" w:pos="1701"/>
          <w:tab w:val="left" w:pos="2127"/>
          <w:tab w:val="right" w:leader="dot" w:pos="6804"/>
        </w:tabs>
        <w:spacing w:before="80"/>
        <w:ind w:left="2127" w:right="1985" w:hanging="2127"/>
        <w:rPr>
          <w:szCs w:val="22"/>
        </w:rPr>
      </w:pPr>
      <w:r>
        <w:tab/>
        <w:t xml:space="preserve">up to 150 kL </w:t>
      </w:r>
      <w:r>
        <w:tab/>
        <w:t xml:space="preserve"> </w:t>
      </w:r>
      <w:r>
        <w:rPr>
          <w:szCs w:val="22"/>
        </w:rPr>
        <w:t>151.8 cents</w:t>
      </w:r>
    </w:p>
    <w:p>
      <w:pPr>
        <w:pStyle w:val="yMiscellaneousBody"/>
        <w:tabs>
          <w:tab w:val="left" w:pos="1701"/>
          <w:tab w:val="right" w:leader="dot" w:pos="6804"/>
        </w:tabs>
        <w:spacing w:before="80"/>
        <w:ind w:left="1701" w:right="1985" w:hanging="1701"/>
        <w:rPr>
          <w:szCs w:val="22"/>
        </w:rPr>
      </w:pPr>
      <w:r>
        <w:tab/>
        <w:t>over 150 kL</w:t>
      </w:r>
      <w:r>
        <w:rPr>
          <w:szCs w:val="22"/>
        </w:rPr>
        <w:t> — the charge applicable in the Table in item 25 according to the non</w:t>
      </w:r>
      <w:r>
        <w:rPr>
          <w:szCs w:val="22"/>
        </w:rPr>
        <w:noBreakHyphen/>
        <w:t>residential class of the town or area in which the land is located.</w:t>
      </w:r>
    </w:p>
    <w:p>
      <w:pPr>
        <w:pStyle w:val="yMiscellaneousBody"/>
        <w:tabs>
          <w:tab w:val="left" w:pos="284"/>
          <w:tab w:val="right" w:leader="dot" w:pos="6804"/>
        </w:tabs>
        <w:ind w:left="879" w:right="1983" w:hanging="879"/>
      </w:pPr>
      <w:r>
        <w:tab/>
        <w:t>(2)</w:t>
      </w:r>
      <w:r>
        <w:tab/>
        <w:t>A charge under sub</w:t>
      </w:r>
      <w:r>
        <w:noBreakHyphen/>
        <w:t>item (1) does not apply to the supply of water for which a more specific charge is provided in this Subdivision.</w:t>
      </w:r>
    </w:p>
    <w:p>
      <w:pPr>
        <w:pStyle w:val="yHeading5"/>
      </w:pPr>
      <w:bookmarkStart w:id="183" w:name="_Toc434929843"/>
      <w:r>
        <w:rPr>
          <w:rStyle w:val="CharSClsNo"/>
        </w:rPr>
        <w:t>32</w:t>
      </w:r>
      <w:r>
        <w:t>.</w:t>
      </w:r>
      <w:r>
        <w:tab/>
        <w:t>Non</w:t>
      </w:r>
      <w:r>
        <w:noBreakHyphen/>
        <w:t>metropolitan residential concessional</w:t>
      </w:r>
      <w:bookmarkEnd w:id="183"/>
    </w:p>
    <w:p>
      <w:pPr>
        <w:pStyle w:val="yMiscellaneousBody"/>
        <w:tabs>
          <w:tab w:val="left" w:pos="284"/>
          <w:tab w:val="right" w:leader="dot" w:pos="6804"/>
        </w:tabs>
        <w:ind w:left="879" w:right="1983" w:hanging="879"/>
      </w:pPr>
      <w:r>
        <w:tab/>
        <w:t>(1)</w:t>
      </w:r>
      <w:r>
        <w:tab/>
      </w:r>
      <w:r>
        <w:rPr>
          <w:szCs w:val="22"/>
        </w:rPr>
        <w:t xml:space="preserve">For each </w:t>
      </w:r>
      <w:r>
        <w:t>kilolitre of water supplied to concessional land in the non</w:t>
      </w:r>
      <w:r>
        <w:noBreakHyphen/>
        <w:t>metropolitan</w:t>
      </w:r>
      <w:r>
        <w:rPr>
          <w:szCs w:val="22"/>
        </w:rPr>
        <w:t xml:space="preserve"> area </w:t>
      </w:r>
      <w:r>
        <w:t xml:space="preserve">that is contained in a </w:t>
      </w:r>
      <w:r>
        <w:rPr>
          <w:szCs w:val="22"/>
        </w:rPr>
        <w:t xml:space="preserve">residential </w:t>
      </w:r>
      <w:r>
        <w:t>property</w:t>
      </w:r>
      <w:r>
        <w:rPr>
          <w:szCs w:val="22"/>
        </w:rPr>
        <w:t xml:space="preserve">, the charge is </w:t>
      </w:r>
      <w:r>
        <w:rPr>
          <w:szCs w:val="22"/>
        </w:rPr>
        <w:tab/>
        <w:t xml:space="preserve"> 215.9</w:t>
      </w:r>
      <w:r>
        <w:t xml:space="preserve"> cents</w:t>
      </w:r>
    </w:p>
    <w:p>
      <w:pPr>
        <w:pStyle w:val="yMiscellaneousBody"/>
        <w:tabs>
          <w:tab w:val="left" w:pos="284"/>
          <w:tab w:val="right" w:leader="dot" w:pos="6804"/>
        </w:tabs>
        <w:ind w:left="879" w:right="1983" w:hanging="879"/>
      </w:pPr>
      <w:r>
        <w:tab/>
        <w:t>(2)</w:t>
      </w:r>
      <w:r>
        <w:tab/>
        <w:t>A charge under sub</w:t>
      </w:r>
      <w:r>
        <w:noBreakHyphen/>
        <w:t>item (1) does not apply to the supply of water for which a more specific charge is provided in this Subdivision.</w:t>
      </w:r>
    </w:p>
    <w:p>
      <w:pPr>
        <w:pStyle w:val="yHeading5"/>
        <w:spacing w:before="180"/>
      </w:pPr>
      <w:bookmarkStart w:id="184" w:name="_Toc434929844"/>
      <w:r>
        <w:rPr>
          <w:rStyle w:val="CharSClsNo"/>
        </w:rPr>
        <w:t>33</w:t>
      </w:r>
      <w:r>
        <w:t>.</w:t>
      </w:r>
      <w:r>
        <w:tab/>
        <w:t>Strata</w:t>
      </w:r>
      <w:r>
        <w:noBreakHyphen/>
        <w:t>titled or long</w:t>
      </w:r>
      <w:r>
        <w:noBreakHyphen/>
        <w:t>term residential caravan bays</w:t>
      </w:r>
      <w:bookmarkEnd w:id="184"/>
    </w:p>
    <w:p>
      <w:pPr>
        <w:pStyle w:val="yMiscellaneousBody"/>
        <w:tabs>
          <w:tab w:val="left" w:pos="284"/>
          <w:tab w:val="right" w:leader="dot" w:pos="6804"/>
        </w:tabs>
        <w:ind w:left="879" w:right="1983" w:hanging="879"/>
      </w:pPr>
      <w:r>
        <w:tab/>
        <w:t>(1)</w:t>
      </w:r>
      <w:r>
        <w:tab/>
        <w:t>For each kilolitre of water supplied to a strata</w:t>
      </w:r>
      <w:r>
        <w:noBreakHyphen/>
        <w:t>titled caravan bay, or a long</w:t>
      </w:r>
      <w:r>
        <w:noBreakHyphen/>
        <w:t xml:space="preserve">term residential caravan bay, in the metropolitan area, the charge is — </w:t>
      </w:r>
    </w:p>
    <w:p>
      <w:pPr>
        <w:pStyle w:val="yMiscellaneousBody"/>
        <w:tabs>
          <w:tab w:val="left" w:pos="1134"/>
          <w:tab w:val="left" w:pos="1560"/>
          <w:tab w:val="right" w:leader="dot" w:pos="6804"/>
        </w:tabs>
        <w:spacing w:before="80"/>
        <w:ind w:left="1559" w:right="1985" w:hanging="1559"/>
      </w:pPr>
      <w:r>
        <w:tab/>
        <w:t xml:space="preserve">up to 150 kL </w:t>
      </w:r>
      <w:r>
        <w:tab/>
        <w:t xml:space="preserve"> </w:t>
      </w:r>
      <w:r>
        <w:rPr>
          <w:szCs w:val="22"/>
        </w:rPr>
        <w:t>151.8</w:t>
      </w:r>
      <w:r>
        <w:t xml:space="preserve"> cents</w:t>
      </w:r>
    </w:p>
    <w:p>
      <w:pPr>
        <w:pStyle w:val="yMiscellaneousBody"/>
        <w:tabs>
          <w:tab w:val="left" w:pos="1134"/>
          <w:tab w:val="left" w:pos="1560"/>
          <w:tab w:val="right" w:leader="dot" w:pos="6804"/>
        </w:tabs>
        <w:spacing w:before="80"/>
        <w:ind w:left="1559" w:right="1985" w:hanging="1559"/>
      </w:pPr>
      <w:r>
        <w:tab/>
        <w:t xml:space="preserve">over 150 kL </w:t>
      </w:r>
      <w:r>
        <w:tab/>
        <w:t xml:space="preserve"> </w:t>
      </w:r>
      <w:r>
        <w:rPr>
          <w:szCs w:val="22"/>
        </w:rPr>
        <w:t>209.3</w:t>
      </w:r>
      <w:r>
        <w:t xml:space="preserve"> cents</w:t>
      </w:r>
    </w:p>
    <w:p>
      <w:pPr>
        <w:pStyle w:val="yMiscellaneousBody"/>
        <w:tabs>
          <w:tab w:val="left" w:pos="284"/>
          <w:tab w:val="right" w:leader="dot" w:pos="6804"/>
        </w:tabs>
        <w:spacing w:before="120"/>
        <w:ind w:left="879" w:right="1985" w:hanging="879"/>
      </w:pPr>
      <w:r>
        <w:tab/>
        <w:t>(2)</w:t>
      </w:r>
      <w:r>
        <w:tab/>
        <w:t>For each kilolitre of water supplied to a strata</w:t>
      </w:r>
      <w:r>
        <w:noBreakHyphen/>
        <w:t>titled caravan bay, or a long</w:t>
      </w:r>
      <w:r>
        <w:noBreakHyphen/>
        <w:t>term residential caravan bay, in the non</w:t>
      </w:r>
      <w:r>
        <w:noBreakHyphen/>
        <w:t xml:space="preserve">metropolitan area, the charge is — </w:t>
      </w:r>
    </w:p>
    <w:p>
      <w:pPr>
        <w:pStyle w:val="yMiscellaneousBody"/>
        <w:tabs>
          <w:tab w:val="left" w:pos="1134"/>
          <w:tab w:val="left" w:pos="1560"/>
          <w:tab w:val="right" w:leader="dot" w:pos="6804"/>
        </w:tabs>
        <w:spacing w:before="80"/>
        <w:ind w:left="1559" w:right="1985" w:hanging="1559"/>
      </w:pPr>
      <w:r>
        <w:tab/>
        <w:t xml:space="preserve">up to 150 kL </w:t>
      </w:r>
      <w:r>
        <w:tab/>
        <w:t xml:space="preserve"> </w:t>
      </w:r>
      <w:r>
        <w:rPr>
          <w:szCs w:val="22"/>
        </w:rPr>
        <w:t>151.8</w:t>
      </w:r>
      <w:r>
        <w:t xml:space="preserve"> cents</w:t>
      </w:r>
    </w:p>
    <w:p>
      <w:pPr>
        <w:pStyle w:val="yMiscellaneousBody"/>
        <w:tabs>
          <w:tab w:val="left" w:pos="1134"/>
          <w:tab w:val="right" w:leader="dot" w:pos="6804"/>
        </w:tabs>
        <w:spacing w:before="80"/>
        <w:ind w:left="1134" w:right="1985" w:hanging="1134"/>
      </w:pPr>
      <w:r>
        <w:tab/>
        <w:t>over 150 kL — the charge applicable in the Table in item 25 according to the residential class of the town or area in which the bay is located.</w:t>
      </w:r>
    </w:p>
    <w:p>
      <w:pPr>
        <w:pStyle w:val="yMiscellaneousBody"/>
        <w:tabs>
          <w:tab w:val="left" w:pos="284"/>
          <w:tab w:val="right" w:leader="dot" w:pos="6804"/>
        </w:tabs>
        <w:spacing w:before="120"/>
        <w:ind w:left="879" w:right="1985" w:hanging="879"/>
      </w:pPr>
      <w:r>
        <w:tab/>
        <w:t>(3)</w:t>
      </w:r>
      <w:r>
        <w:tab/>
        <w:t>Sub</w:t>
      </w:r>
      <w:r>
        <w:noBreakHyphen/>
        <w:t>items (1) and (2) do not apply to long</w:t>
      </w:r>
      <w:r>
        <w:noBreakHyphen/>
        <w:t>term residential caravan bays referred to in regulation 27(2)(a).</w:t>
      </w:r>
    </w:p>
    <w:p>
      <w:pPr>
        <w:pStyle w:val="yHeading5"/>
        <w:spacing w:before="180"/>
      </w:pPr>
      <w:bookmarkStart w:id="185" w:name="_Toc434929845"/>
      <w:r>
        <w:rPr>
          <w:rStyle w:val="CharSClsNo"/>
        </w:rPr>
        <w:t>34</w:t>
      </w:r>
      <w:r>
        <w:t>.</w:t>
      </w:r>
      <w:r>
        <w:tab/>
        <w:t>Government trading organisations and non</w:t>
      </w:r>
      <w:r>
        <w:noBreakHyphen/>
        <w:t>commercial government property</w:t>
      </w:r>
      <w:bookmarkEnd w:id="185"/>
    </w:p>
    <w:p>
      <w:pPr>
        <w:pStyle w:val="yMiscellaneousBody"/>
        <w:tabs>
          <w:tab w:val="left" w:pos="284"/>
          <w:tab w:val="right" w:leader="dot" w:pos="6804"/>
        </w:tabs>
        <w:spacing w:before="120"/>
        <w:ind w:left="879" w:right="1985" w:hanging="879"/>
      </w:pPr>
      <w:r>
        <w:tab/>
        <w:t>(1)</w:t>
      </w:r>
      <w:r>
        <w:tab/>
        <w:t>This item applies to land held by a government trading organisation, or a public authority that holds non</w:t>
      </w:r>
      <w:r>
        <w:noBreakHyphen/>
        <w:t>commercial government property, in respect of which a water service charge set out in item 28 or 31(1)(a) would, but for this item, apply.</w:t>
      </w:r>
    </w:p>
    <w:p>
      <w:pPr>
        <w:pStyle w:val="yMiscellaneousBody"/>
        <w:tabs>
          <w:tab w:val="left" w:pos="284"/>
          <w:tab w:val="right" w:leader="dot" w:pos="6804"/>
        </w:tabs>
        <w:ind w:left="879" w:right="1983" w:hanging="879"/>
      </w:pPr>
      <w:r>
        <w:tab/>
        <w:t>(2)</w:t>
      </w:r>
      <w:r>
        <w:tab/>
        <w:t>This item does not apply to public land or land classified as vacant land.</w:t>
      </w:r>
    </w:p>
    <w:p>
      <w:pPr>
        <w:pStyle w:val="yMiscellaneousBody"/>
        <w:tabs>
          <w:tab w:val="left" w:pos="284"/>
          <w:tab w:val="right" w:leader="dot" w:pos="6804"/>
        </w:tabs>
        <w:ind w:left="879" w:right="1983" w:hanging="879"/>
      </w:pPr>
      <w:r>
        <w:tab/>
        <w:t>(3)</w:t>
      </w:r>
      <w:r>
        <w:tab/>
        <w:t>In respect of land to which this item applies, the charge under sub</w:t>
      </w:r>
      <w:r>
        <w:noBreakHyphen/>
        <w:t>item (4) or (5) applies instead of the charge referred to in sub</w:t>
      </w:r>
      <w:r>
        <w:noBreakHyphen/>
        <w:t>item (1).</w:t>
      </w:r>
    </w:p>
    <w:p>
      <w:pPr>
        <w:pStyle w:val="yMiscellaneousBody"/>
        <w:tabs>
          <w:tab w:val="left" w:pos="284"/>
          <w:tab w:val="right" w:leader="dot" w:pos="6804"/>
        </w:tabs>
        <w:ind w:left="879" w:right="1983" w:hanging="879"/>
      </w:pPr>
      <w:r>
        <w:tab/>
        <w:t>(4)</w:t>
      </w:r>
      <w:r>
        <w:tab/>
        <w:t xml:space="preserve">For each kilolitre of water supplied to land in the metropolitan area, the charge is </w:t>
      </w:r>
      <w:r>
        <w:tab/>
        <w:t xml:space="preserve"> </w:t>
      </w:r>
      <w:r>
        <w:rPr>
          <w:szCs w:val="22"/>
        </w:rPr>
        <w:t>209.3</w:t>
      </w:r>
      <w:r>
        <w:t xml:space="preserve"> cents</w:t>
      </w:r>
    </w:p>
    <w:p>
      <w:pPr>
        <w:pStyle w:val="yMiscellaneousBody"/>
        <w:tabs>
          <w:tab w:val="left" w:pos="284"/>
          <w:tab w:val="right" w:leader="dot" w:pos="6804"/>
        </w:tabs>
        <w:ind w:left="879" w:right="1983" w:hanging="879"/>
      </w:pPr>
      <w:r>
        <w:tab/>
        <w:t>(5)</w:t>
      </w:r>
      <w:r>
        <w:tab/>
        <w:t>For each kilolitre of water supplied to land in the non</w:t>
      </w:r>
      <w:r>
        <w:noBreakHyphen/>
        <w:t>metropolitan area, the charge is the charge applicable in the Table in item 25 according to the non</w:t>
      </w:r>
      <w:r>
        <w:noBreakHyphen/>
        <w:t>residential class of the town or area in which the land is located.</w:t>
      </w:r>
    </w:p>
    <w:p>
      <w:pPr>
        <w:pStyle w:val="yHeading5"/>
      </w:pPr>
      <w:bookmarkStart w:id="186" w:name="_Toc434929846"/>
      <w:r>
        <w:rPr>
          <w:rStyle w:val="CharSClsNo"/>
        </w:rPr>
        <w:t>35</w:t>
      </w:r>
      <w:r>
        <w:t>.</w:t>
      </w:r>
      <w:r>
        <w:tab/>
        <w:t>Coral Bay desalinated</w:t>
      </w:r>
      <w:bookmarkEnd w:id="186"/>
    </w:p>
    <w:p>
      <w:pPr>
        <w:pStyle w:val="yMiscellaneousBody"/>
        <w:tabs>
          <w:tab w:val="left" w:pos="284"/>
          <w:tab w:val="right" w:leader="dot" w:pos="6804"/>
        </w:tabs>
        <w:ind w:left="879" w:right="1983" w:hanging="879"/>
      </w:pPr>
      <w:r>
        <w:tab/>
      </w:r>
      <w:r>
        <w:tab/>
        <w:t xml:space="preserve">For each kilolitre of desalinated water supplied to land in Coral Bay that is not classified as residential, the charge is </w:t>
      </w:r>
      <w:r>
        <w:tab/>
        <w:t xml:space="preserve"> </w:t>
      </w:r>
      <w:r>
        <w:rPr>
          <w:szCs w:val="22"/>
        </w:rPr>
        <w:t>705.1</w:t>
      </w:r>
      <w:r>
        <w:t xml:space="preserve"> cents</w:t>
      </w:r>
    </w:p>
    <w:p>
      <w:pPr>
        <w:pStyle w:val="yHeading5"/>
      </w:pPr>
      <w:bookmarkStart w:id="187" w:name="_Toc434929847"/>
      <w:r>
        <w:rPr>
          <w:rStyle w:val="CharSClsNo"/>
        </w:rPr>
        <w:t>36</w:t>
      </w:r>
      <w:r>
        <w:t>.</w:t>
      </w:r>
      <w:r>
        <w:tab/>
        <w:t>Denham desalinated</w:t>
      </w:r>
      <w:bookmarkEnd w:id="187"/>
    </w:p>
    <w:p>
      <w:pPr>
        <w:pStyle w:val="yMiscellaneousBody"/>
        <w:tabs>
          <w:tab w:val="left" w:pos="284"/>
          <w:tab w:val="right" w:leader="dot" w:pos="6804"/>
        </w:tabs>
        <w:ind w:left="879" w:right="1983" w:hanging="879"/>
      </w:pPr>
      <w:r>
        <w:tab/>
        <w:t>(1)</w:t>
      </w:r>
      <w:r>
        <w:tab/>
        <w:t>For each kilolitre of desalinated water supplied, in a charge period, to land in Denham that is classified as residential, the charge is —</w:t>
      </w:r>
    </w:p>
    <w:p>
      <w:pPr>
        <w:pStyle w:val="yMiscellaneousBody"/>
        <w:tabs>
          <w:tab w:val="left" w:pos="1134"/>
          <w:tab w:val="left" w:pos="1560"/>
          <w:tab w:val="right" w:leader="dot" w:pos="6804"/>
        </w:tabs>
        <w:spacing w:before="80"/>
        <w:ind w:left="1559" w:right="1985" w:hanging="1559"/>
      </w:pPr>
      <w:r>
        <w:tab/>
        <w:t xml:space="preserve">up to quota </w:t>
      </w:r>
      <w:r>
        <w:tab/>
        <w:t xml:space="preserve"> </w:t>
      </w:r>
      <w:r>
        <w:rPr>
          <w:szCs w:val="22"/>
        </w:rPr>
        <w:t>64.9</w:t>
      </w:r>
      <w:r>
        <w:t xml:space="preserve"> cents</w:t>
      </w:r>
    </w:p>
    <w:p>
      <w:pPr>
        <w:pStyle w:val="yMiscellaneousBody"/>
        <w:tabs>
          <w:tab w:val="left" w:pos="1134"/>
          <w:tab w:val="right" w:leader="dot" w:pos="6804"/>
        </w:tabs>
        <w:spacing w:before="80"/>
        <w:ind w:left="1134" w:right="1985" w:hanging="1134"/>
      </w:pPr>
      <w:r>
        <w:tab/>
        <w:t xml:space="preserve">over quota but by not more than the shoulder amount </w:t>
      </w:r>
      <w:r>
        <w:tab/>
        <w:t xml:space="preserve"> </w:t>
      </w:r>
      <w:r>
        <w:rPr>
          <w:szCs w:val="22"/>
        </w:rPr>
        <w:t>476.9</w:t>
      </w:r>
      <w:r>
        <w:t xml:space="preserve"> cents</w:t>
      </w:r>
    </w:p>
    <w:p>
      <w:pPr>
        <w:pStyle w:val="yMiscellaneousBody"/>
        <w:tabs>
          <w:tab w:val="left" w:pos="1134"/>
          <w:tab w:val="right" w:leader="dot" w:pos="6804"/>
        </w:tabs>
        <w:spacing w:before="80"/>
        <w:ind w:left="1134" w:right="1985" w:hanging="1134"/>
      </w:pPr>
      <w:r>
        <w:tab/>
        <w:t xml:space="preserve">over quota by more than the shoulder amount </w:t>
      </w:r>
      <w:r>
        <w:tab/>
        <w:t xml:space="preserve"> </w:t>
      </w:r>
      <w:r>
        <w:rPr>
          <w:szCs w:val="22"/>
        </w:rPr>
        <w:t>1 485.9</w:t>
      </w:r>
      <w:r>
        <w:t xml:space="preserve"> cents</w:t>
      </w:r>
    </w:p>
    <w:p>
      <w:pPr>
        <w:pStyle w:val="yMiscellaneousBody"/>
        <w:tabs>
          <w:tab w:val="left" w:pos="284"/>
          <w:tab w:val="right" w:leader="dot" w:pos="6804"/>
        </w:tabs>
        <w:ind w:left="879" w:right="1983" w:hanging="879"/>
      </w:pPr>
      <w:r>
        <w:tab/>
        <w:t>(2)</w:t>
      </w:r>
      <w:r>
        <w:tab/>
        <w:t>In sub</w:t>
      </w:r>
      <w:r>
        <w:noBreakHyphen/>
        <w:t xml:space="preserve">item (1) —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the quota for the charge period is 18 kL plus 4 kL for each resident on the land in excess of 4;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the shoulder amount for the charge period is 3 kL plus 1 kL for each resident on the land in excess of 4.</w:t>
      </w:r>
    </w:p>
    <w:p>
      <w:pPr>
        <w:pStyle w:val="yMiscellaneousBody"/>
        <w:tabs>
          <w:tab w:val="left" w:pos="284"/>
          <w:tab w:val="right" w:leader="dot" w:pos="6804"/>
        </w:tabs>
        <w:ind w:left="879" w:right="1983" w:hanging="879"/>
      </w:pPr>
      <w:r>
        <w:tab/>
        <w:t>(3)</w:t>
      </w:r>
      <w:r>
        <w:tab/>
        <w:t>For each kilolitre of desalinated water supplied to land in Denham that is not classified as residential, the charge is —</w:t>
      </w:r>
    </w:p>
    <w:p>
      <w:pPr>
        <w:pStyle w:val="yMiscellaneousBody"/>
        <w:tabs>
          <w:tab w:val="left" w:pos="1134"/>
          <w:tab w:val="left" w:pos="1560"/>
          <w:tab w:val="right" w:leader="dot" w:pos="6804"/>
        </w:tabs>
        <w:spacing w:before="80"/>
        <w:ind w:left="1559" w:right="1985" w:hanging="1559"/>
      </w:pPr>
      <w:r>
        <w:tab/>
        <w:t xml:space="preserve">up to quota </w:t>
      </w:r>
      <w:r>
        <w:tab/>
        <w:t xml:space="preserve"> </w:t>
      </w:r>
      <w:r>
        <w:rPr>
          <w:szCs w:val="22"/>
        </w:rPr>
        <w:t>64.9</w:t>
      </w:r>
      <w:r>
        <w:t xml:space="preserve"> cents</w:t>
      </w:r>
    </w:p>
    <w:p>
      <w:pPr>
        <w:pStyle w:val="yMiscellaneousBody"/>
        <w:tabs>
          <w:tab w:val="left" w:pos="1134"/>
          <w:tab w:val="left" w:pos="1560"/>
          <w:tab w:val="right" w:leader="dot" w:pos="6804"/>
        </w:tabs>
        <w:spacing w:before="80"/>
        <w:ind w:left="1559" w:right="1985" w:hanging="1559"/>
      </w:pPr>
      <w:r>
        <w:tab/>
        <w:t xml:space="preserve">over quota </w:t>
      </w:r>
      <w:r>
        <w:tab/>
        <w:t xml:space="preserve"> </w:t>
      </w:r>
      <w:r>
        <w:rPr>
          <w:szCs w:val="22"/>
        </w:rPr>
        <w:t>1 485.9</w:t>
      </w:r>
      <w:r>
        <w:t xml:space="preserve"> cents</w:t>
      </w:r>
    </w:p>
    <w:p>
      <w:pPr>
        <w:pStyle w:val="yMiscellaneousBody"/>
        <w:tabs>
          <w:tab w:val="left" w:pos="284"/>
          <w:tab w:val="right" w:leader="dot" w:pos="6804"/>
        </w:tabs>
        <w:ind w:left="879" w:right="1983" w:hanging="879"/>
      </w:pPr>
      <w:r>
        <w:tab/>
        <w:t>(4)</w:t>
      </w:r>
      <w:r>
        <w:tab/>
        <w:t>In sub</w:t>
      </w:r>
      <w:r>
        <w:noBreakHyphen/>
        <w:t>item (3), the quota for the land for the current consumption year is 108 kL or a greater amount specified for the land for the year by the Water Corporation.</w:t>
      </w:r>
    </w:p>
    <w:p>
      <w:pPr>
        <w:pStyle w:val="yHeading5"/>
      </w:pPr>
      <w:bookmarkStart w:id="188" w:name="_Toc434929848"/>
      <w:r>
        <w:rPr>
          <w:rStyle w:val="CharSClsNo"/>
        </w:rPr>
        <w:t>37</w:t>
      </w:r>
      <w:r>
        <w:t>.</w:t>
      </w:r>
      <w:r>
        <w:tab/>
        <w:t>Garden supply: Mulataga</w:t>
      </w:r>
      <w:bookmarkEnd w:id="188"/>
    </w:p>
    <w:p>
      <w:pPr>
        <w:pStyle w:val="yMiscellaneousBody"/>
        <w:tabs>
          <w:tab w:val="left" w:pos="284"/>
          <w:tab w:val="right" w:leader="dot" w:pos="6804"/>
        </w:tabs>
        <w:ind w:left="879" w:right="1983" w:hanging="879"/>
      </w:pPr>
      <w:r>
        <w:tab/>
      </w:r>
      <w:r>
        <w:tab/>
        <w:t xml:space="preserve">For each kilolitre of water supplied to land in the suburb of Mulataga (in Karratha) under a water supply described in item 15(4), the charge is </w:t>
      </w:r>
      <w:r>
        <w:tab/>
        <w:t xml:space="preserve"> </w:t>
      </w:r>
      <w:r>
        <w:rPr>
          <w:szCs w:val="22"/>
        </w:rPr>
        <w:t>151.7</w:t>
      </w:r>
      <w:r>
        <w:t xml:space="preserve"> cents</w:t>
      </w:r>
    </w:p>
    <w:p>
      <w:pPr>
        <w:pStyle w:val="yHeading4"/>
      </w:pPr>
      <w:bookmarkStart w:id="189" w:name="_Toc429577032"/>
      <w:bookmarkStart w:id="190" w:name="_Toc434929849"/>
      <w:r>
        <w:t>Subdivision 3 — Other consumption charges</w:t>
      </w:r>
      <w:bookmarkEnd w:id="189"/>
      <w:bookmarkEnd w:id="190"/>
    </w:p>
    <w:p>
      <w:pPr>
        <w:pStyle w:val="yFootnoteheading"/>
      </w:pPr>
      <w:r>
        <w:tab/>
        <w:t>[Heading inserted in Gazette 15 Oct 2014 p. 3968.]</w:t>
      </w:r>
    </w:p>
    <w:p>
      <w:pPr>
        <w:pStyle w:val="yHeading5"/>
      </w:pPr>
      <w:bookmarkStart w:id="191" w:name="_Toc434929850"/>
      <w:r>
        <w:rPr>
          <w:rStyle w:val="CharSClsNo"/>
        </w:rPr>
        <w:t>38</w:t>
      </w:r>
      <w:r>
        <w:t>.</w:t>
      </w:r>
      <w:r>
        <w:tab/>
        <w:t>Local government standpipes</w:t>
      </w:r>
      <w:bookmarkEnd w:id="191"/>
    </w:p>
    <w:p>
      <w:pPr>
        <w:pStyle w:val="yMiscellaneousBody"/>
        <w:tabs>
          <w:tab w:val="left" w:pos="284"/>
          <w:tab w:val="right" w:leader="dot" w:pos="6804"/>
        </w:tabs>
        <w:ind w:left="879" w:right="1983" w:hanging="879"/>
      </w:pPr>
      <w:r>
        <w:tab/>
      </w:r>
      <w:r>
        <w:tab/>
        <w:t xml:space="preserve">For each kilolitre of water supplied through a local government standpipe, the charge is </w:t>
      </w:r>
      <w:r>
        <w:tab/>
        <w:t xml:space="preserve"> </w:t>
      </w:r>
      <w:r>
        <w:rPr>
          <w:szCs w:val="22"/>
        </w:rPr>
        <w:t>209.2</w:t>
      </w:r>
      <w:r>
        <w:t xml:space="preserve"> cents</w:t>
      </w:r>
    </w:p>
    <w:p>
      <w:pPr>
        <w:pStyle w:val="yHeading5"/>
      </w:pPr>
      <w:bookmarkStart w:id="192" w:name="_Toc434929851"/>
      <w:r>
        <w:rPr>
          <w:rStyle w:val="CharSClsNo"/>
        </w:rPr>
        <w:t>39</w:t>
      </w:r>
      <w:r>
        <w:t>.</w:t>
      </w:r>
      <w:r>
        <w:tab/>
        <w:t>Shipping</w:t>
      </w:r>
      <w:bookmarkEnd w:id="192"/>
    </w:p>
    <w:p>
      <w:pPr>
        <w:pStyle w:val="yMiscellaneousBody"/>
        <w:keepNext/>
        <w:tabs>
          <w:tab w:val="left" w:pos="284"/>
          <w:tab w:val="right" w:leader="dot" w:pos="6804"/>
        </w:tabs>
        <w:ind w:left="879" w:right="1983" w:hanging="879"/>
      </w:pPr>
      <w:r>
        <w:tab/>
      </w:r>
      <w:r>
        <w:tab/>
        <w:t>For each kilolitre of water supplied for the purpose of being taken on board any ship in port —</w:t>
      </w:r>
    </w:p>
    <w:p>
      <w:pPr>
        <w:pStyle w:val="yMiscellaneousBody"/>
        <w:tabs>
          <w:tab w:val="left" w:pos="1134"/>
          <w:tab w:val="left" w:pos="1560"/>
          <w:tab w:val="right" w:leader="dot" w:pos="6804"/>
        </w:tabs>
        <w:spacing w:before="120"/>
        <w:ind w:left="1559" w:right="1985" w:hanging="1559"/>
      </w:pPr>
      <w:r>
        <w:tab/>
        <w:t>(a)</w:t>
      </w:r>
      <w:r>
        <w:tab/>
        <w:t xml:space="preserve">for a port in the metropolitan area, the charge is </w:t>
      </w:r>
      <w:r>
        <w:tab/>
        <w:t xml:space="preserve"> </w:t>
      </w:r>
      <w:r>
        <w:rPr>
          <w:szCs w:val="22"/>
        </w:rPr>
        <w:t>209.3</w:t>
      </w:r>
      <w:r>
        <w:t xml:space="preserve"> cents</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for a port in the non</w:t>
      </w:r>
      <w:r>
        <w:rPr>
          <w:szCs w:val="22"/>
        </w:rPr>
        <w:noBreakHyphen/>
        <w:t>metropolitan area, the charge is the charge applicable in the Table in item 25 according to the non</w:t>
      </w:r>
      <w:r>
        <w:rPr>
          <w:szCs w:val="22"/>
        </w:rPr>
        <w:noBreakHyphen/>
        <w:t>residential class of the town or area in which the port is located.</w:t>
      </w:r>
    </w:p>
    <w:p>
      <w:pPr>
        <w:pStyle w:val="yHeading5"/>
      </w:pPr>
      <w:bookmarkStart w:id="193" w:name="_Toc434929852"/>
      <w:r>
        <w:rPr>
          <w:rStyle w:val="CharSClsNo"/>
        </w:rPr>
        <w:t>40</w:t>
      </w:r>
      <w:r>
        <w:t>.</w:t>
      </w:r>
      <w:r>
        <w:tab/>
        <w:t>Stock</w:t>
      </w:r>
      <w:bookmarkEnd w:id="193"/>
    </w:p>
    <w:p>
      <w:pPr>
        <w:pStyle w:val="yMiscellaneousBody"/>
        <w:tabs>
          <w:tab w:val="left" w:pos="284"/>
          <w:tab w:val="right" w:leader="dot" w:pos="6804"/>
        </w:tabs>
        <w:ind w:left="879" w:right="1983" w:hanging="879"/>
      </w:pPr>
      <w:r>
        <w:tab/>
      </w:r>
      <w:r>
        <w:tab/>
        <w:t xml:space="preserve">For each kilolitre of water supplied through a water supply connection solely for the purpose of watering stock, the charge is </w:t>
      </w:r>
      <w:r>
        <w:tab/>
        <w:t xml:space="preserve"> </w:t>
      </w:r>
      <w:r>
        <w:rPr>
          <w:szCs w:val="22"/>
        </w:rPr>
        <w:t>209.2</w:t>
      </w:r>
      <w:r>
        <w:t xml:space="preserve"> cents</w:t>
      </w:r>
    </w:p>
    <w:p>
      <w:pPr>
        <w:pStyle w:val="yHeading5"/>
      </w:pPr>
      <w:bookmarkStart w:id="194" w:name="_Toc434929853"/>
      <w:r>
        <w:rPr>
          <w:rStyle w:val="CharSClsNo"/>
        </w:rPr>
        <w:t>41</w:t>
      </w:r>
      <w:r>
        <w:t>.</w:t>
      </w:r>
      <w:r>
        <w:tab/>
        <w:t>Hydrant standpipes</w:t>
      </w:r>
      <w:bookmarkEnd w:id="194"/>
    </w:p>
    <w:p>
      <w:pPr>
        <w:pStyle w:val="yMiscellaneousBody"/>
        <w:tabs>
          <w:tab w:val="left" w:pos="284"/>
          <w:tab w:val="right" w:leader="dot" w:pos="6804"/>
        </w:tabs>
        <w:ind w:left="879" w:right="1983" w:hanging="879"/>
      </w:pPr>
      <w:r>
        <w:tab/>
      </w:r>
      <w:r>
        <w:tab/>
        <w:t xml:space="preserve">For each kilolitre of water supplied through a hydrant standpipe, the charge is </w:t>
      </w:r>
      <w:r>
        <w:tab/>
        <w:t xml:space="preserve"> </w:t>
      </w:r>
      <w:r>
        <w:rPr>
          <w:szCs w:val="22"/>
        </w:rPr>
        <w:t>209.3</w:t>
      </w:r>
      <w:r>
        <w:t xml:space="preserve"> cents</w:t>
      </w:r>
    </w:p>
    <w:p>
      <w:pPr>
        <w:pStyle w:val="yFootnotesection"/>
      </w:pPr>
      <w:r>
        <w:tab/>
        <w:t>[Division 2 inserted in Gazette 15 Oct 2014 p. 3958</w:t>
      </w:r>
      <w:r>
        <w:noBreakHyphen/>
        <w:t>69; amended in Gazette 30 Jun 2015 p. 2370</w:t>
      </w:r>
      <w:r>
        <w:noBreakHyphen/>
        <w:t>8.]</w:t>
      </w:r>
    </w:p>
    <w:p>
      <w:pPr>
        <w:pStyle w:val="yScheduleHeading"/>
      </w:pPr>
      <w:bookmarkStart w:id="195" w:name="_Toc429577037"/>
      <w:bookmarkStart w:id="196" w:name="_Toc434929854"/>
      <w:r>
        <w:rPr>
          <w:rStyle w:val="CharSchNo"/>
        </w:rPr>
        <w:t>Schedule 4</w:t>
      </w:r>
      <w:r>
        <w:t> — </w:t>
      </w:r>
      <w:r>
        <w:rPr>
          <w:rStyle w:val="CharSchText"/>
        </w:rPr>
        <w:t>Sewerage charges for the Water Corporation</w:t>
      </w:r>
      <w:bookmarkEnd w:id="195"/>
      <w:bookmarkEnd w:id="196"/>
    </w:p>
    <w:p>
      <w:pPr>
        <w:pStyle w:val="yShoulderClause"/>
      </w:pPr>
      <w:r>
        <w:t>[r. 39]</w:t>
      </w:r>
    </w:p>
    <w:p>
      <w:pPr>
        <w:pStyle w:val="yHeading3"/>
      </w:pPr>
      <w:bookmarkStart w:id="197" w:name="_Toc429577038"/>
      <w:bookmarkStart w:id="198" w:name="_Toc434929855"/>
      <w:r>
        <w:rPr>
          <w:rStyle w:val="CharSDivNo"/>
        </w:rPr>
        <w:t>Division 1</w:t>
      </w:r>
      <w:r>
        <w:rPr>
          <w:b w:val="0"/>
        </w:rPr>
        <w:t> — </w:t>
      </w:r>
      <w:r>
        <w:rPr>
          <w:rStyle w:val="CharSDivText"/>
        </w:rPr>
        <w:t>Service charges</w:t>
      </w:r>
      <w:bookmarkEnd w:id="197"/>
      <w:bookmarkEnd w:id="198"/>
    </w:p>
    <w:p>
      <w:pPr>
        <w:pStyle w:val="yFootnoteheading"/>
      </w:pPr>
      <w:r>
        <w:tab/>
        <w:t>[Heading inserted in Gazette 15 Oct 2014 p. 3969.]</w:t>
      </w:r>
    </w:p>
    <w:p>
      <w:pPr>
        <w:pStyle w:val="yHeading5"/>
      </w:pPr>
      <w:bookmarkStart w:id="199" w:name="_Toc434929856"/>
      <w:r>
        <w:rPr>
          <w:rStyle w:val="CharSClsNo"/>
        </w:rPr>
        <w:t>1</w:t>
      </w:r>
      <w:r>
        <w:t>.</w:t>
      </w:r>
      <w:r>
        <w:tab/>
        <w:t>Service charges for 2015/16 year and subsequent years</w:t>
      </w:r>
      <w:bookmarkEnd w:id="199"/>
    </w:p>
    <w:p>
      <w:pPr>
        <w:pStyle w:val="yMiscellaneousBody"/>
        <w:tabs>
          <w:tab w:val="right" w:pos="709"/>
          <w:tab w:val="left" w:pos="851"/>
        </w:tabs>
        <w:ind w:left="851" w:hanging="851"/>
      </w:pPr>
      <w:r>
        <w:tab/>
      </w:r>
      <w:r>
        <w:tab/>
        <w:t xml:space="preserve">The charges set out in this Division apply for sewerage services provided in the </w:t>
      </w:r>
      <w:r>
        <w:rPr>
          <w:szCs w:val="22"/>
        </w:rPr>
        <w:t>2015/16</w:t>
      </w:r>
      <w:r>
        <w:t> financial year and each subsequent year.</w:t>
      </w:r>
    </w:p>
    <w:p>
      <w:pPr>
        <w:pStyle w:val="yHeading5"/>
      </w:pPr>
      <w:bookmarkStart w:id="200" w:name="_Toc434929857"/>
      <w:r>
        <w:rPr>
          <w:rStyle w:val="CharSClsNo"/>
        </w:rPr>
        <w:t>2</w:t>
      </w:r>
      <w:r>
        <w:t>.</w:t>
      </w:r>
      <w:r>
        <w:tab/>
        <w:t>Metropolitan residential</w:t>
      </w:r>
      <w:bookmarkEnd w:id="200"/>
    </w:p>
    <w:p>
      <w:pPr>
        <w:pStyle w:val="yMiscellaneousBody"/>
        <w:tabs>
          <w:tab w:val="left" w:pos="284"/>
          <w:tab w:val="right" w:leader="dot" w:pos="6804"/>
        </w:tabs>
        <w:spacing w:after="160"/>
        <w:ind w:left="879" w:right="1985" w:hanging="879"/>
      </w:pPr>
      <w:r>
        <w:tab/>
        <w:t>(1)</w:t>
      </w:r>
      <w:r>
        <w:tab/>
        <w:t>In respect of each residential property in the metropolitan area that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is not covered by item 4 or 5;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is not a caravan park or a nursing home,</w:t>
      </w:r>
    </w:p>
    <w:p>
      <w:pPr>
        <w:pStyle w:val="yMiscellaneousBody"/>
        <w:tabs>
          <w:tab w:val="left" w:pos="284"/>
          <w:tab w:val="right" w:leader="dot" w:pos="6804"/>
        </w:tabs>
        <w:spacing w:after="160"/>
        <w:ind w:left="879" w:right="1985" w:hanging="879"/>
      </w:pPr>
      <w:r>
        <w:tab/>
      </w:r>
      <w:r>
        <w:tab/>
        <w:t>the charge is —</w:t>
      </w:r>
    </w:p>
    <w:p>
      <w:pPr>
        <w:pStyle w:val="yMiscellaneousBody"/>
        <w:tabs>
          <w:tab w:val="left" w:pos="1134"/>
          <w:tab w:val="left" w:pos="1560"/>
          <w:tab w:val="right" w:leader="dot" w:pos="6804"/>
        </w:tabs>
        <w:spacing w:before="80"/>
        <w:ind w:left="1559" w:right="1985" w:hanging="1559"/>
      </w:pPr>
      <w:r>
        <w:tab/>
        <w:t xml:space="preserve">up to $21 100 GRV </w:t>
      </w:r>
      <w:r>
        <w:tab/>
        <w:t xml:space="preserve"> </w:t>
      </w:r>
      <w:r>
        <w:rPr>
          <w:szCs w:val="22"/>
        </w:rPr>
        <w:t>3.850</w:t>
      </w:r>
      <w:r>
        <w:t xml:space="preserve"> cents/$</w:t>
      </w:r>
    </w:p>
    <w:p>
      <w:pPr>
        <w:pStyle w:val="yMiscellaneousBody"/>
        <w:tabs>
          <w:tab w:val="left" w:pos="284"/>
          <w:tab w:val="right" w:pos="6804"/>
        </w:tabs>
        <w:spacing w:before="0"/>
        <w:ind w:left="879" w:right="2552" w:hanging="879"/>
      </w:pPr>
      <w:r>
        <w:tab/>
      </w:r>
      <w:r>
        <w:tab/>
      </w:r>
      <w:r>
        <w:tab/>
        <w:t>of GRV</w:t>
      </w:r>
    </w:p>
    <w:p>
      <w:pPr>
        <w:pStyle w:val="yMiscellaneousBody"/>
        <w:tabs>
          <w:tab w:val="left" w:pos="1134"/>
          <w:tab w:val="left" w:pos="1560"/>
          <w:tab w:val="right" w:leader="dot" w:pos="6804"/>
        </w:tabs>
        <w:spacing w:before="80"/>
        <w:ind w:left="1559" w:right="1985" w:hanging="1559"/>
      </w:pPr>
      <w:r>
        <w:t> </w:t>
      </w:r>
      <w:r>
        <w:tab/>
        <w:t xml:space="preserve">over $21 100 GRV </w:t>
      </w:r>
      <w:r>
        <w:tab/>
        <w:t xml:space="preserve"> </w:t>
      </w:r>
      <w:r>
        <w:rPr>
          <w:szCs w:val="22"/>
        </w:rPr>
        <w:t>0.870</w:t>
      </w:r>
      <w:r>
        <w:t xml:space="preserve"> cents/$ </w:t>
      </w:r>
    </w:p>
    <w:p>
      <w:pPr>
        <w:pStyle w:val="yMiscellaneousBody"/>
        <w:tabs>
          <w:tab w:val="left" w:pos="284"/>
          <w:tab w:val="right" w:pos="6804"/>
        </w:tabs>
        <w:spacing w:before="0"/>
        <w:ind w:left="879" w:right="2552" w:hanging="879"/>
      </w:pPr>
      <w:r>
        <w:tab/>
      </w:r>
      <w:r>
        <w:tab/>
      </w:r>
      <w:r>
        <w:tab/>
        <w:t>of GRV</w:t>
      </w:r>
    </w:p>
    <w:p>
      <w:pPr>
        <w:pStyle w:val="yMiscellaneousBody"/>
        <w:tabs>
          <w:tab w:val="left" w:pos="284"/>
          <w:tab w:val="right" w:leader="dot" w:pos="6804"/>
        </w:tabs>
        <w:spacing w:after="160"/>
        <w:ind w:left="879" w:right="1985" w:hanging="879"/>
      </w:pPr>
      <w:r>
        <w:tab/>
        <w:t>(2)</w:t>
      </w:r>
      <w:r>
        <w:tab/>
        <w:t xml:space="preserve">The minimum charge under this item is </w:t>
      </w:r>
      <w:r>
        <w:tab/>
        <w:t xml:space="preserve"> </w:t>
      </w:r>
      <w:r>
        <w:rPr>
          <w:szCs w:val="22"/>
        </w:rPr>
        <w:t>$364.84</w:t>
      </w:r>
    </w:p>
    <w:p>
      <w:pPr>
        <w:pStyle w:val="yHeading5"/>
      </w:pPr>
      <w:bookmarkStart w:id="201" w:name="_Toc434929858"/>
      <w:r>
        <w:rPr>
          <w:rStyle w:val="CharSClsNo"/>
        </w:rPr>
        <w:t>3</w:t>
      </w:r>
      <w:r>
        <w:t>.</w:t>
      </w:r>
      <w:r>
        <w:tab/>
        <w:t>Metropolitan vacant land</w:t>
      </w:r>
      <w:bookmarkEnd w:id="201"/>
    </w:p>
    <w:p>
      <w:pPr>
        <w:pStyle w:val="yMiscellaneousBody"/>
        <w:tabs>
          <w:tab w:val="left" w:pos="284"/>
          <w:tab w:val="right" w:leader="dot" w:pos="6804"/>
        </w:tabs>
        <w:spacing w:before="120"/>
        <w:ind w:left="879" w:right="1985" w:hanging="879"/>
      </w:pPr>
      <w:r>
        <w:tab/>
        <w:t>(1)</w:t>
      </w:r>
      <w:r>
        <w:tab/>
        <w:t xml:space="preserve">In respect of land in the metropolitan area that is classified as vacant land, the charge is </w:t>
      </w:r>
      <w:r>
        <w:tab/>
        <w:t xml:space="preserve"> </w:t>
      </w:r>
      <w:r>
        <w:rPr>
          <w:szCs w:val="22"/>
        </w:rPr>
        <w:t>2.320</w:t>
      </w:r>
      <w:r>
        <w:t xml:space="preserve"> cents/$ </w:t>
      </w:r>
    </w:p>
    <w:p>
      <w:pPr>
        <w:pStyle w:val="yMiscellaneousBody"/>
        <w:tabs>
          <w:tab w:val="left" w:pos="284"/>
          <w:tab w:val="right" w:pos="6804"/>
        </w:tabs>
        <w:spacing w:before="0"/>
        <w:ind w:left="879" w:right="2552" w:hanging="879"/>
      </w:pPr>
      <w:r>
        <w:tab/>
      </w:r>
      <w:r>
        <w:tab/>
      </w:r>
      <w:r>
        <w:tab/>
        <w:t>of GRV</w:t>
      </w:r>
    </w:p>
    <w:p>
      <w:pPr>
        <w:pStyle w:val="yMiscellaneousBody"/>
        <w:tabs>
          <w:tab w:val="left" w:pos="284"/>
          <w:tab w:val="right" w:leader="dot" w:pos="6804"/>
        </w:tabs>
        <w:spacing w:after="160"/>
        <w:ind w:left="879" w:right="1985" w:hanging="879"/>
      </w:pPr>
      <w:r>
        <w:tab/>
        <w:t>(2)</w:t>
      </w:r>
      <w:r>
        <w:tab/>
        <w:t xml:space="preserve">The minimum charge under this item is </w:t>
      </w:r>
      <w:r>
        <w:tab/>
        <w:t xml:space="preserve"> </w:t>
      </w:r>
      <w:r>
        <w:rPr>
          <w:szCs w:val="22"/>
        </w:rPr>
        <w:t>$274.33</w:t>
      </w:r>
    </w:p>
    <w:p>
      <w:pPr>
        <w:pStyle w:val="yHeading5"/>
      </w:pPr>
      <w:bookmarkStart w:id="202" w:name="_Toc434929859"/>
      <w:r>
        <w:rPr>
          <w:rStyle w:val="CharSClsNo"/>
        </w:rPr>
        <w:t>4</w:t>
      </w:r>
      <w:r>
        <w:t>.</w:t>
      </w:r>
      <w:r>
        <w:tab/>
        <w:t>Metropolitan concessional</w:t>
      </w:r>
      <w:bookmarkEnd w:id="202"/>
    </w:p>
    <w:p>
      <w:pPr>
        <w:pStyle w:val="yMiscellaneousBody"/>
        <w:tabs>
          <w:tab w:val="left" w:pos="284"/>
          <w:tab w:val="right" w:leader="dot" w:pos="6804"/>
        </w:tabs>
        <w:spacing w:after="160"/>
        <w:ind w:left="879" w:right="1985" w:hanging="879"/>
      </w:pPr>
      <w:r>
        <w:tab/>
      </w:r>
      <w:r>
        <w:tab/>
        <w:t>In respect of land in the metropolitan area that is classified as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aged home; or</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charitable purposes or community purpose,</w:t>
      </w:r>
    </w:p>
    <w:p>
      <w:pPr>
        <w:pStyle w:val="yMiscellaneousBody"/>
        <w:tabs>
          <w:tab w:val="left" w:pos="284"/>
          <w:tab w:val="right" w:leader="dot" w:pos="6804"/>
        </w:tabs>
        <w:spacing w:after="160"/>
        <w:ind w:left="879" w:right="1985" w:hanging="879"/>
      </w:pPr>
      <w:r>
        <w:tab/>
      </w:r>
      <w:r>
        <w:tab/>
        <w:t>the charge, according to the number of major fixtures on the land, is the sum of the charges, less the corresponding discounts, for each fixture, as set out in the Table.</w:t>
      </w:r>
    </w:p>
    <w:p>
      <w:pPr>
        <w:pStyle w:val="yTHeadingNAm"/>
      </w:pPr>
      <w:r>
        <w:t>Table of major fixture</w:t>
      </w:r>
      <w:r>
        <w:noBreakHyphen/>
        <w:t>based charges and discounts</w:t>
      </w:r>
    </w:p>
    <w:tbl>
      <w:tblPr>
        <w:tblW w:w="6240" w:type="dxa"/>
        <w:jc w:val="center"/>
        <w:tblLayout w:type="fixed"/>
        <w:tblLook w:val="0000" w:firstRow="0" w:lastRow="0" w:firstColumn="0" w:lastColumn="0" w:noHBand="0" w:noVBand="0"/>
      </w:tblPr>
      <w:tblGrid>
        <w:gridCol w:w="1985"/>
        <w:gridCol w:w="1275"/>
        <w:gridCol w:w="1490"/>
        <w:gridCol w:w="1490"/>
      </w:tblGrid>
      <w:tr>
        <w:trPr>
          <w:cantSplit/>
          <w:tblHeader/>
          <w:jc w:val="center"/>
        </w:trPr>
        <w:tc>
          <w:tcPr>
            <w:tcW w:w="1985" w:type="dxa"/>
            <w:tcBorders>
              <w:top w:val="single" w:sz="4" w:space="0" w:color="auto"/>
            </w:tcBorders>
            <w:noWrap/>
            <w:tcMar>
              <w:left w:w="397" w:type="dxa"/>
              <w:right w:w="11" w:type="dxa"/>
            </w:tcMar>
          </w:tcPr>
          <w:p>
            <w:pPr>
              <w:pStyle w:val="zyTableNAm"/>
              <w:spacing w:before="80" w:after="60"/>
              <w:jc w:val="center"/>
            </w:pPr>
          </w:p>
        </w:tc>
        <w:tc>
          <w:tcPr>
            <w:tcW w:w="1275" w:type="dxa"/>
            <w:tcBorders>
              <w:top w:val="single" w:sz="4" w:space="0" w:color="auto"/>
            </w:tcBorders>
          </w:tcPr>
          <w:p>
            <w:pPr>
              <w:pStyle w:val="yTableNAm"/>
              <w:jc w:val="center"/>
            </w:pPr>
            <w:r>
              <w:rPr>
                <w:b/>
                <w:bCs/>
              </w:rPr>
              <w:t>Charge</w:t>
            </w:r>
          </w:p>
        </w:tc>
        <w:tc>
          <w:tcPr>
            <w:tcW w:w="2980" w:type="dxa"/>
            <w:gridSpan w:val="2"/>
            <w:tcBorders>
              <w:top w:val="single" w:sz="4" w:space="0" w:color="auto"/>
              <w:bottom w:val="single" w:sz="4" w:space="0" w:color="auto"/>
            </w:tcBorders>
          </w:tcPr>
          <w:p>
            <w:pPr>
              <w:pStyle w:val="yTableNAm"/>
              <w:jc w:val="center"/>
            </w:pPr>
            <w:r>
              <w:rPr>
                <w:b/>
                <w:bCs/>
              </w:rPr>
              <w:t>Discount %</w:t>
            </w:r>
          </w:p>
        </w:tc>
      </w:tr>
      <w:tr>
        <w:trPr>
          <w:cantSplit/>
          <w:tblHeader/>
          <w:jc w:val="center"/>
        </w:trPr>
        <w:tc>
          <w:tcPr>
            <w:tcW w:w="1985" w:type="dxa"/>
            <w:tcBorders>
              <w:bottom w:val="single" w:sz="4" w:space="0" w:color="auto"/>
            </w:tcBorders>
            <w:noWrap/>
            <w:tcMar>
              <w:left w:w="397" w:type="dxa"/>
              <w:right w:w="11" w:type="dxa"/>
            </w:tcMar>
          </w:tcPr>
          <w:p>
            <w:pPr>
              <w:pStyle w:val="zyTableNAm"/>
              <w:spacing w:before="60" w:after="60"/>
              <w:jc w:val="center"/>
            </w:pPr>
          </w:p>
        </w:tc>
        <w:tc>
          <w:tcPr>
            <w:tcW w:w="1275" w:type="dxa"/>
            <w:tcBorders>
              <w:bottom w:val="single" w:sz="4" w:space="0" w:color="auto"/>
            </w:tcBorders>
          </w:tcPr>
          <w:p>
            <w:pPr>
              <w:pStyle w:val="zyTableNAm"/>
              <w:spacing w:before="60" w:after="60"/>
              <w:jc w:val="center"/>
              <w:rPr>
                <w:b/>
                <w:bCs/>
              </w:rPr>
            </w:pPr>
          </w:p>
        </w:tc>
        <w:tc>
          <w:tcPr>
            <w:tcW w:w="1490" w:type="dxa"/>
            <w:tcBorders>
              <w:top w:val="single" w:sz="4" w:space="0" w:color="auto"/>
              <w:bottom w:val="single" w:sz="4" w:space="0" w:color="auto"/>
            </w:tcBorders>
          </w:tcPr>
          <w:p>
            <w:pPr>
              <w:pStyle w:val="yTableNAm"/>
              <w:jc w:val="center"/>
            </w:pPr>
            <w:r>
              <w:rPr>
                <w:b/>
                <w:bCs/>
              </w:rPr>
              <w:t>par. (a)</w:t>
            </w:r>
          </w:p>
        </w:tc>
        <w:tc>
          <w:tcPr>
            <w:tcW w:w="1490" w:type="dxa"/>
            <w:tcBorders>
              <w:top w:val="single" w:sz="4" w:space="0" w:color="auto"/>
              <w:bottom w:val="single" w:sz="4" w:space="0" w:color="auto"/>
            </w:tcBorders>
          </w:tcPr>
          <w:p>
            <w:pPr>
              <w:pStyle w:val="yTableNAm"/>
              <w:jc w:val="center"/>
            </w:pPr>
            <w:r>
              <w:rPr>
                <w:b/>
                <w:bCs/>
              </w:rPr>
              <w:t>par. (b)</w:t>
            </w:r>
          </w:p>
        </w:tc>
      </w:tr>
      <w:tr>
        <w:trPr>
          <w:cantSplit/>
          <w:jc w:val="center"/>
        </w:trPr>
        <w:tc>
          <w:tcPr>
            <w:tcW w:w="1985" w:type="dxa"/>
            <w:noWrap/>
            <w:tcMar>
              <w:left w:w="397" w:type="dxa"/>
              <w:right w:w="11" w:type="dxa"/>
            </w:tcMar>
          </w:tcPr>
          <w:p>
            <w:pPr>
              <w:pStyle w:val="yTableNAm"/>
              <w:tabs>
                <w:tab w:val="clear" w:pos="567"/>
                <w:tab w:val="left" w:pos="320"/>
              </w:tabs>
            </w:pPr>
            <w:r>
              <w:t>1</w:t>
            </w:r>
            <w:r>
              <w:rPr>
                <w:vertAlign w:val="superscript"/>
              </w:rPr>
              <w:t>st</w:t>
            </w:r>
            <w:r>
              <w:t xml:space="preserve"> fixture</w:t>
            </w:r>
          </w:p>
        </w:tc>
        <w:tc>
          <w:tcPr>
            <w:tcW w:w="1275" w:type="dxa"/>
            <w:vAlign w:val="bottom"/>
          </w:tcPr>
          <w:p>
            <w:pPr>
              <w:pStyle w:val="yTableNAm"/>
              <w:jc w:val="center"/>
            </w:pPr>
            <w:r>
              <w:rPr>
                <w:szCs w:val="22"/>
              </w:rPr>
              <w:t>$848.50</w:t>
            </w:r>
          </w:p>
        </w:tc>
        <w:tc>
          <w:tcPr>
            <w:tcW w:w="1490" w:type="dxa"/>
          </w:tcPr>
          <w:p>
            <w:pPr>
              <w:pStyle w:val="yTableNAm"/>
              <w:jc w:val="center"/>
            </w:pPr>
            <w:r>
              <w:t>73.133</w:t>
            </w:r>
          </w:p>
        </w:tc>
        <w:tc>
          <w:tcPr>
            <w:tcW w:w="1490" w:type="dxa"/>
          </w:tcPr>
          <w:p>
            <w:pPr>
              <w:pStyle w:val="yTableNAm"/>
              <w:jc w:val="center"/>
            </w:pPr>
            <w:r>
              <w:t>73.133</w:t>
            </w:r>
          </w:p>
        </w:tc>
      </w:tr>
      <w:tr>
        <w:trPr>
          <w:cantSplit/>
          <w:jc w:val="center"/>
        </w:trPr>
        <w:tc>
          <w:tcPr>
            <w:tcW w:w="1985" w:type="dxa"/>
            <w:noWrap/>
            <w:tcMar>
              <w:left w:w="397" w:type="dxa"/>
              <w:right w:w="11" w:type="dxa"/>
            </w:tcMar>
          </w:tcPr>
          <w:p>
            <w:pPr>
              <w:pStyle w:val="yTableNAm"/>
            </w:pPr>
            <w:r>
              <w:t>2</w:t>
            </w:r>
            <w:r>
              <w:rPr>
                <w:vertAlign w:val="superscript"/>
              </w:rPr>
              <w:t>nd</w:t>
            </w:r>
            <w:r>
              <w:t xml:space="preserve"> fixture</w:t>
            </w:r>
          </w:p>
        </w:tc>
        <w:tc>
          <w:tcPr>
            <w:tcW w:w="1275" w:type="dxa"/>
            <w:vAlign w:val="bottom"/>
          </w:tcPr>
          <w:p>
            <w:pPr>
              <w:pStyle w:val="yTableNAm"/>
              <w:jc w:val="center"/>
            </w:pPr>
            <w:r>
              <w:rPr>
                <w:szCs w:val="22"/>
              </w:rPr>
              <w:t>$363.21</w:t>
            </w:r>
          </w:p>
        </w:tc>
        <w:tc>
          <w:tcPr>
            <w:tcW w:w="1490" w:type="dxa"/>
          </w:tcPr>
          <w:p>
            <w:pPr>
              <w:pStyle w:val="yTableNAm"/>
              <w:jc w:val="center"/>
            </w:pPr>
            <w:r>
              <w:t>72.385</w:t>
            </w:r>
          </w:p>
        </w:tc>
        <w:tc>
          <w:tcPr>
            <w:tcW w:w="1490" w:type="dxa"/>
          </w:tcPr>
          <w:p>
            <w:pPr>
              <w:pStyle w:val="yTableNAm"/>
              <w:jc w:val="center"/>
            </w:pPr>
            <w:r>
              <w:t>37.246</w:t>
            </w:r>
          </w:p>
        </w:tc>
      </w:tr>
      <w:tr>
        <w:trPr>
          <w:cantSplit/>
          <w:jc w:val="center"/>
        </w:trPr>
        <w:tc>
          <w:tcPr>
            <w:tcW w:w="1985" w:type="dxa"/>
            <w:noWrap/>
            <w:tcMar>
              <w:left w:w="397" w:type="dxa"/>
              <w:right w:w="11" w:type="dxa"/>
            </w:tcMar>
          </w:tcPr>
          <w:p>
            <w:pPr>
              <w:pStyle w:val="yTableNAm"/>
            </w:pPr>
            <w:r>
              <w:t>3</w:t>
            </w:r>
            <w:r>
              <w:rPr>
                <w:vertAlign w:val="superscript"/>
              </w:rPr>
              <w:t>rd</w:t>
            </w:r>
            <w:r>
              <w:t xml:space="preserve"> fixture</w:t>
            </w:r>
          </w:p>
        </w:tc>
        <w:tc>
          <w:tcPr>
            <w:tcW w:w="1275" w:type="dxa"/>
            <w:vAlign w:val="bottom"/>
          </w:tcPr>
          <w:p>
            <w:pPr>
              <w:pStyle w:val="yTableNAm"/>
              <w:jc w:val="center"/>
            </w:pPr>
            <w:r>
              <w:rPr>
                <w:szCs w:val="22"/>
              </w:rPr>
              <w:t>$485.05</w:t>
            </w:r>
          </w:p>
        </w:tc>
        <w:tc>
          <w:tcPr>
            <w:tcW w:w="1490" w:type="dxa"/>
          </w:tcPr>
          <w:p>
            <w:pPr>
              <w:pStyle w:val="yTableNAm"/>
              <w:jc w:val="center"/>
            </w:pPr>
            <w:r>
              <w:t>79.321</w:t>
            </w:r>
          </w:p>
        </w:tc>
        <w:tc>
          <w:tcPr>
            <w:tcW w:w="1490" w:type="dxa"/>
          </w:tcPr>
          <w:p>
            <w:pPr>
              <w:pStyle w:val="yTableNAm"/>
              <w:jc w:val="center"/>
            </w:pPr>
            <w:r>
              <w:t>53.001</w:t>
            </w:r>
          </w:p>
        </w:tc>
      </w:tr>
      <w:tr>
        <w:trPr>
          <w:cantSplit/>
          <w:jc w:val="center"/>
        </w:trPr>
        <w:tc>
          <w:tcPr>
            <w:tcW w:w="1985" w:type="dxa"/>
            <w:tcBorders>
              <w:bottom w:val="single" w:sz="4" w:space="0" w:color="auto"/>
            </w:tcBorders>
            <w:noWrap/>
            <w:tcMar>
              <w:left w:w="397" w:type="dxa"/>
              <w:right w:w="11" w:type="dxa"/>
            </w:tcMar>
          </w:tcPr>
          <w:p>
            <w:pPr>
              <w:pStyle w:val="yTableNAm"/>
              <w:ind w:left="227" w:hanging="227"/>
            </w:pPr>
            <w:r>
              <w:t>4</w:t>
            </w:r>
            <w:r>
              <w:rPr>
                <w:vertAlign w:val="superscript"/>
              </w:rPr>
              <w:t>th</w:t>
            </w:r>
            <w:r>
              <w:t xml:space="preserve"> and subsequent fixtures</w:t>
            </w:r>
          </w:p>
        </w:tc>
        <w:tc>
          <w:tcPr>
            <w:tcW w:w="1275" w:type="dxa"/>
            <w:tcBorders>
              <w:bottom w:val="single" w:sz="4" w:space="0" w:color="auto"/>
            </w:tcBorders>
          </w:tcPr>
          <w:p>
            <w:pPr>
              <w:pStyle w:val="yTableNAm"/>
              <w:jc w:val="center"/>
            </w:pPr>
            <w:r>
              <w:rPr>
                <w:szCs w:val="22"/>
              </w:rPr>
              <w:t>$527.46</w:t>
            </w:r>
          </w:p>
        </w:tc>
        <w:tc>
          <w:tcPr>
            <w:tcW w:w="1490" w:type="dxa"/>
            <w:tcBorders>
              <w:bottom w:val="single" w:sz="4" w:space="0" w:color="auto"/>
            </w:tcBorders>
          </w:tcPr>
          <w:p>
            <w:pPr>
              <w:pStyle w:val="yTableNAm"/>
              <w:jc w:val="center"/>
            </w:pPr>
            <w:r>
              <w:t>80.984</w:t>
            </w:r>
          </w:p>
        </w:tc>
        <w:tc>
          <w:tcPr>
            <w:tcW w:w="1490" w:type="dxa"/>
            <w:tcBorders>
              <w:bottom w:val="single" w:sz="4" w:space="0" w:color="auto"/>
            </w:tcBorders>
          </w:tcPr>
          <w:p>
            <w:pPr>
              <w:pStyle w:val="yTableNAm"/>
              <w:jc w:val="center"/>
            </w:pPr>
            <w:r>
              <w:t>56.780</w:t>
            </w:r>
          </w:p>
        </w:tc>
      </w:tr>
    </w:tbl>
    <w:p>
      <w:pPr>
        <w:pStyle w:val="yHeading5"/>
      </w:pPr>
      <w:bookmarkStart w:id="203" w:name="_Toc434929860"/>
      <w:r>
        <w:rPr>
          <w:rStyle w:val="CharSClsNo"/>
        </w:rPr>
        <w:t>5</w:t>
      </w:r>
      <w:r>
        <w:t>.</w:t>
      </w:r>
      <w:r>
        <w:tab/>
        <w:t>Strata</w:t>
      </w:r>
      <w:r>
        <w:noBreakHyphen/>
        <w:t>titled caravan bay</w:t>
      </w:r>
      <w:bookmarkEnd w:id="203"/>
    </w:p>
    <w:p>
      <w:pPr>
        <w:pStyle w:val="yMiscellaneousBody"/>
        <w:tabs>
          <w:tab w:val="left" w:pos="284"/>
          <w:tab w:val="right" w:leader="dot" w:pos="6804"/>
        </w:tabs>
        <w:spacing w:after="160"/>
        <w:ind w:left="879" w:right="1985" w:hanging="879"/>
      </w:pPr>
      <w:r>
        <w:rPr>
          <w:szCs w:val="22"/>
        </w:rPr>
        <w:tab/>
      </w:r>
      <w:r>
        <w:rPr>
          <w:szCs w:val="22"/>
        </w:rPr>
        <w:tab/>
        <w:t>In respect of a strata</w:t>
      </w:r>
      <w:r>
        <w:rPr>
          <w:szCs w:val="22"/>
        </w:rPr>
        <w:noBreakHyphen/>
        <w:t xml:space="preserve">titled caravan bay, the charge is </w:t>
      </w:r>
      <w:r>
        <w:rPr>
          <w:szCs w:val="22"/>
        </w:rPr>
        <w:tab/>
        <w:t xml:space="preserve"> $280.16</w:t>
      </w:r>
    </w:p>
    <w:p>
      <w:pPr>
        <w:pStyle w:val="yHeading5"/>
      </w:pPr>
      <w:bookmarkStart w:id="204" w:name="_Toc434929861"/>
      <w:r>
        <w:rPr>
          <w:rStyle w:val="CharSClsNo"/>
        </w:rPr>
        <w:t>6</w:t>
      </w:r>
      <w:r>
        <w:t>.</w:t>
      </w:r>
      <w:r>
        <w:tab/>
        <w:t>Strata</w:t>
      </w:r>
      <w:r>
        <w:noBreakHyphen/>
        <w:t>titled storage unit or strata</w:t>
      </w:r>
      <w:r>
        <w:noBreakHyphen/>
        <w:t>titled parking bay</w:t>
      </w:r>
      <w:bookmarkEnd w:id="204"/>
    </w:p>
    <w:p>
      <w:pPr>
        <w:pStyle w:val="yMiscellaneousBody"/>
        <w:tabs>
          <w:tab w:val="left" w:pos="284"/>
          <w:tab w:val="right" w:leader="dot" w:pos="6804"/>
        </w:tabs>
        <w:spacing w:after="160"/>
        <w:ind w:left="879" w:right="1985" w:hanging="879"/>
      </w:pPr>
      <w:r>
        <w:rPr>
          <w:szCs w:val="22"/>
        </w:rPr>
        <w:tab/>
      </w:r>
      <w:r>
        <w:rPr>
          <w:szCs w:val="22"/>
        </w:rPr>
        <w:tab/>
        <w:t xml:space="preserve">In respect of a lot that is used for storage purposes or as a parking bay, the </w:t>
      </w:r>
      <w:r>
        <w:t>charge</w:t>
      </w:r>
      <w:r>
        <w:rPr>
          <w:szCs w:val="22"/>
        </w:rPr>
        <w:t xml:space="preserve"> is </w:t>
      </w:r>
      <w:r>
        <w:rPr>
          <w:szCs w:val="22"/>
        </w:rPr>
        <w:tab/>
        <w:t xml:space="preserve"> $84.10</w:t>
      </w:r>
    </w:p>
    <w:p>
      <w:pPr>
        <w:pStyle w:val="yHeading5"/>
      </w:pPr>
      <w:bookmarkStart w:id="205" w:name="_Toc434929862"/>
      <w:r>
        <w:rPr>
          <w:rStyle w:val="CharSClsNo"/>
        </w:rPr>
        <w:t>7</w:t>
      </w:r>
      <w:r>
        <w:t>.</w:t>
      </w:r>
      <w:r>
        <w:tab/>
        <w:t>Land from which trade waste is discharged into sewer</w:t>
      </w:r>
      <w:bookmarkEnd w:id="205"/>
    </w:p>
    <w:p>
      <w:pPr>
        <w:pStyle w:val="yMiscellaneousBody"/>
        <w:tabs>
          <w:tab w:val="left" w:pos="284"/>
          <w:tab w:val="right" w:leader="dot" w:pos="6804"/>
        </w:tabs>
        <w:spacing w:after="160"/>
        <w:ind w:left="879" w:right="1985" w:hanging="879"/>
      </w:pPr>
      <w:r>
        <w:tab/>
        <w:t>(1)</w:t>
      </w:r>
      <w:r>
        <w:tab/>
        <w:t xml:space="preserve">In respect of land from which there is a discharge of trade waste into a sewer of the Water Corporation under an approval of the Water Corporation, the charge, for the period for which the approval has effect, is </w:t>
      </w:r>
      <w:r>
        <w:tab/>
        <w:t xml:space="preserve"> </w:t>
      </w:r>
      <w:r>
        <w:rPr>
          <w:szCs w:val="22"/>
        </w:rPr>
        <w:t>$226.96</w:t>
      </w:r>
    </w:p>
    <w:p>
      <w:pPr>
        <w:pStyle w:val="yMiscellaneousBody"/>
        <w:tabs>
          <w:tab w:val="left" w:pos="284"/>
          <w:tab w:val="right" w:leader="dot" w:pos="6804"/>
        </w:tabs>
        <w:spacing w:after="160"/>
        <w:ind w:left="879" w:right="1985" w:hanging="879"/>
      </w:pPr>
      <w:r>
        <w:tab/>
        <w:t>(2)</w:t>
      </w:r>
      <w:r>
        <w:tab/>
        <w:t>The charge under this item is in addition to any other charge applicable to the land under this Schedule.</w:t>
      </w:r>
    </w:p>
    <w:p>
      <w:pPr>
        <w:pStyle w:val="yHeading5"/>
      </w:pPr>
      <w:bookmarkStart w:id="206" w:name="_Toc434929863"/>
      <w:r>
        <w:rPr>
          <w:rStyle w:val="CharSClsNo"/>
        </w:rPr>
        <w:t>8</w:t>
      </w:r>
      <w:r>
        <w:t>.</w:t>
      </w:r>
      <w:r>
        <w:tab/>
        <w:t>Land from which trade waste is discharged into sewer through grease arrestor</w:t>
      </w:r>
      <w:bookmarkEnd w:id="206"/>
    </w:p>
    <w:p>
      <w:pPr>
        <w:pStyle w:val="yMiscellaneousBody"/>
        <w:tabs>
          <w:tab w:val="left" w:pos="284"/>
          <w:tab w:val="right" w:leader="dot" w:pos="6804"/>
        </w:tabs>
        <w:spacing w:after="160"/>
        <w:ind w:left="879" w:right="1985" w:hanging="879"/>
      </w:pPr>
      <w:r>
        <w:tab/>
        <w:t>(1)</w:t>
      </w:r>
      <w:r>
        <w:tab/>
        <w:t>In this item —</w:t>
      </w:r>
    </w:p>
    <w:p>
      <w:pPr>
        <w:pStyle w:val="yDefstart"/>
        <w:ind w:right="1983"/>
      </w:pPr>
      <w:r>
        <w:tab/>
      </w:r>
      <w:r>
        <w:rPr>
          <w:rStyle w:val="CharDefText"/>
        </w:rPr>
        <w:t>shared grease arrestor</w:t>
      </w:r>
      <w:r>
        <w:t xml:space="preserve"> means a grease arrestor through which trade waste is discharged into a sewer of the Water Corporation under an approval of the Water Corporation from the land the subject of the charge and from other land.</w:t>
      </w:r>
    </w:p>
    <w:p>
      <w:pPr>
        <w:pStyle w:val="yMiscellaneousBody"/>
        <w:tabs>
          <w:tab w:val="left" w:pos="284"/>
          <w:tab w:val="right" w:leader="dot" w:pos="6804"/>
        </w:tabs>
        <w:spacing w:after="160"/>
        <w:ind w:left="879" w:right="1985" w:hanging="879"/>
      </w:pPr>
      <w:r>
        <w:tab/>
        <w:t>(2)</w:t>
      </w:r>
      <w:r>
        <w:tab/>
        <w:t>In respect of land from which there is a discharge of trade waste into a sewer of the Water Corporation through one or more grease arrestors under an approval of the Water Corporation, the charge, for the period for which the approval has effect, is —</w:t>
      </w:r>
    </w:p>
    <w:p>
      <w:pPr>
        <w:pStyle w:val="yMiscellaneousBody"/>
        <w:tabs>
          <w:tab w:val="left" w:pos="1134"/>
          <w:tab w:val="left" w:pos="1560"/>
          <w:tab w:val="right" w:leader="dot" w:pos="6804"/>
        </w:tabs>
        <w:spacing w:before="120"/>
        <w:ind w:left="1559" w:right="1985" w:hanging="1559"/>
      </w:pPr>
      <w:r>
        <w:tab/>
        <w:t>(a)</w:t>
      </w:r>
      <w:r>
        <w:tab/>
        <w:t xml:space="preserve">in respect of each grease arrestor other than a shared grease arrestor </w:t>
      </w:r>
      <w:r>
        <w:tab/>
        <w:t xml:space="preserve"> </w:t>
      </w:r>
      <w:r>
        <w:rPr>
          <w:szCs w:val="22"/>
        </w:rPr>
        <w:t>$99.71</w:t>
      </w:r>
    </w:p>
    <w:p>
      <w:pPr>
        <w:pStyle w:val="yMiscellaneousBody"/>
        <w:tabs>
          <w:tab w:val="left" w:pos="1134"/>
          <w:tab w:val="left" w:pos="1560"/>
          <w:tab w:val="right" w:leader="dot" w:pos="6804"/>
        </w:tabs>
        <w:spacing w:before="120"/>
        <w:ind w:left="1559" w:right="1985" w:hanging="1559"/>
      </w:pPr>
      <w:r>
        <w:tab/>
        <w:t>(b)</w:t>
      </w:r>
      <w:r>
        <w:tab/>
        <w:t>in respect of each shared grease</w:t>
      </w:r>
      <w:r>
        <w:br/>
        <w:t xml:space="preserve">arrestor </w:t>
      </w:r>
      <w:r>
        <w:tab/>
        <w:t xml:space="preserve"> </w:t>
      </w:r>
      <w:r>
        <w:rPr>
          <w:szCs w:val="22"/>
        </w:rPr>
        <w:t>$54.46</w:t>
      </w:r>
    </w:p>
    <w:p>
      <w:pPr>
        <w:pStyle w:val="yMiscellaneousBody"/>
        <w:tabs>
          <w:tab w:val="left" w:pos="284"/>
          <w:tab w:val="right" w:leader="dot" w:pos="6804"/>
        </w:tabs>
        <w:spacing w:after="160"/>
        <w:ind w:left="879" w:right="1985" w:hanging="879"/>
      </w:pPr>
      <w:r>
        <w:tab/>
        <w:t>(3)</w:t>
      </w:r>
      <w:r>
        <w:tab/>
        <w:t>The charge under this item is in addition to any other charge applicable to the land under this Schedule.</w:t>
      </w:r>
    </w:p>
    <w:p>
      <w:pPr>
        <w:pStyle w:val="yHeading5"/>
      </w:pPr>
      <w:bookmarkStart w:id="207" w:name="_Toc434929864"/>
      <w:r>
        <w:rPr>
          <w:rStyle w:val="CharSClsNo"/>
        </w:rPr>
        <w:t>9</w:t>
      </w:r>
      <w:r>
        <w:t>.</w:t>
      </w:r>
      <w:r>
        <w:tab/>
        <w:t>Trade waste discharged from open area</w:t>
      </w:r>
      <w:bookmarkEnd w:id="207"/>
    </w:p>
    <w:p>
      <w:pPr>
        <w:pStyle w:val="yMiscellaneousBody"/>
        <w:tabs>
          <w:tab w:val="left" w:pos="284"/>
          <w:tab w:val="right" w:leader="dot" w:pos="6804"/>
        </w:tabs>
        <w:ind w:left="879" w:right="1985" w:hanging="879"/>
      </w:pPr>
      <w:r>
        <w:tab/>
        <w:t>(1)</w:t>
      </w:r>
      <w:r>
        <w:tab/>
        <w:t xml:space="preserve">In respect of land from which there is a discharge of trade waste from an open area under an approval of the Water Corporation, the charge, for the period for which the approval has effect, is </w:t>
      </w:r>
      <w:r>
        <w:tab/>
        <w:t xml:space="preserve"> </w:t>
      </w:r>
      <w:r>
        <w:rPr>
          <w:szCs w:val="22"/>
        </w:rPr>
        <w:t>$1.51</w:t>
      </w:r>
      <w:r>
        <w:t>/m</w:t>
      </w:r>
      <w:r>
        <w:rPr>
          <w:vertAlign w:val="superscript"/>
        </w:rPr>
        <w:t>2</w:t>
      </w:r>
    </w:p>
    <w:p>
      <w:pPr>
        <w:pStyle w:val="yMiscellaneousBody"/>
        <w:tabs>
          <w:tab w:val="left" w:pos="284"/>
          <w:tab w:val="right" w:pos="6804"/>
        </w:tabs>
        <w:spacing w:before="0"/>
        <w:ind w:left="879" w:right="2552" w:hanging="879"/>
      </w:pPr>
      <w:r>
        <w:tab/>
      </w:r>
      <w:r>
        <w:tab/>
      </w:r>
      <w:r>
        <w:tab/>
        <w:t xml:space="preserve"> of open area</w:t>
      </w:r>
    </w:p>
    <w:p>
      <w:pPr>
        <w:pStyle w:val="yMiscellaneousBody"/>
        <w:tabs>
          <w:tab w:val="left" w:pos="284"/>
          <w:tab w:val="right" w:leader="dot" w:pos="6804"/>
        </w:tabs>
        <w:spacing w:after="160"/>
        <w:ind w:left="879" w:right="1985" w:hanging="879"/>
      </w:pPr>
      <w:r>
        <w:tab/>
        <w:t>(2)</w:t>
      </w:r>
      <w:r>
        <w:tab/>
        <w:t>The charge under this item is in addition to any other charge applicable to the land under this Schedule.</w:t>
      </w:r>
    </w:p>
    <w:p>
      <w:pPr>
        <w:pStyle w:val="yHeading5"/>
      </w:pPr>
      <w:bookmarkStart w:id="208" w:name="_Toc434929865"/>
      <w:r>
        <w:rPr>
          <w:rStyle w:val="CharSClsNo"/>
        </w:rPr>
        <w:t>10</w:t>
      </w:r>
      <w:r>
        <w:t>.</w:t>
      </w:r>
      <w:r>
        <w:tab/>
        <w:t>Non</w:t>
      </w:r>
      <w:r>
        <w:noBreakHyphen/>
        <w:t>metropolitan concessional</w:t>
      </w:r>
      <w:bookmarkEnd w:id="208"/>
    </w:p>
    <w:p>
      <w:pPr>
        <w:pStyle w:val="yMiscellaneousBody"/>
        <w:tabs>
          <w:tab w:val="left" w:pos="284"/>
          <w:tab w:val="right" w:leader="dot" w:pos="6804"/>
        </w:tabs>
        <w:spacing w:before="120" w:after="160"/>
        <w:ind w:left="879" w:right="1985" w:hanging="879"/>
      </w:pPr>
      <w:r>
        <w:tab/>
      </w:r>
      <w:r>
        <w:tab/>
        <w:t>In respect of land in the non</w:t>
      </w:r>
      <w:r>
        <w:noBreakHyphen/>
        <w:t>metropolitan area that is classified as —</w:t>
      </w:r>
    </w:p>
    <w:p>
      <w:pPr>
        <w:pStyle w:val="yMiscellaneousBody"/>
        <w:tabs>
          <w:tab w:val="left" w:pos="1134"/>
          <w:tab w:val="left" w:pos="1560"/>
          <w:tab w:val="right" w:leader="dot" w:pos="6804"/>
        </w:tabs>
        <w:spacing w:before="80"/>
        <w:ind w:left="1559" w:right="1985" w:hanging="1559"/>
        <w:rPr>
          <w:szCs w:val="22"/>
        </w:rPr>
      </w:pPr>
      <w:r>
        <w:rPr>
          <w:szCs w:val="22"/>
        </w:rPr>
        <w:tab/>
        <w:t>(a)</w:t>
      </w:r>
      <w:r>
        <w:rPr>
          <w:szCs w:val="22"/>
        </w:rPr>
        <w:tab/>
      </w:r>
      <w:r>
        <w:t>community</w:t>
      </w:r>
      <w:r>
        <w:rPr>
          <w:szCs w:val="22"/>
        </w:rPr>
        <w:t xml:space="preserve"> residential; or</w:t>
      </w:r>
    </w:p>
    <w:p>
      <w:pPr>
        <w:pStyle w:val="yMiscellaneousBody"/>
        <w:tabs>
          <w:tab w:val="left" w:pos="1134"/>
          <w:tab w:val="left" w:pos="1560"/>
          <w:tab w:val="right" w:leader="dot" w:pos="6804"/>
        </w:tabs>
        <w:spacing w:before="80"/>
        <w:ind w:left="1559" w:right="1985" w:hanging="1559"/>
        <w:rPr>
          <w:szCs w:val="22"/>
        </w:rPr>
      </w:pPr>
      <w:r>
        <w:rPr>
          <w:szCs w:val="22"/>
        </w:rPr>
        <w:tab/>
        <w:t>(b)</w:t>
      </w:r>
      <w:r>
        <w:rPr>
          <w:szCs w:val="22"/>
        </w:rPr>
        <w:tab/>
      </w:r>
      <w:r>
        <w:t>aged</w:t>
      </w:r>
      <w:r>
        <w:rPr>
          <w:szCs w:val="22"/>
        </w:rPr>
        <w:t xml:space="preserve"> home, charitable purposes, community purpose, institutional public or local government,</w:t>
      </w:r>
    </w:p>
    <w:p>
      <w:pPr>
        <w:pStyle w:val="yMiscellaneousBody"/>
        <w:tabs>
          <w:tab w:val="left" w:pos="284"/>
          <w:tab w:val="right" w:leader="dot" w:pos="6804"/>
        </w:tabs>
        <w:spacing w:before="120" w:after="160"/>
        <w:ind w:left="879" w:right="1985" w:hanging="879"/>
      </w:pPr>
      <w:r>
        <w:tab/>
      </w:r>
      <w:r>
        <w:tab/>
        <w:t>the charge, according to the number of major fixtures on the land, is the sum of the charges, less the corresponding discounts, for each fixture, as set out in the Table.</w:t>
      </w:r>
    </w:p>
    <w:p>
      <w:pPr>
        <w:pStyle w:val="yTHeadingNAm"/>
      </w:pPr>
      <w:r>
        <w:t>Table of charges and discounts</w:t>
      </w:r>
    </w:p>
    <w:tbl>
      <w:tblPr>
        <w:tblW w:w="5229" w:type="dxa"/>
        <w:jc w:val="center"/>
        <w:tblLayout w:type="fixed"/>
        <w:tblLook w:val="0000" w:firstRow="0" w:lastRow="0" w:firstColumn="0" w:lastColumn="0" w:noHBand="0" w:noVBand="0"/>
      </w:tblPr>
      <w:tblGrid>
        <w:gridCol w:w="1907"/>
        <w:gridCol w:w="1107"/>
        <w:gridCol w:w="27"/>
        <w:gridCol w:w="1070"/>
        <w:gridCol w:w="10"/>
        <w:gridCol w:w="1108"/>
      </w:tblGrid>
      <w:tr>
        <w:trPr>
          <w:cantSplit/>
          <w:tblHeader/>
          <w:jc w:val="center"/>
        </w:trPr>
        <w:tc>
          <w:tcPr>
            <w:tcW w:w="1907" w:type="dxa"/>
            <w:tcBorders>
              <w:top w:val="single" w:sz="4" w:space="0" w:color="auto"/>
            </w:tcBorders>
          </w:tcPr>
          <w:p>
            <w:pPr>
              <w:pStyle w:val="zyTableNAm"/>
              <w:spacing w:before="80" w:after="60"/>
              <w:jc w:val="center"/>
            </w:pPr>
          </w:p>
        </w:tc>
        <w:tc>
          <w:tcPr>
            <w:tcW w:w="1134" w:type="dxa"/>
            <w:gridSpan w:val="2"/>
            <w:tcBorders>
              <w:top w:val="single" w:sz="4" w:space="0" w:color="auto"/>
            </w:tcBorders>
          </w:tcPr>
          <w:p>
            <w:pPr>
              <w:pStyle w:val="yTableNAm"/>
              <w:jc w:val="center"/>
            </w:pPr>
            <w:r>
              <w:rPr>
                <w:b/>
                <w:bCs/>
              </w:rPr>
              <w:t>Charge</w:t>
            </w:r>
          </w:p>
        </w:tc>
        <w:tc>
          <w:tcPr>
            <w:tcW w:w="2188" w:type="dxa"/>
            <w:gridSpan w:val="3"/>
            <w:tcBorders>
              <w:top w:val="single" w:sz="4" w:space="0" w:color="auto"/>
              <w:bottom w:val="single" w:sz="4" w:space="0" w:color="auto"/>
            </w:tcBorders>
          </w:tcPr>
          <w:p>
            <w:pPr>
              <w:pStyle w:val="yTableNAm"/>
              <w:jc w:val="center"/>
            </w:pPr>
            <w:r>
              <w:rPr>
                <w:b/>
                <w:bCs/>
              </w:rPr>
              <w:t>Discount %</w:t>
            </w:r>
          </w:p>
        </w:tc>
      </w:tr>
      <w:tr>
        <w:trPr>
          <w:cantSplit/>
          <w:tblHeader/>
          <w:jc w:val="center"/>
        </w:trPr>
        <w:tc>
          <w:tcPr>
            <w:tcW w:w="1907" w:type="dxa"/>
            <w:tcBorders>
              <w:bottom w:val="single" w:sz="4" w:space="0" w:color="auto"/>
            </w:tcBorders>
          </w:tcPr>
          <w:p>
            <w:pPr>
              <w:pStyle w:val="zyTableNAm"/>
              <w:spacing w:before="60" w:after="60"/>
              <w:ind w:firstLine="177"/>
            </w:pPr>
          </w:p>
        </w:tc>
        <w:tc>
          <w:tcPr>
            <w:tcW w:w="1134" w:type="dxa"/>
            <w:gridSpan w:val="2"/>
            <w:tcBorders>
              <w:bottom w:val="single" w:sz="4" w:space="0" w:color="auto"/>
            </w:tcBorders>
          </w:tcPr>
          <w:p>
            <w:pPr>
              <w:pStyle w:val="zyTableNAm"/>
              <w:spacing w:before="60" w:after="60"/>
              <w:jc w:val="center"/>
              <w:rPr>
                <w:b/>
                <w:bCs/>
              </w:rPr>
            </w:pPr>
          </w:p>
        </w:tc>
        <w:tc>
          <w:tcPr>
            <w:tcW w:w="1070" w:type="dxa"/>
            <w:tcBorders>
              <w:top w:val="single" w:sz="4" w:space="0" w:color="auto"/>
              <w:bottom w:val="single" w:sz="4" w:space="0" w:color="auto"/>
            </w:tcBorders>
          </w:tcPr>
          <w:p>
            <w:pPr>
              <w:pStyle w:val="yTableNAm"/>
              <w:jc w:val="center"/>
            </w:pPr>
            <w:r>
              <w:rPr>
                <w:b/>
                <w:bCs/>
              </w:rPr>
              <w:t>par. (a)</w:t>
            </w:r>
          </w:p>
        </w:tc>
        <w:tc>
          <w:tcPr>
            <w:tcW w:w="1118" w:type="dxa"/>
            <w:gridSpan w:val="2"/>
            <w:tcBorders>
              <w:top w:val="single" w:sz="4" w:space="0" w:color="auto"/>
              <w:bottom w:val="single" w:sz="4" w:space="0" w:color="auto"/>
            </w:tcBorders>
          </w:tcPr>
          <w:p>
            <w:pPr>
              <w:pStyle w:val="yTableNAm"/>
              <w:jc w:val="center"/>
            </w:pPr>
            <w:r>
              <w:rPr>
                <w:b/>
                <w:bCs/>
              </w:rPr>
              <w:t>par. (b)</w:t>
            </w:r>
          </w:p>
        </w:tc>
      </w:tr>
      <w:tr>
        <w:trPr>
          <w:cantSplit/>
          <w:jc w:val="center"/>
        </w:trPr>
        <w:tc>
          <w:tcPr>
            <w:tcW w:w="1907" w:type="dxa"/>
            <w:noWrap/>
            <w:tcMar>
              <w:left w:w="28" w:type="dxa"/>
              <w:right w:w="28" w:type="dxa"/>
            </w:tcMar>
          </w:tcPr>
          <w:p>
            <w:pPr>
              <w:pStyle w:val="yTableNAm"/>
              <w:tabs>
                <w:tab w:val="clear" w:pos="567"/>
                <w:tab w:val="left" w:pos="319"/>
              </w:tabs>
              <w:ind w:firstLine="170"/>
            </w:pPr>
            <w:r>
              <w:t>1</w:t>
            </w:r>
            <w:r>
              <w:rPr>
                <w:vertAlign w:val="superscript"/>
              </w:rPr>
              <w:t>st</w:t>
            </w:r>
            <w:r>
              <w:t xml:space="preserve"> fixture</w:t>
            </w:r>
          </w:p>
        </w:tc>
        <w:tc>
          <w:tcPr>
            <w:tcW w:w="1107" w:type="dxa"/>
            <w:vAlign w:val="bottom"/>
          </w:tcPr>
          <w:p>
            <w:pPr>
              <w:pStyle w:val="yTableNAm"/>
              <w:jc w:val="center"/>
            </w:pPr>
            <w:r>
              <w:t>$</w:t>
            </w:r>
            <w:r>
              <w:rPr>
                <w:szCs w:val="22"/>
              </w:rPr>
              <w:t xml:space="preserve">848.50 </w:t>
            </w:r>
          </w:p>
        </w:tc>
        <w:tc>
          <w:tcPr>
            <w:tcW w:w="1107" w:type="dxa"/>
            <w:gridSpan w:val="3"/>
          </w:tcPr>
          <w:p>
            <w:pPr>
              <w:pStyle w:val="yTableNAm"/>
              <w:jc w:val="center"/>
            </w:pPr>
            <w:r>
              <w:t>88.179</w:t>
            </w:r>
          </w:p>
        </w:tc>
        <w:tc>
          <w:tcPr>
            <w:tcW w:w="1108" w:type="dxa"/>
          </w:tcPr>
          <w:p>
            <w:pPr>
              <w:pStyle w:val="yTableNAm"/>
              <w:jc w:val="center"/>
            </w:pPr>
            <w:r>
              <w:t>73.133</w:t>
            </w:r>
          </w:p>
        </w:tc>
      </w:tr>
      <w:tr>
        <w:trPr>
          <w:cantSplit/>
          <w:jc w:val="center"/>
        </w:trPr>
        <w:tc>
          <w:tcPr>
            <w:tcW w:w="1907" w:type="dxa"/>
            <w:tcMar>
              <w:left w:w="62" w:type="dxa"/>
              <w:right w:w="62" w:type="dxa"/>
            </w:tcMar>
          </w:tcPr>
          <w:p>
            <w:pPr>
              <w:pStyle w:val="yTableNAm"/>
              <w:tabs>
                <w:tab w:val="clear" w:pos="567"/>
                <w:tab w:val="left" w:pos="319"/>
              </w:tabs>
              <w:ind w:firstLine="170"/>
            </w:pPr>
            <w:r>
              <w:t>2</w:t>
            </w:r>
            <w:r>
              <w:rPr>
                <w:vertAlign w:val="superscript"/>
              </w:rPr>
              <w:t>nd</w:t>
            </w:r>
            <w:r>
              <w:t xml:space="preserve"> fixture</w:t>
            </w:r>
          </w:p>
        </w:tc>
        <w:tc>
          <w:tcPr>
            <w:tcW w:w="1107" w:type="dxa"/>
            <w:vAlign w:val="bottom"/>
          </w:tcPr>
          <w:p>
            <w:pPr>
              <w:pStyle w:val="yTableNAm"/>
              <w:jc w:val="center"/>
            </w:pPr>
            <w:r>
              <w:t>$</w:t>
            </w:r>
            <w:r>
              <w:rPr>
                <w:szCs w:val="22"/>
              </w:rPr>
              <w:t xml:space="preserve">363.21 </w:t>
            </w:r>
          </w:p>
        </w:tc>
        <w:tc>
          <w:tcPr>
            <w:tcW w:w="1107" w:type="dxa"/>
            <w:gridSpan w:val="3"/>
          </w:tcPr>
          <w:p>
            <w:pPr>
              <w:pStyle w:val="yTableNAm"/>
              <w:jc w:val="center"/>
            </w:pPr>
            <w:r>
              <w:t>72.385</w:t>
            </w:r>
          </w:p>
        </w:tc>
        <w:tc>
          <w:tcPr>
            <w:tcW w:w="1108" w:type="dxa"/>
          </w:tcPr>
          <w:p>
            <w:pPr>
              <w:pStyle w:val="yTableNAm"/>
              <w:jc w:val="center"/>
            </w:pPr>
            <w:r>
              <w:t>72.385</w:t>
            </w:r>
          </w:p>
        </w:tc>
      </w:tr>
      <w:tr>
        <w:trPr>
          <w:cantSplit/>
          <w:jc w:val="center"/>
        </w:trPr>
        <w:tc>
          <w:tcPr>
            <w:tcW w:w="1907" w:type="dxa"/>
            <w:noWrap/>
            <w:tcMar>
              <w:left w:w="57" w:type="dxa"/>
              <w:right w:w="57" w:type="dxa"/>
            </w:tcMar>
          </w:tcPr>
          <w:p>
            <w:pPr>
              <w:pStyle w:val="yTableNAm"/>
              <w:ind w:firstLine="170"/>
            </w:pPr>
            <w:r>
              <w:t>3</w:t>
            </w:r>
            <w:r>
              <w:rPr>
                <w:vertAlign w:val="superscript"/>
              </w:rPr>
              <w:t>rd</w:t>
            </w:r>
            <w:r>
              <w:t xml:space="preserve"> fixture</w:t>
            </w:r>
          </w:p>
        </w:tc>
        <w:tc>
          <w:tcPr>
            <w:tcW w:w="1107" w:type="dxa"/>
            <w:vAlign w:val="bottom"/>
          </w:tcPr>
          <w:p>
            <w:pPr>
              <w:pStyle w:val="yTableNAm"/>
              <w:jc w:val="center"/>
            </w:pPr>
            <w:r>
              <w:t>$</w:t>
            </w:r>
            <w:r>
              <w:rPr>
                <w:szCs w:val="22"/>
              </w:rPr>
              <w:t>485.05</w:t>
            </w:r>
          </w:p>
        </w:tc>
        <w:tc>
          <w:tcPr>
            <w:tcW w:w="1107" w:type="dxa"/>
            <w:gridSpan w:val="3"/>
          </w:tcPr>
          <w:p>
            <w:pPr>
              <w:pStyle w:val="yTableNAm"/>
              <w:jc w:val="center"/>
            </w:pPr>
            <w:r>
              <w:t>79.321</w:t>
            </w:r>
          </w:p>
        </w:tc>
        <w:tc>
          <w:tcPr>
            <w:tcW w:w="1108" w:type="dxa"/>
          </w:tcPr>
          <w:p>
            <w:pPr>
              <w:pStyle w:val="yTableNAm"/>
              <w:jc w:val="center"/>
            </w:pPr>
            <w:r>
              <w:t>79.321</w:t>
            </w:r>
          </w:p>
        </w:tc>
      </w:tr>
      <w:tr>
        <w:trPr>
          <w:cantSplit/>
          <w:jc w:val="center"/>
        </w:trPr>
        <w:tc>
          <w:tcPr>
            <w:tcW w:w="1907" w:type="dxa"/>
            <w:tcBorders>
              <w:bottom w:val="single" w:sz="4" w:space="0" w:color="auto"/>
            </w:tcBorders>
            <w:noWrap/>
            <w:tcMar>
              <w:left w:w="28" w:type="dxa"/>
              <w:right w:w="57" w:type="dxa"/>
            </w:tcMar>
          </w:tcPr>
          <w:p>
            <w:pPr>
              <w:pStyle w:val="yTableNAm"/>
              <w:ind w:left="454" w:hanging="284"/>
            </w:pPr>
            <w:r>
              <w:t>4</w:t>
            </w:r>
            <w:r>
              <w:rPr>
                <w:vertAlign w:val="superscript"/>
              </w:rPr>
              <w:t>th</w:t>
            </w:r>
            <w:r>
              <w:t xml:space="preserve"> and subsequent fixtures</w:t>
            </w:r>
          </w:p>
        </w:tc>
        <w:tc>
          <w:tcPr>
            <w:tcW w:w="1107" w:type="dxa"/>
            <w:tcBorders>
              <w:bottom w:val="single" w:sz="4" w:space="0" w:color="auto"/>
            </w:tcBorders>
          </w:tcPr>
          <w:p>
            <w:pPr>
              <w:pStyle w:val="yTableNAm"/>
              <w:jc w:val="center"/>
            </w:pPr>
            <w:r>
              <w:t>$</w:t>
            </w:r>
            <w:r>
              <w:rPr>
                <w:szCs w:val="22"/>
              </w:rPr>
              <w:t>527.46</w:t>
            </w:r>
          </w:p>
        </w:tc>
        <w:tc>
          <w:tcPr>
            <w:tcW w:w="1107" w:type="dxa"/>
            <w:gridSpan w:val="3"/>
            <w:tcBorders>
              <w:bottom w:val="single" w:sz="4" w:space="0" w:color="auto"/>
            </w:tcBorders>
          </w:tcPr>
          <w:p>
            <w:pPr>
              <w:pStyle w:val="yTableNAm"/>
              <w:jc w:val="center"/>
            </w:pPr>
            <w:r>
              <w:t>80.984</w:t>
            </w:r>
          </w:p>
        </w:tc>
        <w:tc>
          <w:tcPr>
            <w:tcW w:w="1108" w:type="dxa"/>
            <w:tcBorders>
              <w:bottom w:val="single" w:sz="4" w:space="0" w:color="auto"/>
            </w:tcBorders>
          </w:tcPr>
          <w:p>
            <w:pPr>
              <w:pStyle w:val="yTableNAm"/>
              <w:jc w:val="center"/>
            </w:pPr>
            <w:r>
              <w:t>80.984</w:t>
            </w:r>
          </w:p>
        </w:tc>
      </w:tr>
    </w:tbl>
    <w:p>
      <w:pPr>
        <w:pStyle w:val="yHeading5"/>
        <w:spacing w:before="180"/>
      </w:pPr>
      <w:bookmarkStart w:id="209" w:name="_Toc434929866"/>
      <w:r>
        <w:rPr>
          <w:rStyle w:val="CharSClsNo"/>
        </w:rPr>
        <w:t>11</w:t>
      </w:r>
      <w:r>
        <w:t>.</w:t>
      </w:r>
      <w:r>
        <w:tab/>
        <w:t>Non</w:t>
      </w:r>
      <w:r>
        <w:noBreakHyphen/>
        <w:t>metropolitan</w:t>
      </w:r>
      <w:bookmarkEnd w:id="209"/>
    </w:p>
    <w:p>
      <w:pPr>
        <w:pStyle w:val="yMiscellaneousBody"/>
        <w:tabs>
          <w:tab w:val="left" w:pos="284"/>
          <w:tab w:val="right" w:leader="dot" w:pos="6804"/>
        </w:tabs>
        <w:spacing w:before="120" w:after="160"/>
        <w:ind w:left="879" w:right="1985" w:hanging="879"/>
      </w:pPr>
      <w:r>
        <w:tab/>
        <w:t>(1)</w:t>
      </w:r>
      <w:r>
        <w:tab/>
        <w:t>In respect of land in the non</w:t>
      </w:r>
      <w:r>
        <w:noBreakHyphen/>
        <w:t>metropolitan area that is in a sewerage area referred to in the Table, the charge is the amount worked out by multiplying the GRV of the land by the relevant rate for the sewerage area, according to whether the land is classified as residential or not.</w:t>
      </w:r>
    </w:p>
    <w:p>
      <w:pPr>
        <w:pStyle w:val="yMiscellaneousBody"/>
        <w:tabs>
          <w:tab w:val="left" w:pos="284"/>
          <w:tab w:val="right" w:leader="dot" w:pos="6804"/>
        </w:tabs>
        <w:spacing w:before="120" w:after="160"/>
        <w:ind w:left="879" w:right="1985" w:hanging="879"/>
      </w:pPr>
      <w:r>
        <w:tab/>
        <w:t>(2)</w:t>
      </w:r>
      <w:r>
        <w:tab/>
        <w:t>Sub</w:t>
      </w:r>
      <w:r>
        <w:noBreakHyphen/>
        <w:t>item (1) does not apply to land covered by any other item in this Division (other than item 7, 8 or 9) or by Division 2.</w:t>
      </w:r>
    </w:p>
    <w:p>
      <w:pPr>
        <w:pStyle w:val="yMiscellaneousBody"/>
        <w:tabs>
          <w:tab w:val="left" w:pos="284"/>
          <w:tab w:val="right" w:leader="dot" w:pos="6804"/>
        </w:tabs>
        <w:spacing w:before="120" w:after="160"/>
        <w:ind w:left="879" w:right="1985" w:hanging="879"/>
      </w:pPr>
      <w:r>
        <w:tab/>
        <w:t>(3)</w:t>
      </w:r>
      <w:r>
        <w:tab/>
        <w:t>The minimum charge under this item is —</w:t>
      </w:r>
    </w:p>
    <w:p>
      <w:pPr>
        <w:pStyle w:val="yMiscellaneousBody"/>
        <w:tabs>
          <w:tab w:val="left" w:pos="1134"/>
          <w:tab w:val="left" w:pos="1560"/>
          <w:tab w:val="right" w:leader="dot" w:pos="6804"/>
        </w:tabs>
        <w:spacing w:before="120"/>
        <w:ind w:left="1559" w:right="1985" w:hanging="1559"/>
      </w:pPr>
      <w:r>
        <w:tab/>
        <w:t>(a)</w:t>
      </w:r>
      <w:r>
        <w:tab/>
        <w:t xml:space="preserve">for land that is classified as residential </w:t>
      </w:r>
      <w:r>
        <w:tab/>
        <w:t xml:space="preserve"> </w:t>
      </w:r>
      <w:r>
        <w:rPr>
          <w:szCs w:val="22"/>
        </w:rPr>
        <w:t>$364.84</w:t>
      </w:r>
    </w:p>
    <w:p>
      <w:pPr>
        <w:pStyle w:val="yMiscellaneousBody"/>
        <w:tabs>
          <w:tab w:val="left" w:pos="1134"/>
          <w:tab w:val="left" w:pos="1560"/>
          <w:tab w:val="right" w:leader="dot" w:pos="6804"/>
        </w:tabs>
        <w:spacing w:before="120"/>
        <w:ind w:left="1559" w:right="1985" w:hanging="1559"/>
      </w:pPr>
      <w:r>
        <w:tab/>
        <w:t>(b)</w:t>
      </w:r>
      <w:r>
        <w:tab/>
        <w:t xml:space="preserve">for land that is classified as vacant land </w:t>
      </w:r>
      <w:r>
        <w:tab/>
        <w:t xml:space="preserve"> </w:t>
      </w:r>
      <w:r>
        <w:rPr>
          <w:szCs w:val="22"/>
        </w:rPr>
        <w:t>$240.08</w:t>
      </w:r>
    </w:p>
    <w:p>
      <w:pPr>
        <w:pStyle w:val="yMiscellaneousBody"/>
        <w:tabs>
          <w:tab w:val="left" w:pos="1134"/>
          <w:tab w:val="left" w:pos="1560"/>
          <w:tab w:val="right" w:leader="dot" w:pos="6804"/>
        </w:tabs>
        <w:spacing w:before="120"/>
        <w:ind w:left="1559" w:right="1985" w:hanging="1559"/>
      </w:pPr>
      <w:r>
        <w:tab/>
        <w:t>(c)</w:t>
      </w:r>
      <w:r>
        <w:tab/>
        <w:t xml:space="preserve">for other land </w:t>
      </w:r>
      <w:r>
        <w:tab/>
        <w:t xml:space="preserve"> </w:t>
      </w:r>
      <w:r>
        <w:rPr>
          <w:szCs w:val="22"/>
        </w:rPr>
        <w:t>$848.50</w:t>
      </w:r>
    </w:p>
    <w:p>
      <w:pPr>
        <w:pStyle w:val="yMiscellaneousBody"/>
        <w:tabs>
          <w:tab w:val="left" w:pos="284"/>
          <w:tab w:val="right" w:leader="dot" w:pos="6804"/>
        </w:tabs>
        <w:spacing w:after="160"/>
        <w:ind w:left="879" w:right="1985" w:hanging="879"/>
      </w:pPr>
      <w:r>
        <w:tab/>
        <w:t>(4)</w:t>
      </w:r>
      <w:r>
        <w:tab/>
        <w:t xml:space="preserve">The maximum charge under this item for land that is classified as residential or classified as vacant land but held for residential purposes is </w:t>
      </w:r>
      <w:r>
        <w:tab/>
      </w:r>
      <w:r>
        <w:rPr>
          <w:szCs w:val="22"/>
        </w:rPr>
        <w:t>$996.07</w:t>
      </w:r>
    </w:p>
    <w:p>
      <w:pPr>
        <w:pStyle w:val="yTHeadingNAm"/>
      </w:pPr>
      <w:r>
        <w:t>Table of rates for sewerage areas</w:t>
      </w:r>
    </w:p>
    <w:tbl>
      <w:tblPr>
        <w:tblW w:w="623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810"/>
        <w:gridCol w:w="2268"/>
      </w:tblGrid>
      <w:tr>
        <w:trPr>
          <w:tblHeader/>
        </w:trPr>
        <w:tc>
          <w:tcPr>
            <w:tcW w:w="2159" w:type="dxa"/>
            <w:tcBorders>
              <w:left w:val="nil"/>
              <w:bottom w:val="single" w:sz="4" w:space="0" w:color="auto"/>
              <w:right w:val="nil"/>
            </w:tcBorders>
          </w:tcPr>
          <w:p>
            <w:pPr>
              <w:pStyle w:val="yTableNAm"/>
              <w:spacing w:before="80"/>
            </w:pPr>
            <w:r>
              <w:rPr>
                <w:b/>
              </w:rPr>
              <w:t>Sewerage area</w:t>
            </w:r>
          </w:p>
        </w:tc>
        <w:tc>
          <w:tcPr>
            <w:tcW w:w="1810" w:type="dxa"/>
            <w:tcBorders>
              <w:left w:val="nil"/>
              <w:bottom w:val="single" w:sz="4" w:space="0" w:color="auto"/>
              <w:right w:val="nil"/>
            </w:tcBorders>
          </w:tcPr>
          <w:p>
            <w:pPr>
              <w:pStyle w:val="yTableNAm"/>
              <w:spacing w:before="80"/>
            </w:pPr>
            <w:r>
              <w:rPr>
                <w:b/>
              </w:rPr>
              <w:t xml:space="preserve">Residential rate </w:t>
            </w:r>
            <w:r>
              <w:rPr>
                <w:b/>
              </w:rPr>
              <w:br/>
              <w:t>cents/$ of GRV</w:t>
            </w:r>
          </w:p>
        </w:tc>
        <w:tc>
          <w:tcPr>
            <w:tcW w:w="2268" w:type="dxa"/>
            <w:tcBorders>
              <w:left w:val="nil"/>
              <w:bottom w:val="single" w:sz="4" w:space="0" w:color="auto"/>
              <w:right w:val="nil"/>
            </w:tcBorders>
          </w:tcPr>
          <w:p>
            <w:pPr>
              <w:pStyle w:val="yTableNAm"/>
              <w:spacing w:before="80"/>
            </w:pPr>
            <w:r>
              <w:rPr>
                <w:b/>
              </w:rPr>
              <w:t>Non</w:t>
            </w:r>
            <w:r>
              <w:rPr>
                <w:b/>
              </w:rPr>
              <w:noBreakHyphen/>
              <w:t xml:space="preserve">residential rate </w:t>
            </w:r>
            <w:r>
              <w:rPr>
                <w:b/>
              </w:rPr>
              <w:br/>
              <w:t>cents/$ of GRV</w:t>
            </w:r>
          </w:p>
        </w:tc>
      </w:tr>
      <w:tr>
        <w:tc>
          <w:tcPr>
            <w:tcW w:w="2159" w:type="dxa"/>
            <w:tcBorders>
              <w:top w:val="single" w:sz="4" w:space="0" w:color="auto"/>
              <w:left w:val="nil"/>
              <w:bottom w:val="nil"/>
              <w:right w:val="nil"/>
            </w:tcBorders>
          </w:tcPr>
          <w:p>
            <w:pPr>
              <w:pStyle w:val="yTableNAm"/>
              <w:spacing w:before="80"/>
            </w:pPr>
            <w:r>
              <w:t>Albany</w:t>
            </w:r>
          </w:p>
        </w:tc>
        <w:tc>
          <w:tcPr>
            <w:tcW w:w="1810" w:type="dxa"/>
            <w:tcBorders>
              <w:top w:val="single" w:sz="4" w:space="0" w:color="auto"/>
              <w:left w:val="nil"/>
              <w:bottom w:val="nil"/>
              <w:right w:val="nil"/>
            </w:tcBorders>
          </w:tcPr>
          <w:p>
            <w:pPr>
              <w:pStyle w:val="yTableNAm"/>
              <w:spacing w:before="80"/>
            </w:pPr>
            <w:r>
              <w:t>12.373</w:t>
            </w:r>
          </w:p>
        </w:tc>
        <w:tc>
          <w:tcPr>
            <w:tcW w:w="2268" w:type="dxa"/>
            <w:tcBorders>
              <w:top w:val="single" w:sz="4" w:space="0" w:color="auto"/>
              <w:left w:val="nil"/>
              <w:bottom w:val="nil"/>
              <w:right w:val="nil"/>
            </w:tcBorders>
          </w:tcPr>
          <w:p>
            <w:pPr>
              <w:pStyle w:val="yTableNAm"/>
              <w:spacing w:before="80"/>
            </w:pPr>
            <w:r>
              <w:t>16.190</w:t>
            </w:r>
          </w:p>
        </w:tc>
      </w:tr>
      <w:tr>
        <w:tc>
          <w:tcPr>
            <w:tcW w:w="2159" w:type="dxa"/>
            <w:tcBorders>
              <w:top w:val="nil"/>
              <w:left w:val="nil"/>
              <w:bottom w:val="nil"/>
              <w:right w:val="nil"/>
            </w:tcBorders>
          </w:tcPr>
          <w:p>
            <w:pPr>
              <w:pStyle w:val="yTableNAm"/>
              <w:spacing w:before="80"/>
            </w:pPr>
            <w:r>
              <w:t>Augusta</w:t>
            </w:r>
          </w:p>
        </w:tc>
        <w:tc>
          <w:tcPr>
            <w:tcW w:w="1810" w:type="dxa"/>
            <w:tcBorders>
              <w:top w:val="nil"/>
              <w:left w:val="nil"/>
              <w:bottom w:val="nil"/>
              <w:right w:val="nil"/>
            </w:tcBorders>
          </w:tcPr>
          <w:p>
            <w:pPr>
              <w:pStyle w:val="yTableNAm"/>
              <w:spacing w:before="80"/>
            </w:pPr>
            <w:r>
              <w:t>7.568</w:t>
            </w:r>
          </w:p>
        </w:tc>
        <w:tc>
          <w:tcPr>
            <w:tcW w:w="2268" w:type="dxa"/>
            <w:tcBorders>
              <w:top w:val="nil"/>
              <w:left w:val="nil"/>
              <w:bottom w:val="nil"/>
              <w:right w:val="nil"/>
            </w:tcBorders>
          </w:tcPr>
          <w:p>
            <w:pPr>
              <w:pStyle w:val="yTableNAm"/>
              <w:spacing w:before="80"/>
            </w:pPr>
            <w:r>
              <w:t>9.515</w:t>
            </w:r>
          </w:p>
        </w:tc>
      </w:tr>
      <w:tr>
        <w:tc>
          <w:tcPr>
            <w:tcW w:w="2159" w:type="dxa"/>
            <w:tcBorders>
              <w:top w:val="nil"/>
              <w:left w:val="nil"/>
              <w:bottom w:val="nil"/>
              <w:right w:val="nil"/>
            </w:tcBorders>
          </w:tcPr>
          <w:p>
            <w:pPr>
              <w:pStyle w:val="yTableNAm"/>
              <w:spacing w:before="80"/>
            </w:pPr>
            <w:r>
              <w:t>Australind</w:t>
            </w:r>
          </w:p>
        </w:tc>
        <w:tc>
          <w:tcPr>
            <w:tcW w:w="1810" w:type="dxa"/>
            <w:tcBorders>
              <w:top w:val="nil"/>
              <w:left w:val="nil"/>
              <w:bottom w:val="nil"/>
              <w:right w:val="nil"/>
            </w:tcBorders>
          </w:tcPr>
          <w:p>
            <w:pPr>
              <w:pStyle w:val="yTableNAm"/>
              <w:spacing w:before="80"/>
            </w:pPr>
            <w:r>
              <w:t>5.144</w:t>
            </w:r>
          </w:p>
        </w:tc>
        <w:tc>
          <w:tcPr>
            <w:tcW w:w="2268" w:type="dxa"/>
            <w:tcBorders>
              <w:top w:val="nil"/>
              <w:left w:val="nil"/>
              <w:bottom w:val="nil"/>
              <w:right w:val="nil"/>
            </w:tcBorders>
          </w:tcPr>
          <w:p>
            <w:pPr>
              <w:pStyle w:val="yTableNAm"/>
              <w:spacing w:before="80"/>
            </w:pPr>
            <w:r>
              <w:t>3.489</w:t>
            </w:r>
          </w:p>
        </w:tc>
      </w:tr>
      <w:tr>
        <w:tc>
          <w:tcPr>
            <w:tcW w:w="2159" w:type="dxa"/>
            <w:tcBorders>
              <w:top w:val="nil"/>
              <w:left w:val="nil"/>
              <w:bottom w:val="nil"/>
              <w:right w:val="nil"/>
            </w:tcBorders>
          </w:tcPr>
          <w:p>
            <w:pPr>
              <w:pStyle w:val="yTableNAm"/>
              <w:spacing w:before="80"/>
            </w:pPr>
            <w:r>
              <w:t>Beverley</w:t>
            </w:r>
          </w:p>
        </w:tc>
        <w:tc>
          <w:tcPr>
            <w:tcW w:w="1810" w:type="dxa"/>
            <w:tcBorders>
              <w:top w:val="nil"/>
              <w:left w:val="nil"/>
              <w:bottom w:val="nil"/>
              <w:right w:val="nil"/>
            </w:tcBorders>
          </w:tcPr>
          <w:p>
            <w:pPr>
              <w:pStyle w:val="yTableNAm"/>
              <w:spacing w:before="80"/>
            </w:pPr>
            <w:r>
              <w:t>12.427</w:t>
            </w:r>
          </w:p>
        </w:tc>
        <w:tc>
          <w:tcPr>
            <w:tcW w:w="2268" w:type="dxa"/>
            <w:tcBorders>
              <w:top w:val="nil"/>
              <w:left w:val="nil"/>
              <w:bottom w:val="nil"/>
              <w:right w:val="nil"/>
            </w:tcBorders>
          </w:tcPr>
          <w:p>
            <w:pPr>
              <w:pStyle w:val="yTableNAm"/>
              <w:spacing w:before="80"/>
            </w:pPr>
            <w:r>
              <w:t>20.950</w:t>
            </w:r>
          </w:p>
        </w:tc>
      </w:tr>
      <w:tr>
        <w:tc>
          <w:tcPr>
            <w:tcW w:w="2159" w:type="dxa"/>
            <w:tcBorders>
              <w:top w:val="nil"/>
              <w:left w:val="nil"/>
              <w:bottom w:val="nil"/>
              <w:right w:val="nil"/>
            </w:tcBorders>
          </w:tcPr>
          <w:p>
            <w:pPr>
              <w:pStyle w:val="yTableNAm"/>
              <w:spacing w:before="80"/>
            </w:pPr>
            <w:r>
              <w:t>Binningup</w:t>
            </w:r>
          </w:p>
        </w:tc>
        <w:tc>
          <w:tcPr>
            <w:tcW w:w="1810" w:type="dxa"/>
            <w:tcBorders>
              <w:top w:val="nil"/>
              <w:left w:val="nil"/>
              <w:bottom w:val="nil"/>
              <w:right w:val="nil"/>
            </w:tcBorders>
          </w:tcPr>
          <w:p>
            <w:pPr>
              <w:pStyle w:val="yTableNAm"/>
              <w:spacing w:before="80"/>
            </w:pPr>
            <w:r>
              <w:t>9.297</w:t>
            </w:r>
          </w:p>
        </w:tc>
        <w:tc>
          <w:tcPr>
            <w:tcW w:w="2268" w:type="dxa"/>
            <w:tcBorders>
              <w:top w:val="nil"/>
              <w:left w:val="nil"/>
              <w:bottom w:val="nil"/>
              <w:right w:val="nil"/>
            </w:tcBorders>
          </w:tcPr>
          <w:p>
            <w:pPr>
              <w:pStyle w:val="yTableNAm"/>
              <w:spacing w:before="80"/>
            </w:pPr>
            <w:r>
              <w:t>16.725</w:t>
            </w:r>
          </w:p>
        </w:tc>
      </w:tr>
      <w:tr>
        <w:tc>
          <w:tcPr>
            <w:tcW w:w="2159" w:type="dxa"/>
            <w:tcBorders>
              <w:top w:val="nil"/>
              <w:left w:val="nil"/>
              <w:bottom w:val="nil"/>
              <w:right w:val="nil"/>
            </w:tcBorders>
          </w:tcPr>
          <w:p>
            <w:pPr>
              <w:pStyle w:val="yTableNAm"/>
              <w:spacing w:before="80"/>
            </w:pPr>
            <w:r>
              <w:t>Boddington</w:t>
            </w:r>
          </w:p>
        </w:tc>
        <w:tc>
          <w:tcPr>
            <w:tcW w:w="1810" w:type="dxa"/>
            <w:tcBorders>
              <w:top w:val="nil"/>
              <w:left w:val="nil"/>
              <w:bottom w:val="nil"/>
              <w:right w:val="nil"/>
            </w:tcBorders>
          </w:tcPr>
          <w:p>
            <w:pPr>
              <w:pStyle w:val="yTableNAm"/>
              <w:spacing w:before="80"/>
            </w:pPr>
            <w:r>
              <w:t>21.180</w:t>
            </w:r>
          </w:p>
        </w:tc>
        <w:tc>
          <w:tcPr>
            <w:tcW w:w="2268" w:type="dxa"/>
            <w:tcBorders>
              <w:top w:val="nil"/>
              <w:left w:val="nil"/>
              <w:bottom w:val="nil"/>
              <w:right w:val="nil"/>
            </w:tcBorders>
          </w:tcPr>
          <w:p>
            <w:pPr>
              <w:pStyle w:val="yTableNAm"/>
              <w:spacing w:before="80"/>
            </w:pPr>
            <w:r>
              <w:t>42.366</w:t>
            </w:r>
          </w:p>
        </w:tc>
      </w:tr>
      <w:tr>
        <w:tc>
          <w:tcPr>
            <w:tcW w:w="2159" w:type="dxa"/>
            <w:tcBorders>
              <w:top w:val="nil"/>
              <w:left w:val="nil"/>
              <w:bottom w:val="nil"/>
              <w:right w:val="nil"/>
            </w:tcBorders>
          </w:tcPr>
          <w:p>
            <w:pPr>
              <w:pStyle w:val="yTableNAm"/>
              <w:spacing w:before="80"/>
            </w:pPr>
            <w:r>
              <w:t>Boyanup</w:t>
            </w:r>
          </w:p>
        </w:tc>
        <w:tc>
          <w:tcPr>
            <w:tcW w:w="1810" w:type="dxa"/>
            <w:tcBorders>
              <w:top w:val="nil"/>
              <w:left w:val="nil"/>
              <w:bottom w:val="nil"/>
              <w:right w:val="nil"/>
            </w:tcBorders>
          </w:tcPr>
          <w:p>
            <w:pPr>
              <w:pStyle w:val="yTableNAm"/>
              <w:spacing w:before="80"/>
            </w:pPr>
            <w:r>
              <w:t>11.111</w:t>
            </w:r>
          </w:p>
        </w:tc>
        <w:tc>
          <w:tcPr>
            <w:tcW w:w="2268" w:type="dxa"/>
            <w:tcBorders>
              <w:top w:val="nil"/>
              <w:left w:val="nil"/>
              <w:bottom w:val="nil"/>
              <w:right w:val="nil"/>
            </w:tcBorders>
          </w:tcPr>
          <w:p>
            <w:pPr>
              <w:pStyle w:val="yTableNAm"/>
              <w:spacing w:before="80"/>
            </w:pPr>
            <w:r>
              <w:t>11.567</w:t>
            </w:r>
          </w:p>
        </w:tc>
      </w:tr>
      <w:tr>
        <w:tc>
          <w:tcPr>
            <w:tcW w:w="2159" w:type="dxa"/>
            <w:tcBorders>
              <w:top w:val="nil"/>
              <w:left w:val="nil"/>
              <w:bottom w:val="nil"/>
              <w:right w:val="nil"/>
            </w:tcBorders>
          </w:tcPr>
          <w:p>
            <w:pPr>
              <w:pStyle w:val="yTableNAm"/>
              <w:spacing w:before="80"/>
            </w:pPr>
            <w:r>
              <w:t>Bremer Bay</w:t>
            </w:r>
          </w:p>
        </w:tc>
        <w:tc>
          <w:tcPr>
            <w:tcW w:w="1810" w:type="dxa"/>
            <w:tcBorders>
              <w:top w:val="nil"/>
              <w:left w:val="nil"/>
              <w:bottom w:val="nil"/>
              <w:right w:val="nil"/>
            </w:tcBorders>
          </w:tcPr>
          <w:p>
            <w:pPr>
              <w:pStyle w:val="yTableNAm"/>
              <w:spacing w:before="80"/>
            </w:pPr>
            <w:r>
              <w:t>15.869</w:t>
            </w:r>
          </w:p>
        </w:tc>
        <w:tc>
          <w:tcPr>
            <w:tcW w:w="2268" w:type="dxa"/>
            <w:tcBorders>
              <w:top w:val="nil"/>
              <w:left w:val="nil"/>
              <w:bottom w:val="nil"/>
              <w:right w:val="nil"/>
            </w:tcBorders>
          </w:tcPr>
          <w:p>
            <w:pPr>
              <w:pStyle w:val="yTableNAm"/>
              <w:spacing w:before="80"/>
            </w:pPr>
            <w:r>
              <w:t>12.691</w:t>
            </w:r>
          </w:p>
        </w:tc>
      </w:tr>
      <w:tr>
        <w:tc>
          <w:tcPr>
            <w:tcW w:w="2159" w:type="dxa"/>
            <w:tcBorders>
              <w:top w:val="nil"/>
              <w:left w:val="nil"/>
              <w:bottom w:val="nil"/>
              <w:right w:val="nil"/>
            </w:tcBorders>
          </w:tcPr>
          <w:p>
            <w:pPr>
              <w:pStyle w:val="yTableNAm"/>
              <w:spacing w:before="80"/>
            </w:pPr>
            <w:r>
              <w:t>Bridgetown</w:t>
            </w:r>
          </w:p>
        </w:tc>
        <w:tc>
          <w:tcPr>
            <w:tcW w:w="1810" w:type="dxa"/>
            <w:tcBorders>
              <w:top w:val="nil"/>
              <w:left w:val="nil"/>
              <w:bottom w:val="nil"/>
              <w:right w:val="nil"/>
            </w:tcBorders>
          </w:tcPr>
          <w:p>
            <w:pPr>
              <w:pStyle w:val="yTableNAm"/>
              <w:spacing w:before="80"/>
            </w:pPr>
            <w:r>
              <w:t>70.241</w:t>
            </w:r>
          </w:p>
        </w:tc>
        <w:tc>
          <w:tcPr>
            <w:tcW w:w="2268" w:type="dxa"/>
            <w:tcBorders>
              <w:top w:val="nil"/>
              <w:left w:val="nil"/>
              <w:bottom w:val="nil"/>
              <w:right w:val="nil"/>
            </w:tcBorders>
          </w:tcPr>
          <w:p>
            <w:pPr>
              <w:pStyle w:val="yTableNAm"/>
              <w:spacing w:before="80"/>
            </w:pPr>
            <w:r>
              <w:t>100.428</w:t>
            </w:r>
          </w:p>
        </w:tc>
      </w:tr>
      <w:tr>
        <w:tc>
          <w:tcPr>
            <w:tcW w:w="2159" w:type="dxa"/>
            <w:tcBorders>
              <w:top w:val="nil"/>
              <w:left w:val="nil"/>
              <w:bottom w:val="nil"/>
              <w:right w:val="nil"/>
            </w:tcBorders>
          </w:tcPr>
          <w:p>
            <w:pPr>
              <w:pStyle w:val="yTableNAm"/>
              <w:spacing w:before="80"/>
            </w:pPr>
            <w:r>
              <w:t>Broome</w:t>
            </w:r>
          </w:p>
        </w:tc>
        <w:tc>
          <w:tcPr>
            <w:tcW w:w="1810" w:type="dxa"/>
            <w:tcBorders>
              <w:top w:val="nil"/>
              <w:left w:val="nil"/>
              <w:bottom w:val="nil"/>
              <w:right w:val="nil"/>
            </w:tcBorders>
          </w:tcPr>
          <w:p>
            <w:pPr>
              <w:pStyle w:val="yTableNAm"/>
              <w:spacing w:before="80"/>
            </w:pPr>
            <w:r>
              <w:t>8.703</w:t>
            </w:r>
          </w:p>
        </w:tc>
        <w:tc>
          <w:tcPr>
            <w:tcW w:w="2268" w:type="dxa"/>
            <w:tcBorders>
              <w:top w:val="nil"/>
              <w:left w:val="nil"/>
              <w:bottom w:val="nil"/>
              <w:right w:val="nil"/>
            </w:tcBorders>
          </w:tcPr>
          <w:p>
            <w:pPr>
              <w:pStyle w:val="yTableNAm"/>
              <w:spacing w:before="80"/>
            </w:pPr>
            <w:r>
              <w:t>7.217</w:t>
            </w:r>
          </w:p>
        </w:tc>
      </w:tr>
      <w:tr>
        <w:tc>
          <w:tcPr>
            <w:tcW w:w="2159" w:type="dxa"/>
            <w:tcBorders>
              <w:top w:val="nil"/>
              <w:left w:val="nil"/>
              <w:bottom w:val="nil"/>
              <w:right w:val="nil"/>
            </w:tcBorders>
          </w:tcPr>
          <w:p>
            <w:pPr>
              <w:pStyle w:val="yTableNAm"/>
              <w:spacing w:before="80"/>
            </w:pPr>
            <w:r>
              <w:t>Brunswick</w:t>
            </w:r>
          </w:p>
        </w:tc>
        <w:tc>
          <w:tcPr>
            <w:tcW w:w="1810" w:type="dxa"/>
            <w:tcBorders>
              <w:top w:val="nil"/>
              <w:left w:val="nil"/>
              <w:bottom w:val="nil"/>
              <w:right w:val="nil"/>
            </w:tcBorders>
          </w:tcPr>
          <w:p>
            <w:pPr>
              <w:pStyle w:val="yTableNAm"/>
              <w:spacing w:before="80"/>
            </w:pPr>
            <w:r>
              <w:t>9.893</w:t>
            </w:r>
          </w:p>
        </w:tc>
        <w:tc>
          <w:tcPr>
            <w:tcW w:w="2268" w:type="dxa"/>
            <w:tcBorders>
              <w:top w:val="nil"/>
              <w:left w:val="nil"/>
              <w:bottom w:val="nil"/>
              <w:right w:val="nil"/>
            </w:tcBorders>
          </w:tcPr>
          <w:p>
            <w:pPr>
              <w:pStyle w:val="yTableNAm"/>
              <w:spacing w:before="80"/>
            </w:pPr>
            <w:r>
              <w:t>15.073</w:t>
            </w:r>
          </w:p>
        </w:tc>
      </w:tr>
      <w:tr>
        <w:tc>
          <w:tcPr>
            <w:tcW w:w="2159" w:type="dxa"/>
            <w:tcBorders>
              <w:top w:val="nil"/>
              <w:left w:val="nil"/>
              <w:bottom w:val="nil"/>
              <w:right w:val="nil"/>
            </w:tcBorders>
          </w:tcPr>
          <w:p>
            <w:pPr>
              <w:pStyle w:val="yTableNAm"/>
              <w:spacing w:before="80"/>
            </w:pPr>
            <w:r>
              <w:t>Bunbury</w:t>
            </w:r>
          </w:p>
        </w:tc>
        <w:tc>
          <w:tcPr>
            <w:tcW w:w="1810" w:type="dxa"/>
            <w:tcBorders>
              <w:top w:val="nil"/>
              <w:left w:val="nil"/>
              <w:bottom w:val="nil"/>
              <w:right w:val="nil"/>
            </w:tcBorders>
          </w:tcPr>
          <w:p>
            <w:pPr>
              <w:pStyle w:val="yTableNAm"/>
              <w:spacing w:before="80"/>
            </w:pPr>
            <w:r>
              <w:t>8.286</w:t>
            </w:r>
          </w:p>
        </w:tc>
        <w:tc>
          <w:tcPr>
            <w:tcW w:w="2268" w:type="dxa"/>
            <w:tcBorders>
              <w:top w:val="nil"/>
              <w:left w:val="nil"/>
              <w:bottom w:val="nil"/>
              <w:right w:val="nil"/>
            </w:tcBorders>
          </w:tcPr>
          <w:p>
            <w:pPr>
              <w:pStyle w:val="yTableNAm"/>
              <w:spacing w:before="80"/>
            </w:pPr>
            <w:r>
              <w:t>8.555</w:t>
            </w:r>
          </w:p>
        </w:tc>
      </w:tr>
      <w:tr>
        <w:tc>
          <w:tcPr>
            <w:tcW w:w="2159" w:type="dxa"/>
            <w:tcBorders>
              <w:top w:val="nil"/>
              <w:left w:val="nil"/>
              <w:bottom w:val="nil"/>
              <w:right w:val="nil"/>
            </w:tcBorders>
          </w:tcPr>
          <w:p>
            <w:pPr>
              <w:pStyle w:val="yTableNAm"/>
              <w:spacing w:before="80"/>
            </w:pPr>
            <w:r>
              <w:t>Burekup</w:t>
            </w:r>
          </w:p>
        </w:tc>
        <w:tc>
          <w:tcPr>
            <w:tcW w:w="1810" w:type="dxa"/>
            <w:tcBorders>
              <w:top w:val="nil"/>
              <w:left w:val="nil"/>
              <w:bottom w:val="nil"/>
              <w:right w:val="nil"/>
            </w:tcBorders>
          </w:tcPr>
          <w:p>
            <w:pPr>
              <w:pStyle w:val="yTableNAm"/>
              <w:spacing w:before="80"/>
            </w:pPr>
            <w:r>
              <w:t>8.096</w:t>
            </w:r>
          </w:p>
        </w:tc>
        <w:tc>
          <w:tcPr>
            <w:tcW w:w="2268" w:type="dxa"/>
            <w:tcBorders>
              <w:top w:val="nil"/>
              <w:left w:val="nil"/>
              <w:bottom w:val="nil"/>
              <w:right w:val="nil"/>
            </w:tcBorders>
          </w:tcPr>
          <w:p>
            <w:pPr>
              <w:pStyle w:val="yTableNAm"/>
              <w:spacing w:before="80"/>
            </w:pPr>
            <w:r>
              <w:t>9.124</w:t>
            </w:r>
          </w:p>
        </w:tc>
      </w:tr>
      <w:tr>
        <w:tc>
          <w:tcPr>
            <w:tcW w:w="2159" w:type="dxa"/>
            <w:tcBorders>
              <w:top w:val="nil"/>
              <w:left w:val="nil"/>
              <w:bottom w:val="nil"/>
              <w:right w:val="nil"/>
            </w:tcBorders>
          </w:tcPr>
          <w:p>
            <w:pPr>
              <w:pStyle w:val="yTableNAm"/>
              <w:spacing w:before="80"/>
            </w:pPr>
            <w:r>
              <w:t>Busselton</w:t>
            </w:r>
          </w:p>
        </w:tc>
        <w:tc>
          <w:tcPr>
            <w:tcW w:w="1810" w:type="dxa"/>
            <w:tcBorders>
              <w:top w:val="nil"/>
              <w:left w:val="nil"/>
              <w:bottom w:val="nil"/>
              <w:right w:val="nil"/>
            </w:tcBorders>
          </w:tcPr>
          <w:p>
            <w:pPr>
              <w:pStyle w:val="yTableNAm"/>
              <w:spacing w:before="80"/>
            </w:pPr>
            <w:r>
              <w:t>5.650</w:t>
            </w:r>
          </w:p>
        </w:tc>
        <w:tc>
          <w:tcPr>
            <w:tcW w:w="2268" w:type="dxa"/>
            <w:tcBorders>
              <w:top w:val="nil"/>
              <w:left w:val="nil"/>
              <w:bottom w:val="nil"/>
              <w:right w:val="nil"/>
            </w:tcBorders>
          </w:tcPr>
          <w:p>
            <w:pPr>
              <w:pStyle w:val="yTableNAm"/>
              <w:spacing w:before="80"/>
            </w:pPr>
            <w:r>
              <w:t>6.801</w:t>
            </w:r>
          </w:p>
        </w:tc>
      </w:tr>
      <w:tr>
        <w:tc>
          <w:tcPr>
            <w:tcW w:w="2159" w:type="dxa"/>
            <w:tcBorders>
              <w:top w:val="nil"/>
              <w:left w:val="nil"/>
              <w:bottom w:val="nil"/>
              <w:right w:val="nil"/>
            </w:tcBorders>
          </w:tcPr>
          <w:p>
            <w:pPr>
              <w:pStyle w:val="yTableNAm"/>
              <w:spacing w:before="80"/>
            </w:pPr>
            <w:r>
              <w:t>Capel</w:t>
            </w:r>
          </w:p>
        </w:tc>
        <w:tc>
          <w:tcPr>
            <w:tcW w:w="1810" w:type="dxa"/>
            <w:tcBorders>
              <w:top w:val="nil"/>
              <w:left w:val="nil"/>
              <w:bottom w:val="nil"/>
              <w:right w:val="nil"/>
            </w:tcBorders>
          </w:tcPr>
          <w:p>
            <w:pPr>
              <w:pStyle w:val="yTableNAm"/>
              <w:spacing w:before="80"/>
            </w:pPr>
            <w:r>
              <w:t>8.700</w:t>
            </w:r>
          </w:p>
        </w:tc>
        <w:tc>
          <w:tcPr>
            <w:tcW w:w="2268" w:type="dxa"/>
            <w:tcBorders>
              <w:top w:val="nil"/>
              <w:left w:val="nil"/>
              <w:bottom w:val="nil"/>
              <w:right w:val="nil"/>
            </w:tcBorders>
          </w:tcPr>
          <w:p>
            <w:pPr>
              <w:pStyle w:val="yTableNAm"/>
              <w:spacing w:before="80"/>
            </w:pPr>
            <w:r>
              <w:t>9.451</w:t>
            </w:r>
          </w:p>
        </w:tc>
      </w:tr>
      <w:tr>
        <w:tc>
          <w:tcPr>
            <w:tcW w:w="2159" w:type="dxa"/>
            <w:tcBorders>
              <w:top w:val="nil"/>
              <w:left w:val="nil"/>
              <w:bottom w:val="nil"/>
              <w:right w:val="nil"/>
            </w:tcBorders>
          </w:tcPr>
          <w:p>
            <w:pPr>
              <w:pStyle w:val="yTableNAm"/>
              <w:spacing w:before="80"/>
            </w:pPr>
            <w:r>
              <w:t>Carnarvon</w:t>
            </w:r>
          </w:p>
        </w:tc>
        <w:tc>
          <w:tcPr>
            <w:tcW w:w="1810" w:type="dxa"/>
            <w:tcBorders>
              <w:top w:val="nil"/>
              <w:left w:val="nil"/>
              <w:bottom w:val="nil"/>
              <w:right w:val="nil"/>
            </w:tcBorders>
          </w:tcPr>
          <w:p>
            <w:pPr>
              <w:pStyle w:val="yTableNAm"/>
              <w:spacing w:before="80"/>
            </w:pPr>
            <w:r>
              <w:t>7.482</w:t>
            </w:r>
          </w:p>
        </w:tc>
        <w:tc>
          <w:tcPr>
            <w:tcW w:w="2268" w:type="dxa"/>
            <w:tcBorders>
              <w:top w:val="nil"/>
              <w:left w:val="nil"/>
              <w:bottom w:val="nil"/>
              <w:right w:val="nil"/>
            </w:tcBorders>
          </w:tcPr>
          <w:p>
            <w:pPr>
              <w:pStyle w:val="yTableNAm"/>
              <w:spacing w:before="80"/>
            </w:pPr>
            <w:r>
              <w:t>11.049</w:t>
            </w:r>
          </w:p>
        </w:tc>
      </w:tr>
      <w:tr>
        <w:tc>
          <w:tcPr>
            <w:tcW w:w="2159" w:type="dxa"/>
            <w:tcBorders>
              <w:top w:val="nil"/>
              <w:left w:val="nil"/>
              <w:bottom w:val="single" w:sz="4" w:space="0" w:color="auto"/>
              <w:right w:val="nil"/>
            </w:tcBorders>
          </w:tcPr>
          <w:p>
            <w:pPr>
              <w:pStyle w:val="yTableNAm"/>
            </w:pPr>
            <w:r>
              <w:t>Cervantes</w:t>
            </w:r>
          </w:p>
        </w:tc>
        <w:tc>
          <w:tcPr>
            <w:tcW w:w="1810" w:type="dxa"/>
            <w:tcBorders>
              <w:top w:val="nil"/>
              <w:left w:val="nil"/>
              <w:bottom w:val="single" w:sz="4" w:space="0" w:color="auto"/>
              <w:right w:val="nil"/>
            </w:tcBorders>
          </w:tcPr>
          <w:p>
            <w:pPr>
              <w:pStyle w:val="yTableNAm"/>
            </w:pPr>
            <w:r>
              <w:t>12.012</w:t>
            </w:r>
          </w:p>
        </w:tc>
        <w:tc>
          <w:tcPr>
            <w:tcW w:w="2268" w:type="dxa"/>
            <w:tcBorders>
              <w:top w:val="nil"/>
              <w:left w:val="nil"/>
              <w:bottom w:val="single" w:sz="4" w:space="0" w:color="auto"/>
              <w:right w:val="nil"/>
            </w:tcBorders>
          </w:tcPr>
          <w:p>
            <w:pPr>
              <w:pStyle w:val="yTableNAm"/>
            </w:pPr>
            <w:r>
              <w:t>8.197</w:t>
            </w:r>
          </w:p>
        </w:tc>
      </w:tr>
      <w:tr>
        <w:tc>
          <w:tcPr>
            <w:tcW w:w="2159" w:type="dxa"/>
            <w:tcBorders>
              <w:top w:val="single" w:sz="4" w:space="0" w:color="auto"/>
              <w:left w:val="nil"/>
              <w:bottom w:val="nil"/>
              <w:right w:val="nil"/>
            </w:tcBorders>
          </w:tcPr>
          <w:p>
            <w:pPr>
              <w:pStyle w:val="yTableNAm"/>
              <w:spacing w:before="80"/>
            </w:pPr>
            <w:r>
              <w:t>Collie</w:t>
            </w:r>
          </w:p>
        </w:tc>
        <w:tc>
          <w:tcPr>
            <w:tcW w:w="1810" w:type="dxa"/>
            <w:tcBorders>
              <w:top w:val="single" w:sz="4" w:space="0" w:color="auto"/>
              <w:left w:val="nil"/>
              <w:bottom w:val="nil"/>
              <w:right w:val="nil"/>
            </w:tcBorders>
          </w:tcPr>
          <w:p>
            <w:pPr>
              <w:pStyle w:val="yTableNAm"/>
              <w:spacing w:before="80"/>
            </w:pPr>
            <w:r>
              <w:t>12.390</w:t>
            </w:r>
          </w:p>
        </w:tc>
        <w:tc>
          <w:tcPr>
            <w:tcW w:w="2268" w:type="dxa"/>
            <w:tcBorders>
              <w:top w:val="single" w:sz="4" w:space="0" w:color="auto"/>
              <w:left w:val="nil"/>
              <w:bottom w:val="nil"/>
              <w:right w:val="nil"/>
            </w:tcBorders>
          </w:tcPr>
          <w:p>
            <w:pPr>
              <w:pStyle w:val="yTableNAm"/>
              <w:spacing w:before="80"/>
            </w:pPr>
            <w:r>
              <w:t>17.042</w:t>
            </w:r>
          </w:p>
        </w:tc>
      </w:tr>
      <w:tr>
        <w:tc>
          <w:tcPr>
            <w:tcW w:w="2159" w:type="dxa"/>
            <w:tcBorders>
              <w:top w:val="nil"/>
              <w:left w:val="nil"/>
              <w:bottom w:val="nil"/>
              <w:right w:val="nil"/>
            </w:tcBorders>
          </w:tcPr>
          <w:p>
            <w:pPr>
              <w:pStyle w:val="yTableNAm"/>
              <w:spacing w:before="80"/>
            </w:pPr>
            <w:r>
              <w:t>Coral Bay</w:t>
            </w:r>
          </w:p>
        </w:tc>
        <w:tc>
          <w:tcPr>
            <w:tcW w:w="1810" w:type="dxa"/>
            <w:tcBorders>
              <w:top w:val="nil"/>
              <w:left w:val="nil"/>
              <w:bottom w:val="nil"/>
              <w:right w:val="nil"/>
            </w:tcBorders>
          </w:tcPr>
          <w:p>
            <w:pPr>
              <w:pStyle w:val="yTableNAm"/>
              <w:spacing w:before="80"/>
            </w:pPr>
            <w:r>
              <w:t>426.827</w:t>
            </w:r>
          </w:p>
        </w:tc>
        <w:tc>
          <w:tcPr>
            <w:tcW w:w="2268" w:type="dxa"/>
            <w:tcBorders>
              <w:top w:val="nil"/>
              <w:left w:val="nil"/>
              <w:bottom w:val="nil"/>
              <w:right w:val="nil"/>
            </w:tcBorders>
          </w:tcPr>
          <w:p>
            <w:pPr>
              <w:pStyle w:val="yTableNAm"/>
              <w:spacing w:before="80"/>
            </w:pPr>
            <w:r>
              <w:t>983.644</w:t>
            </w:r>
          </w:p>
        </w:tc>
      </w:tr>
      <w:tr>
        <w:tc>
          <w:tcPr>
            <w:tcW w:w="2159" w:type="dxa"/>
            <w:tcBorders>
              <w:top w:val="nil"/>
              <w:left w:val="nil"/>
              <w:bottom w:val="nil"/>
              <w:right w:val="nil"/>
            </w:tcBorders>
          </w:tcPr>
          <w:p>
            <w:pPr>
              <w:pStyle w:val="yTableNAm"/>
              <w:spacing w:before="80"/>
            </w:pPr>
            <w:r>
              <w:t>Corrigin</w:t>
            </w:r>
          </w:p>
        </w:tc>
        <w:tc>
          <w:tcPr>
            <w:tcW w:w="1810" w:type="dxa"/>
            <w:tcBorders>
              <w:top w:val="nil"/>
              <w:left w:val="nil"/>
              <w:bottom w:val="nil"/>
              <w:right w:val="nil"/>
            </w:tcBorders>
          </w:tcPr>
          <w:p>
            <w:pPr>
              <w:pStyle w:val="yTableNAm"/>
              <w:spacing w:before="80"/>
            </w:pPr>
            <w:r>
              <w:t>22.500</w:t>
            </w:r>
          </w:p>
        </w:tc>
        <w:tc>
          <w:tcPr>
            <w:tcW w:w="2268" w:type="dxa"/>
            <w:tcBorders>
              <w:top w:val="nil"/>
              <w:left w:val="nil"/>
              <w:bottom w:val="nil"/>
              <w:right w:val="nil"/>
            </w:tcBorders>
          </w:tcPr>
          <w:p>
            <w:pPr>
              <w:pStyle w:val="yTableNAm"/>
              <w:spacing w:before="80"/>
            </w:pPr>
            <w:r>
              <w:t>62.671</w:t>
            </w:r>
          </w:p>
        </w:tc>
      </w:tr>
      <w:tr>
        <w:tc>
          <w:tcPr>
            <w:tcW w:w="2159" w:type="dxa"/>
            <w:tcBorders>
              <w:top w:val="nil"/>
              <w:left w:val="nil"/>
              <w:bottom w:val="nil"/>
              <w:right w:val="nil"/>
            </w:tcBorders>
          </w:tcPr>
          <w:p>
            <w:pPr>
              <w:pStyle w:val="yTableNAm"/>
              <w:spacing w:before="80"/>
            </w:pPr>
            <w:r>
              <w:t>Cowaramup</w:t>
            </w:r>
          </w:p>
        </w:tc>
        <w:tc>
          <w:tcPr>
            <w:tcW w:w="1810" w:type="dxa"/>
            <w:tcBorders>
              <w:top w:val="nil"/>
              <w:left w:val="nil"/>
              <w:bottom w:val="nil"/>
              <w:right w:val="nil"/>
            </w:tcBorders>
          </w:tcPr>
          <w:p>
            <w:pPr>
              <w:pStyle w:val="yTableNAm"/>
              <w:spacing w:before="80"/>
            </w:pPr>
            <w:r>
              <w:t>5.800</w:t>
            </w:r>
          </w:p>
        </w:tc>
        <w:tc>
          <w:tcPr>
            <w:tcW w:w="2268" w:type="dxa"/>
            <w:tcBorders>
              <w:top w:val="nil"/>
              <w:left w:val="nil"/>
              <w:bottom w:val="nil"/>
              <w:right w:val="nil"/>
            </w:tcBorders>
          </w:tcPr>
          <w:p>
            <w:pPr>
              <w:pStyle w:val="yTableNAm"/>
              <w:spacing w:before="80"/>
            </w:pPr>
            <w:r>
              <w:t>10.871</w:t>
            </w:r>
          </w:p>
        </w:tc>
      </w:tr>
      <w:tr>
        <w:tc>
          <w:tcPr>
            <w:tcW w:w="2159" w:type="dxa"/>
            <w:tcBorders>
              <w:top w:val="nil"/>
              <w:left w:val="nil"/>
              <w:bottom w:val="nil"/>
              <w:right w:val="nil"/>
            </w:tcBorders>
          </w:tcPr>
          <w:p>
            <w:pPr>
              <w:pStyle w:val="yTableNAm"/>
              <w:spacing w:before="80"/>
            </w:pPr>
            <w:r>
              <w:t>Cranbrook</w:t>
            </w:r>
          </w:p>
        </w:tc>
        <w:tc>
          <w:tcPr>
            <w:tcW w:w="1810" w:type="dxa"/>
            <w:tcBorders>
              <w:top w:val="nil"/>
              <w:left w:val="nil"/>
              <w:bottom w:val="nil"/>
              <w:right w:val="nil"/>
            </w:tcBorders>
          </w:tcPr>
          <w:p>
            <w:pPr>
              <w:pStyle w:val="yTableNAm"/>
              <w:spacing w:before="80"/>
            </w:pPr>
            <w:r>
              <w:t>14.600</w:t>
            </w:r>
          </w:p>
        </w:tc>
        <w:tc>
          <w:tcPr>
            <w:tcW w:w="2268" w:type="dxa"/>
            <w:tcBorders>
              <w:top w:val="nil"/>
              <w:left w:val="nil"/>
              <w:bottom w:val="nil"/>
              <w:right w:val="nil"/>
            </w:tcBorders>
          </w:tcPr>
          <w:p>
            <w:pPr>
              <w:pStyle w:val="yTableNAm"/>
              <w:spacing w:before="80"/>
            </w:pPr>
            <w:r>
              <w:t>54.497</w:t>
            </w:r>
          </w:p>
        </w:tc>
      </w:tr>
      <w:tr>
        <w:tc>
          <w:tcPr>
            <w:tcW w:w="2159" w:type="dxa"/>
            <w:tcBorders>
              <w:top w:val="nil"/>
              <w:left w:val="nil"/>
              <w:bottom w:val="nil"/>
              <w:right w:val="nil"/>
            </w:tcBorders>
          </w:tcPr>
          <w:p>
            <w:pPr>
              <w:pStyle w:val="yTableNAm"/>
              <w:spacing w:before="80"/>
            </w:pPr>
            <w:r>
              <w:t>Cunderdin</w:t>
            </w:r>
          </w:p>
        </w:tc>
        <w:tc>
          <w:tcPr>
            <w:tcW w:w="1810" w:type="dxa"/>
            <w:tcBorders>
              <w:top w:val="nil"/>
              <w:left w:val="nil"/>
              <w:bottom w:val="nil"/>
              <w:right w:val="nil"/>
            </w:tcBorders>
          </w:tcPr>
          <w:p>
            <w:pPr>
              <w:pStyle w:val="yTableNAm"/>
              <w:spacing w:before="80"/>
            </w:pPr>
            <w:r>
              <w:t>23.558</w:t>
            </w:r>
          </w:p>
        </w:tc>
        <w:tc>
          <w:tcPr>
            <w:tcW w:w="2268" w:type="dxa"/>
            <w:tcBorders>
              <w:top w:val="nil"/>
              <w:left w:val="nil"/>
              <w:bottom w:val="nil"/>
              <w:right w:val="nil"/>
            </w:tcBorders>
          </w:tcPr>
          <w:p>
            <w:pPr>
              <w:pStyle w:val="yTableNAm"/>
              <w:spacing w:before="80"/>
            </w:pPr>
            <w:r>
              <w:t>38.317</w:t>
            </w:r>
          </w:p>
        </w:tc>
      </w:tr>
      <w:tr>
        <w:tc>
          <w:tcPr>
            <w:tcW w:w="2159" w:type="dxa"/>
            <w:tcBorders>
              <w:top w:val="nil"/>
              <w:left w:val="nil"/>
              <w:bottom w:val="nil"/>
              <w:right w:val="nil"/>
            </w:tcBorders>
          </w:tcPr>
          <w:p>
            <w:pPr>
              <w:pStyle w:val="yTableNAm"/>
              <w:spacing w:before="80"/>
            </w:pPr>
            <w:r>
              <w:t>Dalyellup</w:t>
            </w:r>
          </w:p>
        </w:tc>
        <w:tc>
          <w:tcPr>
            <w:tcW w:w="1810" w:type="dxa"/>
            <w:tcBorders>
              <w:top w:val="nil"/>
              <w:left w:val="nil"/>
              <w:bottom w:val="nil"/>
              <w:right w:val="nil"/>
            </w:tcBorders>
          </w:tcPr>
          <w:p>
            <w:pPr>
              <w:pStyle w:val="yTableNAm"/>
              <w:spacing w:before="80"/>
            </w:pPr>
            <w:r>
              <w:t>3.703</w:t>
            </w:r>
          </w:p>
        </w:tc>
        <w:tc>
          <w:tcPr>
            <w:tcW w:w="2268" w:type="dxa"/>
            <w:tcBorders>
              <w:top w:val="nil"/>
              <w:left w:val="nil"/>
              <w:bottom w:val="nil"/>
              <w:right w:val="nil"/>
            </w:tcBorders>
          </w:tcPr>
          <w:p>
            <w:pPr>
              <w:pStyle w:val="yTableNAm"/>
              <w:spacing w:before="80"/>
            </w:pPr>
            <w:r>
              <w:t>2.853</w:t>
            </w:r>
          </w:p>
        </w:tc>
      </w:tr>
      <w:tr>
        <w:tc>
          <w:tcPr>
            <w:tcW w:w="2159" w:type="dxa"/>
            <w:tcBorders>
              <w:top w:val="nil"/>
              <w:left w:val="nil"/>
              <w:bottom w:val="nil"/>
              <w:right w:val="nil"/>
            </w:tcBorders>
          </w:tcPr>
          <w:p>
            <w:pPr>
              <w:pStyle w:val="yTableNAm"/>
              <w:spacing w:before="80"/>
            </w:pPr>
            <w:r>
              <w:t>Dardanup</w:t>
            </w:r>
          </w:p>
        </w:tc>
        <w:tc>
          <w:tcPr>
            <w:tcW w:w="1810" w:type="dxa"/>
            <w:tcBorders>
              <w:top w:val="nil"/>
              <w:left w:val="nil"/>
              <w:bottom w:val="nil"/>
              <w:right w:val="nil"/>
            </w:tcBorders>
          </w:tcPr>
          <w:p>
            <w:pPr>
              <w:pStyle w:val="yTableNAm"/>
              <w:spacing w:before="80"/>
            </w:pPr>
            <w:r>
              <w:t>21.113</w:t>
            </w:r>
          </w:p>
        </w:tc>
        <w:tc>
          <w:tcPr>
            <w:tcW w:w="2268" w:type="dxa"/>
            <w:tcBorders>
              <w:top w:val="nil"/>
              <w:left w:val="nil"/>
              <w:bottom w:val="nil"/>
              <w:right w:val="nil"/>
            </w:tcBorders>
          </w:tcPr>
          <w:p>
            <w:pPr>
              <w:pStyle w:val="yTableNAm"/>
              <w:spacing w:before="80"/>
            </w:pPr>
            <w:r>
              <w:t>36.122</w:t>
            </w:r>
          </w:p>
        </w:tc>
      </w:tr>
      <w:tr>
        <w:tc>
          <w:tcPr>
            <w:tcW w:w="2159" w:type="dxa"/>
            <w:tcBorders>
              <w:top w:val="nil"/>
              <w:left w:val="nil"/>
              <w:bottom w:val="nil"/>
              <w:right w:val="nil"/>
            </w:tcBorders>
          </w:tcPr>
          <w:p>
            <w:pPr>
              <w:pStyle w:val="yTableNAm"/>
              <w:spacing w:before="80"/>
            </w:pPr>
            <w:r>
              <w:t>Denham</w:t>
            </w:r>
          </w:p>
        </w:tc>
        <w:tc>
          <w:tcPr>
            <w:tcW w:w="1810" w:type="dxa"/>
            <w:tcBorders>
              <w:top w:val="nil"/>
              <w:left w:val="nil"/>
              <w:bottom w:val="nil"/>
              <w:right w:val="nil"/>
            </w:tcBorders>
          </w:tcPr>
          <w:p>
            <w:pPr>
              <w:pStyle w:val="yTableNAm"/>
              <w:spacing w:before="80"/>
            </w:pPr>
            <w:r>
              <w:t>9.667</w:t>
            </w:r>
          </w:p>
        </w:tc>
        <w:tc>
          <w:tcPr>
            <w:tcW w:w="2268" w:type="dxa"/>
            <w:tcBorders>
              <w:top w:val="nil"/>
              <w:left w:val="nil"/>
              <w:bottom w:val="nil"/>
              <w:right w:val="nil"/>
            </w:tcBorders>
          </w:tcPr>
          <w:p>
            <w:pPr>
              <w:pStyle w:val="yTableNAm"/>
              <w:spacing w:before="80"/>
            </w:pPr>
            <w:r>
              <w:t>11.384</w:t>
            </w:r>
          </w:p>
        </w:tc>
      </w:tr>
      <w:tr>
        <w:tc>
          <w:tcPr>
            <w:tcW w:w="2159" w:type="dxa"/>
            <w:tcBorders>
              <w:top w:val="nil"/>
              <w:left w:val="nil"/>
              <w:bottom w:val="nil"/>
              <w:right w:val="nil"/>
            </w:tcBorders>
          </w:tcPr>
          <w:p>
            <w:pPr>
              <w:pStyle w:val="yTableNAm"/>
              <w:spacing w:before="80"/>
            </w:pPr>
            <w:r>
              <w:t>Denmark</w:t>
            </w:r>
          </w:p>
        </w:tc>
        <w:tc>
          <w:tcPr>
            <w:tcW w:w="1810" w:type="dxa"/>
            <w:tcBorders>
              <w:top w:val="nil"/>
              <w:left w:val="nil"/>
              <w:bottom w:val="nil"/>
              <w:right w:val="nil"/>
            </w:tcBorders>
          </w:tcPr>
          <w:p>
            <w:pPr>
              <w:pStyle w:val="yTableNAm"/>
              <w:spacing w:before="80"/>
            </w:pPr>
            <w:r>
              <w:t>23.517</w:t>
            </w:r>
          </w:p>
        </w:tc>
        <w:tc>
          <w:tcPr>
            <w:tcW w:w="2268" w:type="dxa"/>
            <w:tcBorders>
              <w:top w:val="nil"/>
              <w:left w:val="nil"/>
              <w:bottom w:val="nil"/>
              <w:right w:val="nil"/>
            </w:tcBorders>
          </w:tcPr>
          <w:p>
            <w:pPr>
              <w:pStyle w:val="yTableNAm"/>
              <w:spacing w:before="80"/>
            </w:pPr>
            <w:r>
              <w:t>29.379</w:t>
            </w:r>
          </w:p>
        </w:tc>
      </w:tr>
      <w:tr>
        <w:tc>
          <w:tcPr>
            <w:tcW w:w="2159" w:type="dxa"/>
            <w:tcBorders>
              <w:top w:val="nil"/>
              <w:left w:val="nil"/>
              <w:bottom w:val="nil"/>
              <w:right w:val="nil"/>
            </w:tcBorders>
          </w:tcPr>
          <w:p>
            <w:pPr>
              <w:pStyle w:val="yTableNAm"/>
              <w:spacing w:before="80"/>
            </w:pPr>
            <w:r>
              <w:t>Derby</w:t>
            </w:r>
          </w:p>
        </w:tc>
        <w:tc>
          <w:tcPr>
            <w:tcW w:w="1810" w:type="dxa"/>
            <w:tcBorders>
              <w:top w:val="nil"/>
              <w:left w:val="nil"/>
              <w:bottom w:val="nil"/>
              <w:right w:val="nil"/>
            </w:tcBorders>
          </w:tcPr>
          <w:p>
            <w:pPr>
              <w:pStyle w:val="yTableNAm"/>
              <w:spacing w:before="80"/>
            </w:pPr>
            <w:r>
              <w:t>7.745</w:t>
            </w:r>
          </w:p>
        </w:tc>
        <w:tc>
          <w:tcPr>
            <w:tcW w:w="2268" w:type="dxa"/>
            <w:tcBorders>
              <w:top w:val="nil"/>
              <w:left w:val="nil"/>
              <w:bottom w:val="nil"/>
              <w:right w:val="nil"/>
            </w:tcBorders>
          </w:tcPr>
          <w:p>
            <w:pPr>
              <w:pStyle w:val="yTableNAm"/>
              <w:spacing w:before="80"/>
            </w:pPr>
            <w:r>
              <w:t>7.193</w:t>
            </w:r>
          </w:p>
        </w:tc>
      </w:tr>
      <w:tr>
        <w:tc>
          <w:tcPr>
            <w:tcW w:w="2159" w:type="dxa"/>
            <w:tcBorders>
              <w:top w:val="nil"/>
              <w:left w:val="nil"/>
              <w:bottom w:val="nil"/>
              <w:right w:val="nil"/>
            </w:tcBorders>
          </w:tcPr>
          <w:p>
            <w:pPr>
              <w:pStyle w:val="yTableNAm"/>
              <w:spacing w:before="80"/>
            </w:pPr>
            <w:r>
              <w:t>Dongara/Denison</w:t>
            </w:r>
          </w:p>
        </w:tc>
        <w:tc>
          <w:tcPr>
            <w:tcW w:w="1810" w:type="dxa"/>
            <w:tcBorders>
              <w:top w:val="nil"/>
              <w:left w:val="nil"/>
              <w:bottom w:val="nil"/>
              <w:right w:val="nil"/>
            </w:tcBorders>
          </w:tcPr>
          <w:p>
            <w:pPr>
              <w:pStyle w:val="yTableNAm"/>
              <w:spacing w:before="80"/>
            </w:pPr>
            <w:r>
              <w:t>11.963</w:t>
            </w:r>
          </w:p>
        </w:tc>
        <w:tc>
          <w:tcPr>
            <w:tcW w:w="2268" w:type="dxa"/>
            <w:tcBorders>
              <w:top w:val="nil"/>
              <w:left w:val="nil"/>
              <w:bottom w:val="nil"/>
              <w:right w:val="nil"/>
            </w:tcBorders>
          </w:tcPr>
          <w:p>
            <w:pPr>
              <w:pStyle w:val="yTableNAm"/>
              <w:spacing w:before="80"/>
            </w:pPr>
            <w:r>
              <w:t>12.011</w:t>
            </w:r>
          </w:p>
        </w:tc>
      </w:tr>
      <w:tr>
        <w:tc>
          <w:tcPr>
            <w:tcW w:w="2159" w:type="dxa"/>
            <w:tcBorders>
              <w:top w:val="nil"/>
              <w:left w:val="nil"/>
              <w:bottom w:val="nil"/>
              <w:right w:val="nil"/>
            </w:tcBorders>
          </w:tcPr>
          <w:p>
            <w:pPr>
              <w:pStyle w:val="yTableNAm"/>
              <w:spacing w:before="80"/>
            </w:pPr>
            <w:r>
              <w:t>Donnybrook</w:t>
            </w:r>
          </w:p>
        </w:tc>
        <w:tc>
          <w:tcPr>
            <w:tcW w:w="1810" w:type="dxa"/>
            <w:tcBorders>
              <w:top w:val="nil"/>
              <w:left w:val="nil"/>
              <w:bottom w:val="nil"/>
              <w:right w:val="nil"/>
            </w:tcBorders>
          </w:tcPr>
          <w:p>
            <w:pPr>
              <w:pStyle w:val="yTableNAm"/>
              <w:spacing w:before="80"/>
            </w:pPr>
            <w:r>
              <w:t>33.196</w:t>
            </w:r>
          </w:p>
        </w:tc>
        <w:tc>
          <w:tcPr>
            <w:tcW w:w="2268" w:type="dxa"/>
            <w:tcBorders>
              <w:top w:val="nil"/>
              <w:left w:val="nil"/>
              <w:bottom w:val="nil"/>
              <w:right w:val="nil"/>
            </w:tcBorders>
          </w:tcPr>
          <w:p>
            <w:pPr>
              <w:pStyle w:val="yTableNAm"/>
              <w:spacing w:before="80"/>
            </w:pPr>
            <w:r>
              <w:t>45.066</w:t>
            </w:r>
          </w:p>
        </w:tc>
      </w:tr>
      <w:tr>
        <w:tc>
          <w:tcPr>
            <w:tcW w:w="2159" w:type="dxa"/>
            <w:tcBorders>
              <w:top w:val="nil"/>
              <w:left w:val="nil"/>
              <w:bottom w:val="nil"/>
              <w:right w:val="nil"/>
            </w:tcBorders>
          </w:tcPr>
          <w:p>
            <w:pPr>
              <w:pStyle w:val="yTableNAm"/>
              <w:spacing w:before="80"/>
            </w:pPr>
            <w:r>
              <w:t>Dunsborough</w:t>
            </w:r>
          </w:p>
        </w:tc>
        <w:tc>
          <w:tcPr>
            <w:tcW w:w="1810" w:type="dxa"/>
            <w:tcBorders>
              <w:top w:val="nil"/>
              <w:left w:val="nil"/>
              <w:bottom w:val="nil"/>
              <w:right w:val="nil"/>
            </w:tcBorders>
          </w:tcPr>
          <w:p>
            <w:pPr>
              <w:pStyle w:val="yTableNAm"/>
              <w:spacing w:before="80"/>
            </w:pPr>
            <w:r>
              <w:t>6.628</w:t>
            </w:r>
          </w:p>
        </w:tc>
        <w:tc>
          <w:tcPr>
            <w:tcW w:w="2268" w:type="dxa"/>
            <w:tcBorders>
              <w:top w:val="nil"/>
              <w:left w:val="nil"/>
              <w:bottom w:val="nil"/>
              <w:right w:val="nil"/>
            </w:tcBorders>
          </w:tcPr>
          <w:p>
            <w:pPr>
              <w:pStyle w:val="yTableNAm"/>
              <w:spacing w:before="80"/>
            </w:pPr>
            <w:r>
              <w:t>5.972</w:t>
            </w:r>
          </w:p>
        </w:tc>
      </w:tr>
      <w:tr>
        <w:tc>
          <w:tcPr>
            <w:tcW w:w="2159" w:type="dxa"/>
            <w:tcBorders>
              <w:top w:val="nil"/>
              <w:left w:val="nil"/>
              <w:bottom w:val="nil"/>
              <w:right w:val="nil"/>
            </w:tcBorders>
          </w:tcPr>
          <w:p>
            <w:pPr>
              <w:pStyle w:val="yTableNAm"/>
              <w:spacing w:before="80"/>
            </w:pPr>
            <w:r>
              <w:t>Eaton</w:t>
            </w:r>
          </w:p>
        </w:tc>
        <w:tc>
          <w:tcPr>
            <w:tcW w:w="1810" w:type="dxa"/>
            <w:tcBorders>
              <w:top w:val="nil"/>
              <w:left w:val="nil"/>
              <w:bottom w:val="nil"/>
              <w:right w:val="nil"/>
            </w:tcBorders>
          </w:tcPr>
          <w:p>
            <w:pPr>
              <w:pStyle w:val="yTableNAm"/>
              <w:spacing w:before="80"/>
            </w:pPr>
            <w:r>
              <w:t>7.089</w:t>
            </w:r>
          </w:p>
        </w:tc>
        <w:tc>
          <w:tcPr>
            <w:tcW w:w="2268" w:type="dxa"/>
            <w:tcBorders>
              <w:top w:val="nil"/>
              <w:left w:val="nil"/>
              <w:bottom w:val="nil"/>
              <w:right w:val="nil"/>
            </w:tcBorders>
          </w:tcPr>
          <w:p>
            <w:pPr>
              <w:pStyle w:val="yTableNAm"/>
              <w:spacing w:before="80"/>
            </w:pPr>
            <w:r>
              <w:t>7.646</w:t>
            </w:r>
          </w:p>
        </w:tc>
      </w:tr>
      <w:tr>
        <w:tc>
          <w:tcPr>
            <w:tcW w:w="2159" w:type="dxa"/>
            <w:tcBorders>
              <w:top w:val="nil"/>
              <w:left w:val="nil"/>
              <w:bottom w:val="nil"/>
              <w:right w:val="nil"/>
            </w:tcBorders>
          </w:tcPr>
          <w:p>
            <w:pPr>
              <w:pStyle w:val="yTableNAm"/>
              <w:spacing w:before="80"/>
            </w:pPr>
            <w:r>
              <w:t>Eneabba</w:t>
            </w:r>
          </w:p>
        </w:tc>
        <w:tc>
          <w:tcPr>
            <w:tcW w:w="1810" w:type="dxa"/>
            <w:tcBorders>
              <w:top w:val="nil"/>
              <w:left w:val="nil"/>
              <w:bottom w:val="nil"/>
              <w:right w:val="nil"/>
            </w:tcBorders>
          </w:tcPr>
          <w:p>
            <w:pPr>
              <w:pStyle w:val="yTableNAm"/>
              <w:spacing w:before="80"/>
            </w:pPr>
            <w:r>
              <w:t>25.714</w:t>
            </w:r>
          </w:p>
        </w:tc>
        <w:tc>
          <w:tcPr>
            <w:tcW w:w="2268" w:type="dxa"/>
            <w:tcBorders>
              <w:top w:val="nil"/>
              <w:left w:val="nil"/>
              <w:bottom w:val="nil"/>
              <w:right w:val="nil"/>
            </w:tcBorders>
          </w:tcPr>
          <w:p>
            <w:pPr>
              <w:pStyle w:val="yTableNAm"/>
              <w:spacing w:before="80"/>
            </w:pPr>
            <w:r>
              <w:t>55.959</w:t>
            </w:r>
          </w:p>
        </w:tc>
      </w:tr>
      <w:tr>
        <w:tc>
          <w:tcPr>
            <w:tcW w:w="2159" w:type="dxa"/>
            <w:tcBorders>
              <w:top w:val="nil"/>
              <w:left w:val="nil"/>
              <w:bottom w:val="nil"/>
              <w:right w:val="nil"/>
            </w:tcBorders>
          </w:tcPr>
          <w:p>
            <w:pPr>
              <w:pStyle w:val="yTableNAm"/>
              <w:spacing w:before="80"/>
            </w:pPr>
            <w:r>
              <w:t>Esperance</w:t>
            </w:r>
          </w:p>
        </w:tc>
        <w:tc>
          <w:tcPr>
            <w:tcW w:w="1810" w:type="dxa"/>
            <w:tcBorders>
              <w:top w:val="nil"/>
              <w:left w:val="nil"/>
              <w:bottom w:val="nil"/>
              <w:right w:val="nil"/>
            </w:tcBorders>
          </w:tcPr>
          <w:p>
            <w:pPr>
              <w:pStyle w:val="yTableNAm"/>
              <w:spacing w:before="80"/>
            </w:pPr>
            <w:r>
              <w:t>7.732</w:t>
            </w:r>
          </w:p>
        </w:tc>
        <w:tc>
          <w:tcPr>
            <w:tcW w:w="2268" w:type="dxa"/>
            <w:tcBorders>
              <w:top w:val="nil"/>
              <w:left w:val="nil"/>
              <w:bottom w:val="nil"/>
              <w:right w:val="nil"/>
            </w:tcBorders>
          </w:tcPr>
          <w:p>
            <w:pPr>
              <w:pStyle w:val="yTableNAm"/>
              <w:spacing w:before="80"/>
            </w:pPr>
            <w:r>
              <w:t>10.999</w:t>
            </w:r>
          </w:p>
        </w:tc>
      </w:tr>
      <w:tr>
        <w:tc>
          <w:tcPr>
            <w:tcW w:w="2159" w:type="dxa"/>
            <w:tcBorders>
              <w:top w:val="nil"/>
              <w:left w:val="nil"/>
              <w:bottom w:val="nil"/>
              <w:right w:val="nil"/>
            </w:tcBorders>
          </w:tcPr>
          <w:p>
            <w:pPr>
              <w:pStyle w:val="yTableNAm"/>
              <w:spacing w:before="80"/>
            </w:pPr>
            <w:r>
              <w:t>Exmouth</w:t>
            </w:r>
          </w:p>
        </w:tc>
        <w:tc>
          <w:tcPr>
            <w:tcW w:w="1810" w:type="dxa"/>
            <w:tcBorders>
              <w:top w:val="nil"/>
              <w:left w:val="nil"/>
              <w:bottom w:val="nil"/>
              <w:right w:val="nil"/>
            </w:tcBorders>
          </w:tcPr>
          <w:p>
            <w:pPr>
              <w:pStyle w:val="yTableNAm"/>
              <w:spacing w:before="80"/>
            </w:pPr>
            <w:r>
              <w:t>2.527</w:t>
            </w:r>
          </w:p>
        </w:tc>
        <w:tc>
          <w:tcPr>
            <w:tcW w:w="2268" w:type="dxa"/>
            <w:tcBorders>
              <w:top w:val="nil"/>
              <w:left w:val="nil"/>
              <w:bottom w:val="nil"/>
              <w:right w:val="nil"/>
            </w:tcBorders>
          </w:tcPr>
          <w:p>
            <w:pPr>
              <w:pStyle w:val="yTableNAm"/>
              <w:spacing w:before="80"/>
            </w:pPr>
            <w:r>
              <w:t>2.278</w:t>
            </w:r>
          </w:p>
        </w:tc>
      </w:tr>
      <w:tr>
        <w:tc>
          <w:tcPr>
            <w:tcW w:w="2159" w:type="dxa"/>
            <w:tcBorders>
              <w:top w:val="nil"/>
              <w:left w:val="nil"/>
              <w:bottom w:val="nil"/>
              <w:right w:val="nil"/>
            </w:tcBorders>
          </w:tcPr>
          <w:p>
            <w:pPr>
              <w:pStyle w:val="yTableNAm"/>
              <w:spacing w:before="80"/>
            </w:pPr>
            <w:r>
              <w:t>Fitzroy Crossing</w:t>
            </w:r>
          </w:p>
        </w:tc>
        <w:tc>
          <w:tcPr>
            <w:tcW w:w="1810" w:type="dxa"/>
            <w:tcBorders>
              <w:top w:val="nil"/>
              <w:left w:val="nil"/>
              <w:bottom w:val="nil"/>
              <w:right w:val="nil"/>
            </w:tcBorders>
          </w:tcPr>
          <w:p>
            <w:pPr>
              <w:pStyle w:val="yTableNAm"/>
              <w:spacing w:before="80"/>
            </w:pPr>
            <w:r>
              <w:t>6.850</w:t>
            </w:r>
          </w:p>
        </w:tc>
        <w:tc>
          <w:tcPr>
            <w:tcW w:w="2268" w:type="dxa"/>
            <w:tcBorders>
              <w:top w:val="nil"/>
              <w:left w:val="nil"/>
              <w:bottom w:val="nil"/>
              <w:right w:val="nil"/>
            </w:tcBorders>
          </w:tcPr>
          <w:p>
            <w:pPr>
              <w:pStyle w:val="yTableNAm"/>
              <w:spacing w:before="80"/>
            </w:pPr>
            <w:r>
              <w:t>12.540</w:t>
            </w:r>
          </w:p>
        </w:tc>
      </w:tr>
      <w:tr>
        <w:tc>
          <w:tcPr>
            <w:tcW w:w="2159" w:type="dxa"/>
            <w:tcBorders>
              <w:top w:val="nil"/>
              <w:left w:val="nil"/>
              <w:bottom w:val="nil"/>
              <w:right w:val="nil"/>
            </w:tcBorders>
          </w:tcPr>
          <w:p>
            <w:pPr>
              <w:pStyle w:val="yTableNAm"/>
              <w:spacing w:before="80"/>
            </w:pPr>
            <w:r>
              <w:t>Geraldton</w:t>
            </w:r>
          </w:p>
        </w:tc>
        <w:tc>
          <w:tcPr>
            <w:tcW w:w="1810" w:type="dxa"/>
            <w:tcBorders>
              <w:top w:val="nil"/>
              <w:left w:val="nil"/>
              <w:bottom w:val="nil"/>
              <w:right w:val="nil"/>
            </w:tcBorders>
          </w:tcPr>
          <w:p>
            <w:pPr>
              <w:pStyle w:val="yTableNAm"/>
              <w:spacing w:before="80"/>
            </w:pPr>
            <w:r>
              <w:t>7.252</w:t>
            </w:r>
          </w:p>
        </w:tc>
        <w:tc>
          <w:tcPr>
            <w:tcW w:w="2268" w:type="dxa"/>
            <w:tcBorders>
              <w:top w:val="nil"/>
              <w:left w:val="nil"/>
              <w:bottom w:val="nil"/>
              <w:right w:val="nil"/>
            </w:tcBorders>
          </w:tcPr>
          <w:p>
            <w:pPr>
              <w:pStyle w:val="yTableNAm"/>
              <w:spacing w:before="80"/>
            </w:pPr>
            <w:r>
              <w:t>7.358</w:t>
            </w:r>
          </w:p>
        </w:tc>
      </w:tr>
      <w:tr>
        <w:tc>
          <w:tcPr>
            <w:tcW w:w="2159" w:type="dxa"/>
            <w:tcBorders>
              <w:top w:val="nil"/>
              <w:left w:val="nil"/>
              <w:bottom w:val="single" w:sz="4" w:space="0" w:color="auto"/>
              <w:right w:val="nil"/>
            </w:tcBorders>
          </w:tcPr>
          <w:p>
            <w:pPr>
              <w:pStyle w:val="yTableNAm"/>
              <w:spacing w:before="80"/>
            </w:pPr>
            <w:r>
              <w:t>Gnowangerup</w:t>
            </w:r>
          </w:p>
        </w:tc>
        <w:tc>
          <w:tcPr>
            <w:tcW w:w="1810" w:type="dxa"/>
            <w:tcBorders>
              <w:top w:val="nil"/>
              <w:left w:val="nil"/>
              <w:bottom w:val="single" w:sz="4" w:space="0" w:color="auto"/>
              <w:right w:val="nil"/>
            </w:tcBorders>
          </w:tcPr>
          <w:p>
            <w:pPr>
              <w:pStyle w:val="yTableNAm"/>
              <w:spacing w:before="80"/>
            </w:pPr>
            <w:r>
              <w:t>14.663</w:t>
            </w:r>
          </w:p>
        </w:tc>
        <w:tc>
          <w:tcPr>
            <w:tcW w:w="2268" w:type="dxa"/>
            <w:tcBorders>
              <w:top w:val="nil"/>
              <w:left w:val="nil"/>
              <w:bottom w:val="single" w:sz="4" w:space="0" w:color="auto"/>
              <w:right w:val="nil"/>
            </w:tcBorders>
          </w:tcPr>
          <w:p>
            <w:pPr>
              <w:pStyle w:val="yTableNAm"/>
              <w:spacing w:before="80"/>
            </w:pPr>
            <w:r>
              <w:t>48.947</w:t>
            </w:r>
          </w:p>
        </w:tc>
      </w:tr>
      <w:tr>
        <w:tc>
          <w:tcPr>
            <w:tcW w:w="2159" w:type="dxa"/>
            <w:tcBorders>
              <w:top w:val="single" w:sz="4" w:space="0" w:color="auto"/>
              <w:left w:val="nil"/>
              <w:bottom w:val="nil"/>
              <w:right w:val="nil"/>
            </w:tcBorders>
          </w:tcPr>
          <w:p>
            <w:pPr>
              <w:pStyle w:val="yTableNAm"/>
              <w:spacing w:before="80"/>
            </w:pPr>
            <w:r>
              <w:t>Greenhead</w:t>
            </w:r>
          </w:p>
        </w:tc>
        <w:tc>
          <w:tcPr>
            <w:tcW w:w="1810" w:type="dxa"/>
            <w:tcBorders>
              <w:top w:val="single" w:sz="4" w:space="0" w:color="auto"/>
              <w:left w:val="nil"/>
              <w:bottom w:val="nil"/>
              <w:right w:val="nil"/>
            </w:tcBorders>
          </w:tcPr>
          <w:p>
            <w:pPr>
              <w:pStyle w:val="yTableNAm"/>
              <w:spacing w:before="80"/>
            </w:pPr>
            <w:r>
              <w:t>7.660</w:t>
            </w:r>
          </w:p>
        </w:tc>
        <w:tc>
          <w:tcPr>
            <w:tcW w:w="2268" w:type="dxa"/>
            <w:tcBorders>
              <w:top w:val="single" w:sz="4" w:space="0" w:color="auto"/>
              <w:left w:val="nil"/>
              <w:bottom w:val="nil"/>
              <w:right w:val="nil"/>
            </w:tcBorders>
          </w:tcPr>
          <w:p>
            <w:pPr>
              <w:pStyle w:val="yTableNAm"/>
              <w:spacing w:before="80"/>
            </w:pPr>
            <w:r>
              <w:t>9.318</w:t>
            </w:r>
          </w:p>
        </w:tc>
      </w:tr>
      <w:tr>
        <w:tc>
          <w:tcPr>
            <w:tcW w:w="2159" w:type="dxa"/>
            <w:tcBorders>
              <w:top w:val="nil"/>
              <w:left w:val="nil"/>
              <w:bottom w:val="nil"/>
              <w:right w:val="nil"/>
            </w:tcBorders>
          </w:tcPr>
          <w:p>
            <w:pPr>
              <w:pStyle w:val="yTableNAm"/>
              <w:spacing w:before="80"/>
            </w:pPr>
            <w:r>
              <w:t>Greenough</w:t>
            </w:r>
          </w:p>
        </w:tc>
        <w:tc>
          <w:tcPr>
            <w:tcW w:w="1810" w:type="dxa"/>
            <w:tcBorders>
              <w:top w:val="nil"/>
              <w:left w:val="nil"/>
              <w:bottom w:val="nil"/>
              <w:right w:val="nil"/>
            </w:tcBorders>
          </w:tcPr>
          <w:p>
            <w:pPr>
              <w:pStyle w:val="yTableNAm"/>
              <w:spacing w:before="80"/>
            </w:pPr>
            <w:r>
              <w:t>7.252</w:t>
            </w:r>
          </w:p>
        </w:tc>
        <w:tc>
          <w:tcPr>
            <w:tcW w:w="2268" w:type="dxa"/>
            <w:tcBorders>
              <w:top w:val="nil"/>
              <w:left w:val="nil"/>
              <w:bottom w:val="nil"/>
              <w:right w:val="nil"/>
            </w:tcBorders>
          </w:tcPr>
          <w:p>
            <w:pPr>
              <w:pStyle w:val="yTableNAm"/>
              <w:spacing w:before="80"/>
            </w:pPr>
            <w:r>
              <w:t>7.358</w:t>
            </w:r>
          </w:p>
        </w:tc>
      </w:tr>
      <w:tr>
        <w:tc>
          <w:tcPr>
            <w:tcW w:w="2159" w:type="dxa"/>
            <w:tcBorders>
              <w:top w:val="nil"/>
              <w:left w:val="nil"/>
              <w:bottom w:val="nil"/>
              <w:right w:val="nil"/>
            </w:tcBorders>
          </w:tcPr>
          <w:p>
            <w:pPr>
              <w:pStyle w:val="yTableNAm"/>
              <w:spacing w:before="80"/>
            </w:pPr>
            <w:r>
              <w:t>Halls Creek</w:t>
            </w:r>
          </w:p>
        </w:tc>
        <w:tc>
          <w:tcPr>
            <w:tcW w:w="1810" w:type="dxa"/>
            <w:tcBorders>
              <w:top w:val="nil"/>
              <w:left w:val="nil"/>
              <w:bottom w:val="nil"/>
              <w:right w:val="nil"/>
            </w:tcBorders>
          </w:tcPr>
          <w:p>
            <w:pPr>
              <w:pStyle w:val="yTableNAm"/>
              <w:spacing w:before="80"/>
            </w:pPr>
            <w:r>
              <w:t>12.104</w:t>
            </w:r>
          </w:p>
        </w:tc>
        <w:tc>
          <w:tcPr>
            <w:tcW w:w="2268" w:type="dxa"/>
            <w:tcBorders>
              <w:top w:val="nil"/>
              <w:left w:val="nil"/>
              <w:bottom w:val="nil"/>
              <w:right w:val="nil"/>
            </w:tcBorders>
          </w:tcPr>
          <w:p>
            <w:pPr>
              <w:pStyle w:val="yTableNAm"/>
              <w:spacing w:before="80"/>
            </w:pPr>
            <w:r>
              <w:t>31.930</w:t>
            </w:r>
          </w:p>
        </w:tc>
      </w:tr>
      <w:tr>
        <w:tc>
          <w:tcPr>
            <w:tcW w:w="2159" w:type="dxa"/>
            <w:tcBorders>
              <w:top w:val="nil"/>
              <w:left w:val="nil"/>
              <w:bottom w:val="nil"/>
              <w:right w:val="nil"/>
            </w:tcBorders>
          </w:tcPr>
          <w:p>
            <w:pPr>
              <w:pStyle w:val="yTableNAm"/>
              <w:spacing w:before="80"/>
            </w:pPr>
            <w:r>
              <w:t>Harvey</w:t>
            </w:r>
          </w:p>
        </w:tc>
        <w:tc>
          <w:tcPr>
            <w:tcW w:w="1810" w:type="dxa"/>
            <w:tcBorders>
              <w:top w:val="nil"/>
              <w:left w:val="nil"/>
              <w:bottom w:val="nil"/>
              <w:right w:val="nil"/>
            </w:tcBorders>
          </w:tcPr>
          <w:p>
            <w:pPr>
              <w:pStyle w:val="yTableNAm"/>
              <w:spacing w:before="80"/>
            </w:pPr>
            <w:r>
              <w:t>9.802</w:t>
            </w:r>
          </w:p>
        </w:tc>
        <w:tc>
          <w:tcPr>
            <w:tcW w:w="2268" w:type="dxa"/>
            <w:tcBorders>
              <w:top w:val="nil"/>
              <w:left w:val="nil"/>
              <w:bottom w:val="nil"/>
              <w:right w:val="nil"/>
            </w:tcBorders>
          </w:tcPr>
          <w:p>
            <w:pPr>
              <w:pStyle w:val="yTableNAm"/>
              <w:spacing w:before="80"/>
            </w:pPr>
            <w:r>
              <w:t>14.075</w:t>
            </w:r>
          </w:p>
        </w:tc>
      </w:tr>
      <w:tr>
        <w:tc>
          <w:tcPr>
            <w:tcW w:w="2159" w:type="dxa"/>
            <w:tcBorders>
              <w:top w:val="nil"/>
              <w:left w:val="nil"/>
              <w:bottom w:val="nil"/>
              <w:right w:val="nil"/>
            </w:tcBorders>
          </w:tcPr>
          <w:p>
            <w:pPr>
              <w:pStyle w:val="yTableNAm"/>
              <w:spacing w:before="80"/>
            </w:pPr>
            <w:r>
              <w:t>Hopetoun</w:t>
            </w:r>
          </w:p>
        </w:tc>
        <w:tc>
          <w:tcPr>
            <w:tcW w:w="1810" w:type="dxa"/>
            <w:tcBorders>
              <w:top w:val="nil"/>
              <w:left w:val="nil"/>
              <w:bottom w:val="nil"/>
              <w:right w:val="nil"/>
            </w:tcBorders>
          </w:tcPr>
          <w:p>
            <w:pPr>
              <w:pStyle w:val="yTableNAm"/>
              <w:spacing w:before="80"/>
            </w:pPr>
            <w:r>
              <w:t>42.809</w:t>
            </w:r>
          </w:p>
        </w:tc>
        <w:tc>
          <w:tcPr>
            <w:tcW w:w="2268" w:type="dxa"/>
            <w:tcBorders>
              <w:top w:val="nil"/>
              <w:left w:val="nil"/>
              <w:bottom w:val="nil"/>
              <w:right w:val="nil"/>
            </w:tcBorders>
          </w:tcPr>
          <w:p>
            <w:pPr>
              <w:pStyle w:val="yTableNAm"/>
              <w:spacing w:before="80"/>
            </w:pPr>
            <w:r>
              <w:t>69.654</w:t>
            </w:r>
          </w:p>
        </w:tc>
      </w:tr>
      <w:tr>
        <w:tc>
          <w:tcPr>
            <w:tcW w:w="2159" w:type="dxa"/>
            <w:tcBorders>
              <w:top w:val="nil"/>
              <w:left w:val="nil"/>
              <w:bottom w:val="nil"/>
              <w:right w:val="nil"/>
            </w:tcBorders>
          </w:tcPr>
          <w:p>
            <w:pPr>
              <w:pStyle w:val="yTableNAm"/>
              <w:spacing w:before="80"/>
            </w:pPr>
            <w:r>
              <w:t>Horrocks</w:t>
            </w:r>
          </w:p>
        </w:tc>
        <w:tc>
          <w:tcPr>
            <w:tcW w:w="1810" w:type="dxa"/>
            <w:tcBorders>
              <w:top w:val="nil"/>
              <w:left w:val="nil"/>
              <w:bottom w:val="nil"/>
              <w:right w:val="nil"/>
            </w:tcBorders>
          </w:tcPr>
          <w:p>
            <w:pPr>
              <w:pStyle w:val="yTableNAm"/>
              <w:spacing w:before="80"/>
            </w:pPr>
            <w:r>
              <w:t>24.165</w:t>
            </w:r>
          </w:p>
        </w:tc>
        <w:tc>
          <w:tcPr>
            <w:tcW w:w="2268" w:type="dxa"/>
            <w:tcBorders>
              <w:top w:val="nil"/>
              <w:left w:val="nil"/>
              <w:bottom w:val="nil"/>
              <w:right w:val="nil"/>
            </w:tcBorders>
          </w:tcPr>
          <w:p>
            <w:pPr>
              <w:pStyle w:val="yTableNAm"/>
              <w:spacing w:before="80"/>
            </w:pPr>
            <w:r>
              <w:t>18.204</w:t>
            </w:r>
          </w:p>
        </w:tc>
      </w:tr>
      <w:tr>
        <w:tc>
          <w:tcPr>
            <w:tcW w:w="2159" w:type="dxa"/>
            <w:tcBorders>
              <w:top w:val="nil"/>
              <w:left w:val="nil"/>
              <w:bottom w:val="nil"/>
              <w:right w:val="nil"/>
            </w:tcBorders>
          </w:tcPr>
          <w:p>
            <w:pPr>
              <w:pStyle w:val="yTableNAm"/>
              <w:spacing w:before="80"/>
            </w:pPr>
            <w:r>
              <w:t>Hyden</w:t>
            </w:r>
          </w:p>
        </w:tc>
        <w:tc>
          <w:tcPr>
            <w:tcW w:w="1810" w:type="dxa"/>
            <w:tcBorders>
              <w:top w:val="nil"/>
              <w:left w:val="nil"/>
              <w:bottom w:val="nil"/>
              <w:right w:val="nil"/>
            </w:tcBorders>
          </w:tcPr>
          <w:p>
            <w:pPr>
              <w:pStyle w:val="yTableNAm"/>
              <w:spacing w:before="80"/>
            </w:pPr>
            <w:r>
              <w:t>100.086</w:t>
            </w:r>
          </w:p>
        </w:tc>
        <w:tc>
          <w:tcPr>
            <w:tcW w:w="2268" w:type="dxa"/>
            <w:tcBorders>
              <w:top w:val="nil"/>
              <w:left w:val="nil"/>
              <w:bottom w:val="nil"/>
              <w:right w:val="nil"/>
            </w:tcBorders>
          </w:tcPr>
          <w:p>
            <w:pPr>
              <w:pStyle w:val="yTableNAm"/>
              <w:spacing w:before="80"/>
            </w:pPr>
            <w:r>
              <w:t>232.446</w:t>
            </w:r>
          </w:p>
        </w:tc>
      </w:tr>
      <w:tr>
        <w:tc>
          <w:tcPr>
            <w:tcW w:w="2159" w:type="dxa"/>
            <w:tcBorders>
              <w:top w:val="nil"/>
              <w:left w:val="nil"/>
              <w:bottom w:val="nil"/>
              <w:right w:val="nil"/>
            </w:tcBorders>
          </w:tcPr>
          <w:p>
            <w:pPr>
              <w:pStyle w:val="yTableNAm"/>
              <w:spacing w:before="80"/>
            </w:pPr>
            <w:r>
              <w:t>Jurien</w:t>
            </w:r>
          </w:p>
        </w:tc>
        <w:tc>
          <w:tcPr>
            <w:tcW w:w="1810" w:type="dxa"/>
            <w:tcBorders>
              <w:top w:val="nil"/>
              <w:left w:val="nil"/>
              <w:bottom w:val="nil"/>
              <w:right w:val="nil"/>
            </w:tcBorders>
          </w:tcPr>
          <w:p>
            <w:pPr>
              <w:pStyle w:val="yTableNAm"/>
              <w:spacing w:before="80"/>
            </w:pPr>
            <w:r>
              <w:t>4.516</w:t>
            </w:r>
          </w:p>
        </w:tc>
        <w:tc>
          <w:tcPr>
            <w:tcW w:w="2268" w:type="dxa"/>
            <w:tcBorders>
              <w:top w:val="nil"/>
              <w:left w:val="nil"/>
              <w:bottom w:val="nil"/>
              <w:right w:val="nil"/>
            </w:tcBorders>
          </w:tcPr>
          <w:p>
            <w:pPr>
              <w:pStyle w:val="yTableNAm"/>
              <w:spacing w:before="80"/>
            </w:pPr>
            <w:r>
              <w:t>5.385</w:t>
            </w:r>
          </w:p>
        </w:tc>
      </w:tr>
      <w:tr>
        <w:tc>
          <w:tcPr>
            <w:tcW w:w="2159" w:type="dxa"/>
            <w:tcBorders>
              <w:top w:val="nil"/>
              <w:left w:val="nil"/>
              <w:bottom w:val="nil"/>
              <w:right w:val="nil"/>
            </w:tcBorders>
          </w:tcPr>
          <w:p>
            <w:pPr>
              <w:pStyle w:val="yTableNAm"/>
              <w:spacing w:before="80"/>
            </w:pPr>
            <w:r>
              <w:t>Kalbarri</w:t>
            </w:r>
          </w:p>
        </w:tc>
        <w:tc>
          <w:tcPr>
            <w:tcW w:w="1810" w:type="dxa"/>
            <w:tcBorders>
              <w:top w:val="nil"/>
              <w:left w:val="nil"/>
              <w:bottom w:val="nil"/>
              <w:right w:val="nil"/>
            </w:tcBorders>
          </w:tcPr>
          <w:p>
            <w:pPr>
              <w:pStyle w:val="yTableNAm"/>
              <w:spacing w:before="80"/>
            </w:pPr>
            <w:r>
              <w:t>9.655</w:t>
            </w:r>
          </w:p>
        </w:tc>
        <w:tc>
          <w:tcPr>
            <w:tcW w:w="2268" w:type="dxa"/>
            <w:tcBorders>
              <w:top w:val="nil"/>
              <w:left w:val="nil"/>
              <w:bottom w:val="nil"/>
              <w:right w:val="nil"/>
            </w:tcBorders>
          </w:tcPr>
          <w:p>
            <w:pPr>
              <w:pStyle w:val="yTableNAm"/>
              <w:spacing w:before="80"/>
            </w:pPr>
            <w:r>
              <w:t>10.622</w:t>
            </w:r>
          </w:p>
        </w:tc>
      </w:tr>
      <w:tr>
        <w:tc>
          <w:tcPr>
            <w:tcW w:w="2159" w:type="dxa"/>
            <w:tcBorders>
              <w:top w:val="nil"/>
              <w:left w:val="nil"/>
              <w:bottom w:val="nil"/>
              <w:right w:val="nil"/>
            </w:tcBorders>
          </w:tcPr>
          <w:p>
            <w:pPr>
              <w:pStyle w:val="yTableNAm"/>
              <w:spacing w:before="80"/>
            </w:pPr>
            <w:r>
              <w:t>Kambalda</w:t>
            </w:r>
          </w:p>
        </w:tc>
        <w:tc>
          <w:tcPr>
            <w:tcW w:w="1810" w:type="dxa"/>
            <w:tcBorders>
              <w:top w:val="nil"/>
              <w:left w:val="nil"/>
              <w:bottom w:val="nil"/>
              <w:right w:val="nil"/>
            </w:tcBorders>
          </w:tcPr>
          <w:p>
            <w:pPr>
              <w:pStyle w:val="yTableNAm"/>
              <w:spacing w:before="80"/>
            </w:pPr>
            <w:r>
              <w:t>7.553</w:t>
            </w:r>
          </w:p>
        </w:tc>
        <w:tc>
          <w:tcPr>
            <w:tcW w:w="2268" w:type="dxa"/>
            <w:tcBorders>
              <w:top w:val="nil"/>
              <w:left w:val="nil"/>
              <w:bottom w:val="nil"/>
              <w:right w:val="nil"/>
            </w:tcBorders>
          </w:tcPr>
          <w:p>
            <w:pPr>
              <w:pStyle w:val="yTableNAm"/>
              <w:spacing w:before="80"/>
            </w:pPr>
            <w:r>
              <w:t>33.472</w:t>
            </w:r>
          </w:p>
        </w:tc>
      </w:tr>
      <w:tr>
        <w:tc>
          <w:tcPr>
            <w:tcW w:w="2159" w:type="dxa"/>
            <w:tcBorders>
              <w:top w:val="nil"/>
              <w:left w:val="nil"/>
              <w:bottom w:val="nil"/>
              <w:right w:val="nil"/>
            </w:tcBorders>
          </w:tcPr>
          <w:p>
            <w:pPr>
              <w:pStyle w:val="yTableNAm"/>
              <w:spacing w:before="80"/>
            </w:pPr>
            <w:r>
              <w:t>Karratha</w:t>
            </w:r>
          </w:p>
        </w:tc>
        <w:tc>
          <w:tcPr>
            <w:tcW w:w="1810" w:type="dxa"/>
            <w:tcBorders>
              <w:top w:val="nil"/>
              <w:left w:val="nil"/>
              <w:bottom w:val="nil"/>
              <w:right w:val="nil"/>
            </w:tcBorders>
          </w:tcPr>
          <w:p>
            <w:pPr>
              <w:pStyle w:val="yTableNAm"/>
              <w:spacing w:before="80"/>
            </w:pPr>
            <w:r>
              <w:t>1.987</w:t>
            </w:r>
          </w:p>
        </w:tc>
        <w:tc>
          <w:tcPr>
            <w:tcW w:w="2268" w:type="dxa"/>
            <w:tcBorders>
              <w:top w:val="nil"/>
              <w:left w:val="nil"/>
              <w:bottom w:val="nil"/>
              <w:right w:val="nil"/>
            </w:tcBorders>
          </w:tcPr>
          <w:p>
            <w:pPr>
              <w:pStyle w:val="yTableNAm"/>
              <w:spacing w:before="80"/>
            </w:pPr>
            <w:r>
              <w:t>3.196</w:t>
            </w:r>
          </w:p>
        </w:tc>
      </w:tr>
      <w:tr>
        <w:tc>
          <w:tcPr>
            <w:tcW w:w="2159" w:type="dxa"/>
            <w:tcBorders>
              <w:top w:val="nil"/>
              <w:left w:val="nil"/>
              <w:bottom w:val="nil"/>
              <w:right w:val="nil"/>
            </w:tcBorders>
          </w:tcPr>
          <w:p>
            <w:pPr>
              <w:pStyle w:val="yTableNAm"/>
              <w:spacing w:before="80"/>
            </w:pPr>
            <w:r>
              <w:t>Katanning</w:t>
            </w:r>
          </w:p>
        </w:tc>
        <w:tc>
          <w:tcPr>
            <w:tcW w:w="1810" w:type="dxa"/>
            <w:tcBorders>
              <w:top w:val="nil"/>
              <w:left w:val="nil"/>
              <w:bottom w:val="nil"/>
              <w:right w:val="nil"/>
            </w:tcBorders>
          </w:tcPr>
          <w:p>
            <w:pPr>
              <w:pStyle w:val="yTableNAm"/>
              <w:spacing w:before="80"/>
            </w:pPr>
            <w:r>
              <w:t>12.646</w:t>
            </w:r>
          </w:p>
        </w:tc>
        <w:tc>
          <w:tcPr>
            <w:tcW w:w="2268" w:type="dxa"/>
            <w:tcBorders>
              <w:top w:val="nil"/>
              <w:left w:val="nil"/>
              <w:bottom w:val="nil"/>
              <w:right w:val="nil"/>
            </w:tcBorders>
          </w:tcPr>
          <w:p>
            <w:pPr>
              <w:pStyle w:val="yTableNAm"/>
              <w:spacing w:before="80"/>
            </w:pPr>
            <w:r>
              <w:t>41.620</w:t>
            </w:r>
          </w:p>
        </w:tc>
      </w:tr>
      <w:tr>
        <w:tc>
          <w:tcPr>
            <w:tcW w:w="2159" w:type="dxa"/>
            <w:tcBorders>
              <w:top w:val="nil"/>
              <w:left w:val="nil"/>
              <w:bottom w:val="nil"/>
              <w:right w:val="nil"/>
            </w:tcBorders>
          </w:tcPr>
          <w:p>
            <w:pPr>
              <w:pStyle w:val="yTableNAm"/>
              <w:spacing w:before="80"/>
            </w:pPr>
            <w:r>
              <w:t>Kellerberrin</w:t>
            </w:r>
          </w:p>
        </w:tc>
        <w:tc>
          <w:tcPr>
            <w:tcW w:w="1810" w:type="dxa"/>
            <w:tcBorders>
              <w:top w:val="nil"/>
              <w:left w:val="nil"/>
              <w:bottom w:val="nil"/>
              <w:right w:val="nil"/>
            </w:tcBorders>
          </w:tcPr>
          <w:p>
            <w:pPr>
              <w:pStyle w:val="yTableNAm"/>
              <w:spacing w:before="80"/>
            </w:pPr>
            <w:r>
              <w:t>25.616</w:t>
            </w:r>
          </w:p>
        </w:tc>
        <w:tc>
          <w:tcPr>
            <w:tcW w:w="2268" w:type="dxa"/>
            <w:tcBorders>
              <w:top w:val="nil"/>
              <w:left w:val="nil"/>
              <w:bottom w:val="nil"/>
              <w:right w:val="nil"/>
            </w:tcBorders>
          </w:tcPr>
          <w:p>
            <w:pPr>
              <w:pStyle w:val="yTableNAm"/>
              <w:spacing w:before="80"/>
            </w:pPr>
            <w:r>
              <w:t>83.928</w:t>
            </w:r>
          </w:p>
        </w:tc>
      </w:tr>
      <w:tr>
        <w:tc>
          <w:tcPr>
            <w:tcW w:w="2159" w:type="dxa"/>
            <w:tcBorders>
              <w:top w:val="nil"/>
              <w:left w:val="nil"/>
              <w:bottom w:val="nil"/>
              <w:right w:val="nil"/>
            </w:tcBorders>
          </w:tcPr>
          <w:p>
            <w:pPr>
              <w:pStyle w:val="yTableNAm"/>
              <w:spacing w:before="80"/>
            </w:pPr>
            <w:r>
              <w:t>Kojonup</w:t>
            </w:r>
          </w:p>
        </w:tc>
        <w:tc>
          <w:tcPr>
            <w:tcW w:w="1810" w:type="dxa"/>
            <w:tcBorders>
              <w:top w:val="nil"/>
              <w:left w:val="nil"/>
              <w:bottom w:val="nil"/>
              <w:right w:val="nil"/>
            </w:tcBorders>
          </w:tcPr>
          <w:p>
            <w:pPr>
              <w:pStyle w:val="yTableNAm"/>
              <w:spacing w:before="80"/>
            </w:pPr>
            <w:r>
              <w:t>16.177</w:t>
            </w:r>
          </w:p>
        </w:tc>
        <w:tc>
          <w:tcPr>
            <w:tcW w:w="2268" w:type="dxa"/>
            <w:tcBorders>
              <w:top w:val="nil"/>
              <w:left w:val="nil"/>
              <w:bottom w:val="nil"/>
              <w:right w:val="nil"/>
            </w:tcBorders>
          </w:tcPr>
          <w:p>
            <w:pPr>
              <w:pStyle w:val="yTableNAm"/>
              <w:spacing w:before="80"/>
            </w:pPr>
            <w:r>
              <w:t>41.338</w:t>
            </w:r>
          </w:p>
        </w:tc>
      </w:tr>
      <w:tr>
        <w:tc>
          <w:tcPr>
            <w:tcW w:w="2159" w:type="dxa"/>
            <w:tcBorders>
              <w:top w:val="nil"/>
              <w:left w:val="nil"/>
              <w:bottom w:val="nil"/>
              <w:right w:val="nil"/>
            </w:tcBorders>
          </w:tcPr>
          <w:p>
            <w:pPr>
              <w:pStyle w:val="yTableNAm"/>
              <w:spacing w:before="80"/>
            </w:pPr>
            <w:r>
              <w:t>Kulin</w:t>
            </w:r>
          </w:p>
        </w:tc>
        <w:tc>
          <w:tcPr>
            <w:tcW w:w="1810" w:type="dxa"/>
            <w:tcBorders>
              <w:top w:val="nil"/>
              <w:left w:val="nil"/>
              <w:bottom w:val="nil"/>
              <w:right w:val="nil"/>
            </w:tcBorders>
          </w:tcPr>
          <w:p>
            <w:pPr>
              <w:pStyle w:val="yTableNAm"/>
              <w:spacing w:before="80"/>
            </w:pPr>
            <w:r>
              <w:t>48.798</w:t>
            </w:r>
          </w:p>
        </w:tc>
        <w:tc>
          <w:tcPr>
            <w:tcW w:w="2268" w:type="dxa"/>
            <w:tcBorders>
              <w:top w:val="nil"/>
              <w:left w:val="nil"/>
              <w:bottom w:val="nil"/>
              <w:right w:val="nil"/>
            </w:tcBorders>
          </w:tcPr>
          <w:p>
            <w:pPr>
              <w:pStyle w:val="yTableNAm"/>
              <w:spacing w:before="80"/>
            </w:pPr>
            <w:r>
              <w:t>150.004</w:t>
            </w:r>
          </w:p>
        </w:tc>
      </w:tr>
      <w:tr>
        <w:tc>
          <w:tcPr>
            <w:tcW w:w="2159" w:type="dxa"/>
            <w:tcBorders>
              <w:top w:val="nil"/>
              <w:left w:val="nil"/>
              <w:bottom w:val="nil"/>
              <w:right w:val="nil"/>
            </w:tcBorders>
          </w:tcPr>
          <w:p>
            <w:pPr>
              <w:pStyle w:val="yTableNAm"/>
              <w:spacing w:before="80"/>
            </w:pPr>
            <w:r>
              <w:t>Kununurra</w:t>
            </w:r>
          </w:p>
        </w:tc>
        <w:tc>
          <w:tcPr>
            <w:tcW w:w="1810" w:type="dxa"/>
            <w:tcBorders>
              <w:top w:val="nil"/>
              <w:left w:val="nil"/>
              <w:bottom w:val="nil"/>
              <w:right w:val="nil"/>
            </w:tcBorders>
          </w:tcPr>
          <w:p>
            <w:pPr>
              <w:pStyle w:val="yTableNAm"/>
              <w:spacing w:before="80"/>
            </w:pPr>
            <w:r>
              <w:t>4.278</w:t>
            </w:r>
          </w:p>
        </w:tc>
        <w:tc>
          <w:tcPr>
            <w:tcW w:w="2268" w:type="dxa"/>
            <w:tcBorders>
              <w:top w:val="nil"/>
              <w:left w:val="nil"/>
              <w:bottom w:val="nil"/>
              <w:right w:val="nil"/>
            </w:tcBorders>
          </w:tcPr>
          <w:p>
            <w:pPr>
              <w:pStyle w:val="yTableNAm"/>
              <w:spacing w:before="80"/>
            </w:pPr>
            <w:r>
              <w:t>8.583</w:t>
            </w:r>
          </w:p>
        </w:tc>
      </w:tr>
      <w:tr>
        <w:tc>
          <w:tcPr>
            <w:tcW w:w="2159" w:type="dxa"/>
            <w:tcBorders>
              <w:top w:val="nil"/>
              <w:left w:val="nil"/>
              <w:bottom w:val="nil"/>
              <w:right w:val="nil"/>
            </w:tcBorders>
          </w:tcPr>
          <w:p>
            <w:pPr>
              <w:pStyle w:val="yTableNAm"/>
              <w:spacing w:before="80"/>
            </w:pPr>
            <w:r>
              <w:t>Lancelin</w:t>
            </w:r>
          </w:p>
        </w:tc>
        <w:tc>
          <w:tcPr>
            <w:tcW w:w="1810" w:type="dxa"/>
            <w:tcBorders>
              <w:top w:val="nil"/>
              <w:left w:val="nil"/>
              <w:bottom w:val="nil"/>
              <w:right w:val="nil"/>
            </w:tcBorders>
          </w:tcPr>
          <w:p>
            <w:pPr>
              <w:pStyle w:val="yTableNAm"/>
              <w:spacing w:before="80"/>
            </w:pPr>
            <w:r>
              <w:t>14.368</w:t>
            </w:r>
          </w:p>
        </w:tc>
        <w:tc>
          <w:tcPr>
            <w:tcW w:w="2268" w:type="dxa"/>
            <w:tcBorders>
              <w:top w:val="nil"/>
              <w:left w:val="nil"/>
              <w:bottom w:val="nil"/>
              <w:right w:val="nil"/>
            </w:tcBorders>
          </w:tcPr>
          <w:p>
            <w:pPr>
              <w:pStyle w:val="yTableNAm"/>
              <w:spacing w:before="80"/>
            </w:pPr>
            <w:r>
              <w:t>5.664</w:t>
            </w:r>
          </w:p>
        </w:tc>
      </w:tr>
      <w:tr>
        <w:tc>
          <w:tcPr>
            <w:tcW w:w="2159" w:type="dxa"/>
            <w:tcBorders>
              <w:top w:val="nil"/>
              <w:left w:val="nil"/>
              <w:bottom w:val="nil"/>
              <w:right w:val="nil"/>
            </w:tcBorders>
          </w:tcPr>
          <w:p>
            <w:pPr>
              <w:pStyle w:val="yTableNAm"/>
              <w:spacing w:before="80"/>
            </w:pPr>
            <w:r>
              <w:t>Laverton</w:t>
            </w:r>
          </w:p>
        </w:tc>
        <w:tc>
          <w:tcPr>
            <w:tcW w:w="1810" w:type="dxa"/>
            <w:tcBorders>
              <w:top w:val="nil"/>
              <w:left w:val="nil"/>
              <w:bottom w:val="nil"/>
              <w:right w:val="nil"/>
            </w:tcBorders>
          </w:tcPr>
          <w:p>
            <w:pPr>
              <w:pStyle w:val="yTableNAm"/>
              <w:spacing w:before="80"/>
            </w:pPr>
            <w:r>
              <w:t>21.378</w:t>
            </w:r>
          </w:p>
        </w:tc>
        <w:tc>
          <w:tcPr>
            <w:tcW w:w="2268" w:type="dxa"/>
            <w:tcBorders>
              <w:top w:val="nil"/>
              <w:left w:val="nil"/>
              <w:bottom w:val="nil"/>
              <w:right w:val="nil"/>
            </w:tcBorders>
          </w:tcPr>
          <w:p>
            <w:pPr>
              <w:pStyle w:val="yTableNAm"/>
              <w:spacing w:before="80"/>
            </w:pPr>
            <w:r>
              <w:t>389.733</w:t>
            </w:r>
          </w:p>
        </w:tc>
      </w:tr>
      <w:tr>
        <w:tc>
          <w:tcPr>
            <w:tcW w:w="2159" w:type="dxa"/>
            <w:tcBorders>
              <w:top w:val="nil"/>
              <w:left w:val="nil"/>
              <w:bottom w:val="nil"/>
              <w:right w:val="nil"/>
            </w:tcBorders>
          </w:tcPr>
          <w:p>
            <w:pPr>
              <w:pStyle w:val="yTableNAm"/>
              <w:spacing w:before="80"/>
            </w:pPr>
            <w:r>
              <w:t>Ledge Point</w:t>
            </w:r>
          </w:p>
        </w:tc>
        <w:tc>
          <w:tcPr>
            <w:tcW w:w="1810" w:type="dxa"/>
            <w:tcBorders>
              <w:top w:val="nil"/>
              <w:left w:val="nil"/>
              <w:bottom w:val="nil"/>
              <w:right w:val="nil"/>
            </w:tcBorders>
          </w:tcPr>
          <w:p>
            <w:pPr>
              <w:pStyle w:val="yTableNAm"/>
              <w:spacing w:before="80"/>
            </w:pPr>
            <w:r>
              <w:t>7.282</w:t>
            </w:r>
          </w:p>
        </w:tc>
        <w:tc>
          <w:tcPr>
            <w:tcW w:w="2268" w:type="dxa"/>
            <w:tcBorders>
              <w:top w:val="nil"/>
              <w:left w:val="nil"/>
              <w:bottom w:val="nil"/>
              <w:right w:val="nil"/>
            </w:tcBorders>
          </w:tcPr>
          <w:p>
            <w:pPr>
              <w:pStyle w:val="yTableNAm"/>
              <w:spacing w:before="80"/>
            </w:pPr>
            <w:r>
              <w:t>4.953</w:t>
            </w:r>
          </w:p>
        </w:tc>
      </w:tr>
      <w:tr>
        <w:tc>
          <w:tcPr>
            <w:tcW w:w="2159" w:type="dxa"/>
            <w:tcBorders>
              <w:top w:val="nil"/>
              <w:left w:val="nil"/>
              <w:bottom w:val="nil"/>
              <w:right w:val="nil"/>
            </w:tcBorders>
          </w:tcPr>
          <w:p>
            <w:pPr>
              <w:pStyle w:val="yTableNAm"/>
              <w:spacing w:before="80"/>
            </w:pPr>
            <w:r>
              <w:t>Leeman</w:t>
            </w:r>
          </w:p>
        </w:tc>
        <w:tc>
          <w:tcPr>
            <w:tcW w:w="1810" w:type="dxa"/>
            <w:tcBorders>
              <w:top w:val="nil"/>
              <w:left w:val="nil"/>
              <w:bottom w:val="nil"/>
              <w:right w:val="nil"/>
            </w:tcBorders>
          </w:tcPr>
          <w:p>
            <w:pPr>
              <w:pStyle w:val="yTableNAm"/>
              <w:spacing w:before="80"/>
            </w:pPr>
            <w:r>
              <w:t>11.885</w:t>
            </w:r>
          </w:p>
        </w:tc>
        <w:tc>
          <w:tcPr>
            <w:tcW w:w="2268" w:type="dxa"/>
            <w:tcBorders>
              <w:top w:val="nil"/>
              <w:left w:val="nil"/>
              <w:bottom w:val="nil"/>
              <w:right w:val="nil"/>
            </w:tcBorders>
          </w:tcPr>
          <w:p>
            <w:pPr>
              <w:pStyle w:val="yTableNAm"/>
              <w:spacing w:before="80"/>
            </w:pPr>
            <w:r>
              <w:t>10.668</w:t>
            </w:r>
          </w:p>
        </w:tc>
      </w:tr>
      <w:tr>
        <w:tc>
          <w:tcPr>
            <w:tcW w:w="2159" w:type="dxa"/>
            <w:tcBorders>
              <w:top w:val="nil"/>
              <w:left w:val="nil"/>
              <w:bottom w:val="single" w:sz="4" w:space="0" w:color="auto"/>
              <w:right w:val="nil"/>
            </w:tcBorders>
          </w:tcPr>
          <w:p>
            <w:pPr>
              <w:pStyle w:val="yTableNAm"/>
              <w:spacing w:before="80"/>
            </w:pPr>
            <w:r>
              <w:t>Leonora</w:t>
            </w:r>
          </w:p>
        </w:tc>
        <w:tc>
          <w:tcPr>
            <w:tcW w:w="1810" w:type="dxa"/>
            <w:tcBorders>
              <w:top w:val="nil"/>
              <w:left w:val="nil"/>
              <w:bottom w:val="single" w:sz="4" w:space="0" w:color="auto"/>
              <w:right w:val="nil"/>
            </w:tcBorders>
          </w:tcPr>
          <w:p>
            <w:pPr>
              <w:pStyle w:val="yTableNAm"/>
              <w:spacing w:before="80"/>
            </w:pPr>
            <w:r>
              <w:t>2.147</w:t>
            </w:r>
          </w:p>
        </w:tc>
        <w:tc>
          <w:tcPr>
            <w:tcW w:w="2268" w:type="dxa"/>
            <w:tcBorders>
              <w:top w:val="nil"/>
              <w:left w:val="nil"/>
              <w:bottom w:val="single" w:sz="4" w:space="0" w:color="auto"/>
              <w:right w:val="nil"/>
            </w:tcBorders>
          </w:tcPr>
          <w:p>
            <w:pPr>
              <w:pStyle w:val="yTableNAm"/>
              <w:spacing w:before="80"/>
            </w:pPr>
            <w:r>
              <w:t>7.682</w:t>
            </w:r>
          </w:p>
        </w:tc>
      </w:tr>
      <w:tr>
        <w:tc>
          <w:tcPr>
            <w:tcW w:w="2159" w:type="dxa"/>
            <w:tcBorders>
              <w:top w:val="single" w:sz="4" w:space="0" w:color="auto"/>
              <w:left w:val="nil"/>
              <w:bottom w:val="nil"/>
              <w:right w:val="nil"/>
            </w:tcBorders>
          </w:tcPr>
          <w:p>
            <w:pPr>
              <w:pStyle w:val="yTableNAm"/>
              <w:spacing w:before="80"/>
            </w:pPr>
            <w:r>
              <w:t>Mandurah</w:t>
            </w:r>
          </w:p>
        </w:tc>
        <w:tc>
          <w:tcPr>
            <w:tcW w:w="1810" w:type="dxa"/>
            <w:tcBorders>
              <w:top w:val="single" w:sz="4" w:space="0" w:color="auto"/>
              <w:left w:val="nil"/>
              <w:bottom w:val="nil"/>
              <w:right w:val="nil"/>
            </w:tcBorders>
          </w:tcPr>
          <w:p>
            <w:pPr>
              <w:pStyle w:val="yTableNAm"/>
              <w:spacing w:before="80"/>
            </w:pPr>
            <w:r>
              <w:t>6.418</w:t>
            </w:r>
          </w:p>
        </w:tc>
        <w:tc>
          <w:tcPr>
            <w:tcW w:w="2268" w:type="dxa"/>
            <w:tcBorders>
              <w:top w:val="single" w:sz="4" w:space="0" w:color="auto"/>
              <w:left w:val="nil"/>
              <w:bottom w:val="nil"/>
              <w:right w:val="nil"/>
            </w:tcBorders>
          </w:tcPr>
          <w:p>
            <w:pPr>
              <w:pStyle w:val="yTableNAm"/>
              <w:spacing w:before="80"/>
            </w:pPr>
            <w:r>
              <w:t>6.507</w:t>
            </w:r>
          </w:p>
        </w:tc>
      </w:tr>
      <w:tr>
        <w:tc>
          <w:tcPr>
            <w:tcW w:w="2159" w:type="dxa"/>
            <w:tcBorders>
              <w:top w:val="nil"/>
              <w:left w:val="nil"/>
              <w:bottom w:val="nil"/>
              <w:right w:val="nil"/>
            </w:tcBorders>
          </w:tcPr>
          <w:p>
            <w:pPr>
              <w:pStyle w:val="yTableNAm"/>
              <w:spacing w:before="80"/>
            </w:pPr>
            <w:r>
              <w:t>Manjimup</w:t>
            </w:r>
          </w:p>
        </w:tc>
        <w:tc>
          <w:tcPr>
            <w:tcW w:w="1810" w:type="dxa"/>
            <w:tcBorders>
              <w:top w:val="nil"/>
              <w:left w:val="nil"/>
              <w:bottom w:val="nil"/>
              <w:right w:val="nil"/>
            </w:tcBorders>
          </w:tcPr>
          <w:p>
            <w:pPr>
              <w:pStyle w:val="yTableNAm"/>
              <w:spacing w:before="80"/>
            </w:pPr>
            <w:r>
              <w:t>16.322</w:t>
            </w:r>
          </w:p>
        </w:tc>
        <w:tc>
          <w:tcPr>
            <w:tcW w:w="2268" w:type="dxa"/>
            <w:tcBorders>
              <w:top w:val="nil"/>
              <w:left w:val="nil"/>
              <w:bottom w:val="nil"/>
              <w:right w:val="nil"/>
            </w:tcBorders>
          </w:tcPr>
          <w:p>
            <w:pPr>
              <w:pStyle w:val="yTableNAm"/>
              <w:spacing w:before="80"/>
            </w:pPr>
            <w:r>
              <w:t>20.942</w:t>
            </w:r>
          </w:p>
        </w:tc>
      </w:tr>
      <w:tr>
        <w:tc>
          <w:tcPr>
            <w:tcW w:w="2159" w:type="dxa"/>
            <w:tcBorders>
              <w:top w:val="nil"/>
              <w:left w:val="nil"/>
              <w:bottom w:val="nil"/>
              <w:right w:val="nil"/>
            </w:tcBorders>
          </w:tcPr>
          <w:p>
            <w:pPr>
              <w:pStyle w:val="yTableNAm"/>
              <w:spacing w:before="80"/>
            </w:pPr>
            <w:r>
              <w:t>Margaret River</w:t>
            </w:r>
          </w:p>
        </w:tc>
        <w:tc>
          <w:tcPr>
            <w:tcW w:w="1810" w:type="dxa"/>
            <w:tcBorders>
              <w:top w:val="nil"/>
              <w:left w:val="nil"/>
              <w:bottom w:val="nil"/>
              <w:right w:val="nil"/>
            </w:tcBorders>
          </w:tcPr>
          <w:p>
            <w:pPr>
              <w:pStyle w:val="yTableNAm"/>
              <w:spacing w:before="80"/>
            </w:pPr>
            <w:r>
              <w:t>12.563</w:t>
            </w:r>
          </w:p>
        </w:tc>
        <w:tc>
          <w:tcPr>
            <w:tcW w:w="2268" w:type="dxa"/>
            <w:tcBorders>
              <w:top w:val="nil"/>
              <w:left w:val="nil"/>
              <w:bottom w:val="nil"/>
              <w:right w:val="nil"/>
            </w:tcBorders>
          </w:tcPr>
          <w:p>
            <w:pPr>
              <w:pStyle w:val="yTableNAm"/>
              <w:spacing w:before="80"/>
            </w:pPr>
            <w:r>
              <w:t>14.269</w:t>
            </w:r>
          </w:p>
        </w:tc>
      </w:tr>
      <w:tr>
        <w:tc>
          <w:tcPr>
            <w:tcW w:w="2159" w:type="dxa"/>
            <w:tcBorders>
              <w:top w:val="nil"/>
              <w:left w:val="nil"/>
              <w:bottom w:val="nil"/>
              <w:right w:val="nil"/>
            </w:tcBorders>
          </w:tcPr>
          <w:p>
            <w:pPr>
              <w:pStyle w:val="yTableNAm"/>
              <w:spacing w:before="80"/>
            </w:pPr>
            <w:r>
              <w:t>Meckering</w:t>
            </w:r>
          </w:p>
        </w:tc>
        <w:tc>
          <w:tcPr>
            <w:tcW w:w="1810" w:type="dxa"/>
            <w:tcBorders>
              <w:top w:val="nil"/>
              <w:left w:val="nil"/>
              <w:bottom w:val="nil"/>
              <w:right w:val="nil"/>
            </w:tcBorders>
          </w:tcPr>
          <w:p>
            <w:pPr>
              <w:pStyle w:val="yTableNAm"/>
              <w:spacing w:before="80"/>
            </w:pPr>
            <w:r>
              <w:t>91.745</w:t>
            </w:r>
          </w:p>
        </w:tc>
        <w:tc>
          <w:tcPr>
            <w:tcW w:w="2268" w:type="dxa"/>
            <w:tcBorders>
              <w:top w:val="nil"/>
              <w:left w:val="nil"/>
              <w:bottom w:val="nil"/>
              <w:right w:val="nil"/>
            </w:tcBorders>
          </w:tcPr>
          <w:p>
            <w:pPr>
              <w:pStyle w:val="yTableNAm"/>
              <w:spacing w:before="80"/>
            </w:pPr>
            <w:r>
              <w:t>155.207</w:t>
            </w:r>
          </w:p>
        </w:tc>
      </w:tr>
      <w:tr>
        <w:tc>
          <w:tcPr>
            <w:tcW w:w="2159" w:type="dxa"/>
            <w:tcBorders>
              <w:top w:val="nil"/>
              <w:left w:val="nil"/>
              <w:bottom w:val="nil"/>
              <w:right w:val="nil"/>
            </w:tcBorders>
          </w:tcPr>
          <w:p>
            <w:pPr>
              <w:pStyle w:val="yTableNAm"/>
              <w:spacing w:before="80"/>
            </w:pPr>
            <w:r>
              <w:t>Merredin</w:t>
            </w:r>
          </w:p>
        </w:tc>
        <w:tc>
          <w:tcPr>
            <w:tcW w:w="1810" w:type="dxa"/>
            <w:tcBorders>
              <w:top w:val="nil"/>
              <w:left w:val="nil"/>
              <w:bottom w:val="nil"/>
              <w:right w:val="nil"/>
            </w:tcBorders>
          </w:tcPr>
          <w:p>
            <w:pPr>
              <w:pStyle w:val="yTableNAm"/>
              <w:spacing w:before="80"/>
            </w:pPr>
            <w:r>
              <w:t>12.553</w:t>
            </w:r>
          </w:p>
        </w:tc>
        <w:tc>
          <w:tcPr>
            <w:tcW w:w="2268" w:type="dxa"/>
            <w:tcBorders>
              <w:top w:val="nil"/>
              <w:left w:val="nil"/>
              <w:bottom w:val="nil"/>
              <w:right w:val="nil"/>
            </w:tcBorders>
          </w:tcPr>
          <w:p>
            <w:pPr>
              <w:pStyle w:val="yTableNAm"/>
              <w:spacing w:before="80"/>
            </w:pPr>
            <w:r>
              <w:t>28.935</w:t>
            </w:r>
          </w:p>
        </w:tc>
      </w:tr>
      <w:tr>
        <w:tc>
          <w:tcPr>
            <w:tcW w:w="2159" w:type="dxa"/>
            <w:tcBorders>
              <w:top w:val="nil"/>
              <w:left w:val="nil"/>
              <w:bottom w:val="nil"/>
              <w:right w:val="nil"/>
            </w:tcBorders>
          </w:tcPr>
          <w:p>
            <w:pPr>
              <w:pStyle w:val="yTableNAm"/>
              <w:spacing w:before="80"/>
            </w:pPr>
            <w:r>
              <w:t>Mount Barker</w:t>
            </w:r>
          </w:p>
        </w:tc>
        <w:tc>
          <w:tcPr>
            <w:tcW w:w="1810" w:type="dxa"/>
            <w:tcBorders>
              <w:top w:val="nil"/>
              <w:left w:val="nil"/>
              <w:bottom w:val="nil"/>
              <w:right w:val="nil"/>
            </w:tcBorders>
          </w:tcPr>
          <w:p>
            <w:pPr>
              <w:pStyle w:val="yTableNAm"/>
              <w:spacing w:before="80"/>
            </w:pPr>
            <w:r>
              <w:t>12.580</w:t>
            </w:r>
          </w:p>
        </w:tc>
        <w:tc>
          <w:tcPr>
            <w:tcW w:w="2268" w:type="dxa"/>
            <w:tcBorders>
              <w:top w:val="nil"/>
              <w:left w:val="nil"/>
              <w:bottom w:val="nil"/>
              <w:right w:val="nil"/>
            </w:tcBorders>
          </w:tcPr>
          <w:p>
            <w:pPr>
              <w:pStyle w:val="yTableNAm"/>
              <w:spacing w:before="80"/>
            </w:pPr>
            <w:r>
              <w:t>15.880</w:t>
            </w:r>
          </w:p>
        </w:tc>
      </w:tr>
      <w:tr>
        <w:tc>
          <w:tcPr>
            <w:tcW w:w="2159" w:type="dxa"/>
            <w:tcBorders>
              <w:top w:val="nil"/>
              <w:left w:val="nil"/>
              <w:bottom w:val="nil"/>
              <w:right w:val="nil"/>
            </w:tcBorders>
          </w:tcPr>
          <w:p>
            <w:pPr>
              <w:pStyle w:val="yTableNAm"/>
              <w:spacing w:before="80"/>
            </w:pPr>
            <w:r>
              <w:t>Mukinbudin</w:t>
            </w:r>
          </w:p>
        </w:tc>
        <w:tc>
          <w:tcPr>
            <w:tcW w:w="1810" w:type="dxa"/>
            <w:tcBorders>
              <w:top w:val="nil"/>
              <w:left w:val="nil"/>
              <w:bottom w:val="nil"/>
              <w:right w:val="nil"/>
            </w:tcBorders>
          </w:tcPr>
          <w:p>
            <w:pPr>
              <w:pStyle w:val="yTableNAm"/>
              <w:spacing w:before="80"/>
            </w:pPr>
            <w:r>
              <w:t>28.762</w:t>
            </w:r>
          </w:p>
        </w:tc>
        <w:tc>
          <w:tcPr>
            <w:tcW w:w="2268" w:type="dxa"/>
            <w:tcBorders>
              <w:top w:val="nil"/>
              <w:left w:val="nil"/>
              <w:bottom w:val="nil"/>
              <w:right w:val="nil"/>
            </w:tcBorders>
          </w:tcPr>
          <w:p>
            <w:pPr>
              <w:pStyle w:val="yTableNAm"/>
              <w:spacing w:before="80"/>
            </w:pPr>
            <w:r>
              <w:t>165.476</w:t>
            </w:r>
          </w:p>
        </w:tc>
      </w:tr>
      <w:tr>
        <w:tc>
          <w:tcPr>
            <w:tcW w:w="2159" w:type="dxa"/>
            <w:tcBorders>
              <w:top w:val="nil"/>
              <w:left w:val="nil"/>
              <w:bottom w:val="nil"/>
              <w:right w:val="nil"/>
            </w:tcBorders>
          </w:tcPr>
          <w:p>
            <w:pPr>
              <w:pStyle w:val="yTableNAm"/>
              <w:spacing w:before="80"/>
            </w:pPr>
            <w:r>
              <w:t>Nannup</w:t>
            </w:r>
          </w:p>
        </w:tc>
        <w:tc>
          <w:tcPr>
            <w:tcW w:w="1810" w:type="dxa"/>
            <w:tcBorders>
              <w:top w:val="nil"/>
              <w:left w:val="nil"/>
              <w:bottom w:val="nil"/>
              <w:right w:val="nil"/>
            </w:tcBorders>
          </w:tcPr>
          <w:p>
            <w:pPr>
              <w:pStyle w:val="yTableNAm"/>
              <w:spacing w:before="80"/>
            </w:pPr>
            <w:r>
              <w:t>13.063</w:t>
            </w:r>
          </w:p>
        </w:tc>
        <w:tc>
          <w:tcPr>
            <w:tcW w:w="2268" w:type="dxa"/>
            <w:tcBorders>
              <w:top w:val="nil"/>
              <w:left w:val="nil"/>
              <w:bottom w:val="nil"/>
              <w:right w:val="nil"/>
            </w:tcBorders>
          </w:tcPr>
          <w:p>
            <w:pPr>
              <w:pStyle w:val="yTableNAm"/>
              <w:spacing w:before="80"/>
            </w:pPr>
            <w:r>
              <w:t>16.484</w:t>
            </w:r>
          </w:p>
        </w:tc>
      </w:tr>
      <w:tr>
        <w:tc>
          <w:tcPr>
            <w:tcW w:w="2159" w:type="dxa"/>
            <w:tcBorders>
              <w:top w:val="nil"/>
              <w:left w:val="nil"/>
              <w:bottom w:val="nil"/>
              <w:right w:val="nil"/>
            </w:tcBorders>
          </w:tcPr>
          <w:p>
            <w:pPr>
              <w:pStyle w:val="yTableNAm"/>
              <w:spacing w:before="80"/>
            </w:pPr>
            <w:r>
              <w:t>Narembeen</w:t>
            </w:r>
          </w:p>
        </w:tc>
        <w:tc>
          <w:tcPr>
            <w:tcW w:w="1810" w:type="dxa"/>
            <w:tcBorders>
              <w:top w:val="nil"/>
              <w:left w:val="nil"/>
              <w:bottom w:val="nil"/>
              <w:right w:val="nil"/>
            </w:tcBorders>
          </w:tcPr>
          <w:p>
            <w:pPr>
              <w:pStyle w:val="yTableNAm"/>
              <w:spacing w:before="80"/>
            </w:pPr>
            <w:r>
              <w:t>27.622</w:t>
            </w:r>
          </w:p>
        </w:tc>
        <w:tc>
          <w:tcPr>
            <w:tcW w:w="2268" w:type="dxa"/>
            <w:tcBorders>
              <w:top w:val="nil"/>
              <w:left w:val="nil"/>
              <w:bottom w:val="nil"/>
              <w:right w:val="nil"/>
            </w:tcBorders>
          </w:tcPr>
          <w:p>
            <w:pPr>
              <w:pStyle w:val="yTableNAm"/>
              <w:spacing w:before="80"/>
            </w:pPr>
            <w:r>
              <w:t>109.582</w:t>
            </w:r>
          </w:p>
        </w:tc>
      </w:tr>
      <w:tr>
        <w:tc>
          <w:tcPr>
            <w:tcW w:w="2159" w:type="dxa"/>
            <w:tcBorders>
              <w:top w:val="nil"/>
              <w:left w:val="nil"/>
              <w:bottom w:val="nil"/>
              <w:right w:val="nil"/>
            </w:tcBorders>
          </w:tcPr>
          <w:p>
            <w:pPr>
              <w:pStyle w:val="yTableNAm"/>
              <w:spacing w:before="80"/>
            </w:pPr>
            <w:r>
              <w:t>Narrogin</w:t>
            </w:r>
          </w:p>
        </w:tc>
        <w:tc>
          <w:tcPr>
            <w:tcW w:w="1810" w:type="dxa"/>
            <w:tcBorders>
              <w:top w:val="nil"/>
              <w:left w:val="nil"/>
              <w:bottom w:val="nil"/>
              <w:right w:val="nil"/>
            </w:tcBorders>
          </w:tcPr>
          <w:p>
            <w:pPr>
              <w:pStyle w:val="yTableNAm"/>
              <w:spacing w:before="80"/>
            </w:pPr>
            <w:r>
              <w:t>9.065</w:t>
            </w:r>
          </w:p>
        </w:tc>
        <w:tc>
          <w:tcPr>
            <w:tcW w:w="2268" w:type="dxa"/>
            <w:tcBorders>
              <w:top w:val="nil"/>
              <w:left w:val="nil"/>
              <w:bottom w:val="nil"/>
              <w:right w:val="nil"/>
            </w:tcBorders>
          </w:tcPr>
          <w:p>
            <w:pPr>
              <w:pStyle w:val="yTableNAm"/>
              <w:spacing w:before="80"/>
            </w:pPr>
            <w:r>
              <w:t>21.678</w:t>
            </w:r>
          </w:p>
        </w:tc>
      </w:tr>
      <w:tr>
        <w:tc>
          <w:tcPr>
            <w:tcW w:w="2159" w:type="dxa"/>
            <w:tcBorders>
              <w:top w:val="nil"/>
              <w:left w:val="nil"/>
              <w:bottom w:val="nil"/>
              <w:right w:val="nil"/>
            </w:tcBorders>
          </w:tcPr>
          <w:p>
            <w:pPr>
              <w:pStyle w:val="yTableNAm"/>
              <w:spacing w:before="80"/>
            </w:pPr>
            <w:r>
              <w:t>Newdegate</w:t>
            </w:r>
          </w:p>
        </w:tc>
        <w:tc>
          <w:tcPr>
            <w:tcW w:w="1810" w:type="dxa"/>
            <w:tcBorders>
              <w:top w:val="nil"/>
              <w:left w:val="nil"/>
              <w:bottom w:val="nil"/>
              <w:right w:val="nil"/>
            </w:tcBorders>
          </w:tcPr>
          <w:p>
            <w:pPr>
              <w:pStyle w:val="yTableNAm"/>
              <w:spacing w:before="80"/>
            </w:pPr>
            <w:r>
              <w:t>40.550</w:t>
            </w:r>
          </w:p>
        </w:tc>
        <w:tc>
          <w:tcPr>
            <w:tcW w:w="2268" w:type="dxa"/>
            <w:tcBorders>
              <w:top w:val="nil"/>
              <w:left w:val="nil"/>
              <w:bottom w:val="nil"/>
              <w:right w:val="nil"/>
            </w:tcBorders>
          </w:tcPr>
          <w:p>
            <w:pPr>
              <w:pStyle w:val="yTableNAm"/>
              <w:spacing w:before="80"/>
            </w:pPr>
            <w:r>
              <w:t>213.044</w:t>
            </w:r>
          </w:p>
        </w:tc>
      </w:tr>
      <w:tr>
        <w:tc>
          <w:tcPr>
            <w:tcW w:w="2159" w:type="dxa"/>
            <w:tcBorders>
              <w:top w:val="nil"/>
              <w:left w:val="nil"/>
              <w:bottom w:val="nil"/>
              <w:right w:val="nil"/>
            </w:tcBorders>
          </w:tcPr>
          <w:p>
            <w:pPr>
              <w:pStyle w:val="yTableNAm"/>
              <w:spacing w:before="80"/>
            </w:pPr>
            <w:r>
              <w:t>Newman</w:t>
            </w:r>
          </w:p>
        </w:tc>
        <w:tc>
          <w:tcPr>
            <w:tcW w:w="1810" w:type="dxa"/>
            <w:tcBorders>
              <w:top w:val="nil"/>
              <w:left w:val="nil"/>
              <w:bottom w:val="nil"/>
              <w:right w:val="nil"/>
            </w:tcBorders>
          </w:tcPr>
          <w:p>
            <w:pPr>
              <w:pStyle w:val="yTableNAm"/>
              <w:spacing w:before="80"/>
            </w:pPr>
            <w:r>
              <w:t>0.978</w:t>
            </w:r>
          </w:p>
        </w:tc>
        <w:tc>
          <w:tcPr>
            <w:tcW w:w="2268" w:type="dxa"/>
            <w:tcBorders>
              <w:top w:val="nil"/>
              <w:left w:val="nil"/>
              <w:bottom w:val="nil"/>
              <w:right w:val="nil"/>
            </w:tcBorders>
          </w:tcPr>
          <w:p>
            <w:pPr>
              <w:pStyle w:val="yTableNAm"/>
              <w:spacing w:before="80"/>
            </w:pPr>
            <w:r>
              <w:t>0.850</w:t>
            </w:r>
          </w:p>
        </w:tc>
      </w:tr>
      <w:tr>
        <w:tc>
          <w:tcPr>
            <w:tcW w:w="2159" w:type="dxa"/>
            <w:tcBorders>
              <w:top w:val="nil"/>
              <w:left w:val="nil"/>
              <w:bottom w:val="nil"/>
              <w:right w:val="nil"/>
            </w:tcBorders>
          </w:tcPr>
          <w:p>
            <w:pPr>
              <w:pStyle w:val="yTableNAm"/>
              <w:spacing w:before="80"/>
            </w:pPr>
            <w:r>
              <w:t>Northam</w:t>
            </w:r>
          </w:p>
        </w:tc>
        <w:tc>
          <w:tcPr>
            <w:tcW w:w="1810" w:type="dxa"/>
            <w:tcBorders>
              <w:top w:val="nil"/>
              <w:left w:val="nil"/>
              <w:bottom w:val="nil"/>
              <w:right w:val="nil"/>
            </w:tcBorders>
          </w:tcPr>
          <w:p>
            <w:pPr>
              <w:pStyle w:val="yTableNAm"/>
              <w:spacing w:before="80"/>
            </w:pPr>
            <w:r>
              <w:t>11.631</w:t>
            </w:r>
          </w:p>
        </w:tc>
        <w:tc>
          <w:tcPr>
            <w:tcW w:w="2268" w:type="dxa"/>
            <w:tcBorders>
              <w:top w:val="nil"/>
              <w:left w:val="nil"/>
              <w:bottom w:val="nil"/>
              <w:right w:val="nil"/>
            </w:tcBorders>
          </w:tcPr>
          <w:p>
            <w:pPr>
              <w:pStyle w:val="yTableNAm"/>
              <w:spacing w:before="80"/>
            </w:pPr>
            <w:r>
              <w:t>18.140</w:t>
            </w:r>
          </w:p>
        </w:tc>
      </w:tr>
      <w:tr>
        <w:tc>
          <w:tcPr>
            <w:tcW w:w="2159" w:type="dxa"/>
            <w:tcBorders>
              <w:top w:val="nil"/>
              <w:left w:val="nil"/>
              <w:bottom w:val="nil"/>
              <w:right w:val="nil"/>
            </w:tcBorders>
          </w:tcPr>
          <w:p>
            <w:pPr>
              <w:pStyle w:val="yTableNAm"/>
              <w:spacing w:before="80"/>
            </w:pPr>
            <w:r>
              <w:t>Onslow</w:t>
            </w:r>
          </w:p>
        </w:tc>
        <w:tc>
          <w:tcPr>
            <w:tcW w:w="1810" w:type="dxa"/>
            <w:tcBorders>
              <w:top w:val="nil"/>
              <w:left w:val="nil"/>
              <w:bottom w:val="nil"/>
              <w:right w:val="nil"/>
            </w:tcBorders>
          </w:tcPr>
          <w:p>
            <w:pPr>
              <w:pStyle w:val="yTableNAm"/>
              <w:spacing w:before="80"/>
            </w:pPr>
            <w:r>
              <w:t>1.955</w:t>
            </w:r>
          </w:p>
        </w:tc>
        <w:tc>
          <w:tcPr>
            <w:tcW w:w="2268" w:type="dxa"/>
            <w:tcBorders>
              <w:top w:val="nil"/>
              <w:left w:val="nil"/>
              <w:bottom w:val="nil"/>
              <w:right w:val="nil"/>
            </w:tcBorders>
          </w:tcPr>
          <w:p>
            <w:pPr>
              <w:pStyle w:val="yTableNAm"/>
              <w:spacing w:before="80"/>
            </w:pPr>
            <w:r>
              <w:t>0.609</w:t>
            </w:r>
          </w:p>
        </w:tc>
      </w:tr>
      <w:tr>
        <w:tc>
          <w:tcPr>
            <w:tcW w:w="2159" w:type="dxa"/>
            <w:tcBorders>
              <w:top w:val="nil"/>
              <w:left w:val="nil"/>
              <w:bottom w:val="nil"/>
              <w:right w:val="nil"/>
            </w:tcBorders>
          </w:tcPr>
          <w:p>
            <w:pPr>
              <w:pStyle w:val="yTableNAm"/>
              <w:spacing w:before="80"/>
            </w:pPr>
            <w:r>
              <w:t>Pemberton</w:t>
            </w:r>
          </w:p>
        </w:tc>
        <w:tc>
          <w:tcPr>
            <w:tcW w:w="1810" w:type="dxa"/>
            <w:tcBorders>
              <w:top w:val="nil"/>
              <w:left w:val="nil"/>
              <w:bottom w:val="nil"/>
              <w:right w:val="nil"/>
            </w:tcBorders>
          </w:tcPr>
          <w:p>
            <w:pPr>
              <w:pStyle w:val="yTableNAm"/>
              <w:spacing w:before="80"/>
            </w:pPr>
            <w:r>
              <w:t>29.277</w:t>
            </w:r>
          </w:p>
        </w:tc>
        <w:tc>
          <w:tcPr>
            <w:tcW w:w="2268" w:type="dxa"/>
            <w:tcBorders>
              <w:top w:val="nil"/>
              <w:left w:val="nil"/>
              <w:bottom w:val="nil"/>
              <w:right w:val="nil"/>
            </w:tcBorders>
          </w:tcPr>
          <w:p>
            <w:pPr>
              <w:pStyle w:val="yTableNAm"/>
              <w:spacing w:before="80"/>
            </w:pPr>
            <w:r>
              <w:t>39.140</w:t>
            </w:r>
          </w:p>
        </w:tc>
      </w:tr>
      <w:tr>
        <w:tc>
          <w:tcPr>
            <w:tcW w:w="2159" w:type="dxa"/>
            <w:tcBorders>
              <w:top w:val="nil"/>
              <w:left w:val="nil"/>
              <w:bottom w:val="nil"/>
              <w:right w:val="nil"/>
            </w:tcBorders>
          </w:tcPr>
          <w:p>
            <w:pPr>
              <w:pStyle w:val="yTableNAm"/>
              <w:spacing w:before="80"/>
            </w:pPr>
            <w:r>
              <w:t>Pingelly</w:t>
            </w:r>
          </w:p>
        </w:tc>
        <w:tc>
          <w:tcPr>
            <w:tcW w:w="1810" w:type="dxa"/>
            <w:tcBorders>
              <w:top w:val="nil"/>
              <w:left w:val="nil"/>
              <w:bottom w:val="nil"/>
              <w:right w:val="nil"/>
            </w:tcBorders>
          </w:tcPr>
          <w:p>
            <w:pPr>
              <w:pStyle w:val="yTableNAm"/>
              <w:spacing w:before="80"/>
            </w:pPr>
            <w:r>
              <w:t>18.101</w:t>
            </w:r>
          </w:p>
        </w:tc>
        <w:tc>
          <w:tcPr>
            <w:tcW w:w="2268" w:type="dxa"/>
            <w:tcBorders>
              <w:top w:val="nil"/>
              <w:left w:val="nil"/>
              <w:bottom w:val="nil"/>
              <w:right w:val="nil"/>
            </w:tcBorders>
          </w:tcPr>
          <w:p>
            <w:pPr>
              <w:pStyle w:val="yTableNAm"/>
              <w:spacing w:before="80"/>
            </w:pPr>
            <w:r>
              <w:t>36.273</w:t>
            </w:r>
          </w:p>
        </w:tc>
      </w:tr>
      <w:tr>
        <w:tc>
          <w:tcPr>
            <w:tcW w:w="2159" w:type="dxa"/>
            <w:tcBorders>
              <w:top w:val="nil"/>
              <w:left w:val="nil"/>
              <w:bottom w:val="nil"/>
              <w:right w:val="nil"/>
            </w:tcBorders>
          </w:tcPr>
          <w:p>
            <w:pPr>
              <w:pStyle w:val="yTableNAm"/>
              <w:spacing w:before="80"/>
            </w:pPr>
            <w:r>
              <w:t>Pinjarra</w:t>
            </w:r>
          </w:p>
        </w:tc>
        <w:tc>
          <w:tcPr>
            <w:tcW w:w="1810" w:type="dxa"/>
            <w:tcBorders>
              <w:top w:val="nil"/>
              <w:left w:val="nil"/>
              <w:bottom w:val="nil"/>
              <w:right w:val="nil"/>
            </w:tcBorders>
          </w:tcPr>
          <w:p>
            <w:pPr>
              <w:pStyle w:val="yTableNAm"/>
              <w:spacing w:before="80"/>
            </w:pPr>
            <w:r>
              <w:t>8.788</w:t>
            </w:r>
          </w:p>
        </w:tc>
        <w:tc>
          <w:tcPr>
            <w:tcW w:w="2268" w:type="dxa"/>
            <w:tcBorders>
              <w:top w:val="nil"/>
              <w:left w:val="nil"/>
              <w:bottom w:val="nil"/>
              <w:right w:val="nil"/>
            </w:tcBorders>
          </w:tcPr>
          <w:p>
            <w:pPr>
              <w:pStyle w:val="yTableNAm"/>
              <w:spacing w:before="80"/>
            </w:pPr>
            <w:r>
              <w:t>7.433</w:t>
            </w:r>
          </w:p>
        </w:tc>
      </w:tr>
      <w:tr>
        <w:tc>
          <w:tcPr>
            <w:tcW w:w="2159" w:type="dxa"/>
            <w:tcBorders>
              <w:top w:val="nil"/>
              <w:left w:val="nil"/>
              <w:bottom w:val="nil"/>
              <w:right w:val="nil"/>
            </w:tcBorders>
          </w:tcPr>
          <w:p>
            <w:pPr>
              <w:pStyle w:val="yTableNAm"/>
              <w:spacing w:before="80"/>
            </w:pPr>
            <w:r>
              <w:t>Port Hedland</w:t>
            </w:r>
          </w:p>
        </w:tc>
        <w:tc>
          <w:tcPr>
            <w:tcW w:w="1810" w:type="dxa"/>
            <w:tcBorders>
              <w:top w:val="nil"/>
              <w:left w:val="nil"/>
              <w:bottom w:val="nil"/>
              <w:right w:val="nil"/>
            </w:tcBorders>
          </w:tcPr>
          <w:p>
            <w:pPr>
              <w:pStyle w:val="yTableNAm"/>
              <w:spacing w:before="80"/>
            </w:pPr>
            <w:r>
              <w:t>3.264</w:t>
            </w:r>
          </w:p>
        </w:tc>
        <w:tc>
          <w:tcPr>
            <w:tcW w:w="2268" w:type="dxa"/>
            <w:tcBorders>
              <w:top w:val="nil"/>
              <w:left w:val="nil"/>
              <w:bottom w:val="nil"/>
              <w:right w:val="nil"/>
            </w:tcBorders>
          </w:tcPr>
          <w:p>
            <w:pPr>
              <w:pStyle w:val="yTableNAm"/>
              <w:spacing w:before="80"/>
            </w:pPr>
            <w:r>
              <w:t>3.680</w:t>
            </w:r>
          </w:p>
        </w:tc>
      </w:tr>
      <w:tr>
        <w:tc>
          <w:tcPr>
            <w:tcW w:w="2159" w:type="dxa"/>
            <w:tcBorders>
              <w:top w:val="nil"/>
              <w:left w:val="nil"/>
              <w:bottom w:val="nil"/>
              <w:right w:val="nil"/>
            </w:tcBorders>
          </w:tcPr>
          <w:p>
            <w:pPr>
              <w:pStyle w:val="yTableNAm"/>
              <w:spacing w:before="80"/>
            </w:pPr>
            <w:r>
              <w:t>Prevelly</w:t>
            </w:r>
          </w:p>
        </w:tc>
        <w:tc>
          <w:tcPr>
            <w:tcW w:w="1810" w:type="dxa"/>
            <w:tcBorders>
              <w:top w:val="nil"/>
              <w:left w:val="nil"/>
              <w:bottom w:val="nil"/>
              <w:right w:val="nil"/>
            </w:tcBorders>
          </w:tcPr>
          <w:p>
            <w:pPr>
              <w:pStyle w:val="yTableNAm"/>
              <w:spacing w:before="80"/>
            </w:pPr>
            <w:r>
              <w:t>7.563</w:t>
            </w:r>
          </w:p>
        </w:tc>
        <w:tc>
          <w:tcPr>
            <w:tcW w:w="2268" w:type="dxa"/>
            <w:tcBorders>
              <w:top w:val="nil"/>
              <w:left w:val="nil"/>
              <w:bottom w:val="nil"/>
              <w:right w:val="nil"/>
            </w:tcBorders>
          </w:tcPr>
          <w:p>
            <w:pPr>
              <w:pStyle w:val="yTableNAm"/>
              <w:spacing w:before="80"/>
            </w:pPr>
            <w:r>
              <w:t>8.796</w:t>
            </w:r>
          </w:p>
        </w:tc>
      </w:tr>
      <w:tr>
        <w:tc>
          <w:tcPr>
            <w:tcW w:w="2159" w:type="dxa"/>
            <w:tcBorders>
              <w:top w:val="nil"/>
              <w:left w:val="nil"/>
              <w:bottom w:val="nil"/>
              <w:right w:val="nil"/>
            </w:tcBorders>
          </w:tcPr>
          <w:p>
            <w:pPr>
              <w:pStyle w:val="yTableNAm"/>
              <w:spacing w:before="80"/>
            </w:pPr>
            <w:r>
              <w:t>Quairading</w:t>
            </w:r>
          </w:p>
        </w:tc>
        <w:tc>
          <w:tcPr>
            <w:tcW w:w="1810" w:type="dxa"/>
            <w:tcBorders>
              <w:top w:val="nil"/>
              <w:left w:val="nil"/>
              <w:bottom w:val="nil"/>
              <w:right w:val="nil"/>
            </w:tcBorders>
          </w:tcPr>
          <w:p>
            <w:pPr>
              <w:pStyle w:val="yTableNAm"/>
              <w:spacing w:before="80"/>
            </w:pPr>
            <w:r>
              <w:t>25.993</w:t>
            </w:r>
          </w:p>
        </w:tc>
        <w:tc>
          <w:tcPr>
            <w:tcW w:w="2268" w:type="dxa"/>
            <w:tcBorders>
              <w:top w:val="nil"/>
              <w:left w:val="nil"/>
              <w:bottom w:val="nil"/>
              <w:right w:val="nil"/>
            </w:tcBorders>
          </w:tcPr>
          <w:p>
            <w:pPr>
              <w:pStyle w:val="yTableNAm"/>
              <w:spacing w:before="80"/>
            </w:pPr>
            <w:r>
              <w:t>43.262</w:t>
            </w:r>
          </w:p>
        </w:tc>
      </w:tr>
      <w:tr>
        <w:tc>
          <w:tcPr>
            <w:tcW w:w="2159" w:type="dxa"/>
            <w:tcBorders>
              <w:top w:val="nil"/>
              <w:left w:val="nil"/>
              <w:bottom w:val="single" w:sz="4" w:space="0" w:color="auto"/>
              <w:right w:val="nil"/>
            </w:tcBorders>
          </w:tcPr>
          <w:p>
            <w:pPr>
              <w:pStyle w:val="yTableNAm"/>
              <w:spacing w:before="80"/>
            </w:pPr>
            <w:r>
              <w:t>Roebourne</w:t>
            </w:r>
          </w:p>
        </w:tc>
        <w:tc>
          <w:tcPr>
            <w:tcW w:w="1810" w:type="dxa"/>
            <w:tcBorders>
              <w:top w:val="nil"/>
              <w:left w:val="nil"/>
              <w:bottom w:val="single" w:sz="4" w:space="0" w:color="auto"/>
              <w:right w:val="nil"/>
            </w:tcBorders>
          </w:tcPr>
          <w:p>
            <w:pPr>
              <w:pStyle w:val="yTableNAm"/>
              <w:spacing w:before="80"/>
            </w:pPr>
            <w:r>
              <w:t>20.143</w:t>
            </w:r>
          </w:p>
        </w:tc>
        <w:tc>
          <w:tcPr>
            <w:tcW w:w="2268" w:type="dxa"/>
            <w:tcBorders>
              <w:top w:val="nil"/>
              <w:left w:val="nil"/>
              <w:bottom w:val="single" w:sz="4" w:space="0" w:color="auto"/>
              <w:right w:val="nil"/>
            </w:tcBorders>
          </w:tcPr>
          <w:p>
            <w:pPr>
              <w:pStyle w:val="yTableNAm"/>
              <w:spacing w:before="80"/>
            </w:pPr>
            <w:r>
              <w:t>34.409</w:t>
            </w:r>
          </w:p>
        </w:tc>
      </w:tr>
      <w:tr>
        <w:tc>
          <w:tcPr>
            <w:tcW w:w="2159" w:type="dxa"/>
            <w:tcBorders>
              <w:top w:val="single" w:sz="4" w:space="0" w:color="auto"/>
              <w:left w:val="nil"/>
              <w:bottom w:val="nil"/>
              <w:right w:val="nil"/>
            </w:tcBorders>
          </w:tcPr>
          <w:p>
            <w:pPr>
              <w:pStyle w:val="yTableNAm"/>
              <w:spacing w:before="60"/>
            </w:pPr>
            <w:r>
              <w:t>Seabird</w:t>
            </w:r>
          </w:p>
        </w:tc>
        <w:tc>
          <w:tcPr>
            <w:tcW w:w="1810" w:type="dxa"/>
            <w:tcBorders>
              <w:top w:val="single" w:sz="4" w:space="0" w:color="auto"/>
              <w:left w:val="nil"/>
              <w:bottom w:val="nil"/>
              <w:right w:val="nil"/>
            </w:tcBorders>
          </w:tcPr>
          <w:p>
            <w:pPr>
              <w:pStyle w:val="yTableNAm"/>
              <w:spacing w:before="60"/>
            </w:pPr>
            <w:r>
              <w:t>54.494</w:t>
            </w:r>
          </w:p>
        </w:tc>
        <w:tc>
          <w:tcPr>
            <w:tcW w:w="2268" w:type="dxa"/>
            <w:tcBorders>
              <w:top w:val="single" w:sz="4" w:space="0" w:color="auto"/>
              <w:left w:val="nil"/>
              <w:bottom w:val="nil"/>
              <w:right w:val="nil"/>
            </w:tcBorders>
          </w:tcPr>
          <w:p>
            <w:pPr>
              <w:pStyle w:val="yTableNAm"/>
              <w:spacing w:before="60"/>
            </w:pPr>
            <w:r>
              <w:t>59.452</w:t>
            </w:r>
          </w:p>
        </w:tc>
      </w:tr>
      <w:tr>
        <w:tc>
          <w:tcPr>
            <w:tcW w:w="2159" w:type="dxa"/>
            <w:tcBorders>
              <w:top w:val="nil"/>
              <w:left w:val="nil"/>
              <w:bottom w:val="nil"/>
              <w:right w:val="nil"/>
            </w:tcBorders>
          </w:tcPr>
          <w:p>
            <w:pPr>
              <w:pStyle w:val="yTableNAm"/>
              <w:spacing w:before="60"/>
            </w:pPr>
            <w:r>
              <w:t>Tambellup</w:t>
            </w:r>
          </w:p>
        </w:tc>
        <w:tc>
          <w:tcPr>
            <w:tcW w:w="1810" w:type="dxa"/>
            <w:tcBorders>
              <w:top w:val="nil"/>
              <w:left w:val="nil"/>
              <w:bottom w:val="nil"/>
              <w:right w:val="nil"/>
            </w:tcBorders>
          </w:tcPr>
          <w:p>
            <w:pPr>
              <w:pStyle w:val="yTableNAm"/>
              <w:spacing w:before="60"/>
            </w:pPr>
            <w:r>
              <w:t>41.874</w:t>
            </w:r>
          </w:p>
        </w:tc>
        <w:tc>
          <w:tcPr>
            <w:tcW w:w="2268" w:type="dxa"/>
            <w:tcBorders>
              <w:top w:val="nil"/>
              <w:left w:val="nil"/>
              <w:bottom w:val="nil"/>
              <w:right w:val="nil"/>
            </w:tcBorders>
          </w:tcPr>
          <w:p>
            <w:pPr>
              <w:pStyle w:val="yTableNAm"/>
              <w:spacing w:before="60"/>
            </w:pPr>
            <w:r>
              <w:t>160.356</w:t>
            </w:r>
          </w:p>
        </w:tc>
      </w:tr>
      <w:tr>
        <w:tc>
          <w:tcPr>
            <w:tcW w:w="2159" w:type="dxa"/>
            <w:tcBorders>
              <w:top w:val="nil"/>
              <w:left w:val="nil"/>
              <w:bottom w:val="nil"/>
              <w:right w:val="nil"/>
            </w:tcBorders>
          </w:tcPr>
          <w:p>
            <w:pPr>
              <w:pStyle w:val="yTableNAm"/>
              <w:spacing w:before="60"/>
            </w:pPr>
            <w:r>
              <w:t>Three Springs</w:t>
            </w:r>
          </w:p>
        </w:tc>
        <w:tc>
          <w:tcPr>
            <w:tcW w:w="1810" w:type="dxa"/>
            <w:tcBorders>
              <w:top w:val="nil"/>
              <w:left w:val="nil"/>
              <w:bottom w:val="nil"/>
              <w:right w:val="nil"/>
            </w:tcBorders>
          </w:tcPr>
          <w:p>
            <w:pPr>
              <w:pStyle w:val="yTableNAm"/>
              <w:spacing w:before="60"/>
            </w:pPr>
            <w:r>
              <w:t>4.136</w:t>
            </w:r>
          </w:p>
        </w:tc>
        <w:tc>
          <w:tcPr>
            <w:tcW w:w="2268" w:type="dxa"/>
            <w:tcBorders>
              <w:top w:val="nil"/>
              <w:left w:val="nil"/>
              <w:bottom w:val="nil"/>
              <w:right w:val="nil"/>
            </w:tcBorders>
          </w:tcPr>
          <w:p>
            <w:pPr>
              <w:pStyle w:val="yTableNAm"/>
              <w:spacing w:before="60"/>
            </w:pPr>
            <w:r>
              <w:t>16.721</w:t>
            </w:r>
          </w:p>
        </w:tc>
      </w:tr>
      <w:tr>
        <w:tc>
          <w:tcPr>
            <w:tcW w:w="2159" w:type="dxa"/>
            <w:tcBorders>
              <w:top w:val="nil"/>
              <w:left w:val="nil"/>
              <w:bottom w:val="nil"/>
              <w:right w:val="nil"/>
            </w:tcBorders>
          </w:tcPr>
          <w:p>
            <w:pPr>
              <w:pStyle w:val="yTableNAm"/>
              <w:spacing w:before="60"/>
            </w:pPr>
            <w:r>
              <w:t>Toodyay</w:t>
            </w:r>
          </w:p>
        </w:tc>
        <w:tc>
          <w:tcPr>
            <w:tcW w:w="1810" w:type="dxa"/>
            <w:tcBorders>
              <w:top w:val="nil"/>
              <w:left w:val="nil"/>
              <w:bottom w:val="nil"/>
              <w:right w:val="nil"/>
            </w:tcBorders>
          </w:tcPr>
          <w:p>
            <w:pPr>
              <w:pStyle w:val="yTableNAm"/>
              <w:spacing w:before="60"/>
            </w:pPr>
            <w:r>
              <w:t>9.671</w:t>
            </w:r>
          </w:p>
        </w:tc>
        <w:tc>
          <w:tcPr>
            <w:tcW w:w="2268" w:type="dxa"/>
            <w:tcBorders>
              <w:top w:val="nil"/>
              <w:left w:val="nil"/>
              <w:bottom w:val="nil"/>
              <w:right w:val="nil"/>
            </w:tcBorders>
          </w:tcPr>
          <w:p>
            <w:pPr>
              <w:pStyle w:val="yTableNAm"/>
              <w:spacing w:before="60"/>
            </w:pPr>
            <w:r>
              <w:t>15.566</w:t>
            </w:r>
          </w:p>
        </w:tc>
      </w:tr>
      <w:tr>
        <w:tc>
          <w:tcPr>
            <w:tcW w:w="2159" w:type="dxa"/>
            <w:tcBorders>
              <w:top w:val="nil"/>
              <w:left w:val="nil"/>
              <w:bottom w:val="nil"/>
              <w:right w:val="nil"/>
            </w:tcBorders>
          </w:tcPr>
          <w:p>
            <w:pPr>
              <w:pStyle w:val="yTableNAm"/>
              <w:spacing w:before="60"/>
            </w:pPr>
            <w:r>
              <w:t>Wagin</w:t>
            </w:r>
          </w:p>
        </w:tc>
        <w:tc>
          <w:tcPr>
            <w:tcW w:w="1810" w:type="dxa"/>
            <w:tcBorders>
              <w:top w:val="nil"/>
              <w:left w:val="nil"/>
              <w:bottom w:val="nil"/>
              <w:right w:val="nil"/>
            </w:tcBorders>
          </w:tcPr>
          <w:p>
            <w:pPr>
              <w:pStyle w:val="yTableNAm"/>
              <w:spacing w:before="60"/>
            </w:pPr>
            <w:r>
              <w:t>13.890</w:t>
            </w:r>
          </w:p>
        </w:tc>
        <w:tc>
          <w:tcPr>
            <w:tcW w:w="2268" w:type="dxa"/>
            <w:tcBorders>
              <w:top w:val="nil"/>
              <w:left w:val="nil"/>
              <w:bottom w:val="nil"/>
              <w:right w:val="nil"/>
            </w:tcBorders>
          </w:tcPr>
          <w:p>
            <w:pPr>
              <w:pStyle w:val="yTableNAm"/>
              <w:spacing w:before="60"/>
            </w:pPr>
            <w:r>
              <w:t>32.589</w:t>
            </w:r>
          </w:p>
        </w:tc>
      </w:tr>
      <w:tr>
        <w:tc>
          <w:tcPr>
            <w:tcW w:w="2159" w:type="dxa"/>
            <w:tcBorders>
              <w:top w:val="nil"/>
              <w:left w:val="nil"/>
              <w:bottom w:val="nil"/>
              <w:right w:val="nil"/>
            </w:tcBorders>
          </w:tcPr>
          <w:p>
            <w:pPr>
              <w:pStyle w:val="yTableNAm"/>
              <w:spacing w:before="60"/>
            </w:pPr>
            <w:r>
              <w:t>Walpole</w:t>
            </w:r>
          </w:p>
        </w:tc>
        <w:tc>
          <w:tcPr>
            <w:tcW w:w="1810" w:type="dxa"/>
            <w:tcBorders>
              <w:top w:val="nil"/>
              <w:left w:val="nil"/>
              <w:bottom w:val="nil"/>
              <w:right w:val="nil"/>
            </w:tcBorders>
          </w:tcPr>
          <w:p>
            <w:pPr>
              <w:pStyle w:val="yTableNAm"/>
              <w:spacing w:before="60"/>
            </w:pPr>
            <w:r>
              <w:t>17.419</w:t>
            </w:r>
          </w:p>
        </w:tc>
        <w:tc>
          <w:tcPr>
            <w:tcW w:w="2268" w:type="dxa"/>
            <w:tcBorders>
              <w:top w:val="nil"/>
              <w:left w:val="nil"/>
              <w:bottom w:val="nil"/>
              <w:right w:val="nil"/>
            </w:tcBorders>
          </w:tcPr>
          <w:p>
            <w:pPr>
              <w:pStyle w:val="yTableNAm"/>
              <w:spacing w:before="60"/>
            </w:pPr>
            <w:r>
              <w:t>21.923</w:t>
            </w:r>
          </w:p>
        </w:tc>
      </w:tr>
      <w:tr>
        <w:tc>
          <w:tcPr>
            <w:tcW w:w="2159" w:type="dxa"/>
            <w:tcBorders>
              <w:top w:val="nil"/>
              <w:left w:val="nil"/>
              <w:bottom w:val="nil"/>
              <w:right w:val="nil"/>
            </w:tcBorders>
          </w:tcPr>
          <w:p>
            <w:pPr>
              <w:pStyle w:val="yTableNAm"/>
              <w:spacing w:before="60"/>
            </w:pPr>
            <w:r>
              <w:t>Waroona</w:t>
            </w:r>
          </w:p>
        </w:tc>
        <w:tc>
          <w:tcPr>
            <w:tcW w:w="1810" w:type="dxa"/>
            <w:tcBorders>
              <w:top w:val="nil"/>
              <w:left w:val="nil"/>
              <w:bottom w:val="nil"/>
              <w:right w:val="nil"/>
            </w:tcBorders>
          </w:tcPr>
          <w:p>
            <w:pPr>
              <w:pStyle w:val="yTableNAm"/>
              <w:spacing w:before="60"/>
            </w:pPr>
            <w:r>
              <w:t>8.185</w:t>
            </w:r>
          </w:p>
        </w:tc>
        <w:tc>
          <w:tcPr>
            <w:tcW w:w="2268" w:type="dxa"/>
            <w:tcBorders>
              <w:top w:val="nil"/>
              <w:left w:val="nil"/>
              <w:bottom w:val="nil"/>
              <w:right w:val="nil"/>
            </w:tcBorders>
          </w:tcPr>
          <w:p>
            <w:pPr>
              <w:pStyle w:val="yTableNAm"/>
              <w:spacing w:before="60"/>
            </w:pPr>
            <w:r>
              <w:t>13.376</w:t>
            </w:r>
          </w:p>
        </w:tc>
      </w:tr>
      <w:tr>
        <w:tc>
          <w:tcPr>
            <w:tcW w:w="2159" w:type="dxa"/>
            <w:tcBorders>
              <w:top w:val="nil"/>
              <w:left w:val="nil"/>
              <w:bottom w:val="nil"/>
              <w:right w:val="nil"/>
            </w:tcBorders>
          </w:tcPr>
          <w:p>
            <w:pPr>
              <w:pStyle w:val="yTableNAm"/>
              <w:spacing w:before="60"/>
            </w:pPr>
            <w:r>
              <w:t>Wickham</w:t>
            </w:r>
          </w:p>
        </w:tc>
        <w:tc>
          <w:tcPr>
            <w:tcW w:w="1810" w:type="dxa"/>
            <w:tcBorders>
              <w:top w:val="nil"/>
              <w:left w:val="nil"/>
              <w:bottom w:val="nil"/>
              <w:right w:val="nil"/>
            </w:tcBorders>
          </w:tcPr>
          <w:p>
            <w:pPr>
              <w:pStyle w:val="yTableNAm"/>
              <w:spacing w:before="60"/>
            </w:pPr>
            <w:r>
              <w:t>5.115</w:t>
            </w:r>
          </w:p>
        </w:tc>
        <w:tc>
          <w:tcPr>
            <w:tcW w:w="2268" w:type="dxa"/>
            <w:tcBorders>
              <w:top w:val="nil"/>
              <w:left w:val="nil"/>
              <w:bottom w:val="nil"/>
              <w:right w:val="nil"/>
            </w:tcBorders>
          </w:tcPr>
          <w:p>
            <w:pPr>
              <w:pStyle w:val="yTableNAm"/>
              <w:spacing w:before="60"/>
            </w:pPr>
            <w:r>
              <w:t>9.801</w:t>
            </w:r>
          </w:p>
        </w:tc>
      </w:tr>
      <w:tr>
        <w:tc>
          <w:tcPr>
            <w:tcW w:w="2159" w:type="dxa"/>
            <w:tcBorders>
              <w:top w:val="nil"/>
              <w:left w:val="nil"/>
              <w:bottom w:val="nil"/>
              <w:right w:val="nil"/>
            </w:tcBorders>
          </w:tcPr>
          <w:p>
            <w:pPr>
              <w:pStyle w:val="yTableNAm"/>
              <w:spacing w:before="60"/>
            </w:pPr>
            <w:r>
              <w:t>Williams</w:t>
            </w:r>
          </w:p>
        </w:tc>
        <w:tc>
          <w:tcPr>
            <w:tcW w:w="1810" w:type="dxa"/>
            <w:tcBorders>
              <w:top w:val="nil"/>
              <w:left w:val="nil"/>
              <w:bottom w:val="nil"/>
              <w:right w:val="nil"/>
            </w:tcBorders>
          </w:tcPr>
          <w:p>
            <w:pPr>
              <w:pStyle w:val="yTableNAm"/>
              <w:spacing w:before="60"/>
            </w:pPr>
            <w:r>
              <w:t>18.651</w:t>
            </w:r>
          </w:p>
        </w:tc>
        <w:tc>
          <w:tcPr>
            <w:tcW w:w="2268" w:type="dxa"/>
            <w:tcBorders>
              <w:top w:val="nil"/>
              <w:left w:val="nil"/>
              <w:bottom w:val="nil"/>
              <w:right w:val="nil"/>
            </w:tcBorders>
          </w:tcPr>
          <w:p>
            <w:pPr>
              <w:pStyle w:val="yTableNAm"/>
              <w:spacing w:before="60"/>
            </w:pPr>
            <w:r>
              <w:t>23.572</w:t>
            </w:r>
          </w:p>
        </w:tc>
      </w:tr>
      <w:tr>
        <w:tc>
          <w:tcPr>
            <w:tcW w:w="2159" w:type="dxa"/>
            <w:tcBorders>
              <w:top w:val="nil"/>
              <w:left w:val="nil"/>
              <w:bottom w:val="nil"/>
              <w:right w:val="nil"/>
            </w:tcBorders>
          </w:tcPr>
          <w:p>
            <w:pPr>
              <w:pStyle w:val="yTableNAm"/>
              <w:spacing w:before="60"/>
            </w:pPr>
            <w:r>
              <w:t>Wiluna</w:t>
            </w:r>
          </w:p>
        </w:tc>
        <w:tc>
          <w:tcPr>
            <w:tcW w:w="1810" w:type="dxa"/>
            <w:tcBorders>
              <w:top w:val="nil"/>
              <w:left w:val="nil"/>
              <w:bottom w:val="nil"/>
              <w:right w:val="nil"/>
            </w:tcBorders>
          </w:tcPr>
          <w:p>
            <w:pPr>
              <w:pStyle w:val="yTableNAm"/>
              <w:spacing w:before="60"/>
            </w:pPr>
            <w:r>
              <w:t>12.540</w:t>
            </w:r>
          </w:p>
        </w:tc>
        <w:tc>
          <w:tcPr>
            <w:tcW w:w="2268" w:type="dxa"/>
            <w:tcBorders>
              <w:top w:val="nil"/>
              <w:left w:val="nil"/>
              <w:bottom w:val="nil"/>
              <w:right w:val="nil"/>
            </w:tcBorders>
          </w:tcPr>
          <w:p>
            <w:pPr>
              <w:pStyle w:val="yTableNAm"/>
              <w:spacing w:before="60"/>
            </w:pPr>
            <w:r>
              <w:t>12.000</w:t>
            </w:r>
          </w:p>
        </w:tc>
      </w:tr>
      <w:tr>
        <w:tc>
          <w:tcPr>
            <w:tcW w:w="2159" w:type="dxa"/>
            <w:tcBorders>
              <w:top w:val="nil"/>
              <w:left w:val="nil"/>
              <w:bottom w:val="nil"/>
              <w:right w:val="nil"/>
            </w:tcBorders>
          </w:tcPr>
          <w:p>
            <w:pPr>
              <w:pStyle w:val="yTableNAm"/>
              <w:spacing w:before="60"/>
            </w:pPr>
            <w:r>
              <w:t>Wongan Hills</w:t>
            </w:r>
          </w:p>
        </w:tc>
        <w:tc>
          <w:tcPr>
            <w:tcW w:w="1810" w:type="dxa"/>
            <w:tcBorders>
              <w:top w:val="nil"/>
              <w:left w:val="nil"/>
              <w:bottom w:val="nil"/>
              <w:right w:val="nil"/>
            </w:tcBorders>
          </w:tcPr>
          <w:p>
            <w:pPr>
              <w:pStyle w:val="yTableNAm"/>
              <w:spacing w:before="60"/>
            </w:pPr>
            <w:r>
              <w:t>16.754</w:t>
            </w:r>
          </w:p>
        </w:tc>
        <w:tc>
          <w:tcPr>
            <w:tcW w:w="2268" w:type="dxa"/>
            <w:tcBorders>
              <w:top w:val="nil"/>
              <w:left w:val="nil"/>
              <w:bottom w:val="nil"/>
              <w:right w:val="nil"/>
            </w:tcBorders>
          </w:tcPr>
          <w:p>
            <w:pPr>
              <w:pStyle w:val="yTableNAm"/>
              <w:spacing w:before="60"/>
            </w:pPr>
            <w:r>
              <w:t>27.493</w:t>
            </w:r>
          </w:p>
        </w:tc>
      </w:tr>
      <w:tr>
        <w:tc>
          <w:tcPr>
            <w:tcW w:w="2159" w:type="dxa"/>
            <w:tcBorders>
              <w:top w:val="nil"/>
              <w:left w:val="nil"/>
              <w:bottom w:val="nil"/>
              <w:right w:val="nil"/>
            </w:tcBorders>
          </w:tcPr>
          <w:p>
            <w:pPr>
              <w:pStyle w:val="yTableNAm"/>
              <w:spacing w:before="60"/>
            </w:pPr>
            <w:r>
              <w:t>Wundowie</w:t>
            </w:r>
          </w:p>
        </w:tc>
        <w:tc>
          <w:tcPr>
            <w:tcW w:w="1810" w:type="dxa"/>
            <w:tcBorders>
              <w:top w:val="nil"/>
              <w:left w:val="nil"/>
              <w:bottom w:val="nil"/>
              <w:right w:val="nil"/>
            </w:tcBorders>
          </w:tcPr>
          <w:p>
            <w:pPr>
              <w:pStyle w:val="yTableNAm"/>
              <w:spacing w:before="60"/>
            </w:pPr>
            <w:r>
              <w:t>17.695</w:t>
            </w:r>
          </w:p>
        </w:tc>
        <w:tc>
          <w:tcPr>
            <w:tcW w:w="2268" w:type="dxa"/>
            <w:tcBorders>
              <w:top w:val="nil"/>
              <w:left w:val="nil"/>
              <w:bottom w:val="nil"/>
              <w:right w:val="nil"/>
            </w:tcBorders>
          </w:tcPr>
          <w:p>
            <w:pPr>
              <w:pStyle w:val="yTableNAm"/>
              <w:spacing w:before="60"/>
            </w:pPr>
            <w:r>
              <w:t>18.280</w:t>
            </w:r>
          </w:p>
        </w:tc>
      </w:tr>
      <w:tr>
        <w:tc>
          <w:tcPr>
            <w:tcW w:w="2159" w:type="dxa"/>
            <w:tcBorders>
              <w:top w:val="nil"/>
              <w:left w:val="nil"/>
              <w:bottom w:val="nil"/>
              <w:right w:val="nil"/>
            </w:tcBorders>
          </w:tcPr>
          <w:p>
            <w:pPr>
              <w:pStyle w:val="yTableNAm"/>
              <w:spacing w:before="60"/>
            </w:pPr>
            <w:r>
              <w:t>Wyalkatchem</w:t>
            </w:r>
          </w:p>
        </w:tc>
        <w:tc>
          <w:tcPr>
            <w:tcW w:w="1810" w:type="dxa"/>
            <w:tcBorders>
              <w:top w:val="nil"/>
              <w:left w:val="nil"/>
              <w:bottom w:val="nil"/>
              <w:right w:val="nil"/>
            </w:tcBorders>
          </w:tcPr>
          <w:p>
            <w:pPr>
              <w:pStyle w:val="yTableNAm"/>
              <w:spacing w:before="60"/>
            </w:pPr>
            <w:r>
              <w:t>26.371</w:t>
            </w:r>
          </w:p>
        </w:tc>
        <w:tc>
          <w:tcPr>
            <w:tcW w:w="2268" w:type="dxa"/>
            <w:tcBorders>
              <w:top w:val="nil"/>
              <w:left w:val="nil"/>
              <w:bottom w:val="nil"/>
              <w:right w:val="nil"/>
            </w:tcBorders>
          </w:tcPr>
          <w:p>
            <w:pPr>
              <w:pStyle w:val="yTableNAm"/>
              <w:spacing w:before="60"/>
            </w:pPr>
            <w:r>
              <w:t>120.048</w:t>
            </w:r>
          </w:p>
        </w:tc>
      </w:tr>
      <w:tr>
        <w:tc>
          <w:tcPr>
            <w:tcW w:w="2159" w:type="dxa"/>
            <w:tcBorders>
              <w:top w:val="nil"/>
              <w:left w:val="nil"/>
              <w:bottom w:val="nil"/>
              <w:right w:val="nil"/>
            </w:tcBorders>
          </w:tcPr>
          <w:p>
            <w:pPr>
              <w:pStyle w:val="yTableNAm"/>
              <w:spacing w:before="60"/>
            </w:pPr>
            <w:r>
              <w:t>Wyndham</w:t>
            </w:r>
          </w:p>
        </w:tc>
        <w:tc>
          <w:tcPr>
            <w:tcW w:w="1810" w:type="dxa"/>
            <w:tcBorders>
              <w:top w:val="nil"/>
              <w:left w:val="nil"/>
              <w:bottom w:val="nil"/>
              <w:right w:val="nil"/>
            </w:tcBorders>
          </w:tcPr>
          <w:p>
            <w:pPr>
              <w:pStyle w:val="yTableNAm"/>
              <w:spacing w:before="60"/>
            </w:pPr>
            <w:r>
              <w:t>27.372</w:t>
            </w:r>
          </w:p>
        </w:tc>
        <w:tc>
          <w:tcPr>
            <w:tcW w:w="2268" w:type="dxa"/>
            <w:tcBorders>
              <w:top w:val="nil"/>
              <w:left w:val="nil"/>
              <w:bottom w:val="nil"/>
              <w:right w:val="nil"/>
            </w:tcBorders>
          </w:tcPr>
          <w:p>
            <w:pPr>
              <w:pStyle w:val="yTableNAm"/>
              <w:spacing w:before="60"/>
            </w:pPr>
            <w:r>
              <w:t>53.257</w:t>
            </w:r>
          </w:p>
        </w:tc>
      </w:tr>
      <w:tr>
        <w:tc>
          <w:tcPr>
            <w:tcW w:w="2159" w:type="dxa"/>
            <w:tcBorders>
              <w:top w:val="nil"/>
              <w:left w:val="nil"/>
              <w:bottom w:val="nil"/>
              <w:right w:val="nil"/>
            </w:tcBorders>
          </w:tcPr>
          <w:p>
            <w:pPr>
              <w:pStyle w:val="yTableNAm"/>
              <w:spacing w:before="60"/>
            </w:pPr>
            <w:r>
              <w:t>York</w:t>
            </w:r>
          </w:p>
        </w:tc>
        <w:tc>
          <w:tcPr>
            <w:tcW w:w="1810" w:type="dxa"/>
            <w:tcBorders>
              <w:top w:val="nil"/>
              <w:left w:val="nil"/>
              <w:bottom w:val="nil"/>
              <w:right w:val="nil"/>
            </w:tcBorders>
          </w:tcPr>
          <w:p>
            <w:pPr>
              <w:pStyle w:val="yTableNAm"/>
              <w:spacing w:before="60"/>
            </w:pPr>
            <w:r>
              <w:t>1.363</w:t>
            </w:r>
          </w:p>
        </w:tc>
        <w:tc>
          <w:tcPr>
            <w:tcW w:w="2268" w:type="dxa"/>
            <w:tcBorders>
              <w:top w:val="nil"/>
              <w:left w:val="nil"/>
              <w:bottom w:val="nil"/>
              <w:right w:val="nil"/>
            </w:tcBorders>
          </w:tcPr>
          <w:p>
            <w:pPr>
              <w:pStyle w:val="yTableNAm"/>
              <w:spacing w:before="60"/>
            </w:pPr>
            <w:r>
              <w:t>1.726</w:t>
            </w:r>
          </w:p>
        </w:tc>
      </w:tr>
      <w:tr>
        <w:tc>
          <w:tcPr>
            <w:tcW w:w="2159" w:type="dxa"/>
            <w:tcBorders>
              <w:top w:val="nil"/>
              <w:left w:val="nil"/>
              <w:bottom w:val="single" w:sz="4" w:space="0" w:color="auto"/>
              <w:right w:val="nil"/>
            </w:tcBorders>
          </w:tcPr>
          <w:p>
            <w:pPr>
              <w:pStyle w:val="yTableNAm"/>
              <w:spacing w:before="60"/>
            </w:pPr>
            <w:r>
              <w:t>Yunderup</w:t>
            </w:r>
          </w:p>
        </w:tc>
        <w:tc>
          <w:tcPr>
            <w:tcW w:w="1810" w:type="dxa"/>
            <w:tcBorders>
              <w:top w:val="nil"/>
              <w:left w:val="nil"/>
              <w:bottom w:val="single" w:sz="4" w:space="0" w:color="auto"/>
              <w:right w:val="nil"/>
            </w:tcBorders>
          </w:tcPr>
          <w:p>
            <w:pPr>
              <w:pStyle w:val="yTableNAm"/>
              <w:spacing w:before="60"/>
            </w:pPr>
            <w:r>
              <w:t>5.506</w:t>
            </w:r>
          </w:p>
        </w:tc>
        <w:tc>
          <w:tcPr>
            <w:tcW w:w="2268" w:type="dxa"/>
            <w:tcBorders>
              <w:top w:val="nil"/>
              <w:left w:val="nil"/>
              <w:bottom w:val="single" w:sz="4" w:space="0" w:color="auto"/>
              <w:right w:val="nil"/>
            </w:tcBorders>
          </w:tcPr>
          <w:p>
            <w:pPr>
              <w:pStyle w:val="yTableNAm"/>
              <w:spacing w:before="60"/>
            </w:pPr>
            <w:r>
              <w:t>7.863</w:t>
            </w:r>
          </w:p>
        </w:tc>
      </w:tr>
    </w:tbl>
    <w:p>
      <w:pPr>
        <w:pStyle w:val="yFootnotesection"/>
      </w:pPr>
      <w:r>
        <w:tab/>
        <w:t>[Division 1 inserted in Gazette 15 Oct 2014 p. 3969</w:t>
      </w:r>
      <w:r>
        <w:noBreakHyphen/>
        <w:t>77; amended in Gazette 30 Jun 2015 p. 2378</w:t>
      </w:r>
      <w:r>
        <w:noBreakHyphen/>
        <w:t>85.]</w:t>
      </w:r>
    </w:p>
    <w:p>
      <w:pPr>
        <w:pStyle w:val="yHeading3"/>
        <w:keepNext w:val="0"/>
        <w:spacing w:before="180"/>
      </w:pPr>
      <w:bookmarkStart w:id="210" w:name="_Toc429577050"/>
      <w:bookmarkStart w:id="211" w:name="_Toc434929867"/>
      <w:r>
        <w:rPr>
          <w:rStyle w:val="CharSDivNo"/>
        </w:rPr>
        <w:t>Division 2</w:t>
      </w:r>
      <w:r>
        <w:t> — </w:t>
      </w:r>
      <w:r>
        <w:rPr>
          <w:rStyle w:val="CharSDivText"/>
        </w:rPr>
        <w:t>Combined charges for certain non</w:t>
      </w:r>
      <w:r>
        <w:rPr>
          <w:rStyle w:val="CharSDivText"/>
        </w:rPr>
        <w:noBreakHyphen/>
        <w:t>residential property</w:t>
      </w:r>
      <w:bookmarkEnd w:id="210"/>
      <w:bookmarkEnd w:id="211"/>
    </w:p>
    <w:p>
      <w:pPr>
        <w:pStyle w:val="yHeading4"/>
        <w:keepNext w:val="0"/>
        <w:spacing w:before="180"/>
      </w:pPr>
      <w:bookmarkStart w:id="212" w:name="_Toc429577051"/>
      <w:bookmarkStart w:id="213" w:name="_Toc434929868"/>
      <w:r>
        <w:t>Subdivision 1</w:t>
      </w:r>
      <w:r>
        <w:rPr>
          <w:b w:val="0"/>
        </w:rPr>
        <w:t> — </w:t>
      </w:r>
      <w:r>
        <w:t>Preliminary</w:t>
      </w:r>
      <w:bookmarkEnd w:id="212"/>
      <w:bookmarkEnd w:id="213"/>
    </w:p>
    <w:p>
      <w:pPr>
        <w:pStyle w:val="yHeading5"/>
        <w:keepNext w:val="0"/>
        <w:keepLines w:val="0"/>
        <w:spacing w:before="180"/>
      </w:pPr>
      <w:bookmarkStart w:id="214" w:name="_Toc434929869"/>
      <w:r>
        <w:rPr>
          <w:rStyle w:val="CharSClsNo"/>
        </w:rPr>
        <w:t>12</w:t>
      </w:r>
      <w:r>
        <w:t>.</w:t>
      </w:r>
      <w:r>
        <w:tab/>
        <w:t>Combined charges for 2015/16 year and subsequent years</w:t>
      </w:r>
      <w:bookmarkEnd w:id="214"/>
    </w:p>
    <w:p>
      <w:pPr>
        <w:pStyle w:val="yMiscellaneousBody"/>
        <w:tabs>
          <w:tab w:val="left" w:pos="284"/>
        </w:tabs>
        <w:spacing w:before="120"/>
        <w:ind w:left="879" w:hanging="879"/>
      </w:pPr>
      <w:r>
        <w:tab/>
      </w:r>
      <w:r>
        <w:tab/>
        <w:t xml:space="preserve">The charges set out in this Division apply for sewerage service provided and wastewater discharged in the </w:t>
      </w:r>
      <w:r>
        <w:rPr>
          <w:szCs w:val="22"/>
        </w:rPr>
        <w:t>2015/16</w:t>
      </w:r>
      <w:r>
        <w:t> financial year and each subsequent year.</w:t>
      </w:r>
    </w:p>
    <w:p>
      <w:pPr>
        <w:pStyle w:val="yHeading4"/>
      </w:pPr>
      <w:bookmarkStart w:id="215" w:name="_Toc429577053"/>
      <w:bookmarkStart w:id="216" w:name="_Toc434929870"/>
      <w:r>
        <w:t>Subdivision 2</w:t>
      </w:r>
      <w:r>
        <w:rPr>
          <w:b w:val="0"/>
        </w:rPr>
        <w:t> — </w:t>
      </w:r>
      <w:r>
        <w:t>Combined charges: metropolitan</w:t>
      </w:r>
      <w:bookmarkEnd w:id="215"/>
      <w:bookmarkEnd w:id="216"/>
    </w:p>
    <w:p>
      <w:pPr>
        <w:pStyle w:val="yHeading5"/>
      </w:pPr>
      <w:bookmarkStart w:id="217" w:name="_Toc434929871"/>
      <w:r>
        <w:rPr>
          <w:rStyle w:val="CharSClsNo"/>
        </w:rPr>
        <w:t>13</w:t>
      </w:r>
      <w:r>
        <w:t>.</w:t>
      </w:r>
      <w:r>
        <w:tab/>
        <w:t>Metropolitan non</w:t>
      </w:r>
      <w:r>
        <w:noBreakHyphen/>
        <w:t>residential</w:t>
      </w:r>
      <w:bookmarkEnd w:id="217"/>
    </w:p>
    <w:p>
      <w:pPr>
        <w:pStyle w:val="yMiscellaneousBody"/>
        <w:tabs>
          <w:tab w:val="left" w:pos="284"/>
        </w:tabs>
        <w:ind w:left="879" w:right="-2" w:hanging="879"/>
      </w:pPr>
      <w:r>
        <w:tab/>
      </w:r>
      <w:r>
        <w:tab/>
        <w:t>In respect of land in the metropolitan area that —</w:t>
      </w:r>
    </w:p>
    <w:p>
      <w:pPr>
        <w:pStyle w:val="yMiscellaneousBody"/>
        <w:tabs>
          <w:tab w:val="left" w:pos="1134"/>
        </w:tabs>
        <w:spacing w:before="80"/>
        <w:ind w:left="1560" w:right="-2" w:hanging="1701"/>
      </w:pPr>
      <w:r>
        <w:tab/>
        <w:t>(a)</w:t>
      </w:r>
      <w:r>
        <w:tab/>
        <w:t>is not contained in a residential property; and</w:t>
      </w:r>
    </w:p>
    <w:p>
      <w:pPr>
        <w:pStyle w:val="yMiscellaneousBody"/>
        <w:tabs>
          <w:tab w:val="left" w:pos="1134"/>
        </w:tabs>
        <w:spacing w:before="80"/>
        <w:ind w:left="1560" w:right="-2" w:hanging="1701"/>
      </w:pPr>
      <w:r>
        <w:tab/>
        <w:t>(b)</w:t>
      </w:r>
      <w:r>
        <w:tab/>
        <w:t>is not covered by item 3, 4, 5, 6, 14, 15, 16 or 17,</w:t>
      </w:r>
    </w:p>
    <w:p>
      <w:pPr>
        <w:pStyle w:val="yMiscellaneousBody"/>
        <w:tabs>
          <w:tab w:val="left" w:pos="284"/>
        </w:tabs>
        <w:ind w:left="879" w:right="-2" w:hanging="879"/>
      </w:pPr>
      <w:r>
        <w:tab/>
      </w:r>
      <w:r>
        <w:tab/>
        <w:t>the charge is —</w:t>
      </w:r>
    </w:p>
    <w:p>
      <w:pPr>
        <w:pStyle w:val="yMiscellaneousBody"/>
        <w:tabs>
          <w:tab w:val="left" w:pos="851"/>
        </w:tabs>
        <w:spacing w:before="120"/>
        <w:ind w:left="879" w:hanging="879"/>
      </w:pPr>
      <w:r>
        <w:tab/>
        <w:t>if (</w:t>
      </w:r>
      <w:r>
        <w:rPr>
          <w:b/>
        </w:rPr>
        <w:t>P</w:t>
      </w:r>
      <w:r>
        <w:t xml:space="preserve"> + </w:t>
      </w:r>
      <w:r>
        <w:rPr>
          <w:b/>
        </w:rPr>
        <w:t>Q</w:t>
      </w:r>
      <w:r>
        <w:t xml:space="preserve">) </w:t>
      </w:r>
      <w:r>
        <w:sym w:font="Symbol" w:char="F0A3"/>
      </w:r>
      <w:r>
        <w:t xml:space="preserve"> </w:t>
      </w:r>
      <w:r>
        <w:rPr>
          <w:b/>
        </w:rPr>
        <w:t>R</w:t>
      </w:r>
      <w:r>
        <w:t>,</w:t>
      </w:r>
    </w:p>
    <w:p>
      <w:pPr>
        <w:pStyle w:val="yMiscellaneousBody"/>
        <w:tabs>
          <w:tab w:val="left" w:pos="851"/>
        </w:tabs>
        <w:spacing w:before="120"/>
        <w:ind w:left="879" w:hanging="879"/>
      </w:pPr>
      <w:r>
        <w:tab/>
        <w:t xml:space="preserve">then </w:t>
      </w:r>
      <w:r>
        <w:rPr>
          <w:b/>
        </w:rPr>
        <w:t>P</w:t>
      </w:r>
      <w:r>
        <w:t xml:space="preserve"> + </w:t>
      </w:r>
      <w:r>
        <w:rPr>
          <w:b/>
        </w:rPr>
        <w:t>Q</w:t>
      </w:r>
    </w:p>
    <w:p>
      <w:pPr>
        <w:pStyle w:val="yMiscellaneousBody"/>
        <w:tabs>
          <w:tab w:val="left" w:pos="851"/>
        </w:tabs>
        <w:spacing w:before="120"/>
        <w:ind w:left="879" w:hanging="879"/>
      </w:pPr>
      <w:r>
        <w:tab/>
        <w:t xml:space="preserve">or if — </w:t>
      </w:r>
    </w:p>
    <w:p>
      <w:pPr>
        <w:pStyle w:val="yMiscellaneousBody"/>
        <w:tabs>
          <w:tab w:val="left" w:pos="1134"/>
        </w:tabs>
        <w:spacing w:before="120"/>
        <w:ind w:left="1985" w:hanging="1985"/>
      </w:pPr>
      <w:r>
        <w:tab/>
        <w:t>(</w:t>
      </w:r>
      <w:r>
        <w:rPr>
          <w:b/>
        </w:rPr>
        <w:t>P</w:t>
      </w:r>
      <w:r>
        <w:t xml:space="preserve"> + </w:t>
      </w:r>
      <w:r>
        <w:rPr>
          <w:b/>
        </w:rPr>
        <w:t>Q</w:t>
      </w:r>
      <w:r>
        <w:t xml:space="preserve">) &gt; </w:t>
      </w:r>
      <w:r>
        <w:rPr>
          <w:b/>
        </w:rPr>
        <w:t>R</w:t>
      </w:r>
      <w:r>
        <w:t>; and</w:t>
      </w:r>
    </w:p>
    <w:p>
      <w:pPr>
        <w:pStyle w:val="yMiscellaneousBody"/>
        <w:tabs>
          <w:tab w:val="left" w:pos="1134"/>
        </w:tabs>
        <w:spacing w:before="120"/>
        <w:ind w:left="1985" w:hanging="1985"/>
      </w:pPr>
      <w:r>
        <w:tab/>
      </w:r>
      <w:r>
        <w:rPr>
          <w:b/>
        </w:rPr>
        <w:t>N</w:t>
      </w:r>
      <w:r>
        <w:t xml:space="preserve"> </w:t>
      </w:r>
      <w:r>
        <w:sym w:font="Symbol" w:char="F0A3"/>
      </w:r>
      <w:r>
        <w:t xml:space="preserve"> </w:t>
      </w:r>
      <w:r>
        <w:rPr>
          <w:b/>
        </w:rPr>
        <w:t>W</w:t>
      </w:r>
      <w:r>
        <w:t>,</w:t>
      </w:r>
    </w:p>
    <w:p>
      <w:pPr>
        <w:pStyle w:val="yMiscellaneousBody"/>
        <w:tabs>
          <w:tab w:val="left" w:pos="851"/>
        </w:tabs>
        <w:spacing w:before="120"/>
        <w:ind w:left="1418" w:hanging="1418"/>
      </w:pPr>
      <w:r>
        <w:tab/>
        <w:t xml:space="preserve">then </w:t>
      </w:r>
      <w:r>
        <w:rPr>
          <w:b/>
        </w:rPr>
        <w:t>R</w:t>
      </w:r>
    </w:p>
    <w:p>
      <w:pPr>
        <w:pStyle w:val="yMiscellaneousBody"/>
        <w:tabs>
          <w:tab w:val="left" w:pos="851"/>
        </w:tabs>
        <w:spacing w:before="120"/>
        <w:ind w:left="1418" w:hanging="1418"/>
      </w:pPr>
      <w:r>
        <w:tab/>
        <w:t xml:space="preserve">or if — </w:t>
      </w:r>
    </w:p>
    <w:p>
      <w:pPr>
        <w:pStyle w:val="yMiscellaneousBody"/>
        <w:tabs>
          <w:tab w:val="left" w:pos="1134"/>
        </w:tabs>
        <w:spacing w:before="120"/>
        <w:ind w:left="1985" w:hanging="1985"/>
      </w:pPr>
      <w:r>
        <w:tab/>
        <w:t>(</w:t>
      </w:r>
      <w:r>
        <w:rPr>
          <w:b/>
        </w:rPr>
        <w:t>P</w:t>
      </w:r>
      <w:r>
        <w:t xml:space="preserve"> + </w:t>
      </w:r>
      <w:r>
        <w:rPr>
          <w:b/>
        </w:rPr>
        <w:t>Q</w:t>
      </w:r>
      <w:r>
        <w:t xml:space="preserve">) &gt; </w:t>
      </w:r>
      <w:r>
        <w:rPr>
          <w:b/>
        </w:rPr>
        <w:t>R</w:t>
      </w:r>
      <w:r>
        <w:t>; and</w:t>
      </w:r>
    </w:p>
    <w:p>
      <w:pPr>
        <w:pStyle w:val="yMiscellaneousBody"/>
        <w:tabs>
          <w:tab w:val="left" w:pos="1134"/>
        </w:tabs>
        <w:spacing w:before="120"/>
        <w:ind w:left="1985" w:hanging="1985"/>
      </w:pPr>
      <w:r>
        <w:tab/>
      </w:r>
      <w:r>
        <w:rPr>
          <w:b/>
        </w:rPr>
        <w:t>N</w:t>
      </w:r>
      <w:r>
        <w:t xml:space="preserve"> &gt; </w:t>
      </w:r>
      <w:r>
        <w:rPr>
          <w:b/>
        </w:rPr>
        <w:t>W</w:t>
      </w:r>
      <w:r>
        <w:t>,</w:t>
      </w:r>
    </w:p>
    <w:p>
      <w:pPr>
        <w:pStyle w:val="yMiscellaneousBody"/>
        <w:keepNext/>
        <w:tabs>
          <w:tab w:val="left" w:pos="851"/>
        </w:tabs>
        <w:spacing w:before="120"/>
        <w:ind w:left="1418" w:hanging="1418"/>
      </w:pPr>
      <w:r>
        <w:tab/>
        <w:t xml:space="preserve">then </w:t>
      </w:r>
      <w:r>
        <w:rPr>
          <w:b/>
        </w:rPr>
        <w:t>R</w:t>
      </w:r>
      <w:r>
        <w:t xml:space="preserve"> + ((</w:t>
      </w:r>
      <w:r>
        <w:rPr>
          <w:b/>
        </w:rPr>
        <w:t>N</w:t>
      </w:r>
      <w:r>
        <w:t xml:space="preserve"> </w:t>
      </w:r>
      <w:r>
        <w:sym w:font="Symbol" w:char="F02D"/>
      </w:r>
      <w:r>
        <w:t xml:space="preserve"> </w:t>
      </w:r>
      <w:r>
        <w:rPr>
          <w:b/>
        </w:rPr>
        <w:t>W</w:t>
      </w:r>
      <w:r>
        <w:t xml:space="preserve">) </w:t>
      </w:r>
      <w:r>
        <w:sym w:font="Symbol" w:char="F0B4"/>
      </w:r>
      <w:r>
        <w:t xml:space="preserve"> </w:t>
      </w:r>
      <w:r>
        <w:rPr>
          <w:b/>
        </w:rPr>
        <w:t>I</w:t>
      </w:r>
      <w:r>
        <w:t>)</w:t>
      </w:r>
    </w:p>
    <w:p>
      <w:pPr>
        <w:pStyle w:val="yMiscellaneousBody"/>
        <w:tabs>
          <w:tab w:val="left" w:pos="851"/>
        </w:tabs>
        <w:spacing w:before="120"/>
        <w:ind w:left="1418" w:hanging="1418"/>
      </w:pPr>
      <w:r>
        <w:tab/>
        <w:t xml:space="preserve">where — </w:t>
      </w:r>
    </w:p>
    <w:p>
      <w:pPr>
        <w:pStyle w:val="yMiscellaneousBody"/>
        <w:tabs>
          <w:tab w:val="left" w:pos="1134"/>
          <w:tab w:val="left" w:pos="1701"/>
        </w:tabs>
        <w:ind w:left="1701" w:hanging="1701"/>
      </w:pPr>
      <w:r>
        <w:tab/>
      </w:r>
      <w:r>
        <w:rPr>
          <w:b/>
        </w:rPr>
        <w:t>P</w:t>
      </w:r>
      <w:r>
        <w:t xml:space="preserve"> =</w:t>
      </w:r>
      <w:r>
        <w:tab/>
        <w:t>the service charge calculated in accordance with item 18;</w:t>
      </w:r>
    </w:p>
    <w:p>
      <w:pPr>
        <w:pStyle w:val="yMiscellaneousBody"/>
        <w:tabs>
          <w:tab w:val="left" w:pos="1134"/>
          <w:tab w:val="left" w:pos="1701"/>
        </w:tabs>
        <w:spacing w:before="120"/>
        <w:ind w:left="1701" w:hanging="2268"/>
      </w:pPr>
      <w:r>
        <w:tab/>
      </w:r>
      <w:r>
        <w:rPr>
          <w:b/>
        </w:rPr>
        <w:t>Q</w:t>
      </w:r>
      <w:r>
        <w:t xml:space="preserve"> =</w:t>
      </w:r>
      <w:r>
        <w:tab/>
        <w:t>the discharge charge calculated in accordance with item 19;</w:t>
      </w:r>
    </w:p>
    <w:p>
      <w:pPr>
        <w:pStyle w:val="yMiscellaneousBody"/>
        <w:tabs>
          <w:tab w:val="left" w:pos="1134"/>
          <w:tab w:val="left" w:pos="1701"/>
        </w:tabs>
        <w:spacing w:before="120"/>
        <w:ind w:left="2268" w:hanging="2268"/>
      </w:pPr>
      <w:r>
        <w:tab/>
      </w:r>
      <w:r>
        <w:rPr>
          <w:b/>
        </w:rPr>
        <w:t>R</w:t>
      </w:r>
      <w:r>
        <w:t xml:space="preserve"> =</w:t>
      </w:r>
      <w:r>
        <w:tab/>
      </w:r>
      <w:r>
        <w:rPr>
          <w:b/>
        </w:rPr>
        <w:t>A</w:t>
      </w:r>
      <w:r>
        <w:t xml:space="preserve"> </w:t>
      </w:r>
      <w:r>
        <w:sym w:font="Symbol" w:char="F0B4"/>
      </w:r>
      <w:r>
        <w:t xml:space="preserve"> </w:t>
      </w:r>
      <w:r>
        <w:rPr>
          <w:b/>
        </w:rPr>
        <w:t>S</w:t>
      </w:r>
      <w:r>
        <w:t>;</w:t>
      </w:r>
    </w:p>
    <w:p>
      <w:pPr>
        <w:pStyle w:val="yMiscellaneousBody"/>
        <w:tabs>
          <w:tab w:val="left" w:pos="1134"/>
        </w:tabs>
        <w:spacing w:before="120"/>
        <w:ind w:left="1701" w:hanging="1701"/>
      </w:pPr>
      <w:r>
        <w:tab/>
      </w:r>
      <w:r>
        <w:rPr>
          <w:b/>
        </w:rPr>
        <w:t>A</w:t>
      </w:r>
      <w:r>
        <w:t xml:space="preserve"> =</w:t>
      </w:r>
      <w:r>
        <w:tab/>
        <w:t>the charge payable under this item for the previous financial year;</w:t>
      </w:r>
    </w:p>
    <w:p>
      <w:pPr>
        <w:pStyle w:val="yMiscellaneousBody"/>
        <w:tabs>
          <w:tab w:val="left" w:pos="1134"/>
          <w:tab w:val="left" w:pos="1701"/>
        </w:tabs>
        <w:spacing w:before="120"/>
      </w:pPr>
      <w:r>
        <w:tab/>
      </w:r>
      <w:r>
        <w:rPr>
          <w:b/>
        </w:rPr>
        <w:t>S</w:t>
      </w:r>
      <w:r>
        <w:t xml:space="preserve"> =</w:t>
      </w:r>
      <w:r>
        <w:tab/>
      </w:r>
      <w:r>
        <w:rPr>
          <w:szCs w:val="22"/>
        </w:rPr>
        <w:t>1.145</w:t>
      </w:r>
      <w:r>
        <w:t>;</w:t>
      </w:r>
    </w:p>
    <w:p>
      <w:pPr>
        <w:pStyle w:val="yMiscellaneousBody"/>
        <w:tabs>
          <w:tab w:val="left" w:pos="1134"/>
          <w:tab w:val="left" w:pos="3119"/>
        </w:tabs>
        <w:spacing w:before="120"/>
        <w:ind w:left="1701" w:hanging="1701"/>
      </w:pPr>
      <w:r>
        <w:rPr>
          <w:b/>
        </w:rPr>
        <w:tab/>
        <w:t>N</w:t>
      </w:r>
      <w:r>
        <w:t xml:space="preserve"> =</w:t>
      </w:r>
      <w:r>
        <w:tab/>
        <w:t>the discharge volume for the current discharge year;</w:t>
      </w:r>
    </w:p>
    <w:p>
      <w:pPr>
        <w:pStyle w:val="yMiscellaneousBody"/>
        <w:tabs>
          <w:tab w:val="left" w:pos="1134"/>
          <w:tab w:val="left" w:pos="3119"/>
        </w:tabs>
        <w:spacing w:before="120"/>
        <w:ind w:left="1701" w:hanging="1701"/>
      </w:pPr>
      <w:r>
        <w:tab/>
      </w:r>
      <w:r>
        <w:rPr>
          <w:b/>
        </w:rPr>
        <w:t>W</w:t>
      </w:r>
      <w:r>
        <w:t xml:space="preserve"> =</w:t>
      </w:r>
      <w:r>
        <w:tab/>
        <w:t>the discharge volume for the previous discharge year;</w:t>
      </w:r>
    </w:p>
    <w:p>
      <w:pPr>
        <w:pStyle w:val="yMiscellaneousBody"/>
        <w:tabs>
          <w:tab w:val="left" w:pos="1134"/>
          <w:tab w:val="left" w:pos="3119"/>
        </w:tabs>
        <w:spacing w:before="120"/>
        <w:ind w:left="1701" w:hanging="1701"/>
      </w:pPr>
      <w:r>
        <w:tab/>
      </w:r>
      <w:r>
        <w:rPr>
          <w:b/>
        </w:rPr>
        <w:t>I</w:t>
      </w:r>
      <w:r>
        <w:t xml:space="preserve"> =</w:t>
      </w:r>
      <w:r>
        <w:tab/>
      </w:r>
      <w:r>
        <w:rPr>
          <w:szCs w:val="22"/>
        </w:rPr>
        <w:t>$3.1180</w:t>
      </w:r>
      <w:r>
        <w:t>.</w:t>
      </w:r>
    </w:p>
    <w:p>
      <w:pPr>
        <w:pStyle w:val="yHeading5"/>
      </w:pPr>
      <w:bookmarkStart w:id="218" w:name="_Toc434929872"/>
      <w:r>
        <w:rPr>
          <w:rStyle w:val="CharSClsNo"/>
        </w:rPr>
        <w:t>14</w:t>
      </w:r>
      <w:r>
        <w:t>.</w:t>
      </w:r>
      <w:r>
        <w:tab/>
        <w:t>Metropolitan government trading organisation and non</w:t>
      </w:r>
      <w:r>
        <w:noBreakHyphen/>
        <w:t>commercial government property</w:t>
      </w:r>
      <w:bookmarkEnd w:id="218"/>
    </w:p>
    <w:p>
      <w:pPr>
        <w:pStyle w:val="yMiscellaneousBody"/>
        <w:tabs>
          <w:tab w:val="left" w:pos="284"/>
        </w:tabs>
        <w:ind w:left="879" w:right="-2" w:hanging="879"/>
      </w:pPr>
      <w:r>
        <w:tab/>
        <w:t>(1)</w:t>
      </w:r>
      <w:r>
        <w:tab/>
        <w:t>In respect of land in the metropolitan area held by a government trading organisation or a public authority that holds non</w:t>
      </w:r>
      <w:r>
        <w:noBreakHyphen/>
        <w:t>commercial government property, the charge is —</w:t>
      </w:r>
    </w:p>
    <w:p>
      <w:pPr>
        <w:pStyle w:val="yMiscellaneousBody"/>
        <w:tabs>
          <w:tab w:val="left" w:pos="879"/>
        </w:tabs>
      </w:pPr>
      <w:r>
        <w:tab/>
      </w:r>
      <w:r>
        <w:rPr>
          <w:b/>
        </w:rPr>
        <w:t>Y</w:t>
      </w:r>
      <w:r>
        <w:t xml:space="preserve"> + </w:t>
      </w:r>
      <w:r>
        <w:rPr>
          <w:b/>
        </w:rPr>
        <w:t>Q</w:t>
      </w:r>
    </w:p>
    <w:p>
      <w:pPr>
        <w:pStyle w:val="yMiscellaneousBody"/>
        <w:ind w:left="879" w:hanging="879"/>
      </w:pPr>
      <w:r>
        <w:tab/>
        <w:t xml:space="preserve">where — </w:t>
      </w:r>
    </w:p>
    <w:p>
      <w:pPr>
        <w:pStyle w:val="yMiscellaneousBody"/>
        <w:tabs>
          <w:tab w:val="left" w:pos="1134"/>
          <w:tab w:val="left" w:pos="1701"/>
        </w:tabs>
        <w:ind w:left="1701" w:hanging="1701"/>
      </w:pPr>
      <w:r>
        <w:tab/>
      </w:r>
      <w:r>
        <w:rPr>
          <w:b/>
        </w:rPr>
        <w:t>Y</w:t>
      </w:r>
      <w:r>
        <w:t xml:space="preserve"> =</w:t>
      </w:r>
      <w:r>
        <w:tab/>
        <w:t>the charge according to the number of major fixtures for the land, that is, “</w:t>
      </w:r>
      <w:r>
        <w:rPr>
          <w:b/>
        </w:rPr>
        <w:t>C</w:t>
      </w:r>
      <w:r>
        <w:t>” in item 18;</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284"/>
        </w:tabs>
        <w:ind w:left="879" w:right="-2" w:hanging="879"/>
      </w:pPr>
      <w:r>
        <w:tab/>
        <w:t>(2)</w:t>
      </w:r>
      <w:r>
        <w:tab/>
        <w:t>Sub</w:t>
      </w:r>
      <w:r>
        <w:noBreakHyphen/>
        <w:t>item (1) does not apply to public land.</w:t>
      </w:r>
    </w:p>
    <w:p>
      <w:pPr>
        <w:pStyle w:val="yHeading5"/>
      </w:pPr>
      <w:bookmarkStart w:id="219" w:name="_Toc434929873"/>
      <w:r>
        <w:rPr>
          <w:rStyle w:val="CharSClsNo"/>
        </w:rPr>
        <w:t>15</w:t>
      </w:r>
      <w:r>
        <w:t>.</w:t>
      </w:r>
      <w:r>
        <w:tab/>
        <w:t>Metropolitan non</w:t>
      </w:r>
      <w:r>
        <w:noBreakHyphen/>
        <w:t>strata titled caravan park with long</w:t>
      </w:r>
      <w:r>
        <w:noBreakHyphen/>
        <w:t>term residential caravan bays</w:t>
      </w:r>
      <w:bookmarkEnd w:id="219"/>
    </w:p>
    <w:p>
      <w:pPr>
        <w:pStyle w:val="yMiscellaneousBody"/>
        <w:tabs>
          <w:tab w:val="left" w:pos="284"/>
        </w:tabs>
        <w:ind w:left="879" w:right="-2" w:hanging="879"/>
      </w:pPr>
      <w:r>
        <w:tab/>
      </w:r>
      <w:r>
        <w:tab/>
        <w:t>In respect of a caravan park in the metropolitan area that —</w:t>
      </w:r>
    </w:p>
    <w:p>
      <w:pPr>
        <w:pStyle w:val="yMiscellaneousBody"/>
        <w:tabs>
          <w:tab w:val="left" w:pos="1134"/>
        </w:tabs>
        <w:spacing w:before="80"/>
        <w:ind w:left="1560" w:right="-2" w:hanging="1701"/>
      </w:pPr>
      <w:r>
        <w:tab/>
        <w:t>(a)</w:t>
      </w:r>
      <w:r>
        <w:tab/>
        <w:t>does not consist wholly of strata</w:t>
      </w:r>
      <w:r>
        <w:noBreakHyphen/>
        <w:t>titled caravan bays; and</w:t>
      </w:r>
    </w:p>
    <w:p>
      <w:pPr>
        <w:pStyle w:val="yMiscellaneousBody"/>
        <w:tabs>
          <w:tab w:val="left" w:pos="1134"/>
        </w:tabs>
        <w:spacing w:before="80"/>
        <w:ind w:left="1560" w:right="-2" w:hanging="1701"/>
      </w:pPr>
      <w:r>
        <w:tab/>
        <w:t>(b)</w:t>
      </w:r>
      <w:r>
        <w:tab/>
        <w:t>has long</w:t>
      </w:r>
      <w:r>
        <w:noBreakHyphen/>
        <w:t>term residential caravan bays,</w:t>
      </w:r>
    </w:p>
    <w:p>
      <w:pPr>
        <w:pStyle w:val="yMiscellaneousBody"/>
        <w:tabs>
          <w:tab w:val="left" w:pos="284"/>
        </w:tabs>
        <w:ind w:left="879" w:right="-2" w:hanging="879"/>
      </w:pPr>
      <w:r>
        <w:tab/>
      </w:r>
      <w:r>
        <w:tab/>
        <w:t>the charge is —</w:t>
      </w:r>
    </w:p>
    <w:p>
      <w:pPr>
        <w:pStyle w:val="yMiscellaneousBody"/>
        <w:tabs>
          <w:tab w:val="left" w:pos="851"/>
        </w:tabs>
      </w:pPr>
      <w:r>
        <w:tab/>
      </w:r>
      <w:r>
        <w:rPr>
          <w:b/>
        </w:rPr>
        <w:t>AA</w:t>
      </w:r>
      <w:r>
        <w:t xml:space="preserve"> + </w:t>
      </w:r>
      <w:r>
        <w:rPr>
          <w:b/>
        </w:rPr>
        <w:t>AB</w:t>
      </w:r>
    </w:p>
    <w:p>
      <w:pPr>
        <w:pStyle w:val="yMiscellaneousBody"/>
        <w:tabs>
          <w:tab w:val="left" w:pos="851"/>
          <w:tab w:val="left" w:pos="1560"/>
        </w:tabs>
        <w:ind w:left="1560" w:hanging="1560"/>
      </w:pPr>
      <w:r>
        <w:tab/>
        <w:t xml:space="preserve">where — </w:t>
      </w:r>
    </w:p>
    <w:p>
      <w:pPr>
        <w:pStyle w:val="yMiscellaneousBody"/>
        <w:tabs>
          <w:tab w:val="left" w:pos="1134"/>
          <w:tab w:val="left" w:pos="1701"/>
        </w:tabs>
        <w:ind w:left="1701" w:hanging="2268"/>
      </w:pPr>
      <w:r>
        <w:tab/>
      </w:r>
      <w:r>
        <w:rPr>
          <w:b/>
        </w:rPr>
        <w:t>AA</w:t>
      </w:r>
      <w:r>
        <w:t xml:space="preserve"> =</w:t>
      </w:r>
      <w:r>
        <w:tab/>
      </w:r>
      <w:r>
        <w:rPr>
          <w:szCs w:val="22"/>
        </w:rPr>
        <w:t xml:space="preserve">$280.16 </w:t>
      </w:r>
      <w:r>
        <w:t>for each long</w:t>
      </w:r>
      <w:r>
        <w:noBreakHyphen/>
        <w:t>term residential caravan bay;</w:t>
      </w:r>
    </w:p>
    <w:p>
      <w:pPr>
        <w:pStyle w:val="yMiscellaneousBody"/>
        <w:tabs>
          <w:tab w:val="left" w:pos="1134"/>
          <w:tab w:val="left" w:pos="1701"/>
        </w:tabs>
        <w:ind w:left="1701" w:hanging="2268"/>
      </w:pPr>
      <w:r>
        <w:tab/>
      </w:r>
      <w:r>
        <w:rPr>
          <w:b/>
        </w:rPr>
        <w:t>AB</w:t>
      </w:r>
      <w:r>
        <w:t xml:space="preserve"> =</w:t>
      </w:r>
      <w:r>
        <w:tab/>
        <w:t>for those parts of the caravan park not contained in long</w:t>
      </w:r>
      <w:r>
        <w:noBreakHyphen/>
        <w:t xml:space="preserve">term residential caravan bays — </w:t>
      </w:r>
    </w:p>
    <w:p>
      <w:pPr>
        <w:pStyle w:val="yMiscellaneousBody"/>
        <w:tabs>
          <w:tab w:val="left" w:pos="1701"/>
        </w:tabs>
      </w:pPr>
      <w:r>
        <w:tab/>
        <w:t>if (</w:t>
      </w:r>
      <w:r>
        <w:rPr>
          <w:b/>
        </w:rPr>
        <w:t>Y</w:t>
      </w:r>
      <w:r>
        <w:t xml:space="preserve"> + </w:t>
      </w:r>
      <w:r>
        <w:rPr>
          <w:b/>
        </w:rPr>
        <w:t>Q</w:t>
      </w:r>
      <w:r>
        <w:t xml:space="preserve">) </w:t>
      </w:r>
      <w:r>
        <w:sym w:font="Symbol" w:char="F0A3"/>
      </w:r>
      <w:r>
        <w:t xml:space="preserve"> </w:t>
      </w:r>
      <w:r>
        <w:rPr>
          <w:b/>
        </w:rPr>
        <w:t>R</w:t>
      </w:r>
      <w:r>
        <w:t>,</w:t>
      </w:r>
    </w:p>
    <w:p>
      <w:pPr>
        <w:pStyle w:val="yMiscellaneousBody"/>
        <w:tabs>
          <w:tab w:val="left" w:pos="1701"/>
        </w:tabs>
      </w:pPr>
      <w:r>
        <w:tab/>
        <w:t xml:space="preserve">then </w:t>
      </w:r>
      <w:r>
        <w:rPr>
          <w:b/>
        </w:rPr>
        <w:t>Y</w:t>
      </w:r>
      <w:r>
        <w:t xml:space="preserve"> + </w:t>
      </w:r>
      <w:r>
        <w:rPr>
          <w:b/>
        </w:rPr>
        <w:t>Q</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w:t>
      </w:r>
      <w:r>
        <w:sym w:font="Symbol" w:char="F0A3"/>
      </w:r>
      <w:r>
        <w:t xml:space="preserve"> </w:t>
      </w:r>
      <w:r>
        <w:rPr>
          <w:b/>
        </w:rPr>
        <w:t>W</w:t>
      </w:r>
      <w:r>
        <w:t>,</w:t>
      </w:r>
    </w:p>
    <w:p>
      <w:pPr>
        <w:pStyle w:val="yMiscellaneousBody"/>
        <w:tabs>
          <w:tab w:val="left" w:pos="1701"/>
        </w:tabs>
      </w:pPr>
      <w:r>
        <w:tab/>
        <w:t xml:space="preserve">then </w:t>
      </w:r>
      <w:r>
        <w:rPr>
          <w:b/>
        </w:rPr>
        <w:t>R</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&gt; </w:t>
      </w:r>
      <w:r>
        <w:rPr>
          <w:b/>
        </w:rPr>
        <w:t>W</w:t>
      </w:r>
      <w:r>
        <w:t>,</w:t>
      </w:r>
    </w:p>
    <w:p>
      <w:pPr>
        <w:pStyle w:val="yMiscellaneousBody"/>
        <w:tabs>
          <w:tab w:val="left" w:pos="1701"/>
        </w:tabs>
      </w:pPr>
      <w:r>
        <w:tab/>
        <w:t xml:space="preserve">then — </w:t>
      </w:r>
    </w:p>
    <w:p>
      <w:pPr>
        <w:pStyle w:val="yMiscellaneousBody"/>
        <w:tabs>
          <w:tab w:val="left" w:pos="1985"/>
        </w:tabs>
      </w:pPr>
      <w:r>
        <w:tab/>
      </w:r>
      <w:r>
        <w:rPr>
          <w:b/>
        </w:rPr>
        <w:t>R</w:t>
      </w:r>
      <w:r>
        <w:t xml:space="preserve"> + ((</w:t>
      </w:r>
      <w:r>
        <w:rPr>
          <w:b/>
        </w:rPr>
        <w:t>N</w:t>
      </w:r>
      <w:r>
        <w:t xml:space="preserve"> – </w:t>
      </w:r>
      <w:r>
        <w:rPr>
          <w:b/>
        </w:rPr>
        <w:t>W</w:t>
      </w:r>
      <w:r>
        <w:t xml:space="preserve">) </w:t>
      </w:r>
      <w:r>
        <w:sym w:font="Symbol" w:char="F0B4"/>
      </w:r>
      <w:r>
        <w:t xml:space="preserve"> </w:t>
      </w:r>
      <w:r>
        <w:rPr>
          <w:b/>
        </w:rPr>
        <w:t>I)</w:t>
      </w:r>
    </w:p>
    <w:p>
      <w:pPr>
        <w:pStyle w:val="yMiscellaneousBody"/>
        <w:keepNext/>
        <w:tabs>
          <w:tab w:val="left" w:pos="1701"/>
        </w:tabs>
      </w:pPr>
      <w:r>
        <w:tab/>
        <w:t xml:space="preserve">where — </w:t>
      </w:r>
    </w:p>
    <w:p>
      <w:pPr>
        <w:pStyle w:val="yMiscellaneousBody"/>
        <w:tabs>
          <w:tab w:val="left" w:pos="1985"/>
          <w:tab w:val="left" w:pos="2552"/>
        </w:tabs>
        <w:ind w:left="2552" w:hanging="2977"/>
      </w:pPr>
      <w:r>
        <w:tab/>
      </w:r>
      <w:r>
        <w:rPr>
          <w:b/>
        </w:rPr>
        <w:t>Y</w:t>
      </w:r>
      <w:r>
        <w:t xml:space="preserve"> =</w:t>
      </w:r>
      <w:r>
        <w:tab/>
        <w:t>the charge according to the number of major fixtures for the relevant part of the caravan park, that is, “</w:t>
      </w:r>
      <w:r>
        <w:rPr>
          <w:b/>
        </w:rPr>
        <w:t>C</w:t>
      </w:r>
      <w:r>
        <w:t>” in item 18;</w:t>
      </w:r>
    </w:p>
    <w:p>
      <w:pPr>
        <w:pStyle w:val="yMiscellaneousBody"/>
        <w:tabs>
          <w:tab w:val="left" w:pos="1985"/>
          <w:tab w:val="left" w:pos="2552"/>
        </w:tabs>
        <w:ind w:left="2552" w:hanging="2977"/>
      </w:pPr>
      <w:r>
        <w:tab/>
      </w:r>
      <w:r>
        <w:rPr>
          <w:b/>
        </w:rPr>
        <w:t>Q</w:t>
      </w:r>
      <w:r>
        <w:t xml:space="preserve"> =</w:t>
      </w:r>
      <w:r>
        <w:tab/>
        <w:t>the discharge charge calculated in accordance with item 19;</w:t>
      </w:r>
    </w:p>
    <w:p>
      <w:pPr>
        <w:pStyle w:val="yMiscellaneousBody"/>
        <w:tabs>
          <w:tab w:val="left" w:pos="1985"/>
          <w:tab w:val="left" w:pos="2552"/>
        </w:tabs>
        <w:ind w:left="2552" w:hanging="2977"/>
      </w:pPr>
      <w:r>
        <w:tab/>
      </w:r>
      <w:r>
        <w:rPr>
          <w:b/>
        </w:rPr>
        <w:t>R</w:t>
      </w:r>
      <w:r>
        <w:t xml:space="preserve"> =</w:t>
      </w:r>
      <w:r>
        <w:tab/>
      </w:r>
      <w:r>
        <w:rPr>
          <w:b/>
        </w:rPr>
        <w:t>A</w:t>
      </w:r>
      <w:r>
        <w:t xml:space="preserve"> x </w:t>
      </w:r>
      <w:r>
        <w:rPr>
          <w:b/>
        </w:rPr>
        <w:t>S</w:t>
      </w:r>
      <w:r>
        <w:t>;</w:t>
      </w:r>
    </w:p>
    <w:p>
      <w:pPr>
        <w:pStyle w:val="yMiscellaneousBody"/>
        <w:tabs>
          <w:tab w:val="left" w:pos="1985"/>
          <w:tab w:val="left" w:pos="2552"/>
        </w:tabs>
        <w:ind w:left="2552" w:hanging="3686"/>
      </w:pPr>
      <w:r>
        <w:tab/>
      </w:r>
      <w:r>
        <w:rPr>
          <w:b/>
        </w:rPr>
        <w:t>A</w:t>
      </w:r>
      <w:r>
        <w:t xml:space="preserve"> =</w:t>
      </w:r>
      <w:r>
        <w:tab/>
        <w:t>the charge payable under this item for the previous financial year;</w:t>
      </w:r>
    </w:p>
    <w:p>
      <w:pPr>
        <w:pStyle w:val="yMiscellaneousBody"/>
        <w:tabs>
          <w:tab w:val="left" w:pos="1985"/>
          <w:tab w:val="left" w:pos="2552"/>
        </w:tabs>
        <w:ind w:left="3686" w:hanging="3686"/>
      </w:pPr>
      <w:r>
        <w:tab/>
      </w:r>
      <w:r>
        <w:rPr>
          <w:b/>
        </w:rPr>
        <w:t>S</w:t>
      </w:r>
      <w:r>
        <w:t xml:space="preserve"> =</w:t>
      </w:r>
      <w:r>
        <w:tab/>
      </w:r>
      <w:r>
        <w:rPr>
          <w:szCs w:val="22"/>
        </w:rPr>
        <w:t>1.145</w:t>
      </w:r>
      <w:r>
        <w:t>;</w:t>
      </w:r>
    </w:p>
    <w:p>
      <w:pPr>
        <w:pStyle w:val="yMiscellaneousBody"/>
        <w:tabs>
          <w:tab w:val="left" w:pos="1985"/>
          <w:tab w:val="left" w:pos="2552"/>
        </w:tabs>
        <w:ind w:left="2552" w:hanging="3686"/>
      </w:pPr>
      <w:r>
        <w:tab/>
      </w:r>
      <w:r>
        <w:rPr>
          <w:b/>
        </w:rPr>
        <w:t>N</w:t>
      </w:r>
      <w:r>
        <w:t xml:space="preserve"> =</w:t>
      </w:r>
      <w:r>
        <w:tab/>
        <w:t>the discharge volume for the current discharge year;</w:t>
      </w:r>
    </w:p>
    <w:p>
      <w:pPr>
        <w:pStyle w:val="yMiscellaneousBody"/>
        <w:tabs>
          <w:tab w:val="left" w:pos="1985"/>
          <w:tab w:val="left" w:pos="2552"/>
        </w:tabs>
        <w:ind w:left="2552" w:hanging="3686"/>
      </w:pPr>
      <w:r>
        <w:tab/>
      </w:r>
      <w:r>
        <w:rPr>
          <w:b/>
        </w:rPr>
        <w:t>W</w:t>
      </w:r>
      <w:r>
        <w:t xml:space="preserve"> =</w:t>
      </w:r>
      <w:r>
        <w:tab/>
        <w:t>the discharge volume for the previous discharge year;</w:t>
      </w:r>
    </w:p>
    <w:p>
      <w:pPr>
        <w:pStyle w:val="yMiscellaneousBody"/>
        <w:tabs>
          <w:tab w:val="left" w:pos="1985"/>
          <w:tab w:val="left" w:pos="2552"/>
        </w:tabs>
        <w:ind w:left="3686" w:hanging="3686"/>
      </w:pPr>
      <w:r>
        <w:tab/>
      </w:r>
      <w:r>
        <w:rPr>
          <w:b/>
        </w:rPr>
        <w:t>I</w:t>
      </w:r>
      <w:r>
        <w:t xml:space="preserve"> =</w:t>
      </w:r>
      <w:r>
        <w:tab/>
      </w:r>
      <w:r>
        <w:rPr>
          <w:szCs w:val="22"/>
        </w:rPr>
        <w:t>$3.1180</w:t>
      </w:r>
      <w:r>
        <w:t>.</w:t>
      </w:r>
    </w:p>
    <w:p>
      <w:pPr>
        <w:pStyle w:val="yHeading5"/>
      </w:pPr>
      <w:bookmarkStart w:id="220" w:name="_Toc434929874"/>
      <w:r>
        <w:rPr>
          <w:rStyle w:val="CharSClsNo"/>
        </w:rPr>
        <w:t>16</w:t>
      </w:r>
      <w:r>
        <w:t>.</w:t>
      </w:r>
      <w:r>
        <w:tab/>
        <w:t>Metropolitan nursing home</w:t>
      </w:r>
      <w:bookmarkEnd w:id="220"/>
    </w:p>
    <w:p>
      <w:pPr>
        <w:pStyle w:val="yMiscellaneousBody"/>
        <w:tabs>
          <w:tab w:val="left" w:pos="284"/>
        </w:tabs>
        <w:ind w:left="879" w:right="-2" w:hanging="879"/>
      </w:pPr>
      <w:r>
        <w:tab/>
      </w:r>
      <w:r>
        <w:tab/>
        <w:t>In respect of a nursing home in the metropolitan area, other than a nursing home that is, or is part of, an aged home, the charge is —</w:t>
      </w:r>
    </w:p>
    <w:p>
      <w:pPr>
        <w:pStyle w:val="yMiscellaneousBody"/>
        <w:tabs>
          <w:tab w:val="left" w:pos="851"/>
        </w:tabs>
        <w:ind w:left="879" w:hanging="879"/>
      </w:pPr>
      <w:r>
        <w:tab/>
        <w:t>if (</w:t>
      </w:r>
      <w:r>
        <w:rPr>
          <w:b/>
        </w:rPr>
        <w:t>T</w:t>
      </w:r>
      <w:r>
        <w:t xml:space="preserve"> + </w:t>
      </w:r>
      <w:r>
        <w:rPr>
          <w:b/>
        </w:rPr>
        <w:t>Q</w:t>
      </w:r>
      <w:r>
        <w:t xml:space="preserve">) </w:t>
      </w:r>
      <w:r>
        <w:sym w:font="Symbol" w:char="F0A3"/>
      </w:r>
      <w:r>
        <w:t xml:space="preserve"> </w:t>
      </w:r>
      <w:r>
        <w:rPr>
          <w:b/>
        </w:rPr>
        <w:t>R</w:t>
      </w:r>
      <w:r>
        <w:t>,</w:t>
      </w:r>
    </w:p>
    <w:p>
      <w:pPr>
        <w:pStyle w:val="yMiscellaneousBody"/>
        <w:tabs>
          <w:tab w:val="left" w:pos="851"/>
        </w:tabs>
        <w:ind w:left="879" w:hanging="879"/>
      </w:pPr>
      <w:r>
        <w:tab/>
        <w:t xml:space="preserve">then </w:t>
      </w:r>
      <w:r>
        <w:rPr>
          <w:b/>
        </w:rPr>
        <w:t>T</w:t>
      </w:r>
      <w:r>
        <w:t xml:space="preserve"> + </w:t>
      </w:r>
      <w:r>
        <w:rPr>
          <w:b/>
        </w:rPr>
        <w:t>Q</w:t>
      </w:r>
    </w:p>
    <w:p>
      <w:pPr>
        <w:pStyle w:val="yMiscellaneousBody"/>
        <w:tabs>
          <w:tab w:val="left" w:pos="851"/>
        </w:tabs>
        <w:ind w:left="879" w:hanging="879"/>
      </w:pPr>
      <w:r>
        <w:tab/>
        <w:t>or if (</w:t>
      </w:r>
      <w:r>
        <w:rPr>
          <w:b/>
        </w:rPr>
        <w:t>T</w:t>
      </w:r>
      <w:r>
        <w:t xml:space="preserve"> + </w:t>
      </w:r>
      <w:r>
        <w:rPr>
          <w:b/>
        </w:rPr>
        <w:t>Q</w:t>
      </w:r>
      <w:r>
        <w:t xml:space="preserve">) &gt; </w:t>
      </w:r>
      <w:r>
        <w:rPr>
          <w:b/>
        </w:rPr>
        <w:t>R</w:t>
      </w:r>
      <w:r>
        <w:t>,</w:t>
      </w:r>
    </w:p>
    <w:p>
      <w:pPr>
        <w:pStyle w:val="yMiscellaneousBody"/>
        <w:tabs>
          <w:tab w:val="left" w:pos="851"/>
        </w:tabs>
        <w:ind w:left="879" w:hanging="879"/>
      </w:pPr>
      <w:r>
        <w:tab/>
        <w:t xml:space="preserve">then </w:t>
      </w:r>
      <w:r>
        <w:rPr>
          <w:b/>
        </w:rPr>
        <w:t>R</w:t>
      </w:r>
    </w:p>
    <w:p>
      <w:pPr>
        <w:pStyle w:val="yMiscellaneousBody"/>
        <w:keepNext/>
        <w:tabs>
          <w:tab w:val="left" w:pos="851"/>
        </w:tabs>
        <w:ind w:left="879" w:hanging="879"/>
      </w:pPr>
      <w:r>
        <w:tab/>
        <w:t xml:space="preserve">where — </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1134"/>
          <w:tab w:val="left" w:pos="1701"/>
        </w:tabs>
        <w:ind w:left="1701" w:hanging="1701"/>
      </w:pPr>
      <w:r>
        <w:tab/>
      </w:r>
      <w:r>
        <w:rPr>
          <w:b/>
        </w:rPr>
        <w:t>R</w:t>
      </w:r>
      <w:r>
        <w:t xml:space="preserve"> =</w:t>
      </w:r>
      <w:r>
        <w:tab/>
      </w:r>
      <w:r>
        <w:rPr>
          <w:b/>
        </w:rPr>
        <w:t>A</w:t>
      </w:r>
      <w:r>
        <w:t xml:space="preserve"> x </w:t>
      </w:r>
      <w:r>
        <w:rPr>
          <w:b/>
        </w:rPr>
        <w:t>S</w:t>
      </w:r>
      <w:r>
        <w:t>;</w:t>
      </w:r>
    </w:p>
    <w:p>
      <w:pPr>
        <w:pStyle w:val="yMiscellaneousBody"/>
        <w:tabs>
          <w:tab w:val="left" w:pos="1134"/>
        </w:tabs>
        <w:ind w:left="1701" w:hanging="1701"/>
      </w:pPr>
      <w:r>
        <w:tab/>
      </w:r>
      <w:r>
        <w:rPr>
          <w:b/>
        </w:rPr>
        <w:t>A</w:t>
      </w:r>
      <w:r>
        <w:t xml:space="preserve"> =</w:t>
      </w:r>
      <w:r>
        <w:tab/>
        <w:t>the charge payable under this item for the previous financial year;</w:t>
      </w:r>
    </w:p>
    <w:p>
      <w:pPr>
        <w:pStyle w:val="yMiscellaneousBody"/>
        <w:tabs>
          <w:tab w:val="left" w:pos="1134"/>
          <w:tab w:val="left" w:pos="1701"/>
        </w:tabs>
        <w:ind w:left="1701" w:hanging="1701"/>
      </w:pPr>
      <w:r>
        <w:tab/>
      </w:r>
      <w:r>
        <w:rPr>
          <w:b/>
        </w:rPr>
        <w:t>S</w:t>
      </w:r>
      <w:r>
        <w:t xml:space="preserve"> =</w:t>
      </w:r>
      <w:r>
        <w:tab/>
      </w:r>
      <w:r>
        <w:rPr>
          <w:szCs w:val="22"/>
        </w:rPr>
        <w:t>1.145</w:t>
      </w:r>
      <w:r>
        <w:t>;</w:t>
      </w:r>
    </w:p>
    <w:p>
      <w:pPr>
        <w:pStyle w:val="yMiscellaneousBody"/>
        <w:tabs>
          <w:tab w:val="left" w:pos="1134"/>
          <w:tab w:val="left" w:pos="1701"/>
        </w:tabs>
        <w:ind w:left="1701" w:hanging="1701"/>
      </w:pP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1134"/>
          <w:tab w:val="left" w:pos="1701"/>
        </w:tabs>
        <w:ind w:left="2552" w:hanging="2552"/>
      </w:pPr>
      <w:r>
        <w:tab/>
      </w:r>
      <w:r>
        <w:rPr>
          <w:b/>
        </w:rPr>
        <w:t>U</w:t>
      </w:r>
      <w:r>
        <w:t xml:space="preserve"> =</w:t>
      </w:r>
      <w:r>
        <w:tab/>
        <w:t>the number of beds in the nursing home;</w:t>
      </w:r>
    </w:p>
    <w:p>
      <w:pPr>
        <w:pStyle w:val="yMiscellaneousBody"/>
        <w:tabs>
          <w:tab w:val="left" w:pos="1134"/>
          <w:tab w:val="left" w:pos="1701"/>
        </w:tabs>
        <w:ind w:left="2552" w:hanging="2552"/>
      </w:pPr>
      <w:r>
        <w:tab/>
      </w:r>
      <w:r>
        <w:rPr>
          <w:b/>
        </w:rPr>
        <w:t>V</w:t>
      </w:r>
      <w:r>
        <w:t xml:space="preserve"> =</w:t>
      </w:r>
      <w:r>
        <w:tab/>
      </w:r>
      <w:r>
        <w:rPr>
          <w:szCs w:val="22"/>
        </w:rPr>
        <w:t>$153.53</w:t>
      </w:r>
      <w:r>
        <w:t>.</w:t>
      </w:r>
    </w:p>
    <w:p>
      <w:pPr>
        <w:pStyle w:val="yHeading5"/>
        <w:spacing w:before="240"/>
      </w:pPr>
      <w:bookmarkStart w:id="221" w:name="_Toc434929875"/>
      <w:r>
        <w:rPr>
          <w:rStyle w:val="CharSClsNo"/>
        </w:rPr>
        <w:t>17</w:t>
      </w:r>
      <w:r>
        <w:t>.</w:t>
      </w:r>
      <w:r>
        <w:tab/>
        <w:t>Certain metropolitan strata</w:t>
      </w:r>
      <w:r>
        <w:noBreakHyphen/>
        <w:t>titled units</w:t>
      </w:r>
      <w:bookmarkEnd w:id="221"/>
    </w:p>
    <w:p>
      <w:pPr>
        <w:pStyle w:val="yMiscellaneousBody"/>
        <w:tabs>
          <w:tab w:val="left" w:pos="284"/>
        </w:tabs>
        <w:ind w:left="879" w:right="-2" w:hanging="879"/>
      </w:pPr>
      <w:r>
        <w:tab/>
      </w:r>
      <w:r>
        <w:tab/>
        <w:t>In respect of land in the metropolitan area that —</w:t>
      </w:r>
    </w:p>
    <w:p>
      <w:pPr>
        <w:pStyle w:val="yMiscellaneousBody"/>
        <w:tabs>
          <w:tab w:val="left" w:pos="1134"/>
        </w:tabs>
        <w:spacing w:before="80"/>
        <w:ind w:left="1559" w:hanging="1701"/>
      </w:pPr>
      <w:r>
        <w:tab/>
        <w:t>(a)</w:t>
      </w:r>
      <w:r>
        <w:tab/>
        <w:t>is contained in a lot; and</w:t>
      </w:r>
    </w:p>
    <w:p>
      <w:pPr>
        <w:pStyle w:val="yMiscellaneousBody"/>
        <w:tabs>
          <w:tab w:val="left" w:pos="1134"/>
        </w:tabs>
        <w:spacing w:before="80"/>
        <w:ind w:left="1559" w:hanging="1701"/>
      </w:pPr>
      <w:r>
        <w:tab/>
        <w:t>(b)</w:t>
      </w:r>
      <w:r>
        <w:tab/>
        <w:t>is classified as non</w:t>
      </w:r>
      <w:r>
        <w:noBreakHyphen/>
        <w:t>residential; and</w:t>
      </w:r>
    </w:p>
    <w:p>
      <w:pPr>
        <w:pStyle w:val="yMiscellaneousBody"/>
        <w:tabs>
          <w:tab w:val="left" w:pos="1134"/>
        </w:tabs>
        <w:spacing w:before="80"/>
        <w:ind w:left="1559" w:hanging="1701"/>
      </w:pPr>
      <w:r>
        <w:tab/>
        <w:t>(c)</w:t>
      </w:r>
      <w:r>
        <w:tab/>
        <w:t>is not covered by item 5 or 6; and</w:t>
      </w:r>
    </w:p>
    <w:p>
      <w:pPr>
        <w:pStyle w:val="yMiscellaneousBody"/>
        <w:tabs>
          <w:tab w:val="left" w:pos="1134"/>
        </w:tabs>
        <w:spacing w:before="80"/>
        <w:ind w:left="1559" w:hanging="1701"/>
      </w:pPr>
      <w:r>
        <w:tab/>
        <w:t>(d)</w:t>
      </w:r>
      <w:r>
        <w:tab/>
        <w:t>shares one or more major fixtures, that discharge into a sewer of the Water Corporation, with other such land and has no other major fixtures that discharge into such a sewer; and</w:t>
      </w:r>
    </w:p>
    <w:p>
      <w:pPr>
        <w:pStyle w:val="yMiscellaneousBody"/>
        <w:tabs>
          <w:tab w:val="left" w:pos="1134"/>
        </w:tabs>
        <w:spacing w:before="80"/>
        <w:ind w:left="1559" w:hanging="1701"/>
      </w:pPr>
      <w:r>
        <w:tab/>
        <w:t>(e)</w:t>
      </w:r>
      <w:r>
        <w:tab/>
        <w:t>the number of major fixtures shared by all units on the relevant strata plan is less than the number of those units,</w:t>
      </w:r>
    </w:p>
    <w:p>
      <w:pPr>
        <w:pStyle w:val="yMiscellaneousBody"/>
        <w:tabs>
          <w:tab w:val="left" w:pos="284"/>
        </w:tabs>
        <w:ind w:left="879" w:right="-2" w:hanging="879"/>
      </w:pPr>
      <w:r>
        <w:tab/>
      </w:r>
      <w:r>
        <w:tab/>
        <w:t>the charge is —</w:t>
      </w:r>
    </w:p>
    <w:p>
      <w:pPr>
        <w:pStyle w:val="yMiscellaneousBody"/>
        <w:tabs>
          <w:tab w:val="left" w:pos="851"/>
        </w:tabs>
        <w:ind w:left="879" w:hanging="879"/>
      </w:pPr>
      <w:r>
        <w:tab/>
      </w:r>
      <w:r>
        <w:rPr>
          <w:b/>
        </w:rPr>
        <w:t>T</w:t>
      </w:r>
      <w:r>
        <w:t xml:space="preserve"> + </w:t>
      </w:r>
      <w:r>
        <w:rPr>
          <w:b/>
        </w:rPr>
        <w:t>Q</w:t>
      </w:r>
    </w:p>
    <w:p>
      <w:pPr>
        <w:pStyle w:val="yMiscellaneousBody"/>
        <w:keepNext/>
        <w:tabs>
          <w:tab w:val="left" w:pos="851"/>
        </w:tabs>
        <w:ind w:left="879" w:hanging="879"/>
      </w:pPr>
      <w:r>
        <w:tab/>
        <w:t xml:space="preserve">where — </w:t>
      </w:r>
    </w:p>
    <w:p>
      <w:pPr>
        <w:pStyle w:val="yMiscellaneousBody"/>
        <w:tabs>
          <w:tab w:val="left" w:pos="1134"/>
          <w:tab w:val="left" w:pos="1701"/>
        </w:tabs>
        <w:ind w:left="1701" w:hanging="1701"/>
      </w:pPr>
      <w:r>
        <w:tab/>
      </w:r>
      <w:r>
        <w:rPr>
          <w:b/>
        </w:rPr>
        <w:t>T</w:t>
      </w:r>
      <w:r>
        <w:t xml:space="preserve"> =</w:t>
      </w:r>
      <w:r>
        <w:tab/>
      </w:r>
      <w:r>
        <w:rPr>
          <w:szCs w:val="22"/>
        </w:rPr>
        <w:t>$527.46</w:t>
      </w:r>
      <w:r>
        <w:t>;</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Heading4"/>
        <w:keepNext w:val="0"/>
        <w:pageBreakBefore/>
        <w:spacing w:before="0"/>
      </w:pPr>
      <w:bookmarkStart w:id="222" w:name="_Toc429577059"/>
      <w:bookmarkStart w:id="223" w:name="_Toc434929876"/>
      <w:r>
        <w:t>Subdivision 3</w:t>
      </w:r>
      <w:r>
        <w:rPr>
          <w:b w:val="0"/>
        </w:rPr>
        <w:t> — </w:t>
      </w:r>
      <w:r>
        <w:t>Calculation of certain factors for the purposes of Subdivision 2</w:t>
      </w:r>
      <w:bookmarkEnd w:id="222"/>
      <w:bookmarkEnd w:id="223"/>
    </w:p>
    <w:p>
      <w:pPr>
        <w:pStyle w:val="yHeading5"/>
      </w:pPr>
      <w:bookmarkStart w:id="224" w:name="_Toc434929877"/>
      <w:r>
        <w:rPr>
          <w:rStyle w:val="CharSClsNo"/>
        </w:rPr>
        <w:t>18</w:t>
      </w:r>
      <w:r>
        <w:t>.</w:t>
      </w:r>
      <w:r>
        <w:tab/>
        <w:t>Service charge</w:t>
      </w:r>
      <w:bookmarkEnd w:id="224"/>
    </w:p>
    <w:p>
      <w:pPr>
        <w:pStyle w:val="yMiscellaneousBody"/>
        <w:tabs>
          <w:tab w:val="left" w:pos="284"/>
        </w:tabs>
        <w:ind w:left="879" w:right="-2" w:hanging="879"/>
      </w:pPr>
      <w:r>
        <w:tab/>
      </w:r>
      <w:r>
        <w:tab/>
        <w:t>The service charge (</w:t>
      </w:r>
      <w:r>
        <w:rPr>
          <w:b/>
          <w:i/>
        </w:rPr>
        <w:t>P</w:t>
      </w:r>
      <w:r>
        <w:t>) is —</w:t>
      </w:r>
    </w:p>
    <w:p>
      <w:pPr>
        <w:pStyle w:val="yMiscellaneousBody"/>
        <w:tabs>
          <w:tab w:val="left" w:pos="851"/>
        </w:tabs>
        <w:ind w:left="879" w:hanging="879"/>
      </w:pPr>
      <w:r>
        <w:tab/>
        <w:t>if (</w:t>
      </w:r>
      <w:r>
        <w:rPr>
          <w:b/>
        </w:rPr>
        <w:t>A</w:t>
      </w:r>
      <w:r>
        <w:t xml:space="preserve"> </w:t>
      </w:r>
      <w:r>
        <w:sym w:font="Symbol" w:char="F0B4"/>
      </w:r>
      <w:r>
        <w:t xml:space="preserve"> </w:t>
      </w:r>
      <w:r>
        <w:rPr>
          <w:b/>
        </w:rPr>
        <w:t>B</w:t>
      </w:r>
      <w:r>
        <w:t xml:space="preserve">) </w:t>
      </w:r>
      <w:r>
        <w:sym w:font="Symbol" w:char="F0A3"/>
      </w:r>
      <w:r>
        <w:t xml:space="preserve"> (</w:t>
      </w:r>
      <w:r>
        <w:rPr>
          <w:b/>
        </w:rPr>
        <w:t>C</w:t>
      </w:r>
      <w:r>
        <w:t xml:space="preserve"> + </w:t>
      </w:r>
      <w:r>
        <w:rPr>
          <w:b/>
        </w:rPr>
        <w:t>D</w:t>
      </w:r>
      <w:r>
        <w:t>),</w:t>
      </w:r>
    </w:p>
    <w:p>
      <w:pPr>
        <w:pStyle w:val="yMiscellaneousBody"/>
        <w:tabs>
          <w:tab w:val="left" w:pos="851"/>
        </w:tabs>
        <w:ind w:left="879" w:hanging="879"/>
      </w:pPr>
      <w:r>
        <w:tab/>
        <w:t xml:space="preserve">then </w:t>
      </w:r>
      <w:r>
        <w:rPr>
          <w:b/>
        </w:rPr>
        <w:t>A</w:t>
      </w:r>
      <w:r>
        <w:t xml:space="preserve"> </w:t>
      </w:r>
      <w:r>
        <w:sym w:font="Symbol" w:char="F0B4"/>
      </w:r>
      <w:r>
        <w:t xml:space="preserve"> </w:t>
      </w:r>
      <w:r>
        <w:rPr>
          <w:b/>
        </w:rPr>
        <w:t>B</w:t>
      </w:r>
    </w:p>
    <w:p>
      <w:pPr>
        <w:pStyle w:val="yMiscellaneousBody"/>
        <w:tabs>
          <w:tab w:val="left" w:pos="851"/>
        </w:tabs>
        <w:ind w:left="879" w:hanging="879"/>
      </w:pPr>
      <w:r>
        <w:tab/>
        <w:t>or if (</w:t>
      </w:r>
      <w:r>
        <w:rPr>
          <w:b/>
        </w:rPr>
        <w:t>A</w:t>
      </w:r>
      <w:r>
        <w:t xml:space="preserve"> </w:t>
      </w:r>
      <w:r>
        <w:sym w:font="Symbol" w:char="F0B4"/>
      </w:r>
      <w:r>
        <w:t xml:space="preserve"> </w:t>
      </w:r>
      <w:r>
        <w:rPr>
          <w:b/>
        </w:rPr>
        <w:t>B</w:t>
      </w:r>
      <w:r>
        <w:t>) &gt; (</w:t>
      </w:r>
      <w:r>
        <w:rPr>
          <w:b/>
        </w:rPr>
        <w:t>C</w:t>
      </w:r>
      <w:r>
        <w:t xml:space="preserve"> + </w:t>
      </w:r>
      <w:r>
        <w:rPr>
          <w:b/>
        </w:rPr>
        <w:t>D</w:t>
      </w:r>
      <w:r>
        <w:t>),</w:t>
      </w:r>
    </w:p>
    <w:p>
      <w:pPr>
        <w:pStyle w:val="yMiscellaneousBody"/>
        <w:tabs>
          <w:tab w:val="left" w:pos="851"/>
        </w:tabs>
        <w:ind w:left="879" w:hanging="879"/>
      </w:pPr>
      <w:r>
        <w:tab/>
        <w:t xml:space="preserve">then </w:t>
      </w:r>
      <w:r>
        <w:rPr>
          <w:b/>
        </w:rPr>
        <w:t>C</w:t>
      </w:r>
    </w:p>
    <w:p>
      <w:pPr>
        <w:pStyle w:val="yMiscellaneousBody"/>
        <w:tabs>
          <w:tab w:val="left" w:pos="851"/>
        </w:tabs>
        <w:ind w:left="879" w:hanging="879"/>
      </w:pPr>
      <w:r>
        <w:tab/>
        <w:t xml:space="preserve">where — </w:t>
      </w:r>
    </w:p>
    <w:p>
      <w:pPr>
        <w:pStyle w:val="yMiscellaneousBody"/>
        <w:tabs>
          <w:tab w:val="left" w:pos="1134"/>
          <w:tab w:val="left" w:pos="1701"/>
        </w:tabs>
        <w:ind w:left="1701" w:hanging="1701"/>
      </w:pPr>
      <w:r>
        <w:tab/>
      </w:r>
      <w:r>
        <w:rPr>
          <w:b/>
        </w:rPr>
        <w:t>A</w:t>
      </w:r>
      <w:r>
        <w:t xml:space="preserve"> =</w:t>
      </w:r>
      <w:r>
        <w:tab/>
        <w:t>the charge payable, for the previous financial year, under the item in Subdivision 2 for which this item is being applied;</w:t>
      </w:r>
    </w:p>
    <w:p>
      <w:pPr>
        <w:pStyle w:val="yMiscellaneousBody"/>
        <w:tabs>
          <w:tab w:val="left" w:pos="1134"/>
          <w:tab w:val="left" w:pos="1701"/>
        </w:tabs>
        <w:ind w:left="1701" w:hanging="1701"/>
      </w:pPr>
      <w:r>
        <w:tab/>
      </w:r>
      <w:r>
        <w:rPr>
          <w:b/>
        </w:rPr>
        <w:t>B</w:t>
      </w:r>
      <w:r>
        <w:t xml:space="preserve"> =</w:t>
      </w:r>
      <w:r>
        <w:tab/>
      </w:r>
      <w:r>
        <w:rPr>
          <w:szCs w:val="22"/>
        </w:rPr>
        <w:t>1.145</w:t>
      </w:r>
      <w:r>
        <w:t>;</w:t>
      </w:r>
    </w:p>
    <w:p>
      <w:pPr>
        <w:pStyle w:val="yMiscellaneousBody"/>
        <w:tabs>
          <w:tab w:val="left" w:pos="1134"/>
          <w:tab w:val="left" w:pos="1701"/>
        </w:tabs>
        <w:ind w:left="1701" w:hanging="1701"/>
      </w:pPr>
      <w:r>
        <w:tab/>
      </w:r>
      <w:r>
        <w:rPr>
          <w:b/>
        </w:rPr>
        <w:t>C</w:t>
      </w:r>
      <w:r>
        <w:t xml:space="preserve"> =</w:t>
      </w:r>
      <w:r>
        <w:tab/>
        <w:t>the charge, according to the number of major fixtures for the land, that is the sum of the charges for each fixture, as set out in the Table;</w:t>
      </w:r>
    </w:p>
    <w:p>
      <w:pPr>
        <w:pStyle w:val="yMiscellaneousBody"/>
        <w:tabs>
          <w:tab w:val="left" w:pos="1134"/>
          <w:tab w:val="left" w:pos="1701"/>
        </w:tabs>
        <w:ind w:left="1701" w:hanging="1701"/>
      </w:pPr>
      <w:r>
        <w:tab/>
      </w:r>
      <w:r>
        <w:rPr>
          <w:b/>
        </w:rPr>
        <w:t>D</w:t>
      </w:r>
      <w:r>
        <w:t xml:space="preserve"> =</w:t>
      </w:r>
      <w:r>
        <w:tab/>
        <w:t>the discharge charge calculated in accordance with item 19.</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keepNext/>
              <w:jc w:val="center"/>
            </w:pPr>
          </w:p>
        </w:tc>
        <w:tc>
          <w:tcPr>
            <w:tcW w:w="2268" w:type="dxa"/>
            <w:tcBorders>
              <w:top w:val="single" w:sz="4" w:space="0" w:color="auto"/>
              <w:bottom w:val="single" w:sz="4" w:space="0" w:color="auto"/>
            </w:tcBorders>
          </w:tcPr>
          <w:p>
            <w:pPr>
              <w:pStyle w:val="yTableNAm"/>
              <w:keepNext/>
              <w:jc w:val="center"/>
            </w:pPr>
            <w:r>
              <w:rPr>
                <w:b/>
              </w:rPr>
              <w:t>Charge</w:t>
            </w:r>
          </w:p>
        </w:tc>
      </w:tr>
      <w:tr>
        <w:tc>
          <w:tcPr>
            <w:tcW w:w="2268" w:type="dxa"/>
            <w:tcMar>
              <w:left w:w="482" w:type="dxa"/>
            </w:tcMar>
          </w:tcPr>
          <w:p>
            <w:pPr>
              <w:pStyle w:val="yTableNAm"/>
            </w:pPr>
            <w:r>
              <w:t>1</w:t>
            </w:r>
            <w:r>
              <w:rPr>
                <w:vertAlign w:val="superscript"/>
              </w:rPr>
              <w:t>st</w:t>
            </w:r>
            <w:r>
              <w:t xml:space="preserve"> fixture</w:t>
            </w:r>
          </w:p>
        </w:tc>
        <w:tc>
          <w:tcPr>
            <w:tcW w:w="2268" w:type="dxa"/>
          </w:tcPr>
          <w:p>
            <w:pPr>
              <w:pStyle w:val="yTableNAm"/>
              <w:jc w:val="center"/>
            </w:pPr>
            <w:r>
              <w:rPr>
                <w:szCs w:val="22"/>
              </w:rPr>
              <w:t>$848.50</w:t>
            </w:r>
          </w:p>
        </w:tc>
      </w:tr>
      <w:tr>
        <w:tc>
          <w:tcPr>
            <w:tcW w:w="2268" w:type="dxa"/>
            <w:tcMar>
              <w:left w:w="482" w:type="dxa"/>
            </w:tcMar>
          </w:tcPr>
          <w:p>
            <w:pPr>
              <w:pStyle w:val="yTableNAm"/>
            </w:pPr>
            <w:r>
              <w:t>2</w:t>
            </w:r>
            <w:r>
              <w:rPr>
                <w:vertAlign w:val="superscript"/>
              </w:rPr>
              <w:t>nd</w:t>
            </w:r>
            <w:r>
              <w:t xml:space="preserve"> fixture</w:t>
            </w:r>
          </w:p>
        </w:tc>
        <w:tc>
          <w:tcPr>
            <w:tcW w:w="2268" w:type="dxa"/>
          </w:tcPr>
          <w:p>
            <w:pPr>
              <w:pStyle w:val="yTableNAm"/>
              <w:jc w:val="center"/>
            </w:pPr>
            <w:r>
              <w:rPr>
                <w:szCs w:val="22"/>
              </w:rPr>
              <w:t>$363.21</w:t>
            </w:r>
          </w:p>
        </w:tc>
      </w:tr>
      <w:tr>
        <w:tc>
          <w:tcPr>
            <w:tcW w:w="2268" w:type="dxa"/>
            <w:tcMar>
              <w:left w:w="482" w:type="dxa"/>
            </w:tcMar>
          </w:tcPr>
          <w:p>
            <w:pPr>
              <w:pStyle w:val="yTableNAm"/>
            </w:pPr>
            <w:r>
              <w:t>3</w:t>
            </w:r>
            <w:r>
              <w:rPr>
                <w:vertAlign w:val="superscript"/>
              </w:rPr>
              <w:t>rd</w:t>
            </w:r>
            <w:r>
              <w:t xml:space="preserve"> fixture</w:t>
            </w:r>
          </w:p>
        </w:tc>
        <w:tc>
          <w:tcPr>
            <w:tcW w:w="2268" w:type="dxa"/>
          </w:tcPr>
          <w:p>
            <w:pPr>
              <w:pStyle w:val="yTableNAm"/>
              <w:jc w:val="center"/>
            </w:pPr>
            <w:r>
              <w:rPr>
                <w:szCs w:val="22"/>
              </w:rPr>
              <w:t>$485.05</w:t>
            </w:r>
          </w:p>
        </w:tc>
      </w:tr>
      <w:tr>
        <w:tc>
          <w:tcPr>
            <w:tcW w:w="2268" w:type="dxa"/>
            <w:tcBorders>
              <w:bottom w:val="single" w:sz="4" w:space="0" w:color="auto"/>
            </w:tcBorders>
            <w:tcMar>
              <w:left w:w="482" w:type="dxa"/>
            </w:tcMar>
          </w:tcPr>
          <w:p>
            <w:pPr>
              <w:pStyle w:val="yTableNAm"/>
              <w:ind w:left="284" w:hanging="284"/>
            </w:pPr>
            <w:r>
              <w:t>4</w:t>
            </w:r>
            <w:r>
              <w:rPr>
                <w:vertAlign w:val="superscript"/>
              </w:rPr>
              <w:t>th</w:t>
            </w:r>
            <w:r>
              <w:t xml:space="preserve"> and subsequent</w:t>
            </w:r>
            <w:r>
              <w:br/>
              <w:t>fixtures</w:t>
            </w:r>
          </w:p>
        </w:tc>
        <w:tc>
          <w:tcPr>
            <w:tcW w:w="2268" w:type="dxa"/>
            <w:tcBorders>
              <w:bottom w:val="single" w:sz="4" w:space="0" w:color="auto"/>
            </w:tcBorders>
          </w:tcPr>
          <w:p>
            <w:pPr>
              <w:pStyle w:val="yTableNAm"/>
              <w:jc w:val="center"/>
            </w:pPr>
            <w:r>
              <w:rPr>
                <w:szCs w:val="22"/>
              </w:rPr>
              <w:t>$527.46</w:t>
            </w:r>
          </w:p>
        </w:tc>
      </w:tr>
    </w:tbl>
    <w:p>
      <w:pPr>
        <w:pStyle w:val="yHeading5"/>
      </w:pPr>
      <w:bookmarkStart w:id="225" w:name="_Toc434929878"/>
      <w:r>
        <w:rPr>
          <w:rStyle w:val="CharSClsNo"/>
        </w:rPr>
        <w:t>19</w:t>
      </w:r>
      <w:r>
        <w:t>.</w:t>
      </w:r>
      <w:r>
        <w:tab/>
        <w:t>Discharge charge</w:t>
      </w:r>
      <w:bookmarkEnd w:id="225"/>
    </w:p>
    <w:p>
      <w:pPr>
        <w:pStyle w:val="yMiscellaneousBody"/>
        <w:tabs>
          <w:tab w:val="left" w:pos="284"/>
        </w:tabs>
        <w:ind w:left="879" w:right="-2" w:hanging="879"/>
      </w:pPr>
      <w:r>
        <w:tab/>
      </w:r>
      <w:r>
        <w:tab/>
        <w:t>The discharge charge (</w:t>
      </w:r>
      <w:r>
        <w:rPr>
          <w:b/>
          <w:i/>
        </w:rPr>
        <w:t>Q</w:t>
      </w:r>
      <w:r>
        <w:t>) is —</w:t>
      </w:r>
    </w:p>
    <w:p>
      <w:pPr>
        <w:pStyle w:val="yMiscellaneousBody"/>
        <w:tabs>
          <w:tab w:val="left" w:pos="851"/>
        </w:tabs>
        <w:ind w:left="879" w:hanging="879"/>
      </w:pP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851"/>
        </w:tabs>
        <w:ind w:left="879" w:hanging="879"/>
      </w:pPr>
      <w:r>
        <w:tab/>
        <w:t>then nil</w:t>
      </w:r>
    </w:p>
    <w:p>
      <w:pPr>
        <w:pStyle w:val="yMiscellaneousBody"/>
        <w:tabs>
          <w:tab w:val="left" w:pos="851"/>
        </w:tabs>
        <w:ind w:left="879" w:hanging="879"/>
      </w:pPr>
      <w:r>
        <w:tab/>
        <w:t>or if (</w:t>
      </w:r>
      <w:r>
        <w:rPr>
          <w:b/>
        </w:rPr>
        <w:t>F</w:t>
      </w:r>
      <w:r>
        <w:t xml:space="preserve"> </w:t>
      </w:r>
      <w:r>
        <w:sym w:font="Symbol" w:char="F0B4"/>
      </w:r>
      <w:r>
        <w:t xml:space="preserve"> </w:t>
      </w:r>
      <w:r>
        <w:rPr>
          <w:b/>
        </w:rPr>
        <w:t>G</w:t>
      </w:r>
      <w:r>
        <w:t xml:space="preserve">) &gt; </w:t>
      </w:r>
      <w:r>
        <w:rPr>
          <w:b/>
        </w:rPr>
        <w:t>H</w:t>
      </w:r>
      <w:r>
        <w:t>,</w:t>
      </w:r>
    </w:p>
    <w:p>
      <w:pPr>
        <w:pStyle w:val="yMiscellaneousBody"/>
        <w:tabs>
          <w:tab w:val="left" w:pos="851"/>
        </w:tabs>
        <w:ind w:left="879" w:hanging="879"/>
      </w:pP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851"/>
        </w:tabs>
        <w:ind w:left="879" w:hanging="879"/>
      </w:pPr>
      <w:r>
        <w:tab/>
        <w:t xml:space="preserve">where — </w:t>
      </w:r>
    </w:p>
    <w:p>
      <w:pPr>
        <w:pStyle w:val="yMiscellaneousBody"/>
        <w:tabs>
          <w:tab w:val="left" w:pos="1134"/>
          <w:tab w:val="left" w:pos="1701"/>
        </w:tabs>
        <w:ind w:left="1701" w:hanging="1701"/>
      </w:pPr>
      <w:r>
        <w:tab/>
      </w:r>
      <w:r>
        <w:rPr>
          <w:b/>
        </w:rPr>
        <w:t>F</w:t>
      </w:r>
      <w:r>
        <w:t xml:space="preserve"> =</w:t>
      </w:r>
      <w:r>
        <w:tab/>
        <w:t>the volume of water supplied to the land in the current consumption year;</w:t>
      </w:r>
    </w:p>
    <w:p>
      <w:pPr>
        <w:pStyle w:val="yMiscellaneousBody"/>
        <w:tabs>
          <w:tab w:val="left" w:pos="1134"/>
          <w:tab w:val="left" w:pos="1701"/>
        </w:tabs>
        <w:ind w:left="1701" w:hanging="1701"/>
      </w:pPr>
      <w:r>
        <w:tab/>
      </w:r>
      <w:r>
        <w:rPr>
          <w:b/>
        </w:rPr>
        <w:t>G</w:t>
      </w:r>
      <w:r>
        <w:t xml:space="preserve"> =</w:t>
      </w:r>
      <w:r>
        <w:tab/>
        <w:t>the discharge factor applicable for the land for the current discharge year;</w:t>
      </w:r>
    </w:p>
    <w:p>
      <w:pPr>
        <w:pStyle w:val="yMiscellaneousBody"/>
        <w:tabs>
          <w:tab w:val="left" w:pos="1134"/>
          <w:tab w:val="left" w:pos="1701"/>
        </w:tabs>
        <w:ind w:left="1701" w:hanging="1701"/>
      </w:pPr>
      <w:r>
        <w:tab/>
      </w:r>
      <w:r>
        <w:rPr>
          <w:b/>
        </w:rPr>
        <w:t>H</w:t>
      </w:r>
      <w:r>
        <w:t xml:space="preserve"> =</w:t>
      </w:r>
      <w:r>
        <w:tab/>
        <w:t>the discharge allowance for the current discharge year worked out in accordance with item 20;</w:t>
      </w:r>
    </w:p>
    <w:p>
      <w:pPr>
        <w:pStyle w:val="yMiscellaneousBody"/>
        <w:tabs>
          <w:tab w:val="left" w:pos="1134"/>
          <w:tab w:val="left" w:pos="1701"/>
        </w:tabs>
        <w:ind w:left="1701" w:hanging="1701"/>
      </w:pPr>
      <w:r>
        <w:tab/>
      </w:r>
      <w:r>
        <w:rPr>
          <w:b/>
        </w:rPr>
        <w:t>I</w:t>
      </w:r>
      <w:r>
        <w:t xml:space="preserve"> =</w:t>
      </w:r>
      <w:r>
        <w:tab/>
      </w:r>
      <w:r>
        <w:rPr>
          <w:szCs w:val="22"/>
        </w:rPr>
        <w:t>$3.1180</w:t>
      </w:r>
      <w:r>
        <w:t>,</w:t>
      </w:r>
    </w:p>
    <w:p>
      <w:pPr>
        <w:pStyle w:val="yMiscellaneousBody"/>
        <w:tabs>
          <w:tab w:val="left" w:pos="851"/>
          <w:tab w:val="left" w:pos="1701"/>
        </w:tabs>
        <w:ind w:left="1701" w:hanging="1701"/>
      </w:pP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226" w:name="_Toc434929879"/>
      <w:r>
        <w:rPr>
          <w:rStyle w:val="CharSClsNo"/>
        </w:rPr>
        <w:t>20</w:t>
      </w:r>
      <w:r>
        <w:t>.</w:t>
      </w:r>
      <w:r>
        <w:tab/>
        <w:t>Discharge allowance</w:t>
      </w:r>
      <w:bookmarkEnd w:id="226"/>
    </w:p>
    <w:p>
      <w:pPr>
        <w:pStyle w:val="yMiscellaneousBody"/>
        <w:tabs>
          <w:tab w:val="left" w:pos="284"/>
        </w:tabs>
        <w:ind w:left="879" w:right="-2" w:hanging="879"/>
      </w:pPr>
      <w:r>
        <w:tab/>
        <w:t>(1)</w:t>
      </w:r>
      <w:r>
        <w:tab/>
        <w:t>The discharge allowance for the current discharge year is —</w:t>
      </w:r>
    </w:p>
    <w:p>
      <w:pPr>
        <w:pStyle w:val="yMiscellaneousBody"/>
        <w:tabs>
          <w:tab w:val="left" w:pos="1134"/>
        </w:tabs>
        <w:spacing w:before="80"/>
        <w:ind w:left="1560" w:right="-2" w:hanging="1701"/>
      </w:pPr>
      <w:r>
        <w:tab/>
        <w:t>(a)</w:t>
      </w:r>
      <w:r>
        <w:tab/>
        <w:t>for land to which item 13 applies that is not covered by paragraph (e) — 200 kL;</w:t>
      </w:r>
    </w:p>
    <w:p>
      <w:pPr>
        <w:pStyle w:val="yMiscellaneousBody"/>
        <w:tabs>
          <w:tab w:val="left" w:pos="1134"/>
        </w:tabs>
        <w:spacing w:before="80"/>
        <w:ind w:left="1560" w:right="-2" w:hanging="1701"/>
      </w:pPr>
      <w:r>
        <w:tab/>
        <w:t>(b)</w:t>
      </w:r>
      <w:r>
        <w:tab/>
        <w:t>for land held by a government trading organisation or by a public authority that holds non</w:t>
      </w:r>
      <w:r>
        <w:noBreakHyphen/>
        <w:t>commercial government property — 200 kL;</w:t>
      </w:r>
    </w:p>
    <w:p>
      <w:pPr>
        <w:pStyle w:val="yMiscellaneousBody"/>
        <w:tabs>
          <w:tab w:val="left" w:pos="1134"/>
        </w:tabs>
        <w:spacing w:before="80"/>
        <w:ind w:left="1560" w:right="-2" w:hanging="1701"/>
      </w:pPr>
      <w:r>
        <w:tab/>
        <w:t>(c)</w:t>
      </w:r>
      <w:r>
        <w:tab/>
        <w:t>for a caravan park referred to in item 15, the amount (in kL) calculated in accordance with the formula in sub</w:t>
      </w:r>
      <w:r>
        <w:noBreakHyphen/>
        <w:t>item (2);</w:t>
      </w:r>
    </w:p>
    <w:p>
      <w:pPr>
        <w:pStyle w:val="yMiscellaneousBody"/>
        <w:tabs>
          <w:tab w:val="left" w:pos="1134"/>
        </w:tabs>
        <w:spacing w:before="80"/>
        <w:ind w:left="1560" w:right="-2" w:hanging="1701"/>
      </w:pPr>
      <w:r>
        <w:tab/>
        <w:t>(d)</w:t>
      </w:r>
      <w:r>
        <w:tab/>
        <w:t>for a nursing home referred to in item 16 — 75 kL per bed;</w:t>
      </w:r>
    </w:p>
    <w:p>
      <w:pPr>
        <w:pStyle w:val="yMiscellaneousBody"/>
        <w:tabs>
          <w:tab w:val="left" w:pos="1134"/>
        </w:tabs>
        <w:spacing w:before="80"/>
        <w:ind w:left="1560" w:right="-2" w:hanging="1701"/>
      </w:pPr>
      <w:r>
        <w:tab/>
        <w:t>(e)</w:t>
      </w:r>
      <w:r>
        <w:tab/>
        <w:t>for properties that share a metered property water supply connection — 200 kL for each property.</w:t>
      </w:r>
    </w:p>
    <w:p>
      <w:pPr>
        <w:pStyle w:val="yMiscellaneousBody"/>
        <w:tabs>
          <w:tab w:val="left" w:pos="284"/>
        </w:tabs>
        <w:ind w:left="879" w:right="-2" w:hanging="879"/>
      </w:pPr>
      <w:r>
        <w:tab/>
        <w:t>(2)</w:t>
      </w:r>
      <w:r>
        <w:tab/>
        <w:t>The formula for the purposes of sub</w:t>
      </w:r>
      <w:r>
        <w:noBreakHyphen/>
        <w:t>item (1)(c) is —</w:t>
      </w:r>
    </w:p>
    <w:p>
      <w:pPr>
        <w:pStyle w:val="yMiscellaneousBody"/>
        <w:tabs>
          <w:tab w:val="left" w:pos="1560"/>
        </w:tabs>
        <w:ind w:left="1701" w:hanging="1701"/>
      </w:pPr>
      <w:r>
        <w:rPr>
          <w:b/>
        </w:rPr>
        <w:tab/>
        <w:t>L</w:t>
      </w:r>
      <w:r>
        <w:t xml:space="preserve"> + </w:t>
      </w:r>
      <w:r>
        <w:rPr>
          <w:b/>
        </w:rPr>
        <w:t>M</w:t>
      </w:r>
    </w:p>
    <w:p>
      <w:pPr>
        <w:pStyle w:val="yMiscellaneousBody"/>
        <w:tabs>
          <w:tab w:val="left" w:pos="1560"/>
        </w:tabs>
        <w:ind w:left="1701" w:hanging="1701"/>
      </w:pPr>
      <w:r>
        <w:tab/>
        <w:t xml:space="preserve">where — </w:t>
      </w:r>
    </w:p>
    <w:p>
      <w:pPr>
        <w:pStyle w:val="yMiscellaneousBody"/>
        <w:tabs>
          <w:tab w:val="left" w:pos="1985"/>
          <w:tab w:val="left" w:pos="2552"/>
        </w:tabs>
      </w:pPr>
      <w:r>
        <w:tab/>
      </w:r>
      <w:r>
        <w:rPr>
          <w:b/>
        </w:rPr>
        <w:t>L</w:t>
      </w:r>
      <w:r>
        <w:t xml:space="preserve"> =</w:t>
      </w:r>
      <w:r>
        <w:tab/>
        <w:t>200;</w:t>
      </w:r>
    </w:p>
    <w:p>
      <w:pPr>
        <w:pStyle w:val="yMiscellaneousBody"/>
        <w:tabs>
          <w:tab w:val="left" w:pos="1985"/>
          <w:tab w:val="left" w:pos="2552"/>
        </w:tabs>
        <w:ind w:left="2552" w:hanging="2552"/>
      </w:pPr>
      <w:r>
        <w:tab/>
      </w:r>
      <w:r>
        <w:rPr>
          <w:b/>
        </w:rPr>
        <w:t>M</w:t>
      </w:r>
      <w:r>
        <w:t xml:space="preserve"> =</w:t>
      </w:r>
      <w:r>
        <w:tab/>
        <w:t>75 kL for each long</w:t>
      </w:r>
      <w:r>
        <w:noBreakHyphen/>
        <w:t>term residential caravan bay.</w:t>
      </w:r>
    </w:p>
    <w:p>
      <w:pPr>
        <w:pStyle w:val="yHeading4"/>
        <w:pageBreakBefore/>
        <w:spacing w:before="0"/>
      </w:pPr>
      <w:bookmarkStart w:id="227" w:name="_Toc429577063"/>
      <w:bookmarkStart w:id="228" w:name="_Toc434929880"/>
      <w:r>
        <w:t>Subdivision 4</w:t>
      </w:r>
      <w:r>
        <w:rPr>
          <w:b w:val="0"/>
        </w:rPr>
        <w:t> — </w:t>
      </w:r>
      <w:r>
        <w:t>Combined charges: non</w:t>
      </w:r>
      <w:r>
        <w:noBreakHyphen/>
        <w:t>metropolitan</w:t>
      </w:r>
      <w:bookmarkEnd w:id="227"/>
      <w:bookmarkEnd w:id="228"/>
    </w:p>
    <w:p>
      <w:pPr>
        <w:pStyle w:val="yHeading5"/>
      </w:pPr>
      <w:bookmarkStart w:id="229" w:name="_Toc434929881"/>
      <w:r>
        <w:rPr>
          <w:rStyle w:val="CharSClsNo"/>
        </w:rPr>
        <w:t>21</w:t>
      </w:r>
      <w:r>
        <w:t>.</w:t>
      </w:r>
      <w:r>
        <w:tab/>
        <w:t>Non</w:t>
      </w:r>
      <w:r>
        <w:noBreakHyphen/>
        <w:t>metropolitan non</w:t>
      </w:r>
      <w:r>
        <w:noBreakHyphen/>
        <w:t>residential</w:t>
      </w:r>
      <w:bookmarkEnd w:id="229"/>
    </w:p>
    <w:p>
      <w:pPr>
        <w:pStyle w:val="yMiscellaneousBody"/>
        <w:tabs>
          <w:tab w:val="left" w:pos="284"/>
        </w:tabs>
        <w:ind w:left="879" w:right="-2" w:hanging="879"/>
      </w:pPr>
      <w:r>
        <w:tab/>
      </w:r>
      <w:r>
        <w:tab/>
        <w:t>In respect of land in the non</w:t>
      </w:r>
      <w:r>
        <w:noBreakHyphen/>
        <w:t>metropolitan area that —</w:t>
      </w:r>
    </w:p>
    <w:p>
      <w:pPr>
        <w:pStyle w:val="yMiscellaneousBody"/>
        <w:tabs>
          <w:tab w:val="left" w:pos="1134"/>
        </w:tabs>
        <w:spacing w:before="80"/>
        <w:ind w:left="1560" w:right="-2" w:hanging="1701"/>
      </w:pPr>
      <w:r>
        <w:tab/>
        <w:t>(a)</w:t>
      </w:r>
      <w:r>
        <w:tab/>
        <w:t>is classified as non</w:t>
      </w:r>
      <w:r>
        <w:noBreakHyphen/>
        <w:t>residential property or is held by a government trading organisation or a public authority that holds non</w:t>
      </w:r>
      <w:r>
        <w:noBreakHyphen/>
        <w:t>commercial government property; and</w:t>
      </w:r>
    </w:p>
    <w:p>
      <w:pPr>
        <w:pStyle w:val="yMiscellaneousBody"/>
        <w:tabs>
          <w:tab w:val="left" w:pos="1134"/>
        </w:tabs>
        <w:spacing w:before="80"/>
        <w:ind w:left="1560" w:right="-2" w:hanging="1701"/>
      </w:pPr>
      <w:r>
        <w:tab/>
        <w:t>(b)</w:t>
      </w:r>
      <w:r>
        <w:tab/>
        <w:t>is not covered by item 5, 6, 10, 22, 23 or 24,</w:t>
      </w:r>
    </w:p>
    <w:p>
      <w:pPr>
        <w:pStyle w:val="yMiscellaneousBody"/>
        <w:tabs>
          <w:tab w:val="left" w:pos="284"/>
        </w:tabs>
        <w:ind w:left="879" w:right="-2" w:hanging="879"/>
      </w:pPr>
      <w:r>
        <w:tab/>
      </w:r>
      <w:r>
        <w:tab/>
        <w:t>the charge is —</w:t>
      </w:r>
    </w:p>
    <w:p>
      <w:pPr>
        <w:pStyle w:val="yMiscellaneousBody"/>
        <w:ind w:left="851" w:hanging="851"/>
      </w:pPr>
      <w:r>
        <w:tab/>
        <w:t>if (</w:t>
      </w:r>
      <w:r>
        <w:rPr>
          <w:b/>
        </w:rPr>
        <w:t>P</w:t>
      </w:r>
      <w:r>
        <w:t xml:space="preserve"> + </w:t>
      </w:r>
      <w:r>
        <w:rPr>
          <w:b/>
        </w:rPr>
        <w:t>Q</w:t>
      </w:r>
      <w:r>
        <w:t xml:space="preserve">) </w:t>
      </w:r>
      <w:r>
        <w:sym w:font="Symbol" w:char="F0A3"/>
      </w:r>
      <w:r>
        <w:t xml:space="preserve"> </w:t>
      </w:r>
      <w:r>
        <w:rPr>
          <w:b/>
        </w:rPr>
        <w:t>R</w:t>
      </w:r>
      <w:r>
        <w:t>,</w:t>
      </w:r>
    </w:p>
    <w:p>
      <w:pPr>
        <w:pStyle w:val="yMiscellaneousBody"/>
        <w:ind w:left="851" w:hanging="851"/>
      </w:pPr>
      <w:r>
        <w:tab/>
        <w:t xml:space="preserve">then </w:t>
      </w:r>
      <w:r>
        <w:rPr>
          <w:b/>
        </w:rPr>
        <w:t>P</w:t>
      </w:r>
      <w:r>
        <w:t xml:space="preserve"> + </w:t>
      </w:r>
      <w:r>
        <w:rPr>
          <w:b/>
        </w:rPr>
        <w:t>Q</w:t>
      </w:r>
    </w:p>
    <w:p>
      <w:pPr>
        <w:pStyle w:val="yMiscellaneousBody"/>
        <w:keepNext/>
        <w:ind w:left="851" w:hanging="879"/>
      </w:pPr>
      <w:r>
        <w:tab/>
        <w:t xml:space="preserve">or if — </w:t>
      </w:r>
    </w:p>
    <w:p>
      <w:pPr>
        <w:pStyle w:val="yMiscellaneousBody"/>
        <w:keepNext/>
        <w:ind w:left="1134" w:hanging="1134"/>
      </w:pPr>
      <w:r>
        <w:tab/>
        <w:t>(</w:t>
      </w:r>
      <w:r>
        <w:rPr>
          <w:b/>
        </w:rPr>
        <w:t>P</w:t>
      </w:r>
      <w:r>
        <w:t xml:space="preserve"> + </w:t>
      </w:r>
      <w:r>
        <w:rPr>
          <w:b/>
        </w:rPr>
        <w:t>Q</w:t>
      </w:r>
      <w:r>
        <w:t xml:space="preserve">) &gt; </w:t>
      </w:r>
      <w:r>
        <w:rPr>
          <w:b/>
        </w:rPr>
        <w:t>R</w:t>
      </w:r>
      <w:r>
        <w:t>; and</w:t>
      </w:r>
    </w:p>
    <w:p>
      <w:pPr>
        <w:pStyle w:val="yMiscellaneousBody"/>
        <w:ind w:left="1134" w:hanging="1134"/>
      </w:pPr>
      <w:r>
        <w:tab/>
      </w:r>
      <w:r>
        <w:rPr>
          <w:b/>
        </w:rPr>
        <w:t>N</w:t>
      </w:r>
      <w:r>
        <w:t xml:space="preserve"> </w:t>
      </w:r>
      <w:r>
        <w:sym w:font="Symbol" w:char="F0A3"/>
      </w:r>
      <w:r>
        <w:t xml:space="preserve"> </w:t>
      </w:r>
      <w:r>
        <w:rPr>
          <w:b/>
        </w:rPr>
        <w:t>W</w:t>
      </w:r>
      <w:r>
        <w:t>,</w:t>
      </w:r>
    </w:p>
    <w:p>
      <w:pPr>
        <w:pStyle w:val="yMiscellaneousBody"/>
        <w:ind w:left="879" w:hanging="879"/>
      </w:pPr>
      <w:r>
        <w:tab/>
        <w:t xml:space="preserve">then </w:t>
      </w:r>
      <w:r>
        <w:rPr>
          <w:b/>
        </w:rPr>
        <w:t>R</w:t>
      </w:r>
    </w:p>
    <w:p>
      <w:pPr>
        <w:pStyle w:val="yMiscellaneousBody"/>
        <w:keepNext/>
        <w:ind w:left="851" w:hanging="879"/>
      </w:pPr>
      <w:r>
        <w:tab/>
        <w:t xml:space="preserve">or if — </w:t>
      </w:r>
    </w:p>
    <w:p>
      <w:pPr>
        <w:pStyle w:val="yMiscellaneousBody"/>
        <w:keepNext/>
        <w:ind w:left="1134" w:hanging="1134"/>
      </w:pPr>
      <w:r>
        <w:tab/>
        <w:t>(</w:t>
      </w:r>
      <w:r>
        <w:rPr>
          <w:b/>
        </w:rPr>
        <w:t>P</w:t>
      </w:r>
      <w:r>
        <w:t xml:space="preserve"> + </w:t>
      </w:r>
      <w:r>
        <w:rPr>
          <w:b/>
        </w:rPr>
        <w:t>Q</w:t>
      </w:r>
      <w:r>
        <w:t xml:space="preserve">) &gt; </w:t>
      </w:r>
      <w:r>
        <w:rPr>
          <w:b/>
        </w:rPr>
        <w:t>R</w:t>
      </w:r>
      <w:r>
        <w:t>; and</w:t>
      </w:r>
    </w:p>
    <w:p>
      <w:pPr>
        <w:pStyle w:val="yMiscellaneousBody"/>
        <w:ind w:left="1134" w:hanging="1134"/>
      </w:pPr>
      <w:r>
        <w:tab/>
      </w:r>
      <w:r>
        <w:rPr>
          <w:b/>
        </w:rPr>
        <w:t>N</w:t>
      </w:r>
      <w:r>
        <w:t xml:space="preserve"> &gt; </w:t>
      </w:r>
      <w:r>
        <w:rPr>
          <w:b/>
        </w:rPr>
        <w:t>W</w:t>
      </w:r>
      <w:r>
        <w:t>,</w:t>
      </w:r>
    </w:p>
    <w:p>
      <w:pPr>
        <w:pStyle w:val="yMiscellaneousBody"/>
        <w:ind w:left="879" w:hanging="879"/>
      </w:pP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ind w:left="851" w:hanging="879"/>
      </w:pPr>
      <w:r>
        <w:tab/>
        <w:t xml:space="preserve">where — </w:t>
      </w:r>
    </w:p>
    <w:p>
      <w:pPr>
        <w:pStyle w:val="yMiscellaneousBody"/>
        <w:tabs>
          <w:tab w:val="left" w:pos="1134"/>
          <w:tab w:val="left" w:pos="1701"/>
        </w:tabs>
        <w:ind w:left="1701" w:hanging="1701"/>
      </w:pPr>
      <w:r>
        <w:tab/>
      </w:r>
      <w:r>
        <w:rPr>
          <w:b/>
        </w:rPr>
        <w:t>P</w:t>
      </w:r>
      <w:r>
        <w:t xml:space="preserve"> =</w:t>
      </w:r>
      <w:r>
        <w:tab/>
        <w:t>the service charge calculated in accordance with item 25;</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N</w:t>
      </w:r>
      <w:r>
        <w:t xml:space="preserve"> =</w:t>
      </w:r>
      <w:r>
        <w:tab/>
        <w:t>the discharge volume for the current discharge year;</w:t>
      </w:r>
    </w:p>
    <w:p>
      <w:pPr>
        <w:pStyle w:val="yMiscellaneousBody"/>
        <w:tabs>
          <w:tab w:val="left" w:pos="1134"/>
          <w:tab w:val="left" w:pos="1701"/>
        </w:tabs>
        <w:ind w:left="1701" w:hanging="1701"/>
      </w:pPr>
      <w:r>
        <w:tab/>
      </w:r>
      <w:r>
        <w:rPr>
          <w:b/>
        </w:rPr>
        <w:t>W</w:t>
      </w:r>
      <w:r>
        <w:t xml:space="preserve"> =</w:t>
      </w:r>
      <w:r>
        <w:tab/>
        <w:t>the discharge volume for the most recently completed discharge year;</w:t>
      </w:r>
    </w:p>
    <w:p>
      <w:pPr>
        <w:pStyle w:val="yMiscellaneousBody"/>
        <w:tabs>
          <w:tab w:val="left" w:pos="1134"/>
          <w:tab w:val="left" w:pos="1701"/>
        </w:tabs>
        <w:ind w:left="1701" w:hanging="1701"/>
      </w:pPr>
      <w:r>
        <w:tab/>
      </w:r>
      <w:r>
        <w:rPr>
          <w:b/>
        </w:rPr>
        <w:t>I</w:t>
      </w:r>
      <w:r>
        <w:t xml:space="preserve"> =</w:t>
      </w:r>
      <w:r>
        <w:tab/>
      </w:r>
      <w:r>
        <w:rPr>
          <w:szCs w:val="22"/>
        </w:rPr>
        <w:t>$3.1180</w:t>
      </w:r>
      <w:r>
        <w:t>.</w:t>
      </w:r>
    </w:p>
    <w:p>
      <w:pPr>
        <w:pStyle w:val="yHeading5"/>
        <w:spacing w:before="160"/>
      </w:pPr>
      <w:bookmarkStart w:id="230" w:name="_Toc434929882"/>
      <w:r>
        <w:rPr>
          <w:rStyle w:val="CharSClsNo"/>
        </w:rPr>
        <w:t>22</w:t>
      </w:r>
      <w:r>
        <w:t>.</w:t>
      </w:r>
      <w:r>
        <w:tab/>
        <w:t>Non</w:t>
      </w:r>
      <w:r>
        <w:noBreakHyphen/>
        <w:t>metropolitan non</w:t>
      </w:r>
      <w:r>
        <w:noBreakHyphen/>
        <w:t>strata titled caravan park with long</w:t>
      </w:r>
      <w:r>
        <w:noBreakHyphen/>
        <w:t>term residential caravan bays</w:t>
      </w:r>
      <w:bookmarkEnd w:id="230"/>
    </w:p>
    <w:p>
      <w:pPr>
        <w:pStyle w:val="yMiscellaneousBody"/>
        <w:tabs>
          <w:tab w:val="left" w:pos="284"/>
        </w:tabs>
        <w:spacing w:before="120"/>
        <w:ind w:left="879" w:hanging="879"/>
      </w:pPr>
      <w:r>
        <w:tab/>
      </w:r>
      <w:r>
        <w:tab/>
        <w:t>In respect of a caravan park in the non</w:t>
      </w:r>
      <w:r>
        <w:noBreakHyphen/>
        <w:t xml:space="preserve">metropolitan area that — </w:t>
      </w:r>
    </w:p>
    <w:p>
      <w:pPr>
        <w:pStyle w:val="yMiscellaneousBody"/>
        <w:tabs>
          <w:tab w:val="left" w:pos="1134"/>
        </w:tabs>
        <w:spacing w:before="80"/>
        <w:ind w:left="1560" w:right="-2" w:hanging="1701"/>
      </w:pPr>
      <w:r>
        <w:tab/>
        <w:t>(a)</w:t>
      </w:r>
      <w:r>
        <w:tab/>
        <w:t>does not consist wholly of strata</w:t>
      </w:r>
      <w:r>
        <w:noBreakHyphen/>
        <w:t>titled caravan bays; and</w:t>
      </w:r>
    </w:p>
    <w:p>
      <w:pPr>
        <w:pStyle w:val="yMiscellaneousBody"/>
        <w:tabs>
          <w:tab w:val="left" w:pos="1134"/>
        </w:tabs>
        <w:spacing w:before="80"/>
        <w:ind w:left="1560" w:right="-2" w:hanging="1701"/>
      </w:pPr>
      <w:r>
        <w:tab/>
        <w:t>(b)</w:t>
      </w:r>
      <w:r>
        <w:tab/>
        <w:t>has long</w:t>
      </w:r>
      <w:r>
        <w:noBreakHyphen/>
        <w:t>term residential caravan bays,</w:t>
      </w:r>
    </w:p>
    <w:p>
      <w:pPr>
        <w:pStyle w:val="yMiscellaneousBody"/>
        <w:tabs>
          <w:tab w:val="left" w:pos="284"/>
        </w:tabs>
        <w:spacing w:before="120"/>
        <w:ind w:left="879" w:hanging="879"/>
      </w:pPr>
      <w:r>
        <w:tab/>
      </w:r>
      <w:r>
        <w:tab/>
        <w:t>the charge is —</w:t>
      </w:r>
    </w:p>
    <w:p>
      <w:pPr>
        <w:pStyle w:val="yMiscellaneousBody"/>
        <w:tabs>
          <w:tab w:val="left" w:pos="851"/>
        </w:tabs>
      </w:pPr>
      <w:r>
        <w:tab/>
      </w:r>
      <w:r>
        <w:rPr>
          <w:b/>
        </w:rPr>
        <w:t>AA</w:t>
      </w:r>
      <w:r>
        <w:t xml:space="preserve"> + </w:t>
      </w:r>
      <w:r>
        <w:rPr>
          <w:b/>
        </w:rPr>
        <w:t>AB</w:t>
      </w:r>
    </w:p>
    <w:p>
      <w:pPr>
        <w:pStyle w:val="yMiscellaneousBody"/>
        <w:tabs>
          <w:tab w:val="left" w:pos="851"/>
          <w:tab w:val="left" w:pos="1560"/>
        </w:tabs>
        <w:ind w:left="1560" w:hanging="1560"/>
      </w:pPr>
      <w:r>
        <w:tab/>
        <w:t xml:space="preserve">where — </w:t>
      </w:r>
    </w:p>
    <w:p>
      <w:pPr>
        <w:pStyle w:val="yMiscellaneousBody"/>
        <w:tabs>
          <w:tab w:val="left" w:pos="1134"/>
          <w:tab w:val="left" w:pos="1701"/>
        </w:tabs>
        <w:ind w:left="1701" w:hanging="2268"/>
      </w:pPr>
      <w:r>
        <w:tab/>
      </w:r>
      <w:r>
        <w:rPr>
          <w:b/>
        </w:rPr>
        <w:t>AA</w:t>
      </w:r>
      <w:r>
        <w:t xml:space="preserve"> =</w:t>
      </w:r>
      <w:r>
        <w:tab/>
      </w:r>
      <w:r>
        <w:rPr>
          <w:szCs w:val="22"/>
        </w:rPr>
        <w:t>$280.16</w:t>
      </w:r>
      <w:r>
        <w:t xml:space="preserve"> for each long</w:t>
      </w:r>
      <w:r>
        <w:noBreakHyphen/>
        <w:t>term residential caravan bay;</w:t>
      </w:r>
    </w:p>
    <w:p>
      <w:pPr>
        <w:pStyle w:val="yMiscellaneousBody"/>
        <w:tabs>
          <w:tab w:val="left" w:pos="1134"/>
          <w:tab w:val="left" w:pos="1701"/>
        </w:tabs>
        <w:ind w:left="1701" w:hanging="2268"/>
      </w:pPr>
      <w:r>
        <w:tab/>
      </w:r>
      <w:r>
        <w:rPr>
          <w:b/>
        </w:rPr>
        <w:t>AB</w:t>
      </w:r>
      <w:r>
        <w:t xml:space="preserve"> =</w:t>
      </w:r>
      <w:r>
        <w:tab/>
        <w:t>for those parts of the caravan park not consisting of long</w:t>
      </w:r>
      <w:r>
        <w:noBreakHyphen/>
        <w:t xml:space="preserve">term residential caravan bays — </w:t>
      </w:r>
    </w:p>
    <w:p>
      <w:pPr>
        <w:pStyle w:val="yMiscellaneousBody"/>
        <w:tabs>
          <w:tab w:val="left" w:pos="1701"/>
        </w:tabs>
      </w:pPr>
      <w:r>
        <w:tab/>
        <w:t>if (</w:t>
      </w:r>
      <w:r>
        <w:rPr>
          <w:b/>
        </w:rPr>
        <w:t>Y</w:t>
      </w:r>
      <w:r>
        <w:t xml:space="preserve"> + </w:t>
      </w:r>
      <w:r>
        <w:rPr>
          <w:b/>
        </w:rPr>
        <w:t>Q</w:t>
      </w:r>
      <w:r>
        <w:t xml:space="preserve">) </w:t>
      </w:r>
      <w:r>
        <w:sym w:font="Symbol" w:char="F0A3"/>
      </w:r>
      <w:r>
        <w:t xml:space="preserve"> </w:t>
      </w:r>
      <w:r>
        <w:rPr>
          <w:b/>
        </w:rPr>
        <w:t>R</w:t>
      </w:r>
      <w:r>
        <w:t>,</w:t>
      </w:r>
    </w:p>
    <w:p>
      <w:pPr>
        <w:pStyle w:val="yMiscellaneousBody"/>
        <w:tabs>
          <w:tab w:val="left" w:pos="1701"/>
        </w:tabs>
      </w:pPr>
      <w:r>
        <w:tab/>
        <w:t xml:space="preserve">then </w:t>
      </w:r>
      <w:r>
        <w:rPr>
          <w:b/>
        </w:rPr>
        <w:t>Y</w:t>
      </w:r>
      <w:r>
        <w:t xml:space="preserve"> + </w:t>
      </w:r>
      <w:r>
        <w:rPr>
          <w:b/>
        </w:rPr>
        <w:t>Q</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w:t>
      </w:r>
      <w:r>
        <w:sym w:font="Symbol" w:char="F0A3"/>
      </w:r>
      <w:r>
        <w:t xml:space="preserve"> </w:t>
      </w:r>
      <w:r>
        <w:rPr>
          <w:b/>
        </w:rPr>
        <w:t>W</w:t>
      </w:r>
      <w:r>
        <w:t>,</w:t>
      </w:r>
    </w:p>
    <w:p>
      <w:pPr>
        <w:pStyle w:val="yMiscellaneousBody"/>
        <w:tabs>
          <w:tab w:val="left" w:pos="1701"/>
        </w:tabs>
        <w:rPr>
          <w:b/>
        </w:rPr>
      </w:pPr>
      <w:r>
        <w:tab/>
        <w:t xml:space="preserve">then </w:t>
      </w:r>
      <w:r>
        <w:rPr>
          <w:b/>
        </w:rPr>
        <w:t>R</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&gt; </w:t>
      </w:r>
      <w:r>
        <w:rPr>
          <w:b/>
        </w:rPr>
        <w:t>W</w:t>
      </w:r>
      <w:r>
        <w:t>,</w:t>
      </w:r>
    </w:p>
    <w:p>
      <w:pPr>
        <w:pStyle w:val="yMiscellaneousBody"/>
        <w:tabs>
          <w:tab w:val="left" w:pos="1701"/>
        </w:tabs>
      </w:pP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tabs>
          <w:tab w:val="left" w:pos="1701"/>
        </w:tabs>
        <w:spacing w:before="120"/>
      </w:pPr>
      <w:r>
        <w:tab/>
        <w:t xml:space="preserve">where — </w:t>
      </w:r>
    </w:p>
    <w:p>
      <w:pPr>
        <w:pStyle w:val="yMiscellaneousBody"/>
        <w:tabs>
          <w:tab w:val="left" w:pos="1985"/>
          <w:tab w:val="left" w:pos="2552"/>
        </w:tabs>
        <w:ind w:left="2552" w:hanging="2977"/>
      </w:pPr>
      <w:r>
        <w:tab/>
      </w:r>
      <w:r>
        <w:rPr>
          <w:b/>
        </w:rPr>
        <w:t>Y</w:t>
      </w:r>
      <w:r>
        <w:t xml:space="preserve"> =</w:t>
      </w:r>
      <w:r>
        <w:tab/>
        <w:t>the charge according to the number of major fixtures for the relevant part of the caravan park, that is, “</w:t>
      </w:r>
      <w:r>
        <w:rPr>
          <w:b/>
        </w:rPr>
        <w:t>C</w:t>
      </w:r>
      <w:r>
        <w:t>” in item 25;</w:t>
      </w:r>
    </w:p>
    <w:p>
      <w:pPr>
        <w:pStyle w:val="yMiscellaneousBody"/>
        <w:tabs>
          <w:tab w:val="left" w:pos="1985"/>
          <w:tab w:val="left" w:pos="2977"/>
        </w:tabs>
        <w:ind w:left="2552" w:hanging="2552"/>
      </w:pPr>
      <w:r>
        <w:tab/>
      </w:r>
      <w:r>
        <w:rPr>
          <w:b/>
        </w:rPr>
        <w:t>Q</w:t>
      </w:r>
      <w:r>
        <w:t xml:space="preserve"> =</w:t>
      </w:r>
      <w:r>
        <w:tab/>
        <w:t>the discharge charge calculated in accordance with item 26;</w:t>
      </w:r>
    </w:p>
    <w:p>
      <w:pPr>
        <w:pStyle w:val="yMiscellaneousBody"/>
        <w:tabs>
          <w:tab w:val="left" w:pos="1985"/>
          <w:tab w:val="left" w:pos="2977"/>
        </w:tabs>
        <w:ind w:left="2552" w:hanging="2552"/>
      </w:pPr>
      <w:r>
        <w:tab/>
      </w:r>
      <w:r>
        <w:rPr>
          <w:b/>
        </w:rPr>
        <w:t>R</w:t>
      </w:r>
      <w:r>
        <w:t xml:space="preserve"> =</w:t>
      </w:r>
      <w:r>
        <w:tab/>
        <w:t>the maximum charge calculated in accordance with item 28;</w:t>
      </w:r>
    </w:p>
    <w:p>
      <w:pPr>
        <w:pStyle w:val="yMiscellaneousBody"/>
        <w:tabs>
          <w:tab w:val="left" w:pos="1985"/>
          <w:tab w:val="left" w:pos="2977"/>
        </w:tabs>
        <w:ind w:left="2552" w:hanging="2552"/>
      </w:pPr>
      <w:r>
        <w:tab/>
      </w:r>
      <w:r>
        <w:rPr>
          <w:b/>
        </w:rPr>
        <w:t>N</w:t>
      </w:r>
      <w:r>
        <w:t xml:space="preserve"> =</w:t>
      </w:r>
      <w:r>
        <w:tab/>
        <w:t>the discharge volume for the current discharge year;</w:t>
      </w:r>
    </w:p>
    <w:p>
      <w:pPr>
        <w:pStyle w:val="yMiscellaneousBody"/>
        <w:tabs>
          <w:tab w:val="left" w:pos="1985"/>
          <w:tab w:val="left" w:pos="2977"/>
        </w:tabs>
        <w:ind w:left="2552" w:hanging="2552"/>
      </w:pPr>
      <w:r>
        <w:tab/>
      </w:r>
      <w:r>
        <w:rPr>
          <w:b/>
        </w:rPr>
        <w:t>W</w:t>
      </w:r>
      <w:r>
        <w:t xml:space="preserve"> =</w:t>
      </w:r>
      <w:r>
        <w:tab/>
        <w:t>the discharge volume for the most recently completed discharge year;</w:t>
      </w:r>
    </w:p>
    <w:p>
      <w:pPr>
        <w:pStyle w:val="yMiscellaneousBody"/>
        <w:tabs>
          <w:tab w:val="left" w:pos="1985"/>
          <w:tab w:val="left" w:pos="2977"/>
        </w:tabs>
        <w:ind w:left="2552" w:hanging="2552"/>
      </w:pPr>
      <w:r>
        <w:tab/>
      </w:r>
      <w:r>
        <w:rPr>
          <w:b/>
        </w:rPr>
        <w:t>I</w:t>
      </w:r>
      <w:r>
        <w:t xml:space="preserve"> =</w:t>
      </w:r>
      <w:r>
        <w:tab/>
      </w:r>
      <w:r>
        <w:rPr>
          <w:szCs w:val="22"/>
        </w:rPr>
        <w:t>$3.1180</w:t>
      </w:r>
      <w:r>
        <w:t>.</w:t>
      </w:r>
    </w:p>
    <w:p>
      <w:pPr>
        <w:pStyle w:val="yHeading5"/>
        <w:keepNext w:val="0"/>
        <w:keepLines w:val="0"/>
        <w:spacing w:before="180"/>
      </w:pPr>
      <w:bookmarkStart w:id="231" w:name="_Toc434929883"/>
      <w:r>
        <w:rPr>
          <w:rStyle w:val="CharSClsNo"/>
        </w:rPr>
        <w:t>23</w:t>
      </w:r>
      <w:r>
        <w:t>.</w:t>
      </w:r>
      <w:r>
        <w:tab/>
        <w:t>Non</w:t>
      </w:r>
      <w:r>
        <w:noBreakHyphen/>
        <w:t>metropolitan nursing home</w:t>
      </w:r>
      <w:bookmarkEnd w:id="231"/>
    </w:p>
    <w:p>
      <w:pPr>
        <w:pStyle w:val="yMiscellaneousBody"/>
        <w:tabs>
          <w:tab w:val="left" w:pos="284"/>
        </w:tabs>
        <w:spacing w:before="140"/>
        <w:ind w:left="879" w:right="-2" w:hanging="879"/>
      </w:pPr>
      <w:r>
        <w:tab/>
      </w:r>
      <w:r>
        <w:tab/>
        <w:t>In respect of a nursing home in the non</w:t>
      </w:r>
      <w:r>
        <w:noBreakHyphen/>
        <w:t>metropolitan area, other than a nursing home that is, or is part of, an aged home, the charge is —</w:t>
      </w:r>
    </w:p>
    <w:p>
      <w:pPr>
        <w:pStyle w:val="yMiscellaneousBody"/>
        <w:tabs>
          <w:tab w:val="left" w:pos="851"/>
        </w:tabs>
        <w:spacing w:before="140"/>
        <w:ind w:left="879" w:hanging="879"/>
      </w:pPr>
      <w:r>
        <w:tab/>
        <w:t>if (</w:t>
      </w:r>
      <w:r>
        <w:rPr>
          <w:b/>
        </w:rPr>
        <w:t>T</w:t>
      </w:r>
      <w:r>
        <w:t xml:space="preserve"> + </w:t>
      </w:r>
      <w:r>
        <w:rPr>
          <w:b/>
        </w:rPr>
        <w:t>Q</w:t>
      </w:r>
      <w:r>
        <w:t xml:space="preserve">) </w:t>
      </w:r>
      <w:r>
        <w:sym w:font="Symbol" w:char="F0A3"/>
      </w:r>
      <w:r>
        <w:t xml:space="preserve"> </w:t>
      </w:r>
      <w:r>
        <w:rPr>
          <w:b/>
        </w:rPr>
        <w:t>R</w:t>
      </w:r>
      <w:r>
        <w:t>,</w:t>
      </w:r>
    </w:p>
    <w:p>
      <w:pPr>
        <w:pStyle w:val="yMiscellaneousBody"/>
        <w:tabs>
          <w:tab w:val="left" w:pos="851"/>
        </w:tabs>
        <w:spacing w:before="140"/>
        <w:ind w:left="879" w:hanging="879"/>
      </w:pPr>
      <w:r>
        <w:tab/>
        <w:t xml:space="preserve">then </w:t>
      </w:r>
      <w:r>
        <w:rPr>
          <w:b/>
        </w:rPr>
        <w:t>T</w:t>
      </w:r>
      <w:r>
        <w:t xml:space="preserve"> + </w:t>
      </w:r>
      <w:r>
        <w:rPr>
          <w:b/>
        </w:rPr>
        <w:t>Q</w:t>
      </w:r>
    </w:p>
    <w:p>
      <w:pPr>
        <w:pStyle w:val="yMiscellaneousBody"/>
        <w:tabs>
          <w:tab w:val="left" w:pos="851"/>
        </w:tabs>
        <w:spacing w:before="140"/>
        <w:ind w:left="879" w:hanging="879"/>
      </w:pPr>
      <w:r>
        <w:tab/>
        <w:t>or if (</w:t>
      </w:r>
      <w:r>
        <w:rPr>
          <w:b/>
        </w:rPr>
        <w:t>T</w:t>
      </w:r>
      <w:r>
        <w:t xml:space="preserve"> + </w:t>
      </w:r>
      <w:r>
        <w:rPr>
          <w:b/>
        </w:rPr>
        <w:t>Q</w:t>
      </w:r>
      <w:r>
        <w:t xml:space="preserve">) &gt; </w:t>
      </w:r>
      <w:r>
        <w:rPr>
          <w:b/>
        </w:rPr>
        <w:t>R</w:t>
      </w:r>
      <w:r>
        <w:t>,</w:t>
      </w:r>
    </w:p>
    <w:p>
      <w:pPr>
        <w:pStyle w:val="yMiscellaneousBody"/>
        <w:tabs>
          <w:tab w:val="left" w:pos="851"/>
        </w:tabs>
        <w:spacing w:before="140"/>
        <w:ind w:left="879" w:hanging="879"/>
      </w:pPr>
      <w:r>
        <w:tab/>
        <w:t xml:space="preserve">then </w:t>
      </w:r>
      <w:r>
        <w:rPr>
          <w:b/>
        </w:rPr>
        <w:t>R</w:t>
      </w:r>
    </w:p>
    <w:p>
      <w:pPr>
        <w:pStyle w:val="yMiscellaneousBody"/>
        <w:keepNext/>
        <w:tabs>
          <w:tab w:val="left" w:pos="851"/>
        </w:tabs>
        <w:spacing w:before="140"/>
        <w:ind w:left="879" w:hanging="879"/>
      </w:pPr>
      <w:r>
        <w:tab/>
        <w:t xml:space="preserve">where — </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1134"/>
          <w:tab w:val="left" w:pos="1701"/>
        </w:tabs>
        <w:ind w:left="2552" w:hanging="2552"/>
      </w:pPr>
      <w:r>
        <w:tab/>
      </w:r>
      <w:r>
        <w:rPr>
          <w:b/>
        </w:rPr>
        <w:t>U</w:t>
      </w:r>
      <w:r>
        <w:t xml:space="preserve"> =</w:t>
      </w:r>
      <w:r>
        <w:tab/>
        <w:t>the number of beds in the nursing home;</w:t>
      </w:r>
    </w:p>
    <w:p>
      <w:pPr>
        <w:pStyle w:val="yMiscellaneousBody"/>
        <w:tabs>
          <w:tab w:val="left" w:pos="1134"/>
          <w:tab w:val="left" w:pos="1701"/>
        </w:tabs>
        <w:ind w:left="2552" w:hanging="2552"/>
      </w:pPr>
      <w:r>
        <w:tab/>
      </w:r>
      <w:r>
        <w:rPr>
          <w:b/>
        </w:rPr>
        <w:t>V</w:t>
      </w:r>
      <w:r>
        <w:t xml:space="preserve"> =</w:t>
      </w:r>
      <w:r>
        <w:tab/>
      </w:r>
      <w:r>
        <w:rPr>
          <w:szCs w:val="22"/>
        </w:rPr>
        <w:t>$153.53</w:t>
      </w:r>
      <w:r>
        <w:t>.</w:t>
      </w:r>
    </w:p>
    <w:p>
      <w:pPr>
        <w:pStyle w:val="yHeading5"/>
        <w:spacing w:before="180"/>
      </w:pPr>
      <w:bookmarkStart w:id="232" w:name="_Toc434929884"/>
      <w:r>
        <w:rPr>
          <w:rStyle w:val="CharSClsNo"/>
        </w:rPr>
        <w:t>24</w:t>
      </w:r>
      <w:r>
        <w:t>.</w:t>
      </w:r>
      <w:r>
        <w:tab/>
        <w:t>Certain non</w:t>
      </w:r>
      <w:r>
        <w:noBreakHyphen/>
        <w:t>metropolitan strata</w:t>
      </w:r>
      <w:r>
        <w:noBreakHyphen/>
        <w:t>titled units</w:t>
      </w:r>
      <w:bookmarkEnd w:id="232"/>
    </w:p>
    <w:p>
      <w:pPr>
        <w:pStyle w:val="yMiscellaneousBody"/>
        <w:tabs>
          <w:tab w:val="left" w:pos="284"/>
        </w:tabs>
        <w:ind w:left="879" w:right="-2" w:hanging="879"/>
      </w:pPr>
      <w:r>
        <w:tab/>
      </w:r>
      <w:r>
        <w:tab/>
        <w:t>In respect of land in the non</w:t>
      </w:r>
      <w:r>
        <w:noBreakHyphen/>
        <w:t xml:space="preserve">metropolitan area that — </w:t>
      </w:r>
    </w:p>
    <w:p>
      <w:pPr>
        <w:pStyle w:val="yMiscellaneousBody"/>
        <w:tabs>
          <w:tab w:val="left" w:pos="1134"/>
        </w:tabs>
        <w:spacing w:before="80"/>
        <w:ind w:left="1560" w:right="-2" w:hanging="1701"/>
      </w:pPr>
      <w:r>
        <w:tab/>
        <w:t>(a)</w:t>
      </w:r>
      <w:r>
        <w:tab/>
        <w:t>is contained in a lot; and</w:t>
      </w:r>
    </w:p>
    <w:p>
      <w:pPr>
        <w:pStyle w:val="yMiscellaneousBody"/>
        <w:tabs>
          <w:tab w:val="left" w:pos="1134"/>
        </w:tabs>
        <w:spacing w:before="80"/>
        <w:ind w:left="1560" w:right="-2" w:hanging="1701"/>
      </w:pPr>
      <w:r>
        <w:tab/>
        <w:t>(b)</w:t>
      </w:r>
      <w:r>
        <w:tab/>
        <w:t>is classified as non</w:t>
      </w:r>
      <w:r>
        <w:noBreakHyphen/>
        <w:t>residential; and</w:t>
      </w:r>
    </w:p>
    <w:p>
      <w:pPr>
        <w:pStyle w:val="yMiscellaneousBody"/>
        <w:tabs>
          <w:tab w:val="left" w:pos="1134"/>
        </w:tabs>
        <w:spacing w:before="80"/>
        <w:ind w:left="1560" w:right="-2" w:hanging="1701"/>
      </w:pPr>
      <w:r>
        <w:tab/>
        <w:t>(c)</w:t>
      </w:r>
      <w:r>
        <w:tab/>
        <w:t>is not covered by item 5 or 6; and</w:t>
      </w:r>
    </w:p>
    <w:p>
      <w:pPr>
        <w:pStyle w:val="yMiscellaneousBody"/>
        <w:tabs>
          <w:tab w:val="left" w:pos="1134"/>
        </w:tabs>
        <w:spacing w:before="80"/>
        <w:ind w:left="1560" w:right="-2" w:hanging="1701"/>
      </w:pPr>
      <w:r>
        <w:tab/>
        <w:t>(d)</w:t>
      </w:r>
      <w:r>
        <w:tab/>
        <w:t>shares one or more major fixtures, that discharge into a sewer of the Water Corporation, with other such land and has no other major fixtures that discharge into such a sewer; and</w:t>
      </w:r>
    </w:p>
    <w:p>
      <w:pPr>
        <w:pStyle w:val="yMiscellaneousBody"/>
        <w:tabs>
          <w:tab w:val="left" w:pos="1134"/>
        </w:tabs>
        <w:spacing w:before="80"/>
        <w:ind w:left="1560" w:right="-2" w:hanging="1701"/>
      </w:pPr>
      <w:r>
        <w:tab/>
        <w:t>(e)</w:t>
      </w:r>
      <w:r>
        <w:tab/>
        <w:t>the number of major fixtures shared by all units on the relevant strata plan is less than the number of those units,</w:t>
      </w:r>
    </w:p>
    <w:p>
      <w:pPr>
        <w:pStyle w:val="yMiscellaneousBody"/>
        <w:tabs>
          <w:tab w:val="left" w:pos="284"/>
        </w:tabs>
        <w:ind w:left="879" w:right="-2" w:hanging="879"/>
      </w:pPr>
      <w:r>
        <w:tab/>
      </w:r>
      <w:r>
        <w:tab/>
        <w:t>the charge is —</w:t>
      </w:r>
    </w:p>
    <w:p>
      <w:pPr>
        <w:pStyle w:val="yMiscellaneousBody"/>
        <w:tabs>
          <w:tab w:val="left" w:pos="851"/>
        </w:tabs>
        <w:ind w:left="879" w:hanging="879"/>
      </w:pPr>
      <w:r>
        <w:tab/>
      </w:r>
      <w:r>
        <w:rPr>
          <w:b/>
        </w:rPr>
        <w:t>T</w:t>
      </w:r>
      <w:r>
        <w:t xml:space="preserve"> + </w:t>
      </w:r>
      <w:r>
        <w:rPr>
          <w:b/>
        </w:rPr>
        <w:t>Q</w:t>
      </w:r>
    </w:p>
    <w:p>
      <w:pPr>
        <w:pStyle w:val="yMiscellaneousBody"/>
        <w:keepNext/>
        <w:tabs>
          <w:tab w:val="left" w:pos="851"/>
        </w:tabs>
        <w:ind w:left="879" w:hanging="879"/>
      </w:pPr>
      <w:r>
        <w:tab/>
        <w:t xml:space="preserve">where — </w:t>
      </w:r>
    </w:p>
    <w:p>
      <w:pPr>
        <w:pStyle w:val="yMiscellaneousBody"/>
        <w:tabs>
          <w:tab w:val="left" w:pos="1134"/>
          <w:tab w:val="left" w:pos="1701"/>
        </w:tabs>
        <w:ind w:left="1701" w:hanging="1701"/>
      </w:pPr>
      <w:r>
        <w:tab/>
      </w:r>
      <w:r>
        <w:rPr>
          <w:b/>
        </w:rPr>
        <w:t>T</w:t>
      </w:r>
      <w:r>
        <w:t xml:space="preserve"> =</w:t>
      </w:r>
      <w:r>
        <w:tab/>
      </w:r>
      <w:r>
        <w:rPr>
          <w:szCs w:val="22"/>
        </w:rPr>
        <w:t>$527.46</w:t>
      </w:r>
      <w:r>
        <w:t>;</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Heading4"/>
        <w:spacing w:before="160"/>
      </w:pPr>
      <w:bookmarkStart w:id="233" w:name="_Toc429577068"/>
      <w:bookmarkStart w:id="234" w:name="_Toc434929885"/>
      <w:r>
        <w:t>Subdivision 5</w:t>
      </w:r>
      <w:r>
        <w:rPr>
          <w:b w:val="0"/>
        </w:rPr>
        <w:t> — </w:t>
      </w:r>
      <w:r>
        <w:t>Calculation of certain factors for the purposes of Subdivision 4</w:t>
      </w:r>
      <w:bookmarkEnd w:id="233"/>
      <w:bookmarkEnd w:id="234"/>
    </w:p>
    <w:p>
      <w:pPr>
        <w:pStyle w:val="yHeading5"/>
        <w:spacing w:before="160"/>
      </w:pPr>
      <w:bookmarkStart w:id="235" w:name="_Toc434929886"/>
      <w:r>
        <w:rPr>
          <w:rStyle w:val="CharSClsNo"/>
        </w:rPr>
        <w:t>25</w:t>
      </w:r>
      <w:r>
        <w:t>.</w:t>
      </w:r>
      <w:r>
        <w:tab/>
        <w:t>Service charge</w:t>
      </w:r>
      <w:bookmarkEnd w:id="235"/>
    </w:p>
    <w:p>
      <w:pPr>
        <w:pStyle w:val="yMiscellaneousBody"/>
        <w:tabs>
          <w:tab w:val="left" w:pos="284"/>
        </w:tabs>
        <w:ind w:left="879" w:right="-2" w:hanging="879"/>
      </w:pPr>
      <w:r>
        <w:tab/>
      </w:r>
      <w:r>
        <w:tab/>
        <w:t>The service charge (</w:t>
      </w:r>
      <w:r>
        <w:rPr>
          <w:b/>
          <w:i/>
        </w:rPr>
        <w:t>P</w:t>
      </w:r>
      <w:r>
        <w:t>) is —</w:t>
      </w:r>
    </w:p>
    <w:p>
      <w:pPr>
        <w:pStyle w:val="yMiscellaneousBody"/>
        <w:tabs>
          <w:tab w:val="left" w:pos="879"/>
        </w:tabs>
        <w:ind w:left="879" w:hanging="879"/>
      </w:pPr>
      <w:r>
        <w:tab/>
        <w:t xml:space="preserve">if </w:t>
      </w:r>
      <w:r>
        <w:rPr>
          <w:b/>
        </w:rPr>
        <w:t>R</w:t>
      </w:r>
      <w:r>
        <w:t xml:space="preserve"> </w:t>
      </w:r>
      <w:r>
        <w:sym w:font="Symbol" w:char="F0A3"/>
      </w:r>
      <w:r>
        <w:t xml:space="preserve"> (</w:t>
      </w:r>
      <w:r>
        <w:rPr>
          <w:b/>
        </w:rPr>
        <w:t>C</w:t>
      </w:r>
      <w:r>
        <w:t xml:space="preserve"> + </w:t>
      </w:r>
      <w:r>
        <w:rPr>
          <w:b/>
        </w:rPr>
        <w:t>D</w:t>
      </w:r>
      <w:r>
        <w:t>),</w:t>
      </w:r>
    </w:p>
    <w:p>
      <w:pPr>
        <w:pStyle w:val="yMiscellaneousBody"/>
        <w:tabs>
          <w:tab w:val="left" w:pos="851"/>
        </w:tabs>
        <w:ind w:left="879" w:hanging="879"/>
      </w:pPr>
      <w:r>
        <w:tab/>
        <w:t xml:space="preserve">then </w:t>
      </w:r>
      <w:r>
        <w:rPr>
          <w:b/>
        </w:rPr>
        <w:t>R</w:t>
      </w:r>
    </w:p>
    <w:p>
      <w:pPr>
        <w:pStyle w:val="yMiscellaneousBody"/>
        <w:tabs>
          <w:tab w:val="left" w:pos="879"/>
        </w:tabs>
        <w:ind w:left="879" w:hanging="879"/>
      </w:pPr>
      <w:r>
        <w:tab/>
        <w:t xml:space="preserve">or if </w:t>
      </w:r>
      <w:r>
        <w:rPr>
          <w:b/>
        </w:rPr>
        <w:t>R</w:t>
      </w:r>
      <w:r>
        <w:t xml:space="preserve"> &gt; (</w:t>
      </w:r>
      <w:r>
        <w:rPr>
          <w:b/>
        </w:rPr>
        <w:t>C</w:t>
      </w:r>
      <w:r>
        <w:t xml:space="preserve"> + </w:t>
      </w:r>
      <w:r>
        <w:rPr>
          <w:b/>
        </w:rPr>
        <w:t>D</w:t>
      </w:r>
      <w:r>
        <w:t>),</w:t>
      </w:r>
    </w:p>
    <w:p>
      <w:pPr>
        <w:pStyle w:val="yMiscellaneousBody"/>
        <w:tabs>
          <w:tab w:val="left" w:pos="879"/>
        </w:tabs>
        <w:ind w:left="879" w:hanging="879"/>
      </w:pPr>
      <w:r>
        <w:tab/>
        <w:t xml:space="preserve">then </w:t>
      </w:r>
      <w:r>
        <w:rPr>
          <w:b/>
        </w:rPr>
        <w:t>C</w:t>
      </w:r>
    </w:p>
    <w:p>
      <w:pPr>
        <w:pStyle w:val="yMiscellaneousBody"/>
        <w:tabs>
          <w:tab w:val="left" w:pos="851"/>
        </w:tabs>
        <w:ind w:left="879" w:hanging="879"/>
      </w:pPr>
      <w:r>
        <w:tab/>
        <w:t xml:space="preserve">where — </w:t>
      </w:r>
    </w:p>
    <w:p>
      <w:pPr>
        <w:pStyle w:val="yMiscellaneousBody"/>
        <w:tabs>
          <w:tab w:val="left" w:pos="1134"/>
          <w:tab w:val="left" w:pos="1701"/>
        </w:tabs>
        <w:spacing w:before="120"/>
        <w:ind w:left="1701" w:hanging="1701"/>
      </w:pPr>
      <w:r>
        <w:tab/>
      </w:r>
      <w:r>
        <w:rPr>
          <w:b/>
        </w:rPr>
        <w:t>R</w:t>
      </w:r>
      <w:r>
        <w:t xml:space="preserve"> =</w:t>
      </w:r>
      <w:r>
        <w:tab/>
        <w:t>the maximum charge calculated in accordance with item 28;</w:t>
      </w:r>
    </w:p>
    <w:p>
      <w:pPr>
        <w:pStyle w:val="yMiscellaneousBody"/>
        <w:tabs>
          <w:tab w:val="left" w:pos="1134"/>
          <w:tab w:val="left" w:pos="1701"/>
        </w:tabs>
        <w:spacing w:before="120"/>
        <w:ind w:left="1701" w:hanging="1701"/>
      </w:pPr>
      <w:r>
        <w:tab/>
      </w:r>
      <w:r>
        <w:rPr>
          <w:b/>
        </w:rPr>
        <w:t>C</w:t>
      </w:r>
      <w:r>
        <w:t xml:space="preserve"> =</w:t>
      </w:r>
      <w:r>
        <w:tab/>
        <w:t>the charge, according to the number of major fixtures for the land, that is the sum of the charges for each fixture, as set out in the Table;</w:t>
      </w:r>
    </w:p>
    <w:p>
      <w:pPr>
        <w:pStyle w:val="yMiscellaneousBody"/>
        <w:tabs>
          <w:tab w:val="left" w:pos="1134"/>
          <w:tab w:val="left" w:pos="1701"/>
        </w:tabs>
        <w:spacing w:before="120"/>
        <w:ind w:left="1701" w:hanging="1701"/>
      </w:pPr>
      <w:r>
        <w:tab/>
      </w:r>
      <w:r>
        <w:rPr>
          <w:b/>
        </w:rPr>
        <w:t>D</w:t>
      </w:r>
      <w:r>
        <w:t xml:space="preserve"> =</w:t>
      </w:r>
      <w:r>
        <w:tab/>
        <w:t>the discharge charge calculated in accordance with item 26.</w:t>
      </w:r>
    </w:p>
    <w:p>
      <w:pPr>
        <w:pStyle w:val="yTHeadingNAm"/>
        <w:spacing w:before="100"/>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keepNext/>
              <w:jc w:val="center"/>
            </w:pPr>
          </w:p>
        </w:tc>
        <w:tc>
          <w:tcPr>
            <w:tcW w:w="2268" w:type="dxa"/>
            <w:tcBorders>
              <w:top w:val="single" w:sz="4" w:space="0" w:color="auto"/>
              <w:bottom w:val="single" w:sz="4" w:space="0" w:color="auto"/>
            </w:tcBorders>
          </w:tcPr>
          <w:p>
            <w:pPr>
              <w:pStyle w:val="yTableNAm"/>
              <w:keepNext/>
              <w:jc w:val="center"/>
            </w:pPr>
            <w:r>
              <w:rPr>
                <w:b/>
              </w:rPr>
              <w:t>Charge</w:t>
            </w:r>
          </w:p>
        </w:tc>
      </w:tr>
      <w:tr>
        <w:tc>
          <w:tcPr>
            <w:tcW w:w="2268" w:type="dxa"/>
            <w:tcMar>
              <w:left w:w="284" w:type="dxa"/>
            </w:tcMar>
          </w:tcPr>
          <w:p>
            <w:pPr>
              <w:pStyle w:val="yTableNAm"/>
            </w:pPr>
            <w:r>
              <w:t>1</w:t>
            </w:r>
            <w:r>
              <w:rPr>
                <w:vertAlign w:val="superscript"/>
              </w:rPr>
              <w:t>st</w:t>
            </w:r>
            <w:r>
              <w:t xml:space="preserve"> fixture</w:t>
            </w:r>
          </w:p>
        </w:tc>
        <w:tc>
          <w:tcPr>
            <w:tcW w:w="2268" w:type="dxa"/>
          </w:tcPr>
          <w:p>
            <w:pPr>
              <w:pStyle w:val="yTableNAm"/>
              <w:jc w:val="center"/>
            </w:pPr>
            <w:r>
              <w:rPr>
                <w:szCs w:val="22"/>
              </w:rPr>
              <w:t>$848.50</w:t>
            </w:r>
          </w:p>
        </w:tc>
      </w:tr>
      <w:tr>
        <w:tc>
          <w:tcPr>
            <w:tcW w:w="2268" w:type="dxa"/>
            <w:tcMar>
              <w:left w:w="284" w:type="dxa"/>
            </w:tcMar>
          </w:tcPr>
          <w:p>
            <w:pPr>
              <w:pStyle w:val="yTableNAm"/>
            </w:pPr>
            <w:r>
              <w:t>2</w:t>
            </w:r>
            <w:r>
              <w:rPr>
                <w:vertAlign w:val="superscript"/>
              </w:rPr>
              <w:t>nd</w:t>
            </w:r>
            <w:r>
              <w:t xml:space="preserve"> fixture</w:t>
            </w:r>
          </w:p>
        </w:tc>
        <w:tc>
          <w:tcPr>
            <w:tcW w:w="2268" w:type="dxa"/>
          </w:tcPr>
          <w:p>
            <w:pPr>
              <w:pStyle w:val="yTableNAm"/>
              <w:jc w:val="center"/>
            </w:pPr>
            <w:r>
              <w:rPr>
                <w:szCs w:val="22"/>
              </w:rPr>
              <w:t>$363.21</w:t>
            </w:r>
          </w:p>
        </w:tc>
      </w:tr>
      <w:tr>
        <w:tc>
          <w:tcPr>
            <w:tcW w:w="2268" w:type="dxa"/>
            <w:tcMar>
              <w:left w:w="284" w:type="dxa"/>
            </w:tcMar>
          </w:tcPr>
          <w:p>
            <w:pPr>
              <w:pStyle w:val="yTableNAm"/>
            </w:pPr>
            <w:r>
              <w:t>3</w:t>
            </w:r>
            <w:r>
              <w:rPr>
                <w:vertAlign w:val="superscript"/>
              </w:rPr>
              <w:t>rd</w:t>
            </w:r>
            <w:r>
              <w:t xml:space="preserve"> fixture</w:t>
            </w:r>
          </w:p>
        </w:tc>
        <w:tc>
          <w:tcPr>
            <w:tcW w:w="2268" w:type="dxa"/>
          </w:tcPr>
          <w:p>
            <w:pPr>
              <w:pStyle w:val="yTableNAm"/>
              <w:jc w:val="center"/>
            </w:pPr>
            <w:r>
              <w:rPr>
                <w:szCs w:val="22"/>
              </w:rPr>
              <w:t>$485.05</w:t>
            </w:r>
          </w:p>
        </w:tc>
      </w:tr>
      <w:tr>
        <w:tc>
          <w:tcPr>
            <w:tcW w:w="2268" w:type="dxa"/>
            <w:tcBorders>
              <w:bottom w:val="single" w:sz="4" w:space="0" w:color="auto"/>
            </w:tcBorders>
            <w:tcMar>
              <w:left w:w="284" w:type="dxa"/>
            </w:tcMar>
          </w:tcPr>
          <w:p>
            <w:pPr>
              <w:pStyle w:val="yTableNAm"/>
              <w:ind w:left="284" w:hanging="284"/>
            </w:pPr>
            <w:r>
              <w:t>4</w:t>
            </w:r>
            <w:r>
              <w:rPr>
                <w:vertAlign w:val="superscript"/>
              </w:rPr>
              <w:t>th</w:t>
            </w:r>
            <w:r>
              <w:t xml:space="preserve"> and subsequent</w:t>
            </w:r>
            <w:r>
              <w:br/>
              <w:t>fixtures</w:t>
            </w:r>
          </w:p>
        </w:tc>
        <w:tc>
          <w:tcPr>
            <w:tcW w:w="2268" w:type="dxa"/>
            <w:tcBorders>
              <w:bottom w:val="single" w:sz="4" w:space="0" w:color="auto"/>
            </w:tcBorders>
          </w:tcPr>
          <w:p>
            <w:pPr>
              <w:pStyle w:val="yTableNAm"/>
              <w:jc w:val="center"/>
            </w:pPr>
            <w:r>
              <w:rPr>
                <w:szCs w:val="22"/>
              </w:rPr>
              <w:t>$527.46</w:t>
            </w:r>
          </w:p>
        </w:tc>
      </w:tr>
    </w:tbl>
    <w:p>
      <w:pPr>
        <w:pStyle w:val="yHeading5"/>
      </w:pPr>
      <w:bookmarkStart w:id="236" w:name="_Toc434929887"/>
      <w:r>
        <w:rPr>
          <w:rStyle w:val="CharSClsNo"/>
        </w:rPr>
        <w:t>26</w:t>
      </w:r>
      <w:r>
        <w:t>.</w:t>
      </w:r>
      <w:r>
        <w:tab/>
        <w:t>Discharge charge</w:t>
      </w:r>
      <w:bookmarkEnd w:id="236"/>
    </w:p>
    <w:p>
      <w:pPr>
        <w:pStyle w:val="yMiscellaneousBody"/>
        <w:tabs>
          <w:tab w:val="left" w:pos="284"/>
        </w:tabs>
        <w:ind w:left="879" w:right="-2" w:hanging="879"/>
      </w:pPr>
      <w:r>
        <w:tab/>
      </w:r>
      <w:r>
        <w:tab/>
        <w:t>The discharge charge (</w:t>
      </w:r>
      <w:r>
        <w:rPr>
          <w:b/>
          <w:i/>
        </w:rPr>
        <w:t>Q</w:t>
      </w:r>
      <w:r>
        <w:t>) is —</w:t>
      </w:r>
    </w:p>
    <w:p>
      <w:pPr>
        <w:pStyle w:val="yMiscellaneousBody"/>
        <w:tabs>
          <w:tab w:val="left" w:pos="851"/>
        </w:tabs>
        <w:ind w:left="879" w:hanging="879"/>
      </w:pP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851"/>
        </w:tabs>
        <w:ind w:left="879" w:hanging="879"/>
      </w:pPr>
      <w:r>
        <w:tab/>
        <w:t>then nil</w:t>
      </w:r>
    </w:p>
    <w:p>
      <w:pPr>
        <w:pStyle w:val="yMiscellaneousBody"/>
        <w:tabs>
          <w:tab w:val="left" w:pos="851"/>
        </w:tabs>
        <w:ind w:left="879" w:hanging="879"/>
      </w:pPr>
      <w:r>
        <w:tab/>
        <w:t>or if (</w:t>
      </w:r>
      <w:r>
        <w:rPr>
          <w:b/>
        </w:rPr>
        <w:t>F</w:t>
      </w:r>
      <w:r>
        <w:t xml:space="preserve"> </w:t>
      </w:r>
      <w:r>
        <w:sym w:font="Symbol" w:char="F0B4"/>
      </w:r>
      <w:r>
        <w:t xml:space="preserve"> </w:t>
      </w:r>
      <w:r>
        <w:rPr>
          <w:b/>
        </w:rPr>
        <w:t>G</w:t>
      </w:r>
      <w:r>
        <w:t xml:space="preserve">) &gt; </w:t>
      </w:r>
      <w:r>
        <w:rPr>
          <w:b/>
        </w:rPr>
        <w:t>H</w:t>
      </w:r>
      <w:r>
        <w:t xml:space="preserve">, </w:t>
      </w:r>
    </w:p>
    <w:p>
      <w:pPr>
        <w:pStyle w:val="yMiscellaneousBody"/>
        <w:tabs>
          <w:tab w:val="left" w:pos="851"/>
        </w:tabs>
        <w:ind w:left="879" w:hanging="879"/>
        <w:rPr>
          <w:b/>
        </w:rPr>
      </w:pP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851"/>
        </w:tabs>
        <w:ind w:left="879" w:hanging="879"/>
      </w:pPr>
      <w:r>
        <w:tab/>
        <w:t xml:space="preserve">where — </w:t>
      </w:r>
    </w:p>
    <w:p>
      <w:pPr>
        <w:pStyle w:val="yMiscellaneousBody"/>
        <w:tabs>
          <w:tab w:val="left" w:pos="1134"/>
          <w:tab w:val="left" w:pos="1701"/>
        </w:tabs>
        <w:ind w:left="1701" w:hanging="1701"/>
      </w:pPr>
      <w:r>
        <w:tab/>
      </w:r>
      <w:r>
        <w:rPr>
          <w:b/>
        </w:rPr>
        <w:t>F</w:t>
      </w:r>
      <w:r>
        <w:t xml:space="preserve"> =</w:t>
      </w:r>
      <w:r>
        <w:tab/>
        <w:t>the volume of water supplied to the land in the current consumption year;</w:t>
      </w:r>
    </w:p>
    <w:p>
      <w:pPr>
        <w:pStyle w:val="yMiscellaneousBody"/>
        <w:tabs>
          <w:tab w:val="left" w:pos="1134"/>
          <w:tab w:val="left" w:pos="1701"/>
        </w:tabs>
        <w:ind w:left="1701" w:hanging="1701"/>
      </w:pPr>
      <w:r>
        <w:tab/>
      </w:r>
      <w:r>
        <w:rPr>
          <w:b/>
        </w:rPr>
        <w:t>G</w:t>
      </w:r>
      <w:r>
        <w:t xml:space="preserve"> =</w:t>
      </w:r>
      <w:r>
        <w:tab/>
        <w:t>the discharge factor applicable for the land for the current discharge year;</w:t>
      </w:r>
    </w:p>
    <w:p>
      <w:pPr>
        <w:pStyle w:val="yMiscellaneousBody"/>
        <w:tabs>
          <w:tab w:val="left" w:pos="1134"/>
          <w:tab w:val="left" w:pos="1701"/>
        </w:tabs>
        <w:ind w:left="1701" w:hanging="1701"/>
      </w:pPr>
      <w:r>
        <w:tab/>
      </w:r>
      <w:r>
        <w:rPr>
          <w:b/>
        </w:rPr>
        <w:t>H</w:t>
      </w:r>
      <w:r>
        <w:t xml:space="preserve"> =</w:t>
      </w:r>
      <w:r>
        <w:tab/>
        <w:t>the discharge allowance for the current discharge year worked out in accordance with item 27;</w:t>
      </w:r>
    </w:p>
    <w:p>
      <w:pPr>
        <w:pStyle w:val="yMiscellaneousBody"/>
        <w:tabs>
          <w:tab w:val="left" w:pos="1134"/>
          <w:tab w:val="left" w:pos="1701"/>
        </w:tabs>
        <w:ind w:left="1701" w:hanging="1701"/>
      </w:pPr>
      <w:r>
        <w:tab/>
      </w:r>
      <w:r>
        <w:rPr>
          <w:b/>
        </w:rPr>
        <w:t>I</w:t>
      </w:r>
      <w:r>
        <w:t xml:space="preserve"> =</w:t>
      </w:r>
      <w:r>
        <w:tab/>
      </w:r>
      <w:r>
        <w:rPr>
          <w:szCs w:val="22"/>
        </w:rPr>
        <w:t>$3.1180</w:t>
      </w:r>
      <w:r>
        <w:t>,</w:t>
      </w:r>
    </w:p>
    <w:p>
      <w:pPr>
        <w:pStyle w:val="yMiscellaneousBody"/>
        <w:tabs>
          <w:tab w:val="left" w:pos="851"/>
          <w:tab w:val="left" w:pos="1701"/>
        </w:tabs>
        <w:ind w:left="1701" w:hanging="1701"/>
      </w:pP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237" w:name="_Toc434929888"/>
      <w:r>
        <w:rPr>
          <w:rStyle w:val="CharSClsNo"/>
        </w:rPr>
        <w:t>27</w:t>
      </w:r>
      <w:r>
        <w:t>.</w:t>
      </w:r>
      <w:r>
        <w:tab/>
        <w:t>Discharge allowance</w:t>
      </w:r>
      <w:bookmarkEnd w:id="237"/>
    </w:p>
    <w:p>
      <w:pPr>
        <w:pStyle w:val="yMiscellaneousBody"/>
        <w:tabs>
          <w:tab w:val="left" w:pos="284"/>
        </w:tabs>
        <w:ind w:left="879" w:right="-2" w:hanging="879"/>
      </w:pPr>
      <w:r>
        <w:tab/>
        <w:t>(1)</w:t>
      </w:r>
      <w:r>
        <w:tab/>
        <w:t>The discharge allowance for the current discharge year is —</w:t>
      </w:r>
    </w:p>
    <w:p>
      <w:pPr>
        <w:pStyle w:val="yMiscellaneousBody"/>
        <w:tabs>
          <w:tab w:val="left" w:pos="1134"/>
        </w:tabs>
        <w:spacing w:before="80"/>
        <w:ind w:left="1560" w:right="-2" w:hanging="1701"/>
      </w:pPr>
      <w:r>
        <w:tab/>
        <w:t>(a)</w:t>
      </w:r>
      <w:r>
        <w:tab/>
        <w:t>for land to which item 21 applies that is not covered by paragraph (e) — 200 kL;</w:t>
      </w:r>
    </w:p>
    <w:p>
      <w:pPr>
        <w:pStyle w:val="yMiscellaneousBody"/>
        <w:tabs>
          <w:tab w:val="left" w:pos="1134"/>
        </w:tabs>
        <w:spacing w:before="80"/>
        <w:ind w:left="1560" w:right="-2" w:hanging="1701"/>
      </w:pPr>
      <w:r>
        <w:tab/>
        <w:t>(b)</w:t>
      </w:r>
      <w:r>
        <w:tab/>
        <w:t>for land held by a government trading organisation or by a public authority that holds non</w:t>
      </w:r>
      <w:r>
        <w:noBreakHyphen/>
        <w:t>commercial government property — 200 kL;</w:t>
      </w:r>
    </w:p>
    <w:p>
      <w:pPr>
        <w:pStyle w:val="yMiscellaneousBody"/>
        <w:tabs>
          <w:tab w:val="left" w:pos="1134"/>
        </w:tabs>
        <w:spacing w:before="80"/>
        <w:ind w:left="1560" w:right="-2" w:hanging="1701"/>
      </w:pPr>
      <w:r>
        <w:tab/>
        <w:t>(c)</w:t>
      </w:r>
      <w:r>
        <w:tab/>
        <w:t>for a caravan park referred to in item 22 — the amount (in kL) calculated in accordance with the formula in sub</w:t>
      </w:r>
      <w:r>
        <w:noBreakHyphen/>
        <w:t>item (2);</w:t>
      </w:r>
    </w:p>
    <w:p>
      <w:pPr>
        <w:pStyle w:val="yMiscellaneousBody"/>
        <w:tabs>
          <w:tab w:val="left" w:pos="1134"/>
        </w:tabs>
        <w:spacing w:before="80"/>
        <w:ind w:left="1560" w:right="-2" w:hanging="1701"/>
      </w:pPr>
      <w:r>
        <w:tab/>
        <w:t>(d)</w:t>
      </w:r>
      <w:r>
        <w:tab/>
        <w:t>for a nursing home referred to in item 23 — 75 kL per bed;</w:t>
      </w:r>
    </w:p>
    <w:p>
      <w:pPr>
        <w:pStyle w:val="yMiscellaneousBody"/>
        <w:tabs>
          <w:tab w:val="left" w:pos="1134"/>
        </w:tabs>
        <w:spacing w:before="80"/>
        <w:ind w:left="1560" w:right="-2" w:hanging="1701"/>
      </w:pPr>
      <w:r>
        <w:tab/>
        <w:t>(e)</w:t>
      </w:r>
      <w:r>
        <w:tab/>
        <w:t>for properties that share a metered property water supply connection — 200 kL for each property.</w:t>
      </w:r>
    </w:p>
    <w:p>
      <w:pPr>
        <w:pStyle w:val="yMiscellaneousBody"/>
        <w:keepNext/>
        <w:keepLines/>
        <w:tabs>
          <w:tab w:val="left" w:pos="284"/>
        </w:tabs>
        <w:ind w:left="879" w:hanging="879"/>
      </w:pPr>
      <w:r>
        <w:tab/>
        <w:t>(2)</w:t>
      </w:r>
      <w:r>
        <w:tab/>
        <w:t>The formula for the purposes of sub</w:t>
      </w:r>
      <w:r>
        <w:noBreakHyphen/>
        <w:t>item (1)(c) is —</w:t>
      </w:r>
    </w:p>
    <w:p>
      <w:pPr>
        <w:pStyle w:val="yMiscellaneousBody"/>
        <w:keepNext/>
        <w:keepLines/>
        <w:tabs>
          <w:tab w:val="left" w:pos="856"/>
        </w:tabs>
        <w:ind w:left="879" w:hanging="879"/>
      </w:pPr>
      <w:r>
        <w:rPr>
          <w:b/>
        </w:rPr>
        <w:tab/>
        <w:t>L</w:t>
      </w:r>
      <w:r>
        <w:t xml:space="preserve"> + </w:t>
      </w:r>
      <w:r>
        <w:rPr>
          <w:b/>
        </w:rPr>
        <w:t>M</w:t>
      </w:r>
    </w:p>
    <w:p>
      <w:pPr>
        <w:pStyle w:val="yMiscellaneousBody"/>
        <w:tabs>
          <w:tab w:val="left" w:pos="856"/>
        </w:tabs>
        <w:ind w:left="879" w:hanging="879"/>
      </w:pPr>
      <w:r>
        <w:tab/>
        <w:t xml:space="preserve">where — </w:t>
      </w:r>
    </w:p>
    <w:p>
      <w:pPr>
        <w:pStyle w:val="yMiscellaneousBody"/>
        <w:tabs>
          <w:tab w:val="left" w:pos="1134"/>
          <w:tab w:val="left" w:pos="1701"/>
        </w:tabs>
        <w:ind w:left="1701" w:hanging="1701"/>
      </w:pPr>
      <w:r>
        <w:tab/>
      </w:r>
      <w:r>
        <w:rPr>
          <w:b/>
        </w:rPr>
        <w:t>L</w:t>
      </w:r>
      <w:r>
        <w:t xml:space="preserve"> =</w:t>
      </w:r>
      <w:r>
        <w:tab/>
        <w:t>200;</w:t>
      </w:r>
    </w:p>
    <w:p>
      <w:pPr>
        <w:pStyle w:val="yMiscellaneousBody"/>
        <w:tabs>
          <w:tab w:val="left" w:pos="1134"/>
          <w:tab w:val="left" w:pos="1701"/>
        </w:tabs>
        <w:ind w:left="1701" w:hanging="1701"/>
      </w:pPr>
      <w:r>
        <w:tab/>
      </w:r>
      <w:r>
        <w:rPr>
          <w:b/>
        </w:rPr>
        <w:t>M</w:t>
      </w:r>
      <w:r>
        <w:t xml:space="preserve"> =</w:t>
      </w:r>
      <w:r>
        <w:tab/>
        <w:t>75 kL for each long</w:t>
      </w:r>
      <w:r>
        <w:noBreakHyphen/>
        <w:t>term residential caravan bay.</w:t>
      </w:r>
    </w:p>
    <w:p>
      <w:pPr>
        <w:pStyle w:val="yHeading5"/>
        <w:keepNext w:val="0"/>
        <w:keepLines w:val="0"/>
        <w:spacing w:before="180"/>
      </w:pPr>
      <w:bookmarkStart w:id="238" w:name="_Toc434929889"/>
      <w:r>
        <w:rPr>
          <w:rStyle w:val="CharSClsNo"/>
        </w:rPr>
        <w:t>28</w:t>
      </w:r>
      <w:r>
        <w:t>.</w:t>
      </w:r>
      <w:r>
        <w:tab/>
        <w:t>Maximum charge</w:t>
      </w:r>
      <w:bookmarkEnd w:id="238"/>
    </w:p>
    <w:p>
      <w:pPr>
        <w:pStyle w:val="yMiscellaneousBody"/>
        <w:tabs>
          <w:tab w:val="left" w:pos="284"/>
        </w:tabs>
        <w:ind w:left="879" w:right="-2" w:hanging="879"/>
      </w:pPr>
      <w:r>
        <w:tab/>
      </w:r>
      <w:r>
        <w:tab/>
        <w:t>The maximum charge (</w:t>
      </w:r>
      <w:r>
        <w:rPr>
          <w:b/>
          <w:i/>
        </w:rPr>
        <w:t>R</w:t>
      </w:r>
      <w:r>
        <w:t>) is —</w:t>
      </w:r>
    </w:p>
    <w:p>
      <w:pPr>
        <w:pStyle w:val="yMiscellaneousBody"/>
        <w:tabs>
          <w:tab w:val="left" w:pos="851"/>
        </w:tabs>
        <w:ind w:left="879" w:hanging="879"/>
      </w:pPr>
      <w:r>
        <w:tab/>
        <w:t>if (</w:t>
      </w:r>
      <w:r>
        <w:rPr>
          <w:b/>
        </w:rPr>
        <w:t>P</w:t>
      </w:r>
      <w:r>
        <w:t xml:space="preserve"> + </w:t>
      </w:r>
      <w:r>
        <w:rPr>
          <w:b/>
        </w:rPr>
        <w:t>Q</w:t>
      </w:r>
      <w:r>
        <w:t xml:space="preserve">) </w:t>
      </w:r>
      <w:r>
        <w:sym w:font="Symbol" w:char="F02D"/>
      </w:r>
      <w:r>
        <w:t xml:space="preserve"> </w:t>
      </w:r>
      <w:r>
        <w:rPr>
          <w:b/>
        </w:rPr>
        <w:t>A</w:t>
      </w:r>
      <w:r>
        <w:t xml:space="preserve"> &gt; </w:t>
      </w:r>
      <w:r>
        <w:rPr>
          <w:b/>
        </w:rPr>
        <w:t>B</w:t>
      </w:r>
      <w:r>
        <w:t>,</w:t>
      </w:r>
    </w:p>
    <w:p>
      <w:pPr>
        <w:pStyle w:val="yMiscellaneousBody"/>
        <w:tabs>
          <w:tab w:val="left" w:pos="851"/>
        </w:tabs>
        <w:ind w:left="879" w:hanging="879"/>
      </w:pPr>
      <w:r>
        <w:tab/>
        <w:t xml:space="preserve">then — </w:t>
      </w:r>
    </w:p>
    <w:p>
      <w:pPr>
        <w:pStyle w:val="yMiscellaneousBody"/>
        <w:ind w:left="1134" w:hanging="1134"/>
      </w:pPr>
      <w:r>
        <w:tab/>
        <w:t>if (</w:t>
      </w:r>
      <w:r>
        <w:rPr>
          <w:b/>
        </w:rPr>
        <w:t>A</w:t>
      </w:r>
      <w:r>
        <w:t xml:space="preserve"> </w:t>
      </w:r>
      <w:r>
        <w:sym w:font="Symbol" w:char="F0B4"/>
      </w:r>
      <w:r>
        <w:t xml:space="preserve"> </w:t>
      </w:r>
      <w:r>
        <w:rPr>
          <w:b/>
        </w:rPr>
        <w:t>S</w:t>
      </w:r>
      <w:r>
        <w:t>) &gt; (</w:t>
      </w:r>
      <w:r>
        <w:rPr>
          <w:b/>
        </w:rPr>
        <w:t>A</w:t>
      </w:r>
      <w:r>
        <w:t xml:space="preserve"> + </w:t>
      </w:r>
      <w:r>
        <w:rPr>
          <w:b/>
        </w:rPr>
        <w:t>B</w:t>
      </w:r>
      <w:r>
        <w:t>),</w:t>
      </w:r>
    </w:p>
    <w:p>
      <w:pPr>
        <w:pStyle w:val="yMiscellaneousBody"/>
        <w:ind w:left="1134" w:hanging="1134"/>
      </w:pPr>
      <w:r>
        <w:tab/>
        <w:t>then (</w:t>
      </w:r>
      <w:r>
        <w:rPr>
          <w:b/>
        </w:rPr>
        <w:t>A</w:t>
      </w:r>
      <w:r>
        <w:t xml:space="preserve"> </w:t>
      </w:r>
      <w:r>
        <w:sym w:font="Symbol" w:char="F0B4"/>
      </w:r>
      <w:r>
        <w:t xml:space="preserve"> </w:t>
      </w:r>
      <w:r>
        <w:rPr>
          <w:b/>
        </w:rPr>
        <w:t>S</w:t>
      </w:r>
      <w:r>
        <w:t>)</w:t>
      </w:r>
    </w:p>
    <w:p>
      <w:pPr>
        <w:pStyle w:val="yMiscellaneousBody"/>
        <w:ind w:left="1134" w:hanging="1134"/>
      </w:pPr>
      <w:r>
        <w:tab/>
        <w:t>or if (</w:t>
      </w:r>
      <w:r>
        <w:rPr>
          <w:b/>
        </w:rPr>
        <w:t>A</w:t>
      </w:r>
      <w:r>
        <w:t xml:space="preserve"> </w:t>
      </w:r>
      <w:r>
        <w:sym w:font="Symbol" w:char="F0B4"/>
      </w:r>
      <w:r>
        <w:t xml:space="preserve"> </w:t>
      </w:r>
      <w:r>
        <w:rPr>
          <w:b/>
        </w:rPr>
        <w:t>S</w:t>
      </w:r>
      <w:r>
        <w:t xml:space="preserve">) </w:t>
      </w:r>
      <w:r>
        <w:sym w:font="Symbol" w:char="F0A3"/>
      </w:r>
      <w:r>
        <w:t xml:space="preserve"> (</w:t>
      </w:r>
      <w:r>
        <w:rPr>
          <w:b/>
        </w:rPr>
        <w:t>A</w:t>
      </w:r>
      <w:r>
        <w:t xml:space="preserve"> + </w:t>
      </w:r>
      <w:r>
        <w:rPr>
          <w:b/>
        </w:rPr>
        <w:t>B</w:t>
      </w:r>
      <w:r>
        <w:t>),</w:t>
      </w:r>
    </w:p>
    <w:p>
      <w:pPr>
        <w:pStyle w:val="yMiscellaneousBody"/>
        <w:ind w:left="1134" w:hanging="1134"/>
      </w:pPr>
      <w:r>
        <w:tab/>
        <w:t>then (</w:t>
      </w:r>
      <w:r>
        <w:rPr>
          <w:b/>
        </w:rPr>
        <w:t>A</w:t>
      </w:r>
      <w:r>
        <w:t xml:space="preserve"> + </w:t>
      </w:r>
      <w:r>
        <w:rPr>
          <w:b/>
        </w:rPr>
        <w:t>B</w:t>
      </w:r>
      <w:r>
        <w:t>)</w:t>
      </w:r>
    </w:p>
    <w:p>
      <w:pPr>
        <w:pStyle w:val="yMiscellaneousBody"/>
        <w:ind w:left="851" w:hanging="993"/>
      </w:pPr>
      <w:r>
        <w:tab/>
        <w:t>or if (</w:t>
      </w:r>
      <w:r>
        <w:rPr>
          <w:b/>
        </w:rPr>
        <w:t>P</w:t>
      </w:r>
      <w:r>
        <w:t xml:space="preserve"> + </w:t>
      </w:r>
      <w:r>
        <w:rPr>
          <w:b/>
        </w:rPr>
        <w:t>Q</w:t>
      </w:r>
      <w:r>
        <w:t xml:space="preserve">) </w:t>
      </w:r>
      <w:r>
        <w:sym w:font="Symbol" w:char="F02D"/>
      </w:r>
      <w:r>
        <w:t xml:space="preserve"> </w:t>
      </w:r>
      <w:r>
        <w:rPr>
          <w:b/>
        </w:rPr>
        <w:t>A</w:t>
      </w:r>
      <w:r>
        <w:t xml:space="preserve"> </w:t>
      </w:r>
      <w:r>
        <w:sym w:font="Symbol" w:char="F0A3"/>
      </w:r>
      <w:r>
        <w:t xml:space="preserve"> </w:t>
      </w:r>
      <w:r>
        <w:rPr>
          <w:b/>
        </w:rPr>
        <w:t>B</w:t>
      </w:r>
      <w:r>
        <w:t>,</w:t>
      </w:r>
    </w:p>
    <w:p>
      <w:pPr>
        <w:pStyle w:val="yMiscellaneousBody"/>
        <w:ind w:left="851" w:hanging="993"/>
      </w:pPr>
      <w:r>
        <w:tab/>
        <w:t xml:space="preserve">then </w:t>
      </w:r>
      <w:r>
        <w:rPr>
          <w:b/>
        </w:rPr>
        <w:t>P</w:t>
      </w:r>
      <w:r>
        <w:t xml:space="preserve"> + </w:t>
      </w:r>
      <w:r>
        <w:rPr>
          <w:b/>
        </w:rPr>
        <w:t>Q</w:t>
      </w:r>
    </w:p>
    <w:p>
      <w:pPr>
        <w:pStyle w:val="yMiscellaneousBody"/>
        <w:ind w:left="851" w:hanging="993"/>
      </w:pPr>
      <w:r>
        <w:tab/>
        <w:t xml:space="preserve">where — </w:t>
      </w:r>
    </w:p>
    <w:p>
      <w:pPr>
        <w:pStyle w:val="yMiscellaneousBody"/>
        <w:tabs>
          <w:tab w:val="left" w:pos="1134"/>
          <w:tab w:val="left" w:pos="1560"/>
        </w:tabs>
        <w:ind w:left="1560" w:hanging="1560"/>
      </w:pPr>
      <w:r>
        <w:tab/>
      </w:r>
      <w:r>
        <w:rPr>
          <w:b/>
        </w:rPr>
        <w:t>P</w:t>
      </w:r>
      <w:r>
        <w:t xml:space="preserve"> =</w:t>
      </w:r>
      <w:r>
        <w:tab/>
        <w:t>the service charge calculated in accordance with item 25;</w:t>
      </w:r>
    </w:p>
    <w:p>
      <w:pPr>
        <w:pStyle w:val="yMiscellaneousBody"/>
        <w:tabs>
          <w:tab w:val="left" w:pos="1134"/>
          <w:tab w:val="left" w:pos="1560"/>
        </w:tabs>
        <w:ind w:left="1560" w:hanging="1560"/>
      </w:pPr>
      <w:r>
        <w:tab/>
      </w:r>
      <w:r>
        <w:rPr>
          <w:b/>
        </w:rPr>
        <w:t>Q</w:t>
      </w:r>
      <w:r>
        <w:t xml:space="preserve"> =</w:t>
      </w:r>
      <w:r>
        <w:tab/>
        <w:t>the discharge charge calculated in accordance with item 26;</w:t>
      </w:r>
    </w:p>
    <w:p>
      <w:pPr>
        <w:pStyle w:val="yMiscellaneousBody"/>
        <w:tabs>
          <w:tab w:val="left" w:pos="1134"/>
          <w:tab w:val="left" w:pos="1560"/>
        </w:tabs>
        <w:ind w:left="1560" w:hanging="1560"/>
      </w:pPr>
      <w:r>
        <w:tab/>
      </w:r>
      <w:r>
        <w:rPr>
          <w:b/>
        </w:rPr>
        <w:t>A</w:t>
      </w:r>
      <w:r>
        <w:t xml:space="preserve"> =</w:t>
      </w:r>
      <w:r>
        <w:tab/>
        <w:t>the charge payable, for the previous financial year, under the item in Subdivision 4 for which this item is being applied;</w:t>
      </w:r>
    </w:p>
    <w:p>
      <w:pPr>
        <w:pStyle w:val="yMiscellaneousBody"/>
        <w:tabs>
          <w:tab w:val="left" w:pos="1134"/>
          <w:tab w:val="left" w:pos="1560"/>
        </w:tabs>
        <w:ind w:left="1560" w:hanging="1560"/>
      </w:pPr>
      <w:r>
        <w:tab/>
      </w:r>
      <w:r>
        <w:rPr>
          <w:b/>
        </w:rPr>
        <w:t>S</w:t>
      </w:r>
      <w:r>
        <w:t xml:space="preserve"> =</w:t>
      </w:r>
      <w:r>
        <w:tab/>
      </w:r>
      <w:r>
        <w:rPr>
          <w:szCs w:val="22"/>
        </w:rPr>
        <w:t>1.145</w:t>
      </w:r>
      <w:r>
        <w:t>;</w:t>
      </w:r>
    </w:p>
    <w:p>
      <w:pPr>
        <w:pStyle w:val="yMiscellaneousBody"/>
        <w:tabs>
          <w:tab w:val="left" w:pos="1134"/>
          <w:tab w:val="left" w:pos="1560"/>
        </w:tabs>
        <w:ind w:left="1560" w:hanging="1560"/>
      </w:pPr>
      <w:r>
        <w:tab/>
      </w:r>
      <w:r>
        <w:rPr>
          <w:b/>
        </w:rPr>
        <w:t>B</w:t>
      </w:r>
      <w:r>
        <w:t xml:space="preserve"> =</w:t>
      </w:r>
      <w:r>
        <w:tab/>
        <w:t>$166.67.</w:t>
      </w:r>
    </w:p>
    <w:p>
      <w:pPr>
        <w:pStyle w:val="yFootnotesection"/>
      </w:pPr>
      <w:r>
        <w:tab/>
        <w:t>[Division 2 amended in Gazette 15 Oct 2014 p. 3977</w:t>
      </w:r>
      <w:r>
        <w:noBreakHyphen/>
        <w:t>9; 30 Jun 2015 p. 2385</w:t>
      </w:r>
      <w:r>
        <w:noBreakHyphen/>
        <w:t>7.]</w:t>
      </w:r>
    </w:p>
    <w:p>
      <w:pPr>
        <w:pStyle w:val="yHeading3"/>
        <w:pageBreakBefore/>
        <w:spacing w:before="0"/>
      </w:pPr>
      <w:bookmarkStart w:id="239" w:name="_Toc429577073"/>
      <w:bookmarkStart w:id="240" w:name="_Toc434929890"/>
      <w:r>
        <w:rPr>
          <w:rStyle w:val="CharSDivNo"/>
        </w:rPr>
        <w:t>Division 3</w:t>
      </w:r>
      <w:r>
        <w:t> — </w:t>
      </w:r>
      <w:r>
        <w:rPr>
          <w:rStyle w:val="CharSDivText"/>
        </w:rPr>
        <w:t>Discharge charges: trade waste and effluent</w:t>
      </w:r>
      <w:bookmarkEnd w:id="239"/>
      <w:bookmarkEnd w:id="240"/>
    </w:p>
    <w:p>
      <w:pPr>
        <w:pStyle w:val="yFootnoteheading"/>
      </w:pPr>
      <w:r>
        <w:tab/>
        <w:t>[Heading inserted in Gazette 15 Oct 2014 p. 3979.]</w:t>
      </w:r>
    </w:p>
    <w:p>
      <w:pPr>
        <w:pStyle w:val="yHeading5"/>
      </w:pPr>
      <w:bookmarkStart w:id="241" w:name="_Toc434929891"/>
      <w:r>
        <w:rPr>
          <w:rStyle w:val="CharSClsNo"/>
        </w:rPr>
        <w:t>29</w:t>
      </w:r>
      <w:r>
        <w:t>.</w:t>
      </w:r>
      <w:r>
        <w:tab/>
        <w:t>Discharge charges for 2015/16 year and subsequent years</w:t>
      </w:r>
      <w:bookmarkEnd w:id="241"/>
    </w:p>
    <w:p>
      <w:pPr>
        <w:pStyle w:val="yMiscellaneousBody"/>
        <w:tabs>
          <w:tab w:val="left" w:pos="284"/>
        </w:tabs>
        <w:ind w:left="879" w:right="-2" w:hanging="879"/>
      </w:pPr>
      <w:r>
        <w:tab/>
      </w:r>
      <w:r>
        <w:tab/>
        <w:t xml:space="preserve">The charges set out in this Division apply for trade waste or effluent discharged in the </w:t>
      </w:r>
      <w:r>
        <w:rPr>
          <w:szCs w:val="22"/>
        </w:rPr>
        <w:t>2015/16</w:t>
      </w:r>
      <w:r>
        <w:t> financial year and each subsequent year.</w:t>
      </w:r>
    </w:p>
    <w:p>
      <w:pPr>
        <w:pStyle w:val="yHeading5"/>
        <w:keepLines w:val="0"/>
        <w:spacing w:before="180"/>
      </w:pPr>
      <w:bookmarkStart w:id="242" w:name="_Toc434929892"/>
      <w:r>
        <w:rPr>
          <w:rStyle w:val="CharSClsNo"/>
        </w:rPr>
        <w:t>30</w:t>
      </w:r>
      <w:r>
        <w:t>.</w:t>
      </w:r>
      <w:r>
        <w:tab/>
        <w:t>Trade waste discharged into sewer under approval</w:t>
      </w:r>
      <w:bookmarkEnd w:id="242"/>
    </w:p>
    <w:p>
      <w:pPr>
        <w:pStyle w:val="yMiscellaneousBody"/>
        <w:tabs>
          <w:tab w:val="left" w:pos="284"/>
          <w:tab w:val="right" w:leader="dot" w:pos="6804"/>
        </w:tabs>
        <w:ind w:left="879" w:right="1983" w:hanging="879"/>
      </w:pPr>
      <w:r>
        <w:tab/>
        <w:t>(1)</w:t>
      </w:r>
      <w:r>
        <w:tab/>
        <w:t xml:space="preserve">In this item — </w:t>
      </w:r>
    </w:p>
    <w:p>
      <w:pPr>
        <w:pStyle w:val="yDefstart"/>
        <w:ind w:right="1983"/>
      </w:pPr>
      <w:r>
        <w:tab/>
      </w:r>
      <w:r>
        <w:rPr>
          <w:rStyle w:val="CharDefText"/>
        </w:rPr>
        <w:t>B.O.D.</w:t>
      </w:r>
      <w:r>
        <w:t xml:space="preserve"> means </w:t>
      </w:r>
      <w:r>
        <w:rPr>
          <w:szCs w:val="22"/>
        </w:rPr>
        <w:t>biochemical</w:t>
      </w:r>
      <w:r>
        <w:t xml:space="preserve"> oxygen demand;</w:t>
      </w:r>
    </w:p>
    <w:p>
      <w:pPr>
        <w:pStyle w:val="yDefstart"/>
        <w:ind w:right="1983"/>
      </w:pPr>
      <w:r>
        <w:tab/>
      </w:r>
      <w:r>
        <w:rPr>
          <w:rStyle w:val="CharDefText"/>
        </w:rPr>
        <w:t>c/kg</w:t>
      </w:r>
      <w:r>
        <w:t xml:space="preserve"> means cents </w:t>
      </w:r>
      <w:r>
        <w:rPr>
          <w:szCs w:val="22"/>
        </w:rPr>
        <w:t>per</w:t>
      </w:r>
      <w:r>
        <w:t xml:space="preserve"> kilogram;</w:t>
      </w:r>
    </w:p>
    <w:p>
      <w:pPr>
        <w:pStyle w:val="yDefstart"/>
        <w:ind w:right="1983"/>
      </w:pPr>
      <w:r>
        <w:tab/>
      </w:r>
      <w:r>
        <w:rPr>
          <w:rStyle w:val="CharDefText"/>
        </w:rPr>
        <w:t>c/kL</w:t>
      </w:r>
      <w:r>
        <w:t xml:space="preserve"> means cents </w:t>
      </w:r>
      <w:r>
        <w:rPr>
          <w:szCs w:val="22"/>
        </w:rPr>
        <w:t>per</w:t>
      </w:r>
      <w:r>
        <w:t xml:space="preserve"> kilolitre.</w:t>
      </w:r>
    </w:p>
    <w:p>
      <w:pPr>
        <w:pStyle w:val="yMiscellaneousBody"/>
        <w:tabs>
          <w:tab w:val="left" w:pos="284"/>
          <w:tab w:val="right" w:leader="dot" w:pos="6804"/>
        </w:tabs>
        <w:ind w:left="879" w:right="1983" w:hanging="879"/>
      </w:pPr>
      <w:r>
        <w:tab/>
        <w:t>(2)</w:t>
      </w:r>
      <w:r>
        <w:tab/>
        <w:t xml:space="preserve">For </w:t>
      </w:r>
      <w:r>
        <w:rPr>
          <w:szCs w:val="22"/>
        </w:rPr>
        <w:t>trade waste discharged into a sewer of the Water Corporation under an approval of the Water Corporation, the charge is —</w:t>
      </w:r>
    </w:p>
    <w:p>
      <w:pPr>
        <w:pStyle w:val="yMiscellaneousBody"/>
        <w:tabs>
          <w:tab w:val="left" w:pos="1134"/>
          <w:tab w:val="left" w:pos="1560"/>
          <w:tab w:val="right" w:leader="dot" w:pos="6804"/>
        </w:tabs>
        <w:spacing w:before="120"/>
        <w:ind w:left="1559" w:right="1985" w:hanging="1559"/>
      </w:pPr>
      <w:r>
        <w:tab/>
        <w:t>(a)</w:t>
      </w:r>
      <w:r>
        <w:tab/>
        <w:t xml:space="preserve">for volume </w:t>
      </w:r>
      <w:r>
        <w:tab/>
        <w:t xml:space="preserve"> </w:t>
      </w:r>
      <w:r>
        <w:rPr>
          <w:szCs w:val="22"/>
        </w:rPr>
        <w:t>141.0</w:t>
      </w:r>
      <w:r>
        <w:t xml:space="preserve"> c/kL</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for B.O.D. with a concentration of —</w:t>
      </w:r>
    </w:p>
    <w:p>
      <w:pPr>
        <w:pStyle w:val="yMiscellaneousBody"/>
        <w:tabs>
          <w:tab w:val="left" w:pos="2127"/>
          <w:tab w:val="right" w:leader="dot" w:pos="6804"/>
        </w:tabs>
        <w:spacing w:before="80"/>
        <w:ind w:left="1701" w:right="1983" w:hanging="1701"/>
      </w:pPr>
      <w:r>
        <w:tab/>
        <w:t>(i)</w:t>
      </w:r>
      <w:r>
        <w:tab/>
        <w:t xml:space="preserve">up to 5 kg/kL </w:t>
      </w:r>
      <w:r>
        <w:tab/>
        <w:t xml:space="preserve"> </w:t>
      </w:r>
      <w:r>
        <w:rPr>
          <w:szCs w:val="22"/>
        </w:rPr>
        <w:t>118.0</w:t>
      </w:r>
      <w:r>
        <w:t xml:space="preserve"> c/kg</w:t>
      </w:r>
    </w:p>
    <w:p>
      <w:pPr>
        <w:pStyle w:val="yMiscellaneousBody"/>
        <w:tabs>
          <w:tab w:val="left" w:pos="2127"/>
          <w:tab w:val="right" w:leader="dot" w:pos="6804"/>
        </w:tabs>
        <w:spacing w:before="80"/>
        <w:ind w:left="1701" w:right="1983" w:hanging="1701"/>
      </w:pPr>
      <w:r>
        <w:tab/>
        <w:t>(ii)</w:t>
      </w:r>
      <w:r>
        <w:tab/>
        <w:t xml:space="preserve">over 5 kg/kL </w:t>
      </w:r>
      <w:r>
        <w:tab/>
        <w:t xml:space="preserve"> </w:t>
      </w:r>
      <w:r>
        <w:rPr>
          <w:szCs w:val="22"/>
        </w:rPr>
        <w:t>241.0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(c)</w:t>
      </w:r>
      <w:r>
        <w:rPr>
          <w:szCs w:val="22"/>
        </w:rPr>
        <w:tab/>
        <w:t>for suspended solids with a concentration of —</w:t>
      </w:r>
    </w:p>
    <w:p>
      <w:pPr>
        <w:pStyle w:val="yMiscellaneousBody"/>
        <w:tabs>
          <w:tab w:val="left" w:pos="2127"/>
          <w:tab w:val="right" w:leader="dot" w:pos="6804"/>
        </w:tabs>
        <w:spacing w:before="80"/>
        <w:ind w:left="1701" w:right="1983" w:hanging="1701"/>
      </w:pPr>
      <w:r>
        <w:tab/>
        <w:t>(i)</w:t>
      </w:r>
      <w:r>
        <w:tab/>
        <w:t xml:space="preserve">up to 2 kg/kL </w:t>
      </w:r>
      <w:r>
        <w:tab/>
        <w:t xml:space="preserve"> </w:t>
      </w:r>
      <w:r>
        <w:rPr>
          <w:szCs w:val="22"/>
        </w:rPr>
        <w:t>161.0</w:t>
      </w:r>
      <w:r>
        <w:t xml:space="preserve"> c/kg</w:t>
      </w:r>
    </w:p>
    <w:p>
      <w:pPr>
        <w:pStyle w:val="yMiscellaneousBody"/>
        <w:tabs>
          <w:tab w:val="left" w:pos="2127"/>
          <w:tab w:val="right" w:leader="dot" w:pos="6804"/>
        </w:tabs>
        <w:spacing w:before="80"/>
        <w:ind w:left="1701" w:right="1983" w:hanging="1701"/>
      </w:pPr>
      <w:r>
        <w:tab/>
        <w:t>(ii)</w:t>
      </w:r>
      <w:r>
        <w:tab/>
        <w:t xml:space="preserve">over 2 kg/kL </w:t>
      </w:r>
      <w:r>
        <w:tab/>
        <w:t xml:space="preserve"> </w:t>
      </w:r>
      <w:r>
        <w:rPr>
          <w:szCs w:val="22"/>
        </w:rPr>
        <w:t>323.0</w:t>
      </w:r>
      <w:r>
        <w:t xml:space="preserve"> c/kg</w:t>
      </w:r>
    </w:p>
    <w:p>
      <w:pPr>
        <w:pStyle w:val="yMiscellaneousBody"/>
        <w:keepNext/>
        <w:tabs>
          <w:tab w:val="left" w:pos="1134"/>
          <w:tab w:val="left" w:pos="1560"/>
          <w:tab w:val="right" w:leader="dot" w:pos="6804"/>
        </w:tabs>
        <w:spacing w:before="120"/>
        <w:ind w:left="1559" w:right="1985" w:hanging="1559"/>
        <w:rPr>
          <w:szCs w:val="22"/>
        </w:rPr>
      </w:pPr>
      <w:r>
        <w:rPr>
          <w:szCs w:val="22"/>
        </w:rPr>
        <w:tab/>
        <w:t>(d)</w:t>
      </w:r>
      <w:r>
        <w:rPr>
          <w:szCs w:val="22"/>
        </w:rPr>
        <w:tab/>
        <w:t>for chemical oxygen demand with a concentration of —</w:t>
      </w:r>
    </w:p>
    <w:p>
      <w:pPr>
        <w:pStyle w:val="yMiscellaneousBody"/>
        <w:tabs>
          <w:tab w:val="left" w:pos="2127"/>
          <w:tab w:val="right" w:leader="dot" w:pos="6804"/>
        </w:tabs>
        <w:spacing w:before="80"/>
        <w:ind w:left="1701" w:right="1983" w:hanging="1701"/>
      </w:pPr>
      <w:r>
        <w:tab/>
        <w:t>(i)</w:t>
      </w:r>
      <w:r>
        <w:tab/>
        <w:t xml:space="preserve">up to 10 kg/kL </w:t>
      </w:r>
      <w:r>
        <w:tab/>
        <w:t xml:space="preserve"> </w:t>
      </w:r>
      <w:r>
        <w:rPr>
          <w:szCs w:val="22"/>
        </w:rPr>
        <w:t>47.0</w:t>
      </w:r>
      <w:r>
        <w:t xml:space="preserve"> c/kg</w:t>
      </w:r>
    </w:p>
    <w:p>
      <w:pPr>
        <w:pStyle w:val="yMiscellaneousBody"/>
        <w:tabs>
          <w:tab w:val="left" w:pos="2127"/>
          <w:tab w:val="right" w:leader="dot" w:pos="6804"/>
        </w:tabs>
        <w:spacing w:before="80"/>
        <w:ind w:left="1701" w:right="1983" w:hanging="1701"/>
      </w:pPr>
      <w:r>
        <w:tab/>
        <w:t>(ii)</w:t>
      </w:r>
      <w:r>
        <w:tab/>
        <w:t xml:space="preserve">over 10 kg/kL </w:t>
      </w:r>
      <w:r>
        <w:tab/>
        <w:t xml:space="preserve"> </w:t>
      </w:r>
      <w:r>
        <w:rPr>
          <w:szCs w:val="22"/>
        </w:rPr>
        <w:t>96.0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(e)</w:t>
      </w:r>
      <w:r>
        <w:rPr>
          <w:szCs w:val="22"/>
        </w:rPr>
        <w:tab/>
        <w:t>for oil and grease with a concentration of —</w:t>
      </w:r>
    </w:p>
    <w:p>
      <w:pPr>
        <w:pStyle w:val="yMiscellaneousBody"/>
        <w:tabs>
          <w:tab w:val="left" w:pos="1701"/>
          <w:tab w:val="left" w:pos="2127"/>
          <w:tab w:val="right" w:leader="dot" w:pos="6804"/>
        </w:tabs>
        <w:spacing w:before="80"/>
        <w:ind w:left="2127" w:right="1983" w:hanging="2127"/>
      </w:pPr>
      <w:r>
        <w:tab/>
        <w:t>(i)</w:t>
      </w:r>
      <w:r>
        <w:tab/>
        <w:t xml:space="preserve">up to 0.3 kg/kL </w:t>
      </w:r>
      <w:r>
        <w:tab/>
        <w:t xml:space="preserve"> </w:t>
      </w:r>
      <w:r>
        <w:rPr>
          <w:szCs w:val="22"/>
        </w:rPr>
        <w:t>145.0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0.3 kg/kL but not over 0.6 kg/kL </w:t>
      </w:r>
      <w:r>
        <w:tab/>
        <w:t xml:space="preserve"> </w:t>
      </w:r>
      <w:r>
        <w:rPr>
          <w:szCs w:val="22"/>
        </w:rPr>
        <w:t>286.0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0.6 kg/kL </w:t>
      </w:r>
      <w:r>
        <w:tab/>
        <w:t xml:space="preserve"> </w:t>
      </w:r>
      <w:r>
        <w:rPr>
          <w:szCs w:val="22"/>
        </w:rPr>
        <w:t>575.0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(f)</w:t>
      </w:r>
      <w:r>
        <w:rPr>
          <w:szCs w:val="22"/>
        </w:rPr>
        <w:tab/>
        <w:t>for acidity to pH 6 (expressed as calcium carbonate) —</w:t>
      </w:r>
    </w:p>
    <w:p>
      <w:pPr>
        <w:pStyle w:val="yMiscellaneousBody"/>
        <w:tabs>
          <w:tab w:val="left" w:pos="1701"/>
          <w:tab w:val="left" w:pos="2127"/>
          <w:tab w:val="right" w:leader="dot" w:pos="6804"/>
        </w:tabs>
        <w:spacing w:before="80"/>
        <w:ind w:left="2127" w:right="1983" w:hanging="2127"/>
      </w:pPr>
      <w:r>
        <w:tab/>
        <w:t>(i)</w:t>
      </w:r>
      <w:r>
        <w:tab/>
        <w:t xml:space="preserve">up to 0.1 kg/kL </w:t>
      </w:r>
      <w:r>
        <w:tab/>
        <w:t xml:space="preserve"> </w:t>
      </w:r>
      <w:r>
        <w:rPr>
          <w:szCs w:val="22"/>
        </w:rPr>
        <w:t>41.0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0.1 kg/kL but not over 0.3 kg/kL </w:t>
      </w:r>
      <w:r>
        <w:tab/>
        <w:t xml:space="preserve"> </w:t>
      </w:r>
      <w:r>
        <w:rPr>
          <w:szCs w:val="22"/>
        </w:rPr>
        <w:t>84.0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0.3 kg/kL </w:t>
      </w:r>
      <w:r>
        <w:tab/>
        <w:t xml:space="preserve"> </w:t>
      </w:r>
      <w:r>
        <w:rPr>
          <w:szCs w:val="22"/>
        </w:rPr>
        <w:t>167.0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(g)</w:t>
      </w:r>
      <w:r>
        <w:rPr>
          <w:szCs w:val="22"/>
        </w:rPr>
        <w:tab/>
        <w:t>for alkalinity to pH 10 (expressed as calcium carbonate) —</w:t>
      </w:r>
    </w:p>
    <w:p>
      <w:pPr>
        <w:pStyle w:val="yMiscellaneousBody"/>
        <w:tabs>
          <w:tab w:val="left" w:pos="1701"/>
          <w:tab w:val="left" w:pos="2127"/>
          <w:tab w:val="right" w:leader="dot" w:pos="6804"/>
        </w:tabs>
        <w:spacing w:before="80"/>
        <w:ind w:left="2127" w:right="1983" w:hanging="2127"/>
      </w:pPr>
      <w:r>
        <w:tab/>
        <w:t>(i)</w:t>
      </w:r>
      <w:r>
        <w:tab/>
        <w:t xml:space="preserve">up to 0.1 kg/kL </w:t>
      </w:r>
      <w:r>
        <w:tab/>
        <w:t xml:space="preserve"> </w:t>
      </w:r>
      <w:r>
        <w:rPr>
          <w:szCs w:val="22"/>
        </w:rPr>
        <w:t>13.0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0.1 kg/kL but not over 0.2 kg/kL </w:t>
      </w:r>
      <w:r>
        <w:tab/>
        <w:t xml:space="preserve"> </w:t>
      </w:r>
      <w:r>
        <w:rPr>
          <w:szCs w:val="22"/>
        </w:rPr>
        <w:t>31.0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0.2 kg/kL </w:t>
      </w:r>
      <w:r>
        <w:tab/>
        <w:t xml:space="preserve"> </w:t>
      </w:r>
      <w:r>
        <w:rPr>
          <w:szCs w:val="22"/>
        </w:rPr>
        <w:t>61.0</w:t>
      </w:r>
      <w:r>
        <w:t xml:space="preserve"> c/kg</w:t>
      </w:r>
    </w:p>
    <w:p>
      <w:pPr>
        <w:pStyle w:val="yMiscellaneousBody"/>
        <w:tabs>
          <w:tab w:val="left" w:pos="1134"/>
          <w:tab w:val="left" w:pos="1560"/>
          <w:tab w:val="right" w:leader="dot" w:pos="6804"/>
        </w:tabs>
        <w:spacing w:before="120"/>
        <w:ind w:left="1559" w:right="1985" w:hanging="1559"/>
      </w:pPr>
      <w:r>
        <w:tab/>
        <w:t>(h)</w:t>
      </w:r>
      <w:r>
        <w:tab/>
        <w:t xml:space="preserve">for nitrogen </w:t>
      </w:r>
      <w:r>
        <w:tab/>
        <w:t xml:space="preserve"> </w:t>
      </w:r>
      <w:r>
        <w:rPr>
          <w:szCs w:val="22"/>
        </w:rPr>
        <w:t>129.0</w:t>
      </w:r>
      <w:r>
        <w:t xml:space="preserve"> c/kg</w:t>
      </w:r>
    </w:p>
    <w:p>
      <w:pPr>
        <w:pStyle w:val="yMiscellaneousBody"/>
        <w:tabs>
          <w:tab w:val="left" w:pos="1134"/>
          <w:tab w:val="left" w:pos="1560"/>
          <w:tab w:val="right" w:leader="dot" w:pos="6804"/>
        </w:tabs>
        <w:spacing w:before="120"/>
        <w:ind w:left="1559" w:right="1985" w:hanging="1559"/>
      </w:pPr>
      <w:r>
        <w:tab/>
        <w:t>(i)</w:t>
      </w:r>
      <w:r>
        <w:tab/>
        <w:t xml:space="preserve">for phosphorus </w:t>
      </w:r>
      <w:r>
        <w:tab/>
        <w:t xml:space="preserve"> </w:t>
      </w:r>
      <w:r>
        <w:rPr>
          <w:szCs w:val="22"/>
        </w:rPr>
        <w:t>37.0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(j)</w:t>
      </w:r>
      <w:r>
        <w:rPr>
          <w:szCs w:val="22"/>
        </w:rPr>
        <w:tab/>
        <w:t>for sulphate with a concentration of —</w:t>
      </w:r>
    </w:p>
    <w:p>
      <w:pPr>
        <w:pStyle w:val="yMiscellaneousBody"/>
        <w:tabs>
          <w:tab w:val="left" w:pos="1701"/>
          <w:tab w:val="left" w:pos="2127"/>
          <w:tab w:val="right" w:leader="dot" w:pos="6804"/>
        </w:tabs>
        <w:spacing w:before="80"/>
        <w:ind w:left="2127" w:right="1983" w:hanging="2127"/>
      </w:pPr>
      <w:r>
        <w:tab/>
        <w:t>(i)</w:t>
      </w:r>
      <w:r>
        <w:tab/>
        <w:t xml:space="preserve">up to 0.05 kg/kL </w:t>
      </w:r>
      <w:r>
        <w:tab/>
        <w:t xml:space="preserve"> no charge</w:t>
      </w:r>
    </w:p>
    <w:p>
      <w:pPr>
        <w:pStyle w:val="yMiscellaneousBody"/>
        <w:tabs>
          <w:tab w:val="left" w:pos="1701"/>
          <w:tab w:val="left" w:pos="2127"/>
          <w:tab w:val="right" w:leader="dot" w:pos="6804"/>
        </w:tabs>
        <w:spacing w:before="80"/>
        <w:ind w:left="2127" w:right="1983" w:hanging="2127"/>
      </w:pPr>
      <w:r>
        <w:tab/>
        <w:t>(ii)</w:t>
      </w:r>
      <w:r>
        <w:tab/>
        <w:t xml:space="preserve">over 0.05 kg/kL </w:t>
      </w:r>
      <w:r>
        <w:tab/>
        <w:t xml:space="preserve"> </w:t>
      </w:r>
      <w:r>
        <w:rPr>
          <w:szCs w:val="22"/>
        </w:rPr>
        <w:t>68.0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(k)</w:t>
      </w:r>
      <w:r>
        <w:rPr>
          <w:szCs w:val="22"/>
        </w:rPr>
        <w:tab/>
        <w:t>for total dissolved salts with a concentration of —</w:t>
      </w:r>
    </w:p>
    <w:p>
      <w:pPr>
        <w:pStyle w:val="yMiscellaneousBody"/>
        <w:tabs>
          <w:tab w:val="left" w:pos="1701"/>
          <w:tab w:val="left" w:pos="2127"/>
          <w:tab w:val="right" w:leader="dot" w:pos="6804"/>
        </w:tabs>
        <w:spacing w:before="80"/>
        <w:ind w:left="2127" w:right="1983" w:hanging="2127"/>
      </w:pPr>
      <w:r>
        <w:tab/>
        <w:t>(i)</w:t>
      </w:r>
      <w:r>
        <w:tab/>
        <w:t xml:space="preserve">up to 1 kg/kL </w:t>
      </w:r>
      <w:r>
        <w:tab/>
        <w:t xml:space="preserve"> no charge</w:t>
      </w:r>
    </w:p>
    <w:p>
      <w:pPr>
        <w:pStyle w:val="yMiscellaneousBody"/>
        <w:tabs>
          <w:tab w:val="left" w:pos="1701"/>
          <w:tab w:val="left" w:pos="2127"/>
          <w:tab w:val="right" w:leader="dot" w:pos="6804"/>
        </w:tabs>
        <w:spacing w:before="80"/>
        <w:ind w:left="2127" w:right="1983" w:hanging="2127"/>
      </w:pPr>
      <w:r>
        <w:tab/>
        <w:t>(ii)</w:t>
      </w:r>
      <w:r>
        <w:tab/>
        <w:t xml:space="preserve">over 1 kg/kL but not over 3 kg/kL </w:t>
      </w:r>
      <w:r>
        <w:tab/>
        <w:t xml:space="preserve"> </w:t>
      </w:r>
      <w:r>
        <w:rPr>
          <w:szCs w:val="22"/>
        </w:rPr>
        <w:t>0.1</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3 kg/kL but not over 6 kg/kL </w:t>
      </w:r>
      <w:r>
        <w:tab/>
        <w:t xml:space="preserve"> </w:t>
      </w:r>
      <w:r>
        <w:rPr>
          <w:szCs w:val="22"/>
        </w:rPr>
        <w:t>3.9</w:t>
      </w:r>
      <w:r>
        <w:t xml:space="preserve"> c/kg</w:t>
      </w:r>
    </w:p>
    <w:p>
      <w:pPr>
        <w:pStyle w:val="yMiscellaneousBody"/>
        <w:tabs>
          <w:tab w:val="left" w:pos="1701"/>
          <w:tab w:val="left" w:pos="2127"/>
          <w:tab w:val="right" w:leader="dot" w:pos="6804"/>
        </w:tabs>
        <w:spacing w:before="80"/>
        <w:ind w:left="2127" w:right="1983" w:hanging="2127"/>
      </w:pPr>
      <w:r>
        <w:tab/>
        <w:t>(iv)</w:t>
      </w:r>
      <w:r>
        <w:tab/>
        <w:t xml:space="preserve">over 6 kg/kL </w:t>
      </w:r>
      <w:r>
        <w:tab/>
        <w:t xml:space="preserve"> </w:t>
      </w:r>
      <w:r>
        <w:rPr>
          <w:szCs w:val="22"/>
        </w:rPr>
        <w:t>13.6</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(l)</w:t>
      </w:r>
      <w:r>
        <w:rPr>
          <w:szCs w:val="22"/>
        </w:rPr>
        <w:tab/>
        <w:t>for chromium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0.03 kg/day </w:t>
      </w:r>
      <w:r>
        <w:tab/>
        <w:t xml:space="preserve"> </w:t>
      </w:r>
      <w:r>
        <w:rPr>
          <w:szCs w:val="22"/>
        </w:rPr>
        <w:t>1070.0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0.03 kg/day but not over 1 kg/day </w:t>
      </w:r>
      <w:r>
        <w:tab/>
      </w:r>
      <w:r>
        <w:rPr>
          <w:szCs w:val="22"/>
        </w:rPr>
        <w:t>2135.0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1 kg/day </w:t>
      </w:r>
      <w:r>
        <w:tab/>
        <w:t xml:space="preserve"> </w:t>
      </w:r>
      <w:r>
        <w:rPr>
          <w:szCs w:val="22"/>
        </w:rPr>
        <w:t>8552.0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(m)</w:t>
      </w:r>
      <w:r>
        <w:rPr>
          <w:szCs w:val="22"/>
        </w:rPr>
        <w:tab/>
        <w:t>for copper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0.03 kg/day </w:t>
      </w:r>
      <w:r>
        <w:tab/>
        <w:t xml:space="preserve"> </w:t>
      </w:r>
      <w:r>
        <w:rPr>
          <w:szCs w:val="22"/>
        </w:rPr>
        <w:t>1070.0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0.03 kg/day but not over 0.12 kg/day </w:t>
      </w:r>
      <w:r>
        <w:tab/>
        <w:t xml:space="preserve"> </w:t>
      </w:r>
      <w:r>
        <w:rPr>
          <w:szCs w:val="22"/>
        </w:rPr>
        <w:t>2135.0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0.12 kg/day </w:t>
      </w:r>
      <w:r>
        <w:tab/>
        <w:t xml:space="preserve"> </w:t>
      </w:r>
      <w:r>
        <w:rPr>
          <w:szCs w:val="22"/>
        </w:rPr>
        <w:t>8552.0</w:t>
      </w:r>
      <w:r>
        <w:t xml:space="preserve"> c/kg</w:t>
      </w:r>
    </w:p>
    <w:p>
      <w:pPr>
        <w:pStyle w:val="yMiscellaneousBody"/>
        <w:keepNext/>
        <w:tabs>
          <w:tab w:val="left" w:pos="1134"/>
          <w:tab w:val="left" w:pos="1560"/>
          <w:tab w:val="right" w:leader="dot" w:pos="6804"/>
        </w:tabs>
        <w:spacing w:before="120"/>
        <w:ind w:left="1559" w:right="1985" w:hanging="1559"/>
        <w:rPr>
          <w:szCs w:val="22"/>
        </w:rPr>
      </w:pPr>
      <w:r>
        <w:rPr>
          <w:szCs w:val="22"/>
        </w:rPr>
        <w:tab/>
        <w:t>(n)</w:t>
      </w:r>
      <w:r>
        <w:rPr>
          <w:szCs w:val="22"/>
        </w:rPr>
        <w:tab/>
        <w:t>for lead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0.03 kg/day </w:t>
      </w:r>
      <w:r>
        <w:tab/>
        <w:t xml:space="preserve"> </w:t>
      </w:r>
      <w:r>
        <w:rPr>
          <w:szCs w:val="22"/>
        </w:rPr>
        <w:t>1070.0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0.03 kg/day but not over 0.3 kg/day </w:t>
      </w:r>
      <w:r>
        <w:tab/>
        <w:t xml:space="preserve"> </w:t>
      </w:r>
      <w:r>
        <w:rPr>
          <w:szCs w:val="22"/>
        </w:rPr>
        <w:t>2135.0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0.3 kg/day </w:t>
      </w:r>
      <w:r>
        <w:tab/>
        <w:t xml:space="preserve"> </w:t>
      </w:r>
      <w:r>
        <w:rPr>
          <w:szCs w:val="22"/>
        </w:rPr>
        <w:t>8552.0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(o)</w:t>
      </w:r>
      <w:r>
        <w:rPr>
          <w:szCs w:val="22"/>
        </w:rPr>
        <w:tab/>
        <w:t>for nickel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0.006 kg/day </w:t>
      </w:r>
      <w:r>
        <w:tab/>
        <w:t xml:space="preserve"> </w:t>
      </w:r>
      <w:r>
        <w:rPr>
          <w:szCs w:val="22"/>
        </w:rPr>
        <w:t>1070.0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0.006 kg/day but not over 0.15 kg/day </w:t>
      </w:r>
      <w:r>
        <w:tab/>
        <w:t xml:space="preserve"> </w:t>
      </w:r>
      <w:r>
        <w:rPr>
          <w:szCs w:val="22"/>
        </w:rPr>
        <w:t>2135.0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0.15 kg/day </w:t>
      </w:r>
      <w:r>
        <w:tab/>
        <w:t xml:space="preserve"> </w:t>
      </w:r>
      <w:r>
        <w:rPr>
          <w:szCs w:val="22"/>
        </w:rPr>
        <w:t>8552.0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(p)</w:t>
      </w:r>
      <w:r>
        <w:rPr>
          <w:szCs w:val="22"/>
        </w:rPr>
        <w:tab/>
        <w:t>for zinc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0.05 kg/day </w:t>
      </w:r>
      <w:r>
        <w:tab/>
        <w:t xml:space="preserve"> </w:t>
      </w:r>
      <w:r>
        <w:rPr>
          <w:szCs w:val="22"/>
        </w:rPr>
        <w:t>1070.0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0.05 kg/day but not over 0.5 kg/day </w:t>
      </w:r>
      <w:r>
        <w:tab/>
        <w:t xml:space="preserve"> </w:t>
      </w:r>
      <w:r>
        <w:rPr>
          <w:szCs w:val="22"/>
        </w:rPr>
        <w:t>2135.0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0.5 kg/day </w:t>
      </w:r>
      <w:r>
        <w:tab/>
        <w:t xml:space="preserve"> </w:t>
      </w:r>
      <w:r>
        <w:rPr>
          <w:szCs w:val="22"/>
        </w:rPr>
        <w:t>8552.0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(q)</w:t>
      </w:r>
      <w:r>
        <w:rPr>
          <w:szCs w:val="22"/>
        </w:rPr>
        <w:tab/>
        <w:t>for arsenic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0.001 kg/day </w:t>
      </w:r>
      <w:r>
        <w:tab/>
        <w:t xml:space="preserve"> </w:t>
      </w:r>
      <w:r>
        <w:rPr>
          <w:szCs w:val="22"/>
        </w:rPr>
        <w:t>1070.0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0.001 kg/day but not over 0.04 kg/day </w:t>
      </w:r>
      <w:r>
        <w:tab/>
        <w:t xml:space="preserve"> </w:t>
      </w:r>
      <w:r>
        <w:rPr>
          <w:szCs w:val="22"/>
        </w:rPr>
        <w:t>10687.0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0.04 kg/day </w:t>
      </w:r>
      <w:r>
        <w:tab/>
        <w:t xml:space="preserve"> </w:t>
      </w:r>
      <w:r>
        <w:rPr>
          <w:szCs w:val="22"/>
        </w:rPr>
        <w:t>106873.0</w:t>
      </w:r>
      <w:r>
        <w:t xml:space="preserve"> c/kg</w:t>
      </w:r>
    </w:p>
    <w:p>
      <w:pPr>
        <w:pStyle w:val="yMiscellaneousBody"/>
        <w:keepNext/>
        <w:tabs>
          <w:tab w:val="left" w:pos="1134"/>
          <w:tab w:val="left" w:pos="1560"/>
          <w:tab w:val="right" w:leader="dot" w:pos="6804"/>
        </w:tabs>
        <w:spacing w:before="120"/>
        <w:ind w:left="1559" w:right="1985" w:hanging="1559"/>
        <w:rPr>
          <w:szCs w:val="22"/>
        </w:rPr>
      </w:pPr>
      <w:r>
        <w:rPr>
          <w:szCs w:val="22"/>
        </w:rPr>
        <w:tab/>
        <w:t>(r)</w:t>
      </w:r>
      <w:r>
        <w:rPr>
          <w:szCs w:val="22"/>
        </w:rPr>
        <w:tab/>
        <w:t>for cadmium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0.001 kg/day </w:t>
      </w:r>
      <w:r>
        <w:tab/>
        <w:t xml:space="preserve"> </w:t>
      </w:r>
      <w:r>
        <w:rPr>
          <w:szCs w:val="22"/>
        </w:rPr>
        <w:t>1070.0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0.001 kg/day but not over 0.015 kg/day </w:t>
      </w:r>
      <w:r>
        <w:tab/>
        <w:t xml:space="preserve"> </w:t>
      </w:r>
      <w:r>
        <w:rPr>
          <w:szCs w:val="22"/>
        </w:rPr>
        <w:t>10687.0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0.015 kg/day </w:t>
      </w:r>
      <w:r>
        <w:tab/>
        <w:t xml:space="preserve"> </w:t>
      </w:r>
      <w:r>
        <w:rPr>
          <w:szCs w:val="22"/>
        </w:rPr>
        <w:t>106873.0</w:t>
      </w:r>
      <w:r>
        <w:t xml:space="preserve"> c/kg</w:t>
      </w:r>
    </w:p>
    <w:p>
      <w:pPr>
        <w:pStyle w:val="yMiscellaneousBody"/>
        <w:keepNext/>
        <w:tabs>
          <w:tab w:val="left" w:pos="1134"/>
          <w:tab w:val="left" w:pos="1560"/>
          <w:tab w:val="right" w:leader="dot" w:pos="6804"/>
        </w:tabs>
        <w:spacing w:before="120"/>
        <w:ind w:left="1559" w:right="1985" w:hanging="1559"/>
        <w:rPr>
          <w:szCs w:val="22"/>
        </w:rPr>
      </w:pPr>
      <w:r>
        <w:rPr>
          <w:szCs w:val="22"/>
        </w:rPr>
        <w:tab/>
        <w:t>(s)</w:t>
      </w:r>
      <w:r>
        <w:rPr>
          <w:szCs w:val="22"/>
        </w:rPr>
        <w:tab/>
        <w:t>for molybdenum or selenium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0.001 kg/day </w:t>
      </w:r>
      <w:r>
        <w:tab/>
        <w:t xml:space="preserve"> </w:t>
      </w:r>
      <w:r>
        <w:rPr>
          <w:szCs w:val="22"/>
        </w:rPr>
        <w:t>1070.0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0.001 kg/day but not over 0.02 kg/day </w:t>
      </w:r>
      <w:r>
        <w:tab/>
        <w:t xml:space="preserve"> </w:t>
      </w:r>
      <w:r>
        <w:rPr>
          <w:szCs w:val="22"/>
        </w:rPr>
        <w:t>10687.0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0.02 kg/day </w:t>
      </w:r>
      <w:r>
        <w:tab/>
        <w:t xml:space="preserve"> </w:t>
      </w:r>
      <w:r>
        <w:rPr>
          <w:szCs w:val="22"/>
        </w:rPr>
        <w:t>106873.0</w:t>
      </w:r>
      <w:r>
        <w:t xml:space="preserve"> c/kg</w:t>
      </w:r>
    </w:p>
    <w:p>
      <w:pPr>
        <w:pStyle w:val="yMiscellaneousBody"/>
        <w:keepNext/>
        <w:tabs>
          <w:tab w:val="left" w:pos="1134"/>
          <w:tab w:val="left" w:pos="1560"/>
          <w:tab w:val="right" w:leader="dot" w:pos="6804"/>
        </w:tabs>
        <w:spacing w:before="120"/>
        <w:ind w:left="1559" w:right="1985" w:hanging="1559"/>
        <w:rPr>
          <w:szCs w:val="22"/>
        </w:rPr>
      </w:pPr>
      <w:r>
        <w:rPr>
          <w:szCs w:val="22"/>
        </w:rPr>
        <w:tab/>
        <w:t>(t)</w:t>
      </w:r>
      <w:r>
        <w:rPr>
          <w:szCs w:val="22"/>
        </w:rPr>
        <w:tab/>
        <w:t>for silver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0.002 kg/day </w:t>
      </w:r>
      <w:r>
        <w:tab/>
        <w:t xml:space="preserve"> </w:t>
      </w:r>
      <w:r>
        <w:rPr>
          <w:szCs w:val="22"/>
        </w:rPr>
        <w:t>1070.0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0.002 kg/day but not over 0.01 kg/day </w:t>
      </w:r>
      <w:r>
        <w:tab/>
        <w:t xml:space="preserve"> </w:t>
      </w:r>
      <w:r>
        <w:rPr>
          <w:szCs w:val="22"/>
        </w:rPr>
        <w:t>10687.0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0.01 kg/day </w:t>
      </w:r>
      <w:r>
        <w:tab/>
        <w:t xml:space="preserve"> </w:t>
      </w:r>
      <w:r>
        <w:rPr>
          <w:szCs w:val="22"/>
        </w:rPr>
        <w:t>106873.0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(u)</w:t>
      </w:r>
      <w:r>
        <w:rPr>
          <w:szCs w:val="22"/>
        </w:rPr>
        <w:tab/>
        <w:t>for mercury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0.0001 kg/day </w:t>
      </w:r>
      <w:r>
        <w:tab/>
        <w:t xml:space="preserve"> </w:t>
      </w:r>
      <w:r>
        <w:rPr>
          <w:szCs w:val="22"/>
        </w:rPr>
        <w:t>1070.0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0.0001 kg/day but not over 0.001 kg/day </w:t>
      </w:r>
      <w:r>
        <w:tab/>
        <w:t xml:space="preserve"> </w:t>
      </w:r>
      <w:r>
        <w:rPr>
          <w:szCs w:val="22"/>
        </w:rPr>
        <w:t>106873.0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0.001 kg/day </w:t>
      </w:r>
      <w:r>
        <w:tab/>
        <w:t xml:space="preserve"> </w:t>
      </w:r>
      <w:r>
        <w:rPr>
          <w:szCs w:val="22"/>
        </w:rPr>
        <w:t>801581.0</w:t>
      </w:r>
      <w:r>
        <w:t xml:space="preserve"> c/kg</w:t>
      </w:r>
    </w:p>
    <w:p>
      <w:pPr>
        <w:pStyle w:val="yHeading5"/>
      </w:pPr>
      <w:bookmarkStart w:id="243" w:name="_Toc434929893"/>
      <w:r>
        <w:rPr>
          <w:rStyle w:val="CharSClsNo"/>
        </w:rPr>
        <w:t>31</w:t>
      </w:r>
      <w:r>
        <w:t>.</w:t>
      </w:r>
      <w:r>
        <w:tab/>
        <w:t>Effluent discharged from septic tank effluent pumping system into sewer</w:t>
      </w:r>
      <w:bookmarkEnd w:id="243"/>
    </w:p>
    <w:p>
      <w:pPr>
        <w:pStyle w:val="yMiscellaneousBody"/>
        <w:tabs>
          <w:tab w:val="left" w:pos="284"/>
          <w:tab w:val="right" w:leader="dot" w:pos="6804"/>
        </w:tabs>
        <w:ind w:left="879" w:right="1983" w:hanging="879"/>
      </w:pPr>
      <w:r>
        <w:rPr>
          <w:szCs w:val="22"/>
        </w:rPr>
        <w:tab/>
      </w:r>
      <w:r>
        <w:rPr>
          <w:szCs w:val="22"/>
        </w:rPr>
        <w:tab/>
        <w:t xml:space="preserve">For effluent discharged from a septic tank effluent pumping system into a sewer of the Water Corporation, the charge is </w:t>
      </w:r>
      <w:r>
        <w:rPr>
          <w:szCs w:val="22"/>
        </w:rPr>
        <w:tab/>
        <w:t xml:space="preserve"> 162.0</w:t>
      </w:r>
      <w:r>
        <w:t xml:space="preserve"> cents/kL</w:t>
      </w:r>
    </w:p>
    <w:p>
      <w:pPr>
        <w:pStyle w:val="yFootnotesection"/>
      </w:pPr>
      <w:r>
        <w:tab/>
        <w:t>[Division 3 inserted in Gazette 15 Oct 2014 p. 3979</w:t>
      </w:r>
      <w:r>
        <w:noBreakHyphen/>
        <w:t>83; amended in Gazette 30 Jun 2015 p. 2387</w:t>
      </w:r>
      <w:r>
        <w:noBreakHyphen/>
        <w:t>90.]</w:t>
      </w:r>
    </w:p>
    <w:p>
      <w:pPr>
        <w:pStyle w:val="yFootnotesection"/>
        <w:sectPr>
          <w:headerReference w:type="even" r:id="rId28"/>
          <w:headerReference w:type="default" r:id="rId29"/>
          <w:pgSz w:w="11907" w:h="16840" w:code="9"/>
          <w:pgMar w:top="2381" w:right="2410" w:bottom="3544" w:left="2410" w:header="720" w:footer="3380" w:gutter="0"/>
          <w:cols w:space="720"/>
          <w:docGrid w:linePitch="326"/>
        </w:sectPr>
      </w:pPr>
    </w:p>
    <w:p>
      <w:pPr>
        <w:pStyle w:val="yScheduleHeading"/>
      </w:pPr>
      <w:bookmarkStart w:id="245" w:name="_Toc429577077"/>
      <w:bookmarkStart w:id="246" w:name="_Toc434929894"/>
      <w:r>
        <w:rPr>
          <w:rStyle w:val="CharSchNo"/>
        </w:rPr>
        <w:t>Schedule 5</w:t>
      </w:r>
      <w:r>
        <w:rPr>
          <w:rStyle w:val="CharSDivNo"/>
        </w:rPr>
        <w:t> </w:t>
      </w:r>
      <w:r>
        <w:t>—</w:t>
      </w:r>
      <w:r>
        <w:rPr>
          <w:rStyle w:val="CharSDivText"/>
        </w:rPr>
        <w:t> </w:t>
      </w:r>
      <w:r>
        <w:rPr>
          <w:rStyle w:val="CharSchText"/>
        </w:rPr>
        <w:t>Drainage charges for the Water Corporation</w:t>
      </w:r>
      <w:bookmarkEnd w:id="245"/>
      <w:bookmarkEnd w:id="246"/>
    </w:p>
    <w:p>
      <w:pPr>
        <w:pStyle w:val="yShoulderClause"/>
        <w:spacing w:before="80"/>
      </w:pPr>
      <w:r>
        <w:t>[r. 47]</w:t>
      </w:r>
    </w:p>
    <w:p>
      <w:pPr>
        <w:pStyle w:val="yFootnoteheading"/>
        <w:spacing w:before="80"/>
      </w:pPr>
      <w:r>
        <w:tab/>
        <w:t>[Heading inserted in Gazette 15 Oct 2014 p. 3983.]</w:t>
      </w:r>
    </w:p>
    <w:p>
      <w:pPr>
        <w:pStyle w:val="yHeading5"/>
        <w:spacing w:before="160"/>
      </w:pPr>
      <w:bookmarkStart w:id="247" w:name="_Toc434929895"/>
      <w:r>
        <w:rPr>
          <w:rStyle w:val="CharSClsNo"/>
        </w:rPr>
        <w:t>1</w:t>
      </w:r>
      <w:r>
        <w:t>.</w:t>
      </w:r>
      <w:r>
        <w:tab/>
        <w:t>Drainage charges for 2015/16 year and subsequent years</w:t>
      </w:r>
      <w:bookmarkEnd w:id="247"/>
    </w:p>
    <w:p>
      <w:pPr>
        <w:pStyle w:val="yMiscellaneousBody"/>
        <w:tabs>
          <w:tab w:val="right" w:leader="dot" w:pos="6804"/>
        </w:tabs>
        <w:spacing w:before="120"/>
        <w:ind w:left="879" w:right="1985" w:hanging="879"/>
      </w:pPr>
      <w:r>
        <w:tab/>
      </w:r>
      <w:r>
        <w:rPr>
          <w:szCs w:val="22"/>
        </w:rPr>
        <w:t>The</w:t>
      </w:r>
      <w:r>
        <w:t xml:space="preserve"> charges set out in this Schedule apply for drainage </w:t>
      </w:r>
      <w:r>
        <w:rPr>
          <w:szCs w:val="22"/>
        </w:rPr>
        <w:t>services</w:t>
      </w:r>
      <w:r>
        <w:t xml:space="preserve"> provided in the </w:t>
      </w:r>
      <w:r>
        <w:rPr>
          <w:szCs w:val="22"/>
        </w:rPr>
        <w:t>2015/16</w:t>
      </w:r>
      <w:r>
        <w:t> financial year and each subsequent year.</w:t>
      </w:r>
    </w:p>
    <w:p>
      <w:pPr>
        <w:pStyle w:val="yHeading5"/>
        <w:spacing w:before="160"/>
      </w:pPr>
      <w:bookmarkStart w:id="248" w:name="_Toc434929896"/>
      <w:r>
        <w:rPr>
          <w:rStyle w:val="CharSClsNo"/>
        </w:rPr>
        <w:t>2</w:t>
      </w:r>
      <w:r>
        <w:t>.</w:t>
      </w:r>
      <w:r>
        <w:tab/>
        <w:t>Strata</w:t>
      </w:r>
      <w:r>
        <w:noBreakHyphen/>
        <w:t>titled caravan bays</w:t>
      </w:r>
      <w:bookmarkEnd w:id="248"/>
    </w:p>
    <w:p>
      <w:pPr>
        <w:pStyle w:val="yMiscellaneousBody"/>
        <w:tabs>
          <w:tab w:val="right" w:leader="dot" w:pos="6804"/>
        </w:tabs>
        <w:spacing w:before="120"/>
        <w:ind w:left="879" w:right="1985" w:hanging="879"/>
      </w:pPr>
      <w:r>
        <w:rPr>
          <w:szCs w:val="22"/>
        </w:rPr>
        <w:tab/>
        <w:t>In respect of a strata</w:t>
      </w:r>
      <w:r>
        <w:rPr>
          <w:szCs w:val="22"/>
        </w:rPr>
        <w:noBreakHyphen/>
        <w:t xml:space="preserve">titled caravan bay, the charge is </w:t>
      </w:r>
      <w:r>
        <w:rPr>
          <w:szCs w:val="22"/>
        </w:rPr>
        <w:tab/>
        <w:t xml:space="preserve"> $31.10</w:t>
      </w:r>
    </w:p>
    <w:p>
      <w:pPr>
        <w:pStyle w:val="yHeading5"/>
        <w:spacing w:before="160"/>
      </w:pPr>
      <w:bookmarkStart w:id="249" w:name="_Toc434929897"/>
      <w:r>
        <w:rPr>
          <w:rStyle w:val="CharSClsNo"/>
        </w:rPr>
        <w:t>3</w:t>
      </w:r>
      <w:r>
        <w:t>.</w:t>
      </w:r>
      <w:r>
        <w:tab/>
        <w:t>Strata</w:t>
      </w:r>
      <w:r>
        <w:noBreakHyphen/>
        <w:t>titled storage unit or strata</w:t>
      </w:r>
      <w:r>
        <w:noBreakHyphen/>
        <w:t>titled parking bay</w:t>
      </w:r>
      <w:bookmarkEnd w:id="249"/>
    </w:p>
    <w:p>
      <w:pPr>
        <w:pStyle w:val="yMiscellaneousBody"/>
        <w:tabs>
          <w:tab w:val="right" w:leader="dot" w:pos="6804"/>
        </w:tabs>
        <w:spacing w:before="120"/>
        <w:ind w:left="879" w:right="1985" w:hanging="879"/>
      </w:pPr>
      <w:r>
        <w:tab/>
      </w:r>
      <w:r>
        <w:rPr>
          <w:szCs w:val="22"/>
        </w:rPr>
        <w:t xml:space="preserve">In respect of a lot that is used for storage purposes or as a parking bay, the charge is </w:t>
      </w:r>
      <w:r>
        <w:rPr>
          <w:szCs w:val="22"/>
        </w:rPr>
        <w:tab/>
        <w:t xml:space="preserve"> $11.59</w:t>
      </w:r>
    </w:p>
    <w:p>
      <w:pPr>
        <w:pStyle w:val="yHeading5"/>
        <w:spacing w:before="160"/>
      </w:pPr>
      <w:bookmarkStart w:id="250" w:name="_Toc434929898"/>
      <w:r>
        <w:rPr>
          <w:rStyle w:val="CharSClsNo"/>
        </w:rPr>
        <w:t>4</w:t>
      </w:r>
      <w:r>
        <w:t>.</w:t>
      </w:r>
      <w:r>
        <w:tab/>
        <w:t>Residential or semi</w:t>
      </w:r>
      <w:r>
        <w:noBreakHyphen/>
        <w:t>rural residential</w:t>
      </w:r>
      <w:bookmarkEnd w:id="250"/>
    </w:p>
    <w:p>
      <w:pPr>
        <w:pStyle w:val="yMiscellaneousBody"/>
        <w:tabs>
          <w:tab w:val="left" w:pos="284"/>
          <w:tab w:val="right" w:leader="dot" w:pos="6804"/>
        </w:tabs>
        <w:spacing w:before="120"/>
        <w:ind w:left="879" w:right="1985" w:hanging="879"/>
      </w:pPr>
      <w:r>
        <w:tab/>
        <w:t>(1)</w:t>
      </w:r>
      <w:r>
        <w:tab/>
      </w:r>
      <w:r>
        <w:rPr>
          <w:szCs w:val="22"/>
        </w:rPr>
        <w:t>In respect of land that is classified as residential or semi</w:t>
      </w:r>
      <w:r>
        <w:rPr>
          <w:szCs w:val="22"/>
        </w:rPr>
        <w:noBreakHyphen/>
        <w:t xml:space="preserve">rural residential, the charge is </w:t>
      </w:r>
      <w:r>
        <w:rPr>
          <w:szCs w:val="22"/>
        </w:rPr>
        <w:tab/>
        <w:t xml:space="preserve"> 0.481</w:t>
      </w:r>
      <w:r>
        <w:t xml:space="preserve"> cents/$ </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before="120"/>
        <w:ind w:left="879" w:right="1985" w:hanging="879"/>
      </w:pPr>
      <w:r>
        <w:tab/>
        <w:t>(2)</w:t>
      </w:r>
      <w:r>
        <w:tab/>
        <w:t xml:space="preserve">The minimum charge under this item is </w:t>
      </w:r>
      <w:r>
        <w:tab/>
        <w:t xml:space="preserve"> </w:t>
      </w:r>
      <w:r>
        <w:rPr>
          <w:szCs w:val="22"/>
        </w:rPr>
        <w:t>$102.85</w:t>
      </w:r>
    </w:p>
    <w:p>
      <w:pPr>
        <w:pStyle w:val="yHeading5"/>
        <w:spacing w:before="160"/>
      </w:pPr>
      <w:bookmarkStart w:id="251" w:name="_Toc434929899"/>
      <w:r>
        <w:rPr>
          <w:rStyle w:val="CharSClsNo"/>
        </w:rPr>
        <w:t>5</w:t>
      </w:r>
      <w:r>
        <w:t>.</w:t>
      </w:r>
      <w:r>
        <w:tab/>
        <w:t>Vacant land</w:t>
      </w:r>
      <w:bookmarkEnd w:id="251"/>
    </w:p>
    <w:p>
      <w:pPr>
        <w:pStyle w:val="yMiscellaneousBody"/>
        <w:tabs>
          <w:tab w:val="left" w:pos="284"/>
          <w:tab w:val="right" w:leader="dot" w:pos="6804"/>
        </w:tabs>
        <w:spacing w:before="120"/>
        <w:ind w:left="879" w:right="1985" w:hanging="879"/>
      </w:pPr>
      <w:r>
        <w:tab/>
        <w:t>(1)</w:t>
      </w:r>
      <w:r>
        <w:tab/>
      </w:r>
      <w:r>
        <w:rPr>
          <w:szCs w:val="22"/>
        </w:rPr>
        <w:t xml:space="preserve">In respect of land that is classified as vacant land, the charge is </w:t>
      </w:r>
      <w:r>
        <w:rPr>
          <w:szCs w:val="22"/>
        </w:rPr>
        <w:tab/>
        <w:t xml:space="preserve"> 0.626</w:t>
      </w:r>
      <w:r>
        <w:t xml:space="preserve"> cents/$ </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before="120"/>
        <w:ind w:left="879" w:right="1985" w:hanging="879"/>
      </w:pPr>
      <w:r>
        <w:tab/>
        <w:t>(2)</w:t>
      </w:r>
      <w:r>
        <w:tab/>
        <w:t xml:space="preserve">The minimum charge under this item is </w:t>
      </w:r>
      <w:r>
        <w:tab/>
        <w:t xml:space="preserve"> </w:t>
      </w:r>
      <w:r>
        <w:rPr>
          <w:szCs w:val="22"/>
        </w:rPr>
        <w:t>$102.85</w:t>
      </w:r>
    </w:p>
    <w:p>
      <w:pPr>
        <w:pStyle w:val="yHeading5"/>
        <w:spacing w:before="160"/>
      </w:pPr>
      <w:bookmarkStart w:id="252" w:name="_Toc434929900"/>
      <w:r>
        <w:rPr>
          <w:rStyle w:val="CharSClsNo"/>
        </w:rPr>
        <w:t>6</w:t>
      </w:r>
      <w:r>
        <w:t>.</w:t>
      </w:r>
      <w:r>
        <w:tab/>
        <w:t>Non</w:t>
      </w:r>
      <w:r>
        <w:noBreakHyphen/>
        <w:t>residential (except certain strata</w:t>
      </w:r>
      <w:r>
        <w:noBreakHyphen/>
        <w:t>titled units)</w:t>
      </w:r>
      <w:bookmarkEnd w:id="252"/>
    </w:p>
    <w:p>
      <w:pPr>
        <w:pStyle w:val="yMiscellaneousBody"/>
        <w:tabs>
          <w:tab w:val="left" w:pos="284"/>
          <w:tab w:val="right" w:leader="dot" w:pos="6804"/>
        </w:tabs>
        <w:spacing w:before="120"/>
        <w:ind w:left="879" w:right="1985" w:hanging="879"/>
      </w:pPr>
      <w:r>
        <w:tab/>
        <w:t>(1)</w:t>
      </w:r>
      <w:r>
        <w:tab/>
      </w:r>
      <w:r>
        <w:rPr>
          <w:szCs w:val="22"/>
        </w:rPr>
        <w:t>In respect of land that is classified as non</w:t>
      </w:r>
      <w:r>
        <w:rPr>
          <w:szCs w:val="22"/>
        </w:rPr>
        <w:noBreakHyphen/>
        <w:t xml:space="preserve">residential and not covered by item 2 or 3, the charge is </w:t>
      </w:r>
      <w:r>
        <w:rPr>
          <w:szCs w:val="22"/>
        </w:rPr>
        <w:tab/>
        <w:t xml:space="preserve"> 0.278</w:t>
      </w:r>
      <w:r>
        <w:t xml:space="preserve"> cents/$ </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before="100"/>
        <w:ind w:left="879" w:right="1985" w:hanging="879"/>
      </w:pPr>
      <w:r>
        <w:tab/>
        <w:t>(2)</w:t>
      </w:r>
      <w:r>
        <w:tab/>
        <w:t xml:space="preserve">The minimum charge under this item is </w:t>
      </w:r>
      <w:r>
        <w:tab/>
        <w:t xml:space="preserve"> </w:t>
      </w:r>
      <w:r>
        <w:rPr>
          <w:szCs w:val="22"/>
        </w:rPr>
        <w:t>$102.85</w:t>
      </w:r>
    </w:p>
    <w:p>
      <w:pPr>
        <w:pStyle w:val="yFootnotesection"/>
        <w:keepLines w:val="0"/>
        <w:spacing w:before="60"/>
      </w:pPr>
      <w:r>
        <w:tab/>
        <w:t>[Schedule 5 inserted in Gazette 15 Oct 2014 p. 3983</w:t>
      </w:r>
      <w:r>
        <w:noBreakHyphen/>
        <w:t>4; amended in Gazette 30 Jun 2015 p. 2390</w:t>
      </w:r>
      <w:r>
        <w:noBreakHyphen/>
        <w:t>1.]</w:t>
      </w:r>
    </w:p>
    <w:p>
      <w:pPr>
        <w:pStyle w:val="yScheduleHeading"/>
      </w:pPr>
      <w:bookmarkStart w:id="253" w:name="_Toc429577084"/>
      <w:bookmarkStart w:id="254" w:name="_Toc434929901"/>
      <w:r>
        <w:rPr>
          <w:rStyle w:val="CharSchNo"/>
        </w:rPr>
        <w:t>Schedule 6</w:t>
      </w:r>
      <w:r>
        <w:rPr>
          <w:rStyle w:val="CharSDivNo"/>
        </w:rPr>
        <w:t> </w:t>
      </w:r>
      <w:r>
        <w:t>—</w:t>
      </w:r>
      <w:r>
        <w:rPr>
          <w:rStyle w:val="CharSDivText"/>
        </w:rPr>
        <w:t> </w:t>
      </w:r>
      <w:r>
        <w:rPr>
          <w:rStyle w:val="CharSchText"/>
        </w:rPr>
        <w:t>Irrigation charges for the Water Corporation (Ord Irrigation District)</w:t>
      </w:r>
      <w:bookmarkEnd w:id="253"/>
      <w:bookmarkEnd w:id="254"/>
    </w:p>
    <w:p>
      <w:pPr>
        <w:pStyle w:val="yShoulderClause"/>
      </w:pPr>
      <w:r>
        <w:t>[r. 50]</w:t>
      </w:r>
    </w:p>
    <w:p>
      <w:pPr>
        <w:pStyle w:val="yFootnoteheading"/>
      </w:pPr>
      <w:r>
        <w:tab/>
        <w:t>[Heading inserted in Gazette 15 Oct 2014 p. 3984.]</w:t>
      </w:r>
    </w:p>
    <w:p>
      <w:pPr>
        <w:pStyle w:val="yHeading5"/>
      </w:pPr>
      <w:bookmarkStart w:id="255" w:name="_Toc434929902"/>
      <w:r>
        <w:rPr>
          <w:rStyle w:val="CharSClsNo"/>
        </w:rPr>
        <w:t>1</w:t>
      </w:r>
      <w:r>
        <w:t>.</w:t>
      </w:r>
      <w:r>
        <w:tab/>
        <w:t>Irrigation charges for 2015/16 year and subsequent years</w:t>
      </w:r>
      <w:bookmarkEnd w:id="255"/>
    </w:p>
    <w:p>
      <w:pPr>
        <w:pStyle w:val="yMiscellaneousBody"/>
        <w:tabs>
          <w:tab w:val="right" w:pos="709"/>
          <w:tab w:val="left" w:pos="851"/>
        </w:tabs>
        <w:ind w:left="851" w:right="1699" w:hanging="851"/>
      </w:pPr>
      <w:r>
        <w:tab/>
      </w:r>
      <w:r>
        <w:tab/>
        <w:t xml:space="preserve">The charges set out in this Schedule apply for irrigation services provided in the </w:t>
      </w:r>
      <w:r>
        <w:rPr>
          <w:szCs w:val="22"/>
        </w:rPr>
        <w:t>2015/16</w:t>
      </w:r>
      <w:r>
        <w:t> financial year and each subsequent year.</w:t>
      </w:r>
    </w:p>
    <w:p>
      <w:pPr>
        <w:pStyle w:val="yHeading5"/>
      </w:pPr>
      <w:bookmarkStart w:id="256" w:name="_Toc434929903"/>
      <w:r>
        <w:rPr>
          <w:rStyle w:val="CharSClsNo"/>
        </w:rPr>
        <w:t>2</w:t>
      </w:r>
      <w:r>
        <w:t>.</w:t>
      </w:r>
      <w:r>
        <w:tab/>
        <w:t>Water supplied for irrigation</w:t>
      </w:r>
      <w:bookmarkEnd w:id="256"/>
    </w:p>
    <w:p>
      <w:pPr>
        <w:pStyle w:val="yMiscellaneousBody"/>
        <w:tabs>
          <w:tab w:val="right" w:pos="709"/>
          <w:tab w:val="left" w:pos="851"/>
        </w:tabs>
        <w:ind w:left="851" w:right="1699" w:hanging="851"/>
      </w:pPr>
      <w:r>
        <w:tab/>
      </w:r>
      <w:r>
        <w:tab/>
        <w:t>In respect of land to which water is supplied from irrigation works of the Water Corporation in the Ord Irrigation District for the purpose of irrigation, the charge, per hectare of land supplied,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w:t>
      </w:r>
      <w:r>
        <w:rPr>
          <w:szCs w:val="22"/>
        </w:rPr>
        <w:t>$148.29</w:t>
      </w:r>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w:t>
      </w:r>
      <w:r>
        <w:rPr>
          <w:szCs w:val="22"/>
        </w:rPr>
        <w:t>$111.73</w:t>
      </w:r>
    </w:p>
    <w:p>
      <w:pPr>
        <w:pStyle w:val="yHeading5"/>
      </w:pPr>
      <w:bookmarkStart w:id="257" w:name="_Toc434929904"/>
      <w:r>
        <w:rPr>
          <w:rStyle w:val="CharSClsNo"/>
        </w:rPr>
        <w:t>3</w:t>
      </w:r>
      <w:r>
        <w:t>.</w:t>
      </w:r>
      <w:r>
        <w:tab/>
        <w:t>Water supplied for watering stock or dust prevention</w:t>
      </w:r>
      <w:bookmarkEnd w:id="257"/>
    </w:p>
    <w:p>
      <w:pPr>
        <w:pStyle w:val="yMiscellaneousBody"/>
        <w:tabs>
          <w:tab w:val="right" w:pos="709"/>
          <w:tab w:val="left" w:pos="851"/>
        </w:tabs>
        <w:ind w:left="851" w:right="1699" w:hanging="851"/>
      </w:pPr>
      <w:r>
        <w:tab/>
      </w:r>
      <w:r>
        <w:tab/>
        <w:t>In respect of land to which water is supplied from irrigation works of the Water Corporation in the Ord Irrigation District for the purpose of watering stock or dust prevention in feed lots, the charge is —</w:t>
      </w:r>
    </w:p>
    <w:p>
      <w:pPr>
        <w:pStyle w:val="yMiscellaneousBody"/>
        <w:tabs>
          <w:tab w:val="left" w:pos="1134"/>
          <w:tab w:val="left" w:pos="1560"/>
          <w:tab w:val="right" w:leader="dot" w:pos="6804"/>
        </w:tabs>
        <w:spacing w:before="80"/>
        <w:ind w:left="1559" w:right="1985" w:hanging="1559"/>
      </w:pPr>
      <w:r>
        <w:tab/>
        <w:t>(a)</w:t>
      </w:r>
      <w:r>
        <w:tab/>
        <w:t xml:space="preserve">if the maximum area used as a feed lot during the year is not more than 4 hectares </w:t>
      </w:r>
      <w:r>
        <w:tab/>
        <w:t xml:space="preserve"> </w:t>
      </w:r>
      <w:r>
        <w:rPr>
          <w:szCs w:val="22"/>
        </w:rPr>
        <w:t>$693.42</w:t>
      </w:r>
    </w:p>
    <w:p>
      <w:pPr>
        <w:pStyle w:val="yMiscellaneousBody"/>
        <w:tabs>
          <w:tab w:val="left" w:pos="1134"/>
          <w:tab w:val="left" w:pos="1560"/>
          <w:tab w:val="right" w:leader="dot" w:pos="6804"/>
        </w:tabs>
        <w:spacing w:before="80"/>
        <w:ind w:left="1559" w:right="1985" w:hanging="1559"/>
      </w:pPr>
      <w:r>
        <w:tab/>
        <w:t>(b)</w:t>
      </w:r>
      <w:r>
        <w:tab/>
        <w:t xml:space="preserve">if the maximum area used as a feed lot during the year is more than 4 hectares </w:t>
      </w:r>
      <w:r>
        <w:tab/>
        <w:t xml:space="preserve"> </w:t>
      </w:r>
      <w:r>
        <w:rPr>
          <w:szCs w:val="22"/>
        </w:rPr>
        <w:t>$693.42</w:t>
      </w:r>
    </w:p>
    <w:p>
      <w:pPr>
        <w:pStyle w:val="yMiscellaneousBody"/>
        <w:tabs>
          <w:tab w:val="left" w:pos="6096"/>
          <w:tab w:val="right" w:pos="6804"/>
        </w:tabs>
        <w:spacing w:before="0"/>
        <w:ind w:left="1559" w:right="1985" w:hanging="1559"/>
      </w:pPr>
      <w:r>
        <w:t xml:space="preserve"> </w:t>
      </w:r>
      <w:r>
        <w:tab/>
      </w:r>
      <w:r>
        <w:tab/>
        <w:t xml:space="preserve">plus </w:t>
      </w:r>
      <w:r>
        <w:tab/>
      </w:r>
      <w:r>
        <w:rPr>
          <w:szCs w:val="22"/>
        </w:rPr>
        <w:t>$137.32</w:t>
      </w:r>
      <w:r>
        <w:br/>
      </w:r>
      <w:r>
        <w:tab/>
        <w:t xml:space="preserve">per ha </w:t>
      </w:r>
      <w:r>
        <w:br/>
      </w:r>
      <w:r>
        <w:tab/>
        <w:t xml:space="preserve">(pro rata) in </w:t>
      </w:r>
      <w:r>
        <w:br/>
      </w:r>
      <w:r>
        <w:tab/>
        <w:t>excess of 4 ha</w:t>
      </w:r>
    </w:p>
    <w:p>
      <w:pPr>
        <w:pStyle w:val="yHeading5"/>
      </w:pPr>
      <w:bookmarkStart w:id="258" w:name="_Toc434929905"/>
      <w:r>
        <w:rPr>
          <w:rStyle w:val="CharSClsNo"/>
        </w:rPr>
        <w:t>4</w:t>
      </w:r>
      <w:r>
        <w:t>.</w:t>
      </w:r>
      <w:r>
        <w:tab/>
        <w:t>Water supplied for purposes other than irrigation, watering stock or dust prevention</w:t>
      </w:r>
      <w:bookmarkEnd w:id="258"/>
    </w:p>
    <w:p>
      <w:pPr>
        <w:pStyle w:val="yMiscellaneousBody"/>
        <w:tabs>
          <w:tab w:val="right" w:pos="709"/>
          <w:tab w:val="left" w:pos="851"/>
        </w:tabs>
        <w:ind w:left="851" w:right="1699" w:hanging="851"/>
      </w:pPr>
      <w:r>
        <w:tab/>
      </w:r>
      <w:r>
        <w:tab/>
        <w:t>In respect of land to which water is supplied from irrigation works of the Water Corporation in the Ord Irrigation District for purposes other than irrigation, watering stock or dust prevention in feed lots, the charge, per supply point,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w:t>
      </w:r>
      <w:r>
        <w:rPr>
          <w:szCs w:val="22"/>
        </w:rPr>
        <w:t>$258.47</w:t>
      </w:r>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w:t>
      </w:r>
      <w:r>
        <w:rPr>
          <w:szCs w:val="22"/>
        </w:rPr>
        <w:t>$189.02</w:t>
      </w:r>
    </w:p>
    <w:p>
      <w:pPr>
        <w:pStyle w:val="yFootnotesection"/>
      </w:pPr>
      <w:r>
        <w:tab/>
        <w:t>[Schedule 6 inserted in Gazette 15 Oct 2014 p. 3984</w:t>
      </w:r>
      <w:r>
        <w:noBreakHyphen/>
        <w:t>5; amended in Gazette 30 Jun 2015 p. 2391</w:t>
      </w:r>
      <w:r>
        <w:noBreakHyphen/>
        <w:t>2.]</w:t>
      </w:r>
    </w:p>
    <w:p>
      <w:pPr>
        <w:pStyle w:val="yScheduleHeading"/>
      </w:pPr>
      <w:bookmarkStart w:id="259" w:name="_Toc429577089"/>
      <w:bookmarkStart w:id="260" w:name="_Toc434929906"/>
      <w:r>
        <w:rPr>
          <w:rStyle w:val="CharSchNo"/>
        </w:rPr>
        <w:t>Schedule 7</w:t>
      </w:r>
      <w:r>
        <w:rPr>
          <w:rStyle w:val="CharSDivNo"/>
        </w:rPr>
        <w:t> </w:t>
      </w:r>
      <w:r>
        <w:t>—</w:t>
      </w:r>
      <w:r>
        <w:rPr>
          <w:rStyle w:val="CharSDivText"/>
        </w:rPr>
        <w:t> </w:t>
      </w:r>
      <w:r>
        <w:rPr>
          <w:rStyle w:val="CharSchText"/>
        </w:rPr>
        <w:t>Miscellaneous charges for the Water Corporation</w:t>
      </w:r>
      <w:bookmarkEnd w:id="259"/>
      <w:bookmarkEnd w:id="260"/>
    </w:p>
    <w:p>
      <w:pPr>
        <w:pStyle w:val="yShoulderClause"/>
      </w:pPr>
      <w:r>
        <w:t>[r. 51]</w:t>
      </w:r>
    </w:p>
    <w:p>
      <w:pPr>
        <w:pStyle w:val="yFootnoteheading"/>
      </w:pPr>
      <w:r>
        <w:tab/>
        <w:t>[Heading inserted in Gazette 15 Oct 2014 p. 3986.]</w:t>
      </w:r>
    </w:p>
    <w:p>
      <w:pPr>
        <w:pStyle w:val="yHeading5"/>
      </w:pPr>
      <w:bookmarkStart w:id="261" w:name="_Toc434929907"/>
      <w:r>
        <w:rPr>
          <w:rStyle w:val="CharSClsNo"/>
        </w:rPr>
        <w:t>1</w:t>
      </w:r>
      <w:r>
        <w:t>.</w:t>
      </w:r>
      <w:r>
        <w:tab/>
        <w:t>Meters: multi</w:t>
      </w:r>
      <w:r>
        <w:noBreakHyphen/>
        <w:t>unit developments</w:t>
      </w:r>
      <w:bookmarkEnd w:id="261"/>
    </w:p>
    <w:p>
      <w:pPr>
        <w:pStyle w:val="yMiscellaneousBody"/>
        <w:tabs>
          <w:tab w:val="left" w:pos="284"/>
          <w:tab w:val="right" w:leader="dot" w:pos="6804"/>
        </w:tabs>
        <w:spacing w:after="160"/>
        <w:ind w:left="879" w:right="1985" w:hanging="879"/>
      </w:pPr>
      <w:r>
        <w:tab/>
      </w:r>
      <w:r>
        <w:tab/>
        <w:t>For supplying and connecting a meter to a pipe supplying water to a unit in a multi</w:t>
      </w:r>
      <w:r>
        <w:noBreakHyphen/>
        <w:t xml:space="preserve">unit development under the </w:t>
      </w:r>
      <w:r>
        <w:rPr>
          <w:i/>
        </w:rPr>
        <w:t>Water Services Regulations 2013</w:t>
      </w:r>
      <w:r>
        <w:t xml:space="preserve"> regulation 23(1), the charge is </w:t>
      </w:r>
      <w:r>
        <w:tab/>
        <w:t xml:space="preserve"> </w:t>
      </w:r>
      <w:r>
        <w:rPr>
          <w:szCs w:val="22"/>
        </w:rPr>
        <w:t>$351.41</w:t>
      </w:r>
    </w:p>
    <w:p>
      <w:pPr>
        <w:pStyle w:val="yHeading5"/>
      </w:pPr>
      <w:bookmarkStart w:id="262" w:name="_Toc434929908"/>
      <w:r>
        <w:rPr>
          <w:rStyle w:val="CharSClsNo"/>
        </w:rPr>
        <w:t>2</w:t>
      </w:r>
      <w:r>
        <w:t>.</w:t>
      </w:r>
      <w:r>
        <w:tab/>
        <w:t>Assessing meters: multi</w:t>
      </w:r>
      <w:r>
        <w:noBreakHyphen/>
        <w:t>unit developments</w:t>
      </w:r>
      <w:bookmarkEnd w:id="262"/>
    </w:p>
    <w:p>
      <w:pPr>
        <w:pStyle w:val="yMiscellaneousBody"/>
        <w:tabs>
          <w:tab w:val="left" w:pos="284"/>
          <w:tab w:val="right" w:leader="dot" w:pos="6804"/>
        </w:tabs>
        <w:spacing w:after="160"/>
        <w:ind w:left="879" w:right="1985" w:hanging="879"/>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w:t>
      </w:r>
      <w:r>
        <w:rPr>
          <w:szCs w:val="22"/>
        </w:rPr>
        <w:t>$249.58</w:t>
      </w:r>
    </w:p>
    <w:p>
      <w:pPr>
        <w:pStyle w:val="yHeading5"/>
      </w:pPr>
      <w:bookmarkStart w:id="263" w:name="_Toc434929909"/>
      <w:r>
        <w:rPr>
          <w:rStyle w:val="CharSClsNo"/>
        </w:rPr>
        <w:t>3</w:t>
      </w:r>
      <w:r>
        <w:t>.</w:t>
      </w:r>
      <w:r>
        <w:tab/>
        <w:t>Testing meters</w:t>
      </w:r>
      <w:bookmarkEnd w:id="263"/>
    </w:p>
    <w:p>
      <w:pPr>
        <w:pStyle w:val="yMiscellaneousBody"/>
        <w:tabs>
          <w:tab w:val="left" w:pos="284"/>
          <w:tab w:val="right" w:leader="dot" w:pos="6804"/>
        </w:tabs>
        <w:spacing w:after="160"/>
        <w:ind w:left="879" w:right="1985" w:hanging="879"/>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right" w:leader="dot" w:pos="6804"/>
        </w:tabs>
        <w:spacing w:before="120"/>
        <w:ind w:left="1134" w:right="2268" w:hanging="879"/>
      </w:pPr>
      <w:r>
        <w:tab/>
        <w:t>20</w:t>
      </w:r>
      <w:r>
        <w:noBreakHyphen/>
        <w:t xml:space="preserve">25 mm </w:t>
      </w:r>
      <w:r>
        <w:tab/>
        <w:t xml:space="preserve"> </w:t>
      </w:r>
      <w:r>
        <w:rPr>
          <w:szCs w:val="22"/>
        </w:rPr>
        <w:t>$106.51</w:t>
      </w:r>
    </w:p>
    <w:p>
      <w:pPr>
        <w:pStyle w:val="yMiscellaneousBody"/>
        <w:tabs>
          <w:tab w:val="right" w:leader="dot" w:pos="6804"/>
        </w:tabs>
        <w:spacing w:before="120"/>
        <w:ind w:left="1134" w:right="2268" w:hanging="879"/>
      </w:pPr>
      <w:r>
        <w:tab/>
        <w:t xml:space="preserve">more than 25 mm </w:t>
      </w:r>
      <w:r>
        <w:tab/>
        <w:t xml:space="preserve"> 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 testing</w:t>
      </w:r>
    </w:p>
    <w:p>
      <w:pPr>
        <w:pStyle w:val="yHeading5"/>
      </w:pPr>
      <w:bookmarkStart w:id="264" w:name="_Toc434929910"/>
      <w:r>
        <w:rPr>
          <w:rStyle w:val="CharSClsNo"/>
        </w:rPr>
        <w:t>4</w:t>
      </w:r>
      <w:r>
        <w:t>.</w:t>
      </w:r>
      <w:r>
        <w:tab/>
        <w:t>Installing water supply connection</w:t>
      </w:r>
      <w:bookmarkEnd w:id="264"/>
    </w:p>
    <w:p>
      <w:pPr>
        <w:pStyle w:val="yMiscellaneousBody"/>
        <w:tabs>
          <w:tab w:val="left" w:pos="284"/>
          <w:tab w:val="right" w:leader="dot" w:pos="6804"/>
        </w:tabs>
        <w:spacing w:after="160"/>
        <w:ind w:left="879" w:right="1985" w:hanging="879"/>
      </w:pPr>
      <w:r>
        <w:tab/>
        <w:t>(1)</w:t>
      </w:r>
      <w:r>
        <w:tab/>
        <w:t>For installing a water supply connection in relation to land in the metropolitan area (other than in the central business districts), the charge, according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$1 189.48</w:t>
      </w:r>
    </w:p>
    <w:p>
      <w:pPr>
        <w:pStyle w:val="yMiscellaneousBody"/>
        <w:tabs>
          <w:tab w:val="right" w:leader="dot" w:pos="6804"/>
        </w:tabs>
        <w:spacing w:before="120"/>
        <w:ind w:left="1134" w:right="2268" w:hanging="879"/>
      </w:pPr>
      <w:r>
        <w:tab/>
        <w:t xml:space="preserve">25 mm </w:t>
      </w:r>
      <w:r>
        <w:tab/>
        <w:t xml:space="preserve"> </w:t>
      </w:r>
      <w:r>
        <w:rPr>
          <w:szCs w:val="22"/>
        </w:rPr>
        <w:t>$1 205.15</w:t>
      </w:r>
    </w:p>
    <w:p>
      <w:pPr>
        <w:pStyle w:val="yMiscellaneousBody"/>
        <w:tabs>
          <w:tab w:val="right" w:leader="dot" w:pos="6804"/>
        </w:tabs>
        <w:spacing w:before="120"/>
        <w:ind w:left="1134" w:right="2268" w:hanging="879"/>
      </w:pPr>
      <w:r>
        <w:tab/>
        <w:t xml:space="preserve">40 mm </w:t>
      </w:r>
      <w:r>
        <w:tab/>
        <w:t xml:space="preserve"> </w:t>
      </w:r>
      <w:r>
        <w:rPr>
          <w:szCs w:val="22"/>
        </w:rPr>
        <w:t>$1 754.46</w:t>
      </w:r>
    </w:p>
    <w:p>
      <w:pPr>
        <w:pStyle w:val="yMiscellaneousBody"/>
        <w:tabs>
          <w:tab w:val="right" w:leader="dot" w:pos="6804"/>
        </w:tabs>
        <w:spacing w:before="120"/>
        <w:ind w:left="1134" w:right="2268" w:hanging="879"/>
      </w:pPr>
      <w:r>
        <w:tab/>
        <w:t xml:space="preserve">50 mm </w:t>
      </w:r>
      <w:r>
        <w:tab/>
        <w:t xml:space="preserve"> </w:t>
      </w:r>
      <w:r>
        <w:rPr>
          <w:szCs w:val="22"/>
        </w:rPr>
        <w:t>$2 168.02</w:t>
      </w:r>
    </w:p>
    <w:p>
      <w:pPr>
        <w:pStyle w:val="yMiscellaneousBody"/>
        <w:tabs>
          <w:tab w:val="right" w:leader="dot" w:pos="6804"/>
        </w:tabs>
        <w:spacing w:before="120"/>
        <w:ind w:left="1134" w:right="2268" w:hanging="879"/>
      </w:pPr>
      <w:r>
        <w:tab/>
        <w:t>80</w:t>
      </w:r>
      <w:r>
        <w:noBreakHyphen/>
        <w:t xml:space="preserve">100 mm </w:t>
      </w:r>
      <w:r>
        <w:tab/>
        <w:t xml:space="preserve"> </w:t>
      </w:r>
      <w:r>
        <w:rPr>
          <w:szCs w:val="22"/>
        </w:rPr>
        <w:t>$4 198.18</w:t>
      </w:r>
    </w:p>
    <w:p>
      <w:pPr>
        <w:pStyle w:val="yMiscellaneousBody"/>
        <w:tabs>
          <w:tab w:val="right" w:leader="dot" w:pos="6804"/>
        </w:tabs>
        <w:spacing w:before="120"/>
        <w:ind w:left="1134" w:right="2268" w:hanging="879"/>
      </w:pPr>
      <w:r>
        <w:tab/>
        <w:t xml:space="preserve">150 mm </w:t>
      </w:r>
      <w:r>
        <w:tab/>
        <w:t xml:space="preserve"> </w:t>
      </w:r>
      <w:r>
        <w:rPr>
          <w:szCs w:val="22"/>
        </w:rPr>
        <w:t>$5 011.37</w:t>
      </w:r>
    </w:p>
    <w:p>
      <w:pPr>
        <w:pStyle w:val="yMiscellaneousBody"/>
        <w:tabs>
          <w:tab w:val="right" w:leader="dot" w:pos="6804"/>
        </w:tabs>
        <w:spacing w:before="120"/>
        <w:ind w:left="1134" w:right="2268" w:hanging="879"/>
      </w:pPr>
      <w:r>
        <w:tab/>
        <w:t xml:space="preserve">more than 150 mm </w:t>
      </w:r>
      <w:r>
        <w:tab/>
        <w:t xml:space="preserve"> 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MiscellaneousBody"/>
        <w:tabs>
          <w:tab w:val="left" w:pos="284"/>
          <w:tab w:val="right" w:leader="dot" w:pos="6804"/>
        </w:tabs>
        <w:ind w:left="879" w:right="1985" w:hanging="879"/>
        <w:rPr>
          <w:szCs w:val="22"/>
        </w:rPr>
      </w:pPr>
      <w:r>
        <w:tab/>
        <w:t>(2)</w:t>
      </w:r>
      <w:r>
        <w:tab/>
        <w:t xml:space="preserve">For installing a water supply connection in relation to land in the central business districts, the charge is </w:t>
      </w:r>
      <w:r>
        <w:tab/>
        <w:t xml:space="preserve"> </w:t>
      </w:r>
      <w:r>
        <w:rPr>
          <w:szCs w:val="22"/>
        </w:rPr>
        <w:t>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Heading5"/>
      </w:pPr>
      <w:bookmarkStart w:id="265" w:name="_Toc434929911"/>
      <w:r>
        <w:rPr>
          <w:rStyle w:val="CharSClsNo"/>
        </w:rPr>
        <w:t>5</w:t>
      </w:r>
      <w:r>
        <w:t>.</w:t>
      </w:r>
      <w:r>
        <w:tab/>
        <w:t>Activating water supply connection</w:t>
      </w:r>
      <w:bookmarkEnd w:id="265"/>
    </w:p>
    <w:p>
      <w:pPr>
        <w:pStyle w:val="yMiscellaneousBody"/>
        <w:tabs>
          <w:tab w:val="left" w:pos="284"/>
          <w:tab w:val="right" w:leader="dot" w:pos="6804"/>
        </w:tabs>
        <w:spacing w:after="160"/>
        <w:ind w:left="879" w:right="1985" w:hanging="879"/>
      </w:pPr>
      <w:r>
        <w:tab/>
        <w:t>(1)</w:t>
      </w:r>
      <w:r>
        <w:tab/>
        <w:t xml:space="preserve">For activating a water supply connection in relation to land in the metropolitan area, whether or not at the same time as installing the connection, the charge is </w:t>
      </w:r>
      <w:r>
        <w:tab/>
        <w:t xml:space="preserve"> </w:t>
      </w:r>
      <w:r>
        <w:rPr>
          <w:szCs w:val="22"/>
        </w:rPr>
        <w:t>$133.15</w:t>
      </w:r>
    </w:p>
    <w:p>
      <w:pPr>
        <w:pStyle w:val="yMiscellaneousBody"/>
        <w:tabs>
          <w:tab w:val="left" w:pos="284"/>
          <w:tab w:val="right" w:leader="dot" w:pos="6804"/>
        </w:tabs>
        <w:spacing w:after="160"/>
        <w:ind w:left="879" w:right="1985" w:hanging="879"/>
      </w:pPr>
      <w:r>
        <w:tab/>
        <w:t>(2)</w:t>
      </w:r>
      <w:r>
        <w:tab/>
        <w:t>The charge under this item covers the supply of a meter, stopcock and, if required, a temporary standpipe.</w:t>
      </w:r>
    </w:p>
    <w:p>
      <w:pPr>
        <w:pStyle w:val="yHeading5"/>
      </w:pPr>
      <w:bookmarkStart w:id="266" w:name="_Toc434929912"/>
      <w:r>
        <w:rPr>
          <w:rStyle w:val="CharSClsNo"/>
        </w:rPr>
        <w:t>6</w:t>
      </w:r>
      <w:r>
        <w:t>.</w:t>
      </w:r>
      <w:r>
        <w:tab/>
        <w:t>Disconnecting water supply connection</w:t>
      </w:r>
      <w:bookmarkEnd w:id="266"/>
    </w:p>
    <w:p>
      <w:pPr>
        <w:pStyle w:val="yMiscellaneousBody"/>
        <w:tabs>
          <w:tab w:val="left" w:pos="284"/>
          <w:tab w:val="right" w:leader="dot" w:pos="6804"/>
        </w:tabs>
        <w:spacing w:after="160"/>
        <w:ind w:left="879" w:right="1985" w:hanging="879"/>
      </w:pPr>
      <w:r>
        <w:tab/>
        <w:t>(1)</w:t>
      </w:r>
      <w:r>
        <w:tab/>
        <w:t xml:space="preserve">For disconnecting a water supply connection to land, the charge is </w:t>
      </w:r>
      <w:r>
        <w:tab/>
        <w:t xml:space="preserve"> </w:t>
      </w:r>
      <w:r>
        <w:rPr>
          <w:szCs w:val="22"/>
        </w:rPr>
        <w:t>$751.39</w:t>
      </w:r>
    </w:p>
    <w:p>
      <w:pPr>
        <w:pStyle w:val="yMiscellaneousBody"/>
        <w:tabs>
          <w:tab w:val="left" w:pos="284"/>
          <w:tab w:val="right" w:leader="dot" w:pos="6804"/>
        </w:tabs>
        <w:spacing w:after="160"/>
        <w:ind w:left="879" w:right="1985" w:hanging="879"/>
      </w:pPr>
      <w:r>
        <w:tab/>
        <w:t>(2)</w:t>
      </w:r>
      <w:r>
        <w:tab/>
        <w:t>For the purposes of this item, cutting off or reducing the rate of flow of a supply of water under section 95 of the Act is not disconnecting a water supply connection.</w:t>
      </w:r>
    </w:p>
    <w:p>
      <w:pPr>
        <w:pStyle w:val="yHeading5"/>
      </w:pPr>
      <w:bookmarkStart w:id="267" w:name="_Toc434929913"/>
      <w:r>
        <w:rPr>
          <w:rStyle w:val="CharSClsNo"/>
        </w:rPr>
        <w:t>7</w:t>
      </w:r>
      <w:r>
        <w:t>.</w:t>
      </w:r>
      <w:r>
        <w:tab/>
        <w:t>Reconnecting water supply connection</w:t>
      </w:r>
      <w:bookmarkEnd w:id="267"/>
    </w:p>
    <w:p>
      <w:pPr>
        <w:pStyle w:val="yMiscellaneousBody"/>
        <w:tabs>
          <w:tab w:val="left" w:pos="284"/>
          <w:tab w:val="right" w:leader="dot" w:pos="6804"/>
        </w:tabs>
        <w:spacing w:after="160"/>
        <w:ind w:left="879" w:right="1985" w:hanging="879"/>
      </w:pPr>
      <w:r>
        <w:tab/>
        <w:t>(1)</w:t>
      </w:r>
      <w:r>
        <w:tab/>
        <w:t xml:space="preserve">For reconnecting a water supply connection to land, the charge is </w:t>
      </w:r>
      <w:r>
        <w:tab/>
        <w:t xml:space="preserve"> </w:t>
      </w:r>
      <w:r>
        <w:rPr>
          <w:szCs w:val="22"/>
        </w:rPr>
        <w:t>$751.39</w:t>
      </w:r>
    </w:p>
    <w:p>
      <w:pPr>
        <w:pStyle w:val="yMiscellaneousBody"/>
        <w:tabs>
          <w:tab w:val="left" w:pos="284"/>
          <w:tab w:val="right" w:leader="dot" w:pos="6804"/>
        </w:tabs>
        <w:spacing w:after="160"/>
        <w:ind w:left="879" w:right="1985" w:hanging="879"/>
      </w:pPr>
      <w:r>
        <w:tab/>
        <w:t>(2)</w:t>
      </w:r>
      <w:r>
        <w:tab/>
        <w:t>For the purposes of this item, restoring the supply of water or the rate of flow of water after it has been cut off or reduced under section 95 of the Act is not reconnecting a water supply connection.</w:t>
      </w:r>
    </w:p>
    <w:p>
      <w:pPr>
        <w:pStyle w:val="yHeading5"/>
      </w:pPr>
      <w:bookmarkStart w:id="268" w:name="_Toc434929914"/>
      <w:r>
        <w:rPr>
          <w:rStyle w:val="CharSClsNo"/>
        </w:rPr>
        <w:t>8</w:t>
      </w:r>
      <w:r>
        <w:t>.</w:t>
      </w:r>
      <w:r>
        <w:tab/>
        <w:t>Relocating water supply connection</w:t>
      </w:r>
      <w:bookmarkEnd w:id="268"/>
    </w:p>
    <w:p>
      <w:pPr>
        <w:pStyle w:val="yMiscellaneousBody"/>
        <w:tabs>
          <w:tab w:val="left" w:pos="284"/>
          <w:tab w:val="right" w:leader="dot" w:pos="6804"/>
        </w:tabs>
        <w:spacing w:after="160"/>
        <w:ind w:left="879" w:right="1985" w:hanging="879"/>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$449.06</w:t>
      </w:r>
    </w:p>
    <w:p>
      <w:pPr>
        <w:pStyle w:val="yMiscellaneousBody"/>
        <w:tabs>
          <w:tab w:val="right" w:leader="dot" w:pos="6804"/>
        </w:tabs>
        <w:spacing w:before="120"/>
        <w:ind w:left="1134" w:right="2268" w:hanging="879"/>
      </w:pPr>
      <w:r>
        <w:tab/>
        <w:t xml:space="preserve">25 mm </w:t>
      </w:r>
      <w:r>
        <w:tab/>
        <w:t xml:space="preserve"> </w:t>
      </w:r>
      <w:r>
        <w:rPr>
          <w:szCs w:val="22"/>
        </w:rPr>
        <w:t>$512.24</w:t>
      </w:r>
    </w:p>
    <w:p>
      <w:pPr>
        <w:pStyle w:val="yMiscellaneousBody"/>
        <w:tabs>
          <w:tab w:val="right" w:leader="dot" w:pos="6804"/>
        </w:tabs>
        <w:spacing w:before="120"/>
        <w:ind w:left="1134" w:right="2268" w:hanging="879"/>
      </w:pPr>
      <w:r>
        <w:tab/>
        <w:t xml:space="preserve">40 mm </w:t>
      </w:r>
      <w:r>
        <w:tab/>
        <w:t xml:space="preserve"> </w:t>
      </w:r>
      <w:r>
        <w:rPr>
          <w:szCs w:val="22"/>
        </w:rPr>
        <w:t>$731.03</w:t>
      </w:r>
    </w:p>
    <w:p>
      <w:pPr>
        <w:pStyle w:val="yMiscellaneousBody"/>
        <w:tabs>
          <w:tab w:val="right" w:leader="dot" w:pos="6804"/>
        </w:tabs>
        <w:spacing w:before="120"/>
        <w:ind w:left="1134" w:right="2268" w:hanging="879"/>
      </w:pPr>
      <w:r>
        <w:tab/>
        <w:t xml:space="preserve">50 mm </w:t>
      </w:r>
      <w:r>
        <w:tab/>
        <w:t xml:space="preserve"> </w:t>
      </w:r>
      <w:r>
        <w:rPr>
          <w:szCs w:val="22"/>
        </w:rPr>
        <w:t>$856.86</w:t>
      </w:r>
    </w:p>
    <w:p>
      <w:pPr>
        <w:pStyle w:val="yMiscellaneousBody"/>
        <w:tabs>
          <w:tab w:val="right" w:leader="dot" w:pos="6804"/>
        </w:tabs>
        <w:spacing w:before="120"/>
        <w:ind w:left="1134" w:right="2268" w:hanging="879"/>
      </w:pPr>
      <w:r>
        <w:tab/>
        <w:t xml:space="preserve">more than 50 mm </w:t>
      </w:r>
      <w:r>
        <w:tab/>
        <w:t xml:space="preserve"> an amount</w:t>
      </w:r>
    </w:p>
    <w:p>
      <w:pPr>
        <w:pStyle w:val="yMiscellaneousBody"/>
        <w:tabs>
          <w:tab w:val="right" w:pos="6804"/>
        </w:tabs>
        <w:spacing w:before="0"/>
        <w:ind w:left="1134" w:right="2268" w:hanging="879"/>
      </w:pPr>
      <w:r>
        <w:tab/>
      </w:r>
      <w:r>
        <w:tab/>
        <w:t xml:space="preserve"> </w:t>
      </w:r>
      <w:r>
        <w:rPr>
          <w:szCs w:val="22"/>
        </w:rPr>
        <w:t>equal</w:t>
      </w:r>
      <w:r>
        <w:t xml:space="preserve"> to</w:t>
      </w:r>
      <w:r>
        <w:br/>
      </w:r>
      <w:r>
        <w:tab/>
        <w:t xml:space="preserve"> the cost of</w:t>
      </w:r>
      <w:r>
        <w:br/>
      </w:r>
      <w:r>
        <w:tab/>
        <w:t xml:space="preserve"> relocation</w:t>
      </w:r>
    </w:p>
    <w:p>
      <w:pPr>
        <w:pStyle w:val="yMiscellaneousBody"/>
        <w:tabs>
          <w:tab w:val="left" w:pos="284"/>
          <w:tab w:val="right" w:leader="dot" w:pos="6804"/>
        </w:tabs>
        <w:spacing w:after="160"/>
        <w:ind w:left="879" w:right="1985" w:hanging="879"/>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$1 321.07</w:t>
      </w:r>
    </w:p>
    <w:p>
      <w:pPr>
        <w:pStyle w:val="yMiscellaneousBody"/>
        <w:tabs>
          <w:tab w:val="right" w:leader="dot" w:pos="6804"/>
        </w:tabs>
        <w:spacing w:before="120"/>
        <w:ind w:left="1134" w:right="2268" w:hanging="879"/>
      </w:pPr>
      <w:r>
        <w:tab/>
        <w:t xml:space="preserve">25 mm </w:t>
      </w:r>
      <w:r>
        <w:tab/>
        <w:t xml:space="preserve"> </w:t>
      </w:r>
      <w:r>
        <w:rPr>
          <w:szCs w:val="22"/>
        </w:rPr>
        <w:t>$1 336.73</w:t>
      </w:r>
    </w:p>
    <w:p>
      <w:pPr>
        <w:pStyle w:val="yMiscellaneousBody"/>
        <w:tabs>
          <w:tab w:val="right" w:leader="dot" w:pos="6804"/>
        </w:tabs>
        <w:spacing w:before="120"/>
        <w:ind w:left="1134" w:right="2268" w:hanging="879"/>
      </w:pPr>
      <w:r>
        <w:tab/>
        <w:t xml:space="preserve">40 mm </w:t>
      </w:r>
      <w:r>
        <w:tab/>
        <w:t xml:space="preserve"> </w:t>
      </w:r>
      <w:r>
        <w:rPr>
          <w:szCs w:val="22"/>
        </w:rPr>
        <w:t>$1 887.09</w:t>
      </w:r>
    </w:p>
    <w:p>
      <w:pPr>
        <w:pStyle w:val="yMiscellaneousBody"/>
        <w:tabs>
          <w:tab w:val="right" w:leader="dot" w:pos="6804"/>
        </w:tabs>
        <w:spacing w:before="120"/>
        <w:ind w:left="1134" w:right="2268" w:hanging="879"/>
      </w:pPr>
      <w:r>
        <w:tab/>
        <w:t xml:space="preserve">50 mm </w:t>
      </w:r>
      <w:r>
        <w:tab/>
        <w:t xml:space="preserve"> </w:t>
      </w:r>
      <w:r>
        <w:rPr>
          <w:szCs w:val="22"/>
        </w:rPr>
        <w:t>$2 300.13</w:t>
      </w:r>
    </w:p>
    <w:p>
      <w:pPr>
        <w:pStyle w:val="yMiscellaneousBody"/>
        <w:keepNext/>
        <w:tabs>
          <w:tab w:val="right" w:leader="dot" w:pos="6804"/>
        </w:tabs>
        <w:spacing w:before="120"/>
        <w:ind w:left="1134" w:right="2268" w:hanging="879"/>
      </w:pPr>
      <w:r>
        <w:tab/>
        <w:t>80</w:t>
      </w:r>
      <w:r>
        <w:noBreakHyphen/>
        <w:t xml:space="preserve">100 mm </w:t>
      </w:r>
      <w:r>
        <w:tab/>
        <w:t xml:space="preserve"> </w:t>
      </w:r>
      <w:r>
        <w:rPr>
          <w:szCs w:val="22"/>
        </w:rPr>
        <w:t>$4 331.33</w:t>
      </w:r>
    </w:p>
    <w:p>
      <w:pPr>
        <w:pStyle w:val="yMiscellaneousBody"/>
        <w:tabs>
          <w:tab w:val="right" w:leader="dot" w:pos="6804"/>
        </w:tabs>
        <w:spacing w:before="120"/>
        <w:ind w:left="1134" w:right="2268" w:hanging="879"/>
      </w:pPr>
      <w:r>
        <w:tab/>
        <w:t xml:space="preserve">150 mm </w:t>
      </w:r>
      <w:r>
        <w:tab/>
        <w:t xml:space="preserve"> </w:t>
      </w:r>
      <w:r>
        <w:rPr>
          <w:szCs w:val="22"/>
        </w:rPr>
        <w:t>$5 143.81</w:t>
      </w:r>
    </w:p>
    <w:p>
      <w:pPr>
        <w:pStyle w:val="yMiscellaneousBody"/>
        <w:tabs>
          <w:tab w:val="right" w:leader="dot" w:pos="6804"/>
        </w:tabs>
        <w:spacing w:before="120"/>
        <w:ind w:left="1134" w:right="2268" w:hanging="879"/>
      </w:pPr>
      <w:r>
        <w:tab/>
        <w:t xml:space="preserve">more than 150 mm </w:t>
      </w:r>
      <w:r>
        <w:tab/>
        <w:t xml:space="preserve"> an amount</w:t>
      </w:r>
    </w:p>
    <w:p>
      <w:pPr>
        <w:pStyle w:val="yMiscellaneousBody"/>
        <w:tabs>
          <w:tab w:val="right" w:pos="6804"/>
        </w:tabs>
        <w:spacing w:before="0"/>
        <w:ind w:left="1134" w:right="2268" w:hanging="879"/>
      </w:pPr>
      <w:r>
        <w:tab/>
      </w:r>
      <w:r>
        <w:tab/>
        <w:t>equal to</w:t>
      </w:r>
      <w:r>
        <w:br/>
      </w:r>
      <w:r>
        <w:tab/>
        <w:t xml:space="preserve"> the cost of</w:t>
      </w:r>
      <w:r>
        <w:br/>
      </w:r>
      <w:r>
        <w:tab/>
        <w:t xml:space="preserve"> relocation</w:t>
      </w:r>
    </w:p>
    <w:p>
      <w:pPr>
        <w:pStyle w:val="yMiscellaneousBody"/>
        <w:tabs>
          <w:tab w:val="left" w:pos="284"/>
          <w:tab w:val="right" w:leader="dot" w:pos="6804"/>
        </w:tabs>
        <w:ind w:left="879" w:right="1985" w:hanging="879"/>
      </w:pPr>
      <w:r>
        <w:tab/>
        <w:t>(3)</w:t>
      </w:r>
      <w:r>
        <w:tab/>
        <w:t xml:space="preserve">For relocating a water supply connection in relation to land in the central business districts, the charge is </w:t>
      </w:r>
      <w:r>
        <w:tab/>
        <w:t xml:space="preserve"> an amount</w:t>
      </w:r>
    </w:p>
    <w:p>
      <w:pPr>
        <w:pStyle w:val="yMiscellaneousBody"/>
        <w:tabs>
          <w:tab w:val="right" w:pos="6804"/>
        </w:tabs>
        <w:spacing w:before="0"/>
        <w:ind w:left="1134" w:right="2268" w:hanging="879"/>
      </w:pPr>
      <w:r>
        <w:rPr>
          <w:szCs w:val="22"/>
        </w:rPr>
        <w:tab/>
      </w:r>
      <w:r>
        <w:rPr>
          <w:szCs w:val="22"/>
        </w:rPr>
        <w:tab/>
      </w:r>
      <w:r>
        <w:t>equal</w:t>
      </w:r>
      <w:r>
        <w:rPr>
          <w:szCs w:val="22"/>
        </w:rPr>
        <w:t xml:space="preserve"> to the</w:t>
      </w:r>
      <w:r>
        <w:rPr>
          <w:szCs w:val="22"/>
        </w:rPr>
        <w:br/>
      </w:r>
      <w:r>
        <w:rPr>
          <w:szCs w:val="22"/>
        </w:rPr>
        <w:tab/>
        <w:t>cost of</w:t>
      </w:r>
      <w:r>
        <w:rPr>
          <w:szCs w:val="22"/>
        </w:rPr>
        <w:br/>
      </w:r>
      <w:r>
        <w:rPr>
          <w:szCs w:val="22"/>
        </w:rPr>
        <w:tab/>
        <w:t>installation</w:t>
      </w:r>
    </w:p>
    <w:p>
      <w:pPr>
        <w:pStyle w:val="yHeading5"/>
        <w:spacing w:before="260"/>
      </w:pPr>
      <w:bookmarkStart w:id="269" w:name="_Toc434929915"/>
      <w:r>
        <w:rPr>
          <w:rStyle w:val="CharSClsNo"/>
        </w:rPr>
        <w:t>9</w:t>
      </w:r>
      <w:r>
        <w:t>.</w:t>
      </w:r>
      <w:r>
        <w:tab/>
        <w:t>Proposal to connect to sewer</w:t>
      </w:r>
      <w:bookmarkEnd w:id="269"/>
    </w:p>
    <w:p>
      <w:pPr>
        <w:pStyle w:val="yMiscellaneousBody"/>
        <w:tabs>
          <w:tab w:val="left" w:pos="284"/>
          <w:tab w:val="right" w:leader="dot" w:pos="6804"/>
        </w:tabs>
        <w:spacing w:after="160"/>
        <w:ind w:left="879" w:right="1985" w:hanging="879"/>
      </w:pPr>
      <w:r>
        <w:tab/>
      </w:r>
      <w:r>
        <w:tab/>
        <w:t xml:space="preserve">For assessing a proposal to connect a wastewater inlet on land to a sewer, the charge is </w:t>
      </w:r>
      <w:r>
        <w:tab/>
        <w:t xml:space="preserve"> </w:t>
      </w:r>
      <w:r>
        <w:rPr>
          <w:szCs w:val="22"/>
        </w:rPr>
        <w:t>$20.83</w:t>
      </w:r>
    </w:p>
    <w:p>
      <w:pPr>
        <w:pStyle w:val="yHeading5"/>
        <w:spacing w:before="260"/>
      </w:pPr>
      <w:bookmarkStart w:id="270" w:name="_Toc434929916"/>
      <w:r>
        <w:rPr>
          <w:rStyle w:val="CharSClsNo"/>
        </w:rPr>
        <w:t>10</w:t>
      </w:r>
      <w:r>
        <w:t>.</w:t>
      </w:r>
      <w:r>
        <w:tab/>
        <w:t>Installing sewer junction</w:t>
      </w:r>
      <w:bookmarkEnd w:id="270"/>
    </w:p>
    <w:p>
      <w:pPr>
        <w:pStyle w:val="yMiscellaneousBody"/>
        <w:tabs>
          <w:tab w:val="left" w:pos="284"/>
          <w:tab w:val="right" w:leader="dot" w:pos="6804"/>
        </w:tabs>
        <w:spacing w:after="160"/>
        <w:ind w:left="879" w:right="1985" w:hanging="879"/>
      </w:pPr>
      <w:r>
        <w:tab/>
      </w:r>
      <w:r>
        <w:tab/>
        <w:t>For installing a sewer junction in respect of land, the charge, according to the size of the sewer, is —</w:t>
      </w:r>
    </w:p>
    <w:p>
      <w:pPr>
        <w:pStyle w:val="yMiscellaneousBody"/>
        <w:tabs>
          <w:tab w:val="right" w:leader="dot" w:pos="6804"/>
        </w:tabs>
        <w:spacing w:before="120"/>
        <w:ind w:left="1134" w:right="2268" w:hanging="879"/>
      </w:pPr>
      <w:r>
        <w:tab/>
        <w:t xml:space="preserve">100 mm </w:t>
      </w:r>
      <w:r>
        <w:tab/>
        <w:t xml:space="preserve"> </w:t>
      </w:r>
      <w:r>
        <w:rPr>
          <w:szCs w:val="22"/>
        </w:rPr>
        <w:t>$511.50</w:t>
      </w:r>
    </w:p>
    <w:p>
      <w:pPr>
        <w:pStyle w:val="yMiscellaneousBody"/>
        <w:tabs>
          <w:tab w:val="right" w:leader="dot" w:pos="6804"/>
        </w:tabs>
        <w:spacing w:before="120"/>
        <w:ind w:left="1134" w:right="2268" w:hanging="879"/>
      </w:pPr>
      <w:r>
        <w:tab/>
        <w:t xml:space="preserve">150 mm </w:t>
      </w:r>
      <w:r>
        <w:tab/>
        <w:t xml:space="preserve"> </w:t>
      </w:r>
      <w:r>
        <w:rPr>
          <w:szCs w:val="22"/>
        </w:rPr>
        <w:t>$637.66</w:t>
      </w:r>
    </w:p>
    <w:p>
      <w:pPr>
        <w:pStyle w:val="yHeading5"/>
        <w:spacing w:before="260"/>
      </w:pPr>
      <w:bookmarkStart w:id="271" w:name="_Toc434929917"/>
      <w:r>
        <w:rPr>
          <w:rStyle w:val="CharSClsNo"/>
        </w:rPr>
        <w:t>11</w:t>
      </w:r>
      <w:r>
        <w:t>.</w:t>
      </w:r>
      <w:r>
        <w:tab/>
        <w:t>Hire of standpipe for fire hydrant</w:t>
      </w:r>
      <w:bookmarkEnd w:id="271"/>
    </w:p>
    <w:p>
      <w:pPr>
        <w:pStyle w:val="yMiscellaneousBody"/>
        <w:tabs>
          <w:tab w:val="left" w:pos="284"/>
          <w:tab w:val="right" w:leader="dot" w:pos="6804"/>
        </w:tabs>
        <w:spacing w:after="160"/>
        <w:ind w:left="879" w:right="1985" w:hanging="879"/>
      </w:pPr>
      <w:r>
        <w:tab/>
        <w:t>(1)</w:t>
      </w:r>
      <w:r>
        <w:tab/>
        <w:t xml:space="preserve">For an application to hire a standpipe from the Water Corporation for attachment to a fire hydrant connected to water supply works of the Water Corporation in the metropolitan area, the charge is </w:t>
      </w:r>
      <w:r>
        <w:tab/>
        <w:t xml:space="preserve"> </w:t>
      </w:r>
      <w:r>
        <w:rPr>
          <w:szCs w:val="22"/>
        </w:rPr>
        <w:t>$111.22</w:t>
      </w:r>
    </w:p>
    <w:p>
      <w:pPr>
        <w:pStyle w:val="yMiscellaneousBody"/>
        <w:tabs>
          <w:tab w:val="left" w:pos="284"/>
          <w:tab w:val="right" w:leader="dot" w:pos="6804"/>
        </w:tabs>
        <w:spacing w:after="160"/>
        <w:ind w:left="879" w:right="1985" w:hanging="879"/>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tabs>
          <w:tab w:val="right" w:leader="dot" w:pos="6804"/>
        </w:tabs>
        <w:spacing w:before="120"/>
        <w:ind w:left="1134" w:right="2268" w:hanging="879"/>
      </w:pPr>
      <w:r>
        <w:tab/>
        <w:t xml:space="preserve">25 mm or less </w:t>
      </w:r>
      <w:r>
        <w:tab/>
        <w:t xml:space="preserve"> </w:t>
      </w:r>
      <w:r>
        <w:rPr>
          <w:szCs w:val="22"/>
        </w:rPr>
        <w:t>$228.70</w:t>
      </w:r>
      <w:r>
        <w:t xml:space="preserve">/month </w:t>
      </w:r>
    </w:p>
    <w:p>
      <w:pPr>
        <w:pStyle w:val="yMiscellaneousBody"/>
        <w:tabs>
          <w:tab w:val="right" w:pos="6804"/>
        </w:tabs>
        <w:spacing w:before="0"/>
        <w:ind w:left="1134" w:right="2268" w:hanging="879"/>
        <w:rPr>
          <w:spacing w:val="-8"/>
          <w:kern w:val="22"/>
          <w:szCs w:val="22"/>
        </w:rPr>
      </w:pPr>
      <w:r>
        <w:rPr>
          <w:spacing w:val="-8"/>
          <w:kern w:val="22"/>
          <w:szCs w:val="22"/>
        </w:rPr>
        <w:tab/>
      </w:r>
      <w:r>
        <w:rPr>
          <w:spacing w:val="-8"/>
          <w:kern w:val="22"/>
          <w:szCs w:val="22"/>
        </w:rPr>
        <w:tab/>
        <w:t>pro rata</w:t>
      </w:r>
    </w:p>
    <w:p>
      <w:pPr>
        <w:pStyle w:val="yMiscellaneousBody"/>
        <w:tabs>
          <w:tab w:val="right" w:leader="dot" w:pos="6804"/>
        </w:tabs>
        <w:spacing w:before="120"/>
        <w:ind w:left="1134" w:right="2268" w:hanging="879"/>
      </w:pPr>
      <w:r>
        <w:tab/>
        <w:t xml:space="preserve">more than 25 mm </w:t>
      </w:r>
      <w:r>
        <w:tab/>
        <w:t xml:space="preserve"> </w:t>
      </w:r>
      <w:r>
        <w:rPr>
          <w:szCs w:val="22"/>
        </w:rPr>
        <w:t>$382.74</w:t>
      </w:r>
      <w:r>
        <w:t xml:space="preserve">/month </w:t>
      </w:r>
    </w:p>
    <w:p>
      <w:pPr>
        <w:pStyle w:val="yMiscellaneousBody"/>
        <w:tabs>
          <w:tab w:val="right" w:pos="6804"/>
        </w:tabs>
        <w:spacing w:before="0"/>
        <w:ind w:left="1134" w:right="2268" w:hanging="879"/>
      </w:pPr>
      <w:r>
        <w:rPr>
          <w:spacing w:val="-8"/>
          <w:kern w:val="22"/>
          <w:szCs w:val="22"/>
        </w:rPr>
        <w:tab/>
      </w:r>
      <w:r>
        <w:rPr>
          <w:spacing w:val="-8"/>
          <w:kern w:val="22"/>
          <w:szCs w:val="22"/>
        </w:rPr>
        <w:tab/>
        <w:t>pro rata</w:t>
      </w:r>
    </w:p>
    <w:p>
      <w:pPr>
        <w:pStyle w:val="yHeading5"/>
      </w:pPr>
      <w:bookmarkStart w:id="272" w:name="_Toc434929918"/>
      <w:r>
        <w:rPr>
          <w:rStyle w:val="CharSClsNo"/>
        </w:rPr>
        <w:t>12</w:t>
      </w:r>
      <w:r>
        <w:t>.</w:t>
      </w:r>
      <w:r>
        <w:tab/>
        <w:t>Trade waste: routine services</w:t>
      </w:r>
      <w:bookmarkEnd w:id="272"/>
    </w:p>
    <w:p>
      <w:pPr>
        <w:pStyle w:val="yMiscellaneousBody"/>
        <w:tabs>
          <w:tab w:val="left" w:pos="284"/>
          <w:tab w:val="right" w:leader="dot" w:pos="6804"/>
        </w:tabs>
        <w:spacing w:after="160"/>
        <w:ind w:left="879" w:right="1985" w:hanging="879"/>
      </w:pPr>
      <w:r>
        <w:tab/>
      </w:r>
      <w:r>
        <w:tab/>
        <w:t>For the following 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 xml:space="preserve">for inspection </w:t>
      </w:r>
      <w:r>
        <w:tab/>
        <w:t xml:space="preserve"> </w:t>
      </w:r>
      <w:r>
        <w:rPr>
          <w:szCs w:val="22"/>
        </w:rPr>
        <w:t>$140.69</w:t>
      </w:r>
      <w:r>
        <w:t>/hour</w:t>
      </w:r>
    </w:p>
    <w:p>
      <w:pPr>
        <w:pStyle w:val="yMiscellaneousBody"/>
        <w:tabs>
          <w:tab w:val="left" w:pos="1134"/>
          <w:tab w:val="left" w:pos="1560"/>
          <w:tab w:val="right" w:leader="dot" w:pos="6804"/>
        </w:tabs>
        <w:spacing w:before="80"/>
        <w:ind w:left="1559" w:right="1985" w:hanging="1559"/>
      </w:pPr>
      <w:r>
        <w:tab/>
        <w:t>(b)</w:t>
      </w:r>
      <w:r>
        <w:tab/>
        <w:t xml:space="preserve">for a meter reading </w:t>
      </w:r>
      <w:r>
        <w:tab/>
        <w:t xml:space="preserve"> </w:t>
      </w:r>
      <w:r>
        <w:rPr>
          <w:szCs w:val="22"/>
        </w:rPr>
        <w:t>$25.68</w:t>
      </w:r>
    </w:p>
    <w:p>
      <w:pPr>
        <w:pStyle w:val="yMiscellaneousBody"/>
        <w:tabs>
          <w:tab w:val="left" w:pos="1134"/>
          <w:tab w:val="left" w:pos="1560"/>
          <w:tab w:val="right" w:leader="dot" w:pos="6804"/>
        </w:tabs>
        <w:spacing w:before="80"/>
        <w:ind w:left="1559" w:right="1985" w:hanging="1559"/>
      </w:pPr>
      <w:r>
        <w:tab/>
        <w:t>(c)</w:t>
      </w:r>
      <w:r>
        <w:tab/>
        <w:t xml:space="preserve">for a grab sample </w:t>
      </w:r>
      <w:r>
        <w:tab/>
        <w:t xml:space="preserve"> </w:t>
      </w:r>
      <w:r>
        <w:rPr>
          <w:szCs w:val="22"/>
        </w:rPr>
        <w:t>$298.65</w:t>
      </w:r>
    </w:p>
    <w:p>
      <w:pPr>
        <w:pStyle w:val="yMiscellaneousBody"/>
        <w:tabs>
          <w:tab w:val="left" w:pos="1134"/>
          <w:tab w:val="left" w:pos="1560"/>
          <w:tab w:val="right" w:leader="dot" w:pos="6804"/>
        </w:tabs>
        <w:spacing w:before="80"/>
        <w:ind w:left="1559" w:right="1985" w:hanging="1559"/>
      </w:pPr>
      <w:r>
        <w:tab/>
        <w:t>(d)</w:t>
      </w:r>
      <w:r>
        <w:tab/>
        <w:t xml:space="preserve">for a composite sample </w:t>
      </w:r>
      <w:r>
        <w:tab/>
        <w:t xml:space="preserve"> </w:t>
      </w:r>
      <w:r>
        <w:rPr>
          <w:szCs w:val="22"/>
        </w:rPr>
        <w:t>$701.91</w:t>
      </w:r>
    </w:p>
    <w:p>
      <w:pPr>
        <w:pStyle w:val="yHeading5"/>
      </w:pPr>
      <w:bookmarkStart w:id="273" w:name="_Toc434929919"/>
      <w:r>
        <w:rPr>
          <w:rStyle w:val="CharSClsNo"/>
        </w:rPr>
        <w:t>13</w:t>
      </w:r>
      <w:r>
        <w:t>.</w:t>
      </w:r>
      <w:r>
        <w:tab/>
        <w:t>Trade waste: ad hoc services</w:t>
      </w:r>
      <w:bookmarkEnd w:id="273"/>
    </w:p>
    <w:p>
      <w:pPr>
        <w:pStyle w:val="yMiscellaneousBody"/>
        <w:tabs>
          <w:tab w:val="left" w:pos="284"/>
          <w:tab w:val="right" w:leader="dot" w:pos="6804"/>
        </w:tabs>
        <w:spacing w:after="160"/>
        <w:ind w:left="879" w:right="1985" w:hanging="879"/>
      </w:pPr>
      <w:r>
        <w:tab/>
        <w:t>(1)</w:t>
      </w:r>
      <w:r>
        <w:tab/>
        <w:t xml:space="preserve">In this item — </w:t>
      </w:r>
    </w:p>
    <w:p>
      <w:pPr>
        <w:pStyle w:val="yDefstart"/>
        <w:ind w:right="1983"/>
      </w:pPr>
      <w:r>
        <w:tab/>
      </w:r>
      <w:r>
        <w:rPr>
          <w:rStyle w:val="CharDefText"/>
        </w:rPr>
        <w:t>cost of sampling</w:t>
      </w:r>
      <w:r>
        <w:t xml:space="preserve"> means the actual costs of the Water Corporation in collecting the sample, testing it and evaluating and reporting on the results, including the costs of the time of the person involved;</w:t>
      </w:r>
    </w:p>
    <w:p>
      <w:pPr>
        <w:pStyle w:val="yDefstart"/>
        <w:ind w:right="1983"/>
      </w:pPr>
      <w:r>
        <w:tab/>
      </w:r>
      <w:r>
        <w:rPr>
          <w:rStyle w:val="CharDefText"/>
        </w:rPr>
        <w:t>product evaluation</w:t>
      </w:r>
      <w:r>
        <w:t xml:space="preserve"> means the actual costs of the Water Corporation in collecting the sample, testing it and evaluating and reporting on the results, including the costs of the time of the person involved.</w:t>
      </w:r>
    </w:p>
    <w:p>
      <w:pPr>
        <w:pStyle w:val="yMiscellaneousBody"/>
        <w:tabs>
          <w:tab w:val="left" w:pos="284"/>
          <w:tab w:val="right" w:leader="dot" w:pos="6804"/>
        </w:tabs>
        <w:spacing w:after="160"/>
        <w:ind w:left="879" w:right="1985" w:hanging="879"/>
      </w:pPr>
      <w:r>
        <w:tab/>
        <w:t>(2)</w:t>
      </w:r>
      <w:r>
        <w:tab/>
        <w:t>For the following unscheduled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for assessing an application to</w:t>
      </w:r>
      <w:r>
        <w:br/>
        <w:t xml:space="preserve">discharge </w:t>
      </w:r>
      <w:r>
        <w:tab/>
        <w:t xml:space="preserve"> </w:t>
      </w:r>
      <w:r>
        <w:rPr>
          <w:szCs w:val="22"/>
        </w:rPr>
        <w:t>$127.93</w:t>
      </w:r>
      <w:r>
        <w:t>/hour</w:t>
      </w:r>
    </w:p>
    <w:p>
      <w:pPr>
        <w:pStyle w:val="yMiscellaneousBody"/>
        <w:tabs>
          <w:tab w:val="left" w:pos="1134"/>
          <w:tab w:val="left" w:pos="1560"/>
          <w:tab w:val="right" w:leader="dot" w:pos="6804"/>
        </w:tabs>
        <w:spacing w:before="80"/>
        <w:ind w:left="1559" w:right="1985" w:hanging="1559"/>
      </w:pPr>
      <w:r>
        <w:tab/>
        <w:t>(b)</w:t>
      </w:r>
      <w:r>
        <w:tab/>
        <w:t xml:space="preserve">for a product evaluation </w:t>
      </w:r>
      <w:r>
        <w:tab/>
        <w:t xml:space="preserve"> </w:t>
      </w:r>
      <w:r>
        <w:rPr>
          <w:szCs w:val="22"/>
        </w:rPr>
        <w:t>$140.69</w:t>
      </w:r>
      <w:r>
        <w:t>/hour</w:t>
      </w:r>
    </w:p>
    <w:p>
      <w:pPr>
        <w:pStyle w:val="yMiscellaneousBody"/>
        <w:tabs>
          <w:tab w:val="left" w:pos="1134"/>
          <w:tab w:val="left" w:pos="1560"/>
          <w:tab w:val="right" w:leader="dot" w:pos="6804"/>
        </w:tabs>
        <w:spacing w:before="80"/>
        <w:ind w:left="1559" w:right="1985" w:hanging="1559"/>
      </w:pPr>
      <w:r>
        <w:tab/>
        <w:t>(c)</w:t>
      </w:r>
      <w:r>
        <w:tab/>
        <w:t xml:space="preserve">for a grab sample </w:t>
      </w:r>
      <w:r>
        <w:tab/>
        <w:t xml:space="preserve"> an amount </w:t>
      </w:r>
    </w:p>
    <w:p>
      <w:pPr>
        <w:pStyle w:val="yMiscellaneousBody"/>
        <w:tabs>
          <w:tab w:val="right" w:pos="6804"/>
        </w:tabs>
        <w:spacing w:before="0"/>
        <w:ind w:left="1134" w:right="2268" w:hanging="87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MiscellaneousBody"/>
        <w:tabs>
          <w:tab w:val="left" w:pos="1134"/>
          <w:tab w:val="left" w:pos="1560"/>
          <w:tab w:val="right" w:leader="dot" w:pos="6804"/>
        </w:tabs>
        <w:spacing w:before="80"/>
        <w:ind w:left="1559" w:right="1985" w:hanging="1559"/>
      </w:pPr>
      <w:r>
        <w:tab/>
        <w:t>(d)</w:t>
      </w:r>
      <w:r>
        <w:tab/>
        <w:t xml:space="preserve">for a composite sample </w:t>
      </w:r>
      <w:r>
        <w:tab/>
        <w:t xml:space="preserve"> an amount </w:t>
      </w:r>
    </w:p>
    <w:p>
      <w:pPr>
        <w:pStyle w:val="yMiscellaneousBody"/>
        <w:tabs>
          <w:tab w:val="right" w:pos="6804"/>
        </w:tabs>
        <w:spacing w:before="0"/>
        <w:ind w:left="1134" w:right="2268" w:hanging="87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Heading5"/>
      </w:pPr>
      <w:bookmarkStart w:id="274" w:name="_Toc434929920"/>
      <w:r>
        <w:rPr>
          <w:rStyle w:val="CharSClsNo"/>
        </w:rPr>
        <w:t>14</w:t>
      </w:r>
      <w:r>
        <w:t>.</w:t>
      </w:r>
      <w:r>
        <w:tab/>
        <w:t>Trade waste: one</w:t>
      </w:r>
      <w:r>
        <w:noBreakHyphen/>
        <w:t>off discharge services</w:t>
      </w:r>
      <w:bookmarkEnd w:id="274"/>
    </w:p>
    <w:p>
      <w:pPr>
        <w:pStyle w:val="yMiscellaneousBody"/>
        <w:tabs>
          <w:tab w:val="left" w:pos="284"/>
          <w:tab w:val="right" w:leader="dot" w:pos="6804"/>
        </w:tabs>
        <w:spacing w:after="160"/>
        <w:ind w:left="879" w:right="1985" w:hanging="879"/>
      </w:pPr>
      <w:r>
        <w:tab/>
      </w:r>
      <w:r>
        <w:tab/>
        <w:t>For a one</w:t>
      </w:r>
      <w:r>
        <w:noBreakHyphen/>
        <w:t xml:space="preserve">off discharge of trade waste into a sewer of the Water Corporation, the charge is </w:t>
      </w:r>
      <w:r>
        <w:tab/>
        <w:t xml:space="preserve"> </w:t>
      </w:r>
      <w:r>
        <w:rPr>
          <w:szCs w:val="22"/>
        </w:rPr>
        <w:t>$127.93</w:t>
      </w:r>
      <w:r>
        <w:t>/hour</w:t>
      </w:r>
    </w:p>
    <w:p>
      <w:pPr>
        <w:pStyle w:val="yHeading5"/>
      </w:pPr>
      <w:bookmarkStart w:id="275" w:name="_Toc434929921"/>
      <w:r>
        <w:rPr>
          <w:rStyle w:val="CharSClsNo"/>
        </w:rPr>
        <w:t>15</w:t>
      </w:r>
      <w:r>
        <w:t>.</w:t>
      </w:r>
      <w:r>
        <w:tab/>
        <w:t>Meter reading and other information</w:t>
      </w:r>
      <w:bookmarkEnd w:id="275"/>
    </w:p>
    <w:p>
      <w:pPr>
        <w:pStyle w:val="yMiscellaneousBody"/>
        <w:tabs>
          <w:tab w:val="left" w:pos="284"/>
          <w:tab w:val="right" w:leader="dot" w:pos="6804"/>
        </w:tabs>
        <w:spacing w:after="160"/>
        <w:ind w:left="879" w:right="1985" w:hanging="879"/>
      </w:pPr>
      <w:r>
        <w:tab/>
      </w:r>
      <w:r>
        <w:tab/>
        <w:t xml:space="preserve">For — </w:t>
      </w:r>
    </w:p>
    <w:p>
      <w:pPr>
        <w:pStyle w:val="yMiscellaneousBody"/>
        <w:tabs>
          <w:tab w:val="left" w:pos="1134"/>
          <w:tab w:val="left" w:pos="1560"/>
          <w:tab w:val="right" w:leader="dot" w:pos="6804"/>
        </w:tabs>
        <w:spacing w:before="80"/>
        <w:ind w:left="1559" w:right="1985" w:hanging="1559"/>
      </w:pPr>
      <w:r>
        <w:tab/>
        <w:t>(a)</w:t>
      </w:r>
      <w:r>
        <w:tab/>
        <w:t xml:space="preserve">a meter reading, the charge is </w:t>
      </w:r>
      <w:r>
        <w:tab/>
        <w:t xml:space="preserve"> </w:t>
      </w:r>
      <w:r>
        <w:rPr>
          <w:szCs w:val="22"/>
        </w:rPr>
        <w:t>$16.60</w:t>
      </w:r>
    </w:p>
    <w:p>
      <w:pPr>
        <w:pStyle w:val="yMiscellaneousBody"/>
        <w:tabs>
          <w:tab w:val="left" w:pos="1134"/>
          <w:tab w:val="left" w:pos="1560"/>
          <w:tab w:val="right" w:leader="dot" w:pos="6804"/>
        </w:tabs>
        <w:spacing w:before="80"/>
        <w:ind w:left="1559" w:right="1985" w:hanging="1559"/>
      </w:pPr>
      <w:r>
        <w:tab/>
        <w:t>(b)</w:t>
      </w:r>
      <w:r>
        <w:tab/>
        <w:t xml:space="preserve">an urgent meter reading, the charge is </w:t>
      </w:r>
      <w:r>
        <w:tab/>
        <w:t xml:space="preserve"> </w:t>
      </w:r>
      <w:r>
        <w:rPr>
          <w:szCs w:val="22"/>
        </w:rPr>
        <w:t>$55.76</w:t>
      </w:r>
    </w:p>
    <w:p>
      <w:pPr>
        <w:pStyle w:val="yMiscellaneousBody"/>
        <w:tabs>
          <w:tab w:val="left" w:pos="1134"/>
          <w:tab w:val="left" w:pos="1560"/>
          <w:tab w:val="right" w:leader="dot" w:pos="6804"/>
        </w:tabs>
        <w:spacing w:before="80"/>
        <w:ind w:left="1559" w:right="1985" w:hanging="1559"/>
      </w:pPr>
      <w:r>
        <w:tab/>
        <w:t>(c)</w:t>
      </w:r>
      <w:r>
        <w:tab/>
        <w:t xml:space="preserve">the provision of information in relation to water services in respect of land (request lodged electronically) and a meter reading, the charge is </w:t>
      </w:r>
      <w:r>
        <w:tab/>
        <w:t xml:space="preserve"> </w:t>
      </w:r>
      <w:r>
        <w:rPr>
          <w:szCs w:val="22"/>
        </w:rPr>
        <w:t>$44.07</w:t>
      </w:r>
    </w:p>
    <w:p>
      <w:pPr>
        <w:pStyle w:val="yMiscellaneousBody"/>
        <w:tabs>
          <w:tab w:val="left" w:pos="1134"/>
          <w:tab w:val="left" w:pos="1560"/>
          <w:tab w:val="right" w:leader="dot" w:pos="6804"/>
        </w:tabs>
        <w:spacing w:before="80"/>
        <w:ind w:left="1559" w:right="1985" w:hanging="1559"/>
      </w:pPr>
      <w:r>
        <w:tab/>
        <w:t>(d)</w:t>
      </w:r>
      <w:r>
        <w:tab/>
        <w:t xml:space="preserve">the provision of information in relation to water services in respect of land (request lodged electronically) and an urgent meter reading, the charge is </w:t>
      </w:r>
      <w:r>
        <w:tab/>
        <w:t xml:space="preserve"> </w:t>
      </w:r>
      <w:r>
        <w:rPr>
          <w:szCs w:val="22"/>
        </w:rPr>
        <w:t>$83.13</w:t>
      </w:r>
    </w:p>
    <w:p>
      <w:pPr>
        <w:pStyle w:val="yMiscellaneousBody"/>
        <w:tabs>
          <w:tab w:val="left" w:pos="1134"/>
          <w:tab w:val="left" w:pos="1560"/>
          <w:tab w:val="right" w:leader="dot" w:pos="6804"/>
        </w:tabs>
        <w:spacing w:before="80"/>
        <w:ind w:left="1559" w:right="1985" w:hanging="1559"/>
      </w:pPr>
      <w:r>
        <w:tab/>
        <w:t>(e)</w:t>
      </w:r>
      <w:r>
        <w:tab/>
        <w:t xml:space="preserve">the provision of information in relation to water services in respect of land (request not lodged electronically) and a meter reading, the charge is </w:t>
      </w:r>
      <w:r>
        <w:tab/>
        <w:t xml:space="preserve"> </w:t>
      </w:r>
      <w:r>
        <w:rPr>
          <w:szCs w:val="22"/>
        </w:rPr>
        <w:t>$75.61</w:t>
      </w:r>
    </w:p>
    <w:p>
      <w:pPr>
        <w:pStyle w:val="yMiscellaneousBody"/>
        <w:tabs>
          <w:tab w:val="left" w:pos="1134"/>
          <w:tab w:val="left" w:pos="1560"/>
          <w:tab w:val="right" w:leader="dot" w:pos="6804"/>
        </w:tabs>
        <w:spacing w:before="80"/>
        <w:ind w:left="1559" w:right="1985" w:hanging="1559"/>
      </w:pPr>
      <w:r>
        <w:tab/>
        <w:t>(f)</w:t>
      </w:r>
      <w:r>
        <w:tab/>
        <w:t xml:space="preserve">the provision of information in relation to water services in respect of land (request not lodged electronically) and an urgent meter reading, the charge is </w:t>
      </w:r>
      <w:r>
        <w:tab/>
        <w:t xml:space="preserve"> </w:t>
      </w:r>
      <w:r>
        <w:rPr>
          <w:szCs w:val="22"/>
        </w:rPr>
        <w:t>$114.35</w:t>
      </w:r>
    </w:p>
    <w:p>
      <w:pPr>
        <w:pStyle w:val="yMiscellaneousBody"/>
        <w:keepNext/>
        <w:keepLines/>
        <w:tabs>
          <w:tab w:val="left" w:pos="1134"/>
          <w:tab w:val="left" w:pos="1560"/>
          <w:tab w:val="right" w:leader="dot" w:pos="6804"/>
        </w:tabs>
        <w:spacing w:before="80"/>
        <w:ind w:left="1559" w:right="1985" w:hanging="1559"/>
      </w:pPr>
      <w:r>
        <w:tab/>
        <w:t>(g)</w:t>
      </w:r>
      <w:r>
        <w:tab/>
        <w:t xml:space="preserve">the provision of information not covered by paragraphs (a) to (f), involving research or investigation of more than 15 minutes, the charge is </w:t>
      </w:r>
      <w:r>
        <w:tab/>
        <w:t xml:space="preserve"> </w:t>
      </w:r>
      <w:r>
        <w:rPr>
          <w:szCs w:val="22"/>
        </w:rPr>
        <w:t>$83.54/hour</w:t>
      </w:r>
    </w:p>
    <w:p>
      <w:pPr>
        <w:pStyle w:val="yMiscellaneousBody"/>
        <w:tabs>
          <w:tab w:val="right" w:pos="6804"/>
        </w:tabs>
        <w:spacing w:before="0"/>
        <w:ind w:left="1134" w:right="2268" w:hanging="879"/>
      </w:pPr>
      <w:r>
        <w:rPr>
          <w:szCs w:val="22"/>
        </w:rPr>
        <w:tab/>
      </w:r>
      <w:r>
        <w:rPr>
          <w:szCs w:val="22"/>
        </w:rPr>
        <w:tab/>
        <w:t xml:space="preserve">or </w:t>
      </w:r>
      <w:r>
        <w:t>part</w:t>
      </w:r>
      <w:r>
        <w:rPr>
          <w:szCs w:val="22"/>
        </w:rPr>
        <w:t xml:space="preserve"> hour</w:t>
      </w:r>
    </w:p>
    <w:p>
      <w:pPr>
        <w:pStyle w:val="yHeading5"/>
      </w:pPr>
      <w:bookmarkStart w:id="276" w:name="_Toc434929922"/>
      <w:r>
        <w:rPr>
          <w:rStyle w:val="CharSClsNo"/>
        </w:rPr>
        <w:t>16</w:t>
      </w:r>
      <w:r>
        <w:t>.</w:t>
      </w:r>
      <w:r>
        <w:tab/>
        <w:t>Plans and diagrams of property sewer connections or sewerage works</w:t>
      </w:r>
      <w:bookmarkEnd w:id="276"/>
    </w:p>
    <w:p>
      <w:pPr>
        <w:pStyle w:val="yMiscellaneousBody"/>
        <w:tabs>
          <w:tab w:val="left" w:pos="284"/>
          <w:tab w:val="right" w:leader="dot" w:pos="6804"/>
        </w:tabs>
        <w:spacing w:after="160"/>
        <w:ind w:left="879" w:right="1985" w:hanging="879"/>
      </w:pPr>
      <w:r>
        <w:tab/>
        <w:t>(1)</w:t>
      </w:r>
      <w:r>
        <w:tab/>
        <w:t xml:space="preserve">For — </w:t>
      </w:r>
    </w:p>
    <w:p>
      <w:pPr>
        <w:pStyle w:val="yMiscellaneousBody"/>
        <w:tabs>
          <w:tab w:val="left" w:pos="1134"/>
          <w:tab w:val="left" w:pos="1560"/>
          <w:tab w:val="right" w:leader="dot" w:pos="6804"/>
        </w:tabs>
        <w:spacing w:before="80"/>
        <w:ind w:left="1559" w:right="1985" w:hanging="1559"/>
      </w:pPr>
      <w:r>
        <w:tab/>
        <w:t>(a)</w:t>
      </w:r>
      <w:r>
        <w:tab/>
        <w:t xml:space="preserve">the supply, in hard copy form, of a copy of, or extract from, records or plans of mains, sewers, drains and other works of the Water Corporation (including where reduced to A4 size), the charge is </w:t>
      </w:r>
      <w:r>
        <w:tab/>
        <w:t xml:space="preserve"> </w:t>
      </w:r>
      <w:r>
        <w:rPr>
          <w:szCs w:val="22"/>
        </w:rPr>
        <w:t>$17.05</w:t>
      </w:r>
    </w:p>
    <w:p>
      <w:pPr>
        <w:pStyle w:val="yMiscellaneousBody"/>
        <w:tabs>
          <w:tab w:val="left" w:pos="1134"/>
          <w:tab w:val="left" w:pos="1560"/>
          <w:tab w:val="right" w:leader="dot" w:pos="6804"/>
        </w:tabs>
        <w:spacing w:before="80"/>
        <w:ind w:left="1559" w:right="1985" w:hanging="1559"/>
      </w:pPr>
      <w:r>
        <w:tab/>
        <w:t>(b)</w:t>
      </w:r>
      <w:r>
        <w:tab/>
        <w:t xml:space="preserve">a property sewer connection diagram in hard copy form (per A4 copy), the charge is </w:t>
      </w:r>
      <w:r>
        <w:tab/>
        <w:t xml:space="preserve"> </w:t>
      </w:r>
      <w:r>
        <w:rPr>
          <w:szCs w:val="22"/>
        </w:rPr>
        <w:t>$17.05</w:t>
      </w:r>
    </w:p>
    <w:p>
      <w:pPr>
        <w:pStyle w:val="yMiscellaneousBody"/>
        <w:tabs>
          <w:tab w:val="left" w:pos="1134"/>
          <w:tab w:val="left" w:pos="1560"/>
          <w:tab w:val="right" w:leader="dot" w:pos="6804"/>
        </w:tabs>
        <w:spacing w:before="80"/>
        <w:ind w:left="1559" w:right="1985" w:hanging="1559"/>
      </w:pPr>
      <w:r>
        <w:tab/>
        <w:t>(c)</w:t>
      </w:r>
      <w:r>
        <w:tab/>
        <w:t xml:space="preserve">an electronic plan of sewerage works of the Water Corporation for a property, the charge is </w:t>
      </w:r>
      <w:r>
        <w:tab/>
        <w:t xml:space="preserve"> </w:t>
      </w:r>
      <w:r>
        <w:rPr>
          <w:szCs w:val="22"/>
        </w:rPr>
        <w:t>$17.71</w:t>
      </w:r>
    </w:p>
    <w:p>
      <w:pPr>
        <w:pStyle w:val="yMiscellaneousBody"/>
        <w:tabs>
          <w:tab w:val="left" w:pos="284"/>
          <w:tab w:val="right" w:leader="dot" w:pos="6804"/>
        </w:tabs>
        <w:spacing w:after="160"/>
        <w:ind w:left="879" w:right="1985" w:hanging="879"/>
      </w:pPr>
      <w:r>
        <w:tab/>
        <w:t>(2)</w:t>
      </w:r>
      <w:r>
        <w:tab/>
        <w:t xml:space="preserve">This item does not apply to the provision of plans of drainage plumbing covered by the </w:t>
      </w:r>
      <w:r>
        <w:rPr>
          <w:i/>
        </w:rPr>
        <w:t>Water Services Regulations 2013</w:t>
      </w:r>
      <w:r>
        <w:t xml:space="preserve"> regulation 53.</w:t>
      </w:r>
    </w:p>
    <w:p>
      <w:pPr>
        <w:pStyle w:val="yHeading5"/>
      </w:pPr>
      <w:bookmarkStart w:id="277" w:name="_Toc434929923"/>
      <w:r>
        <w:rPr>
          <w:rStyle w:val="CharSClsNo"/>
        </w:rPr>
        <w:t>17</w:t>
      </w:r>
      <w:r>
        <w:t>.</w:t>
      </w:r>
      <w:r>
        <w:tab/>
        <w:t>Copies of records</w:t>
      </w:r>
      <w:bookmarkEnd w:id="277"/>
    </w:p>
    <w:p>
      <w:pPr>
        <w:pStyle w:val="yMiscellaneousBody"/>
        <w:tabs>
          <w:tab w:val="left" w:pos="284"/>
          <w:tab w:val="right" w:leader="dot" w:pos="6804"/>
        </w:tabs>
        <w:spacing w:after="160"/>
        <w:ind w:left="879" w:right="1985" w:hanging="879"/>
      </w:pPr>
      <w:r>
        <w:tab/>
      </w:r>
      <w:r>
        <w:tab/>
        <w:t xml:space="preserve">For a copy of records under the </w:t>
      </w:r>
      <w:r>
        <w:rPr>
          <w:i/>
        </w:rPr>
        <w:t>Water Services Regulations 2013</w:t>
      </w:r>
      <w:r>
        <w:t xml:space="preserve"> regulation 65(4)(b), the charge is </w:t>
      </w:r>
      <w:r>
        <w:tab/>
        <w:t xml:space="preserve"> </w:t>
      </w:r>
      <w:r>
        <w:rPr>
          <w:szCs w:val="22"/>
        </w:rPr>
        <w:t>$17.05</w:t>
      </w:r>
    </w:p>
    <w:p>
      <w:pPr>
        <w:pStyle w:val="yFootnotesection"/>
      </w:pPr>
      <w:r>
        <w:tab/>
        <w:t>[Schedule 7 inserted in Gazette 15 Oct 2014 p. 3986</w:t>
      </w:r>
      <w:r>
        <w:noBreakHyphen/>
        <w:t>93; amended in Gazette 30 Jun 2015 p.</w:t>
      </w:r>
      <w:r>
        <w:rPr>
          <w:sz w:val="24"/>
        </w:rPr>
        <w:t> 2392</w:t>
      </w:r>
      <w:r>
        <w:rPr>
          <w:sz w:val="24"/>
        </w:rPr>
        <w:noBreakHyphen/>
        <w:t>4</w:t>
      </w:r>
      <w:r>
        <w:t>.]</w:t>
      </w:r>
    </w:p>
    <w:p>
      <w:pPr>
        <w:sectPr>
          <w:pgSz w:w="11907" w:h="16840" w:code="9"/>
          <w:pgMar w:top="2381" w:right="2410" w:bottom="3544" w:left="2410" w:header="720" w:footer="3380" w:gutter="0"/>
          <w:cols w:space="720"/>
          <w:docGrid w:linePitch="326"/>
        </w:sectPr>
      </w:pPr>
    </w:p>
    <w:p>
      <w:pPr>
        <w:pStyle w:val="yScheduleHeading"/>
      </w:pPr>
      <w:bookmarkStart w:id="278" w:name="_Toc429577107"/>
      <w:bookmarkStart w:id="279" w:name="_Toc434929924"/>
      <w:r>
        <w:rPr>
          <w:rStyle w:val="CharSchNo"/>
        </w:rPr>
        <w:t>Schedule 8</w:t>
      </w:r>
      <w:r>
        <w:rPr>
          <w:rStyle w:val="CharSDivNo"/>
        </w:rPr>
        <w:t> </w:t>
      </w:r>
      <w:r>
        <w:t>—</w:t>
      </w:r>
      <w:r>
        <w:rPr>
          <w:rStyle w:val="CharSDivText"/>
        </w:rPr>
        <w:t> </w:t>
      </w:r>
      <w:r>
        <w:rPr>
          <w:rStyle w:val="CharSchText"/>
        </w:rPr>
        <w:t>Government trading organisations</w:t>
      </w:r>
      <w:bookmarkEnd w:id="278"/>
      <w:bookmarkEnd w:id="279"/>
    </w:p>
    <w:p>
      <w:pPr>
        <w:pStyle w:val="yShoulderClause"/>
      </w:pPr>
      <w:r>
        <w:t>[r. 16(1)]</w:t>
      </w:r>
    </w:p>
    <w:p>
      <w:pPr>
        <w:pStyle w:val="yMiscellaneousHeading"/>
        <w:rPr>
          <w:b/>
          <w:bCs/>
          <w:snapToGrid w:val="0"/>
        </w:rPr>
      </w:pPr>
      <w:r>
        <w:rPr>
          <w:b/>
          <w:bCs/>
          <w:snapToGrid w:val="0"/>
        </w:rPr>
        <w:t>Government trading organisations</w:t>
      </w:r>
    </w:p>
    <w:p>
      <w:pPr>
        <w:pStyle w:val="yEdnotesubsection"/>
      </w:pPr>
      <w:r>
        <w:t>[(1)-(2)</w:t>
      </w:r>
      <w:r>
        <w:tab/>
        <w:t>deleted]</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continued under the </w:t>
      </w:r>
      <w:r>
        <w:rPr>
          <w:i/>
        </w:rPr>
        <w:t>Housing Act 1980</w:t>
      </w:r>
      <w:r>
        <w:t xml:space="preserve"> section 4.</w:t>
      </w:r>
    </w:p>
    <w:p>
      <w:pPr>
        <w:pStyle w:val="yNumberedItem"/>
      </w:pPr>
      <w:r>
        <w:t>11.</w:t>
      </w:r>
      <w:r>
        <w:tab/>
        <w:t xml:space="preserve">Kimberly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NumberedItem"/>
      </w:pPr>
      <w:r>
        <w:t>16.</w:t>
      </w:r>
      <w:r>
        <w:tab/>
        <w:t xml:space="preserve">Perth Theatre Trust established under the </w:t>
      </w:r>
      <w:r>
        <w:rPr>
          <w:i/>
        </w:rPr>
        <w:t>Perth Theatre Trust Act 1979</w:t>
      </w:r>
      <w:r>
        <w:t xml:space="preserve"> section 4.</w:t>
      </w:r>
    </w:p>
    <w:p>
      <w:pPr>
        <w:pStyle w:val="yNumberedItem"/>
      </w:pPr>
      <w:r>
        <w:t>17.</w:t>
      </w:r>
      <w:r>
        <w:tab/>
        <w:t xml:space="preserve">Pilbara Ports Authority established under the </w:t>
      </w:r>
      <w:r>
        <w:rPr>
          <w:i/>
        </w:rPr>
        <w:t>Port Authorities Act 1999</w:t>
      </w:r>
      <w:r>
        <w:t xml:space="preserve"> section 4.</w:t>
      </w:r>
    </w:p>
    <w:p>
      <w:pPr>
        <w:pStyle w:val="yNumberedItem"/>
      </w:pPr>
      <w:r>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in Gazette 19 Sep 2014 p. 3345.]</w:t>
      </w:r>
    </w:p>
    <w:p>
      <w:pPr>
        <w:pStyle w:val="yFootnotesection"/>
      </w:pPr>
    </w:p>
    <w:p>
      <w:pPr>
        <w:pStyle w:val="yFootnotesection"/>
        <w:sectPr>
          <w:headerReference w:type="even" r:id="rId30"/>
          <w:headerReference w:type="default" r:id="rId31"/>
          <w:headerReference w:type="first" r:id="rId32"/>
          <w:pgSz w:w="11907" w:h="16840" w:code="9"/>
          <w:pgMar w:top="2376" w:right="2405" w:bottom="3542" w:left="2405" w:header="706" w:footer="3380" w:gutter="0"/>
          <w:cols w:space="720"/>
          <w:noEndnote/>
          <w:docGrid w:linePitch="326"/>
        </w:sectPr>
      </w:pPr>
    </w:p>
    <w:p>
      <w:pPr>
        <w:pStyle w:val="yScheduleHeading"/>
      </w:pPr>
      <w:bookmarkStart w:id="280" w:name="_Toc429577108"/>
      <w:bookmarkStart w:id="281" w:name="_Toc434929925"/>
      <w:r>
        <w:rPr>
          <w:rStyle w:val="CharSchNo"/>
        </w:rPr>
        <w:t>Schedule 9</w:t>
      </w:r>
      <w:r>
        <w:rPr>
          <w:rStyle w:val="CharSDivNo"/>
        </w:rPr>
        <w:t> </w:t>
      </w:r>
      <w:r>
        <w:t>—</w:t>
      </w:r>
      <w:r>
        <w:rPr>
          <w:rStyle w:val="CharSDivText"/>
        </w:rPr>
        <w:t> </w:t>
      </w:r>
      <w:r>
        <w:rPr>
          <w:rStyle w:val="CharSchText"/>
        </w:rPr>
        <w:t>Central business districts</w:t>
      </w:r>
      <w:bookmarkEnd w:id="280"/>
      <w:bookmarkEnd w:id="281"/>
    </w:p>
    <w:p>
      <w:pPr>
        <w:pStyle w:val="yShoulderClause"/>
      </w:pPr>
      <w:r>
        <w:t>[r. 16(1)]</w:t>
      </w:r>
    </w:p>
    <w:p>
      <w:pPr>
        <w:pStyle w:val="yHeading5"/>
      </w:pPr>
      <w:bookmarkStart w:id="282" w:name="_Toc434929926"/>
      <w:r>
        <w:rPr>
          <w:rStyle w:val="CharSClsNo"/>
        </w:rPr>
        <w:t>1</w:t>
      </w:r>
      <w:r>
        <w:t>.</w:t>
      </w:r>
      <w:r>
        <w:tab/>
        <w:t>Central business districts</w:t>
      </w:r>
      <w:bookmarkEnd w:id="282"/>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ubsection"/>
        <w:sectPr>
          <w:headerReference w:type="even" r:id="rId33"/>
          <w:headerReference w:type="default" r:id="rId34"/>
          <w:pgSz w:w="11907" w:h="16840" w:code="9"/>
          <w:pgMar w:top="2376" w:right="2405" w:bottom="3542" w:left="2405" w:header="706" w:footer="3380" w:gutter="0"/>
          <w:cols w:space="720"/>
          <w:noEndnote/>
          <w:docGrid w:linePitch="326"/>
        </w:sectPr>
      </w:pPr>
    </w:p>
    <w:p>
      <w:pPr>
        <w:pStyle w:val="yScheduleHeading"/>
      </w:pPr>
      <w:bookmarkStart w:id="283" w:name="_Toc429577110"/>
      <w:bookmarkStart w:id="284" w:name="_Toc434929927"/>
      <w:r>
        <w:rPr>
          <w:rStyle w:val="CharSchNo"/>
        </w:rPr>
        <w:t>Schedule 10</w:t>
      </w:r>
      <w:r>
        <w:rPr>
          <w:rStyle w:val="CharSDivNo"/>
        </w:rPr>
        <w:t> </w:t>
      </w:r>
      <w:r>
        <w:t>—</w:t>
      </w:r>
      <w:r>
        <w:rPr>
          <w:rStyle w:val="CharSDivText"/>
        </w:rPr>
        <w:t> </w:t>
      </w:r>
      <w:r>
        <w:rPr>
          <w:rStyle w:val="CharSchText"/>
        </w:rPr>
        <w:t>Class of town or area: current consumption year</w:t>
      </w:r>
      <w:bookmarkEnd w:id="283"/>
      <w:bookmarkEnd w:id="284"/>
    </w:p>
    <w:p>
      <w:pPr>
        <w:pStyle w:val="yShoulderClause"/>
        <w:spacing w:after="120"/>
      </w:pPr>
      <w:r>
        <w:t>[Sch. 3 it. 24]</w:t>
      </w:r>
    </w:p>
    <w:p>
      <w:pPr>
        <w:pStyle w:val="yFootnoteheading"/>
        <w:spacing w:after="120"/>
      </w:pPr>
      <w:r>
        <w:tab/>
        <w:t>[Heading inserted in Gazette 30 Jun 2015 p. 2395.]</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1984"/>
        <w:gridCol w:w="1843"/>
      </w:tblGrid>
      <w:tr>
        <w:trPr>
          <w:tblHeader/>
        </w:trPr>
        <w:tc>
          <w:tcPr>
            <w:tcW w:w="2977" w:type="dxa"/>
            <w:tcBorders>
              <w:top w:val="single" w:sz="4" w:space="0" w:color="auto"/>
              <w:bottom w:val="single" w:sz="4" w:space="0" w:color="auto"/>
            </w:tcBorders>
          </w:tcPr>
          <w:p>
            <w:pPr>
              <w:pStyle w:val="yTableNAm"/>
              <w:spacing w:before="80"/>
            </w:pPr>
            <w:r>
              <w:rPr>
                <w:b/>
                <w:szCs w:val="22"/>
              </w:rPr>
              <w:t>Town/area</w:t>
            </w:r>
          </w:p>
        </w:tc>
        <w:tc>
          <w:tcPr>
            <w:tcW w:w="1984" w:type="dxa"/>
            <w:tcBorders>
              <w:top w:val="single" w:sz="4" w:space="0" w:color="auto"/>
              <w:bottom w:val="single" w:sz="4" w:space="0" w:color="auto"/>
            </w:tcBorders>
          </w:tcPr>
          <w:p>
            <w:pPr>
              <w:pStyle w:val="yTableNAm"/>
              <w:spacing w:before="80"/>
            </w:pPr>
            <w:r>
              <w:rPr>
                <w:b/>
                <w:szCs w:val="22"/>
              </w:rPr>
              <w:t>Residential classification</w:t>
            </w:r>
          </w:p>
        </w:tc>
        <w:tc>
          <w:tcPr>
            <w:tcW w:w="1843" w:type="dxa"/>
            <w:tcBorders>
              <w:top w:val="single" w:sz="4" w:space="0" w:color="auto"/>
              <w:bottom w:val="single" w:sz="4" w:space="0" w:color="auto"/>
            </w:tcBorders>
          </w:tcPr>
          <w:p>
            <w:pPr>
              <w:pStyle w:val="yTableNAm"/>
              <w:spacing w:before="80"/>
            </w:pPr>
            <w:r>
              <w:rPr>
                <w:b/>
                <w:szCs w:val="22"/>
              </w:rPr>
              <w:t>Non</w:t>
            </w:r>
            <w:r>
              <w:rPr>
                <w:b/>
                <w:szCs w:val="22"/>
              </w:rPr>
              <w:noBreakHyphen/>
              <w:t>residential classification</w:t>
            </w:r>
          </w:p>
        </w:tc>
      </w:tr>
      <w:tr>
        <w:tc>
          <w:tcPr>
            <w:tcW w:w="2977" w:type="dxa"/>
            <w:tcBorders>
              <w:top w:val="single" w:sz="4" w:space="0" w:color="auto"/>
            </w:tcBorders>
          </w:tcPr>
          <w:p>
            <w:pPr>
              <w:pStyle w:val="yTableNAm"/>
              <w:spacing w:before="80"/>
            </w:pPr>
            <w:r>
              <w:rPr>
                <w:szCs w:val="22"/>
              </w:rPr>
              <w:t>Albany</w:t>
            </w:r>
          </w:p>
        </w:tc>
        <w:tc>
          <w:tcPr>
            <w:tcW w:w="1984" w:type="dxa"/>
            <w:tcBorders>
              <w:top w:val="single" w:sz="4" w:space="0" w:color="auto"/>
            </w:tcBorders>
          </w:tcPr>
          <w:p>
            <w:pPr>
              <w:pStyle w:val="yTableNAm"/>
              <w:spacing w:before="80"/>
            </w:pPr>
            <w:r>
              <w:rPr>
                <w:szCs w:val="22"/>
              </w:rPr>
              <w:t>4</w:t>
            </w:r>
          </w:p>
        </w:tc>
        <w:tc>
          <w:tcPr>
            <w:tcW w:w="1843" w:type="dxa"/>
            <w:tcBorders>
              <w:top w:val="single" w:sz="4" w:space="0" w:color="auto"/>
            </w:tcBorders>
          </w:tcPr>
          <w:p>
            <w:pPr>
              <w:pStyle w:val="yTableNAm"/>
              <w:spacing w:before="80"/>
            </w:pPr>
            <w:r>
              <w:rPr>
                <w:szCs w:val="22"/>
              </w:rPr>
              <w:t>8</w:t>
            </w:r>
          </w:p>
        </w:tc>
      </w:tr>
      <w:tr>
        <w:tc>
          <w:tcPr>
            <w:tcW w:w="2977" w:type="dxa"/>
          </w:tcPr>
          <w:p>
            <w:pPr>
              <w:pStyle w:val="yTableNAm"/>
              <w:spacing w:before="80"/>
            </w:pPr>
            <w:r>
              <w:rPr>
                <w:szCs w:val="22"/>
              </w:rPr>
              <w:t>Allanooka Farmlands</w:t>
            </w:r>
          </w:p>
        </w:tc>
        <w:tc>
          <w:tcPr>
            <w:tcW w:w="1984" w:type="dxa"/>
          </w:tcPr>
          <w:p>
            <w:pPr>
              <w:pStyle w:val="yTableNAm"/>
              <w:spacing w:before="80"/>
            </w:pPr>
            <w:r>
              <w:rPr>
                <w:szCs w:val="22"/>
              </w:rPr>
              <w:t>2</w:t>
            </w:r>
          </w:p>
        </w:tc>
        <w:tc>
          <w:tcPr>
            <w:tcW w:w="1843" w:type="dxa"/>
          </w:tcPr>
          <w:p>
            <w:pPr>
              <w:pStyle w:val="yTableNAm"/>
              <w:spacing w:before="80"/>
            </w:pPr>
            <w:r>
              <w:rPr>
                <w:szCs w:val="22"/>
              </w:rPr>
              <w:t>1</w:t>
            </w:r>
          </w:p>
        </w:tc>
      </w:tr>
      <w:tr>
        <w:tc>
          <w:tcPr>
            <w:tcW w:w="2977" w:type="dxa"/>
          </w:tcPr>
          <w:p>
            <w:pPr>
              <w:pStyle w:val="yTableNAm"/>
              <w:spacing w:before="80"/>
            </w:pPr>
            <w:r>
              <w:rPr>
                <w:szCs w:val="22"/>
              </w:rPr>
              <w:t>Allanson</w:t>
            </w:r>
          </w:p>
        </w:tc>
        <w:tc>
          <w:tcPr>
            <w:tcW w:w="1984" w:type="dxa"/>
          </w:tcPr>
          <w:p>
            <w:pPr>
              <w:pStyle w:val="yTableNAm"/>
              <w:spacing w:before="80"/>
            </w:pPr>
            <w:r>
              <w:rPr>
                <w:szCs w:val="22"/>
              </w:rPr>
              <w:t>4</w:t>
            </w:r>
          </w:p>
        </w:tc>
        <w:tc>
          <w:tcPr>
            <w:tcW w:w="1843" w:type="dxa"/>
          </w:tcPr>
          <w:p>
            <w:pPr>
              <w:pStyle w:val="yTableNAm"/>
              <w:spacing w:before="80"/>
            </w:pPr>
            <w:r>
              <w:rPr>
                <w:szCs w:val="22"/>
              </w:rPr>
              <w:t>11</w:t>
            </w:r>
          </w:p>
        </w:tc>
      </w:tr>
      <w:tr>
        <w:tc>
          <w:tcPr>
            <w:tcW w:w="2977" w:type="dxa"/>
          </w:tcPr>
          <w:p>
            <w:pPr>
              <w:pStyle w:val="yTableNAm"/>
              <w:spacing w:before="80"/>
            </w:pPr>
            <w:r>
              <w:rPr>
                <w:szCs w:val="22"/>
              </w:rPr>
              <w:t>Arrino</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Arrowsmith Farmlands</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Augusta</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Australind/Eaton</w:t>
            </w:r>
          </w:p>
        </w:tc>
        <w:tc>
          <w:tcPr>
            <w:tcW w:w="1984" w:type="dxa"/>
          </w:tcPr>
          <w:p>
            <w:pPr>
              <w:pStyle w:val="yTableNAm"/>
              <w:spacing w:before="80"/>
            </w:pPr>
            <w:r>
              <w:rPr>
                <w:szCs w:val="22"/>
              </w:rPr>
              <w:t>2</w:t>
            </w:r>
          </w:p>
        </w:tc>
        <w:tc>
          <w:tcPr>
            <w:tcW w:w="1843" w:type="dxa"/>
          </w:tcPr>
          <w:p>
            <w:pPr>
              <w:pStyle w:val="yTableNAm"/>
              <w:spacing w:before="80"/>
            </w:pPr>
            <w:r>
              <w:rPr>
                <w:szCs w:val="22"/>
              </w:rPr>
              <w:t>3</w:t>
            </w:r>
          </w:p>
        </w:tc>
      </w:tr>
      <w:tr>
        <w:tc>
          <w:tcPr>
            <w:tcW w:w="2977" w:type="dxa"/>
          </w:tcPr>
          <w:p>
            <w:pPr>
              <w:pStyle w:val="yTableNAm"/>
              <w:spacing w:before="80"/>
            </w:pPr>
            <w:r>
              <w:rPr>
                <w:szCs w:val="22"/>
              </w:rPr>
              <w:t>Badgingarra</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Bakers Hill</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Balingup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Ballidu</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Beacon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Bencubbin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Beverley</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Bindi Bindi</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Bindoon/Chittering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Binningup</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Bodallin</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Boddington</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Bolgart</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Borden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Boyanup</w:t>
            </w:r>
          </w:p>
        </w:tc>
        <w:tc>
          <w:tcPr>
            <w:tcW w:w="1984" w:type="dxa"/>
          </w:tcPr>
          <w:p>
            <w:pPr>
              <w:pStyle w:val="yTableNAm"/>
              <w:spacing w:before="80"/>
            </w:pPr>
            <w:r>
              <w:rPr>
                <w:szCs w:val="22"/>
              </w:rPr>
              <w:t>4</w:t>
            </w:r>
          </w:p>
        </w:tc>
        <w:tc>
          <w:tcPr>
            <w:tcW w:w="1843" w:type="dxa"/>
          </w:tcPr>
          <w:p>
            <w:pPr>
              <w:pStyle w:val="yTableNAm"/>
              <w:spacing w:before="80"/>
            </w:pPr>
            <w:r>
              <w:rPr>
                <w:szCs w:val="22"/>
              </w:rPr>
              <w:t>9</w:t>
            </w:r>
          </w:p>
        </w:tc>
      </w:tr>
      <w:tr>
        <w:tc>
          <w:tcPr>
            <w:tcW w:w="2977" w:type="dxa"/>
          </w:tcPr>
          <w:p>
            <w:pPr>
              <w:pStyle w:val="yTableNAm"/>
              <w:spacing w:before="80"/>
            </w:pPr>
            <w:r>
              <w:rPr>
                <w:szCs w:val="22"/>
              </w:rPr>
              <w:t>Boyup Brook</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Bremer Bay</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Bridgetown/Hester</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Broad Arrow</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Brookton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Broome</w:t>
            </w:r>
          </w:p>
        </w:tc>
        <w:tc>
          <w:tcPr>
            <w:tcW w:w="1984" w:type="dxa"/>
          </w:tcPr>
          <w:p>
            <w:pPr>
              <w:pStyle w:val="yTableNAm"/>
              <w:spacing w:before="80"/>
            </w:pPr>
            <w:r>
              <w:rPr>
                <w:szCs w:val="22"/>
              </w:rPr>
              <w:t>2</w:t>
            </w:r>
          </w:p>
        </w:tc>
        <w:tc>
          <w:tcPr>
            <w:tcW w:w="1843" w:type="dxa"/>
          </w:tcPr>
          <w:p>
            <w:pPr>
              <w:pStyle w:val="yTableNAm"/>
              <w:spacing w:before="80"/>
            </w:pPr>
            <w:r>
              <w:rPr>
                <w:szCs w:val="22"/>
              </w:rPr>
              <w:t>3</w:t>
            </w:r>
          </w:p>
        </w:tc>
      </w:tr>
      <w:tr>
        <w:tc>
          <w:tcPr>
            <w:tcW w:w="2977" w:type="dxa"/>
          </w:tcPr>
          <w:p>
            <w:pPr>
              <w:pStyle w:val="yTableNAm"/>
              <w:spacing w:before="80"/>
            </w:pPr>
            <w:r>
              <w:rPr>
                <w:szCs w:val="22"/>
              </w:rPr>
              <w:t>Broomehill</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Bruce Rock</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Brunswick/Burekup/Roelands</w:t>
            </w:r>
          </w:p>
        </w:tc>
        <w:tc>
          <w:tcPr>
            <w:tcW w:w="1984" w:type="dxa"/>
          </w:tcPr>
          <w:p>
            <w:pPr>
              <w:pStyle w:val="yTableNAm"/>
              <w:spacing w:before="80"/>
            </w:pPr>
            <w:r>
              <w:rPr>
                <w:szCs w:val="22"/>
              </w:rPr>
              <w:t>3</w:t>
            </w:r>
          </w:p>
        </w:tc>
        <w:tc>
          <w:tcPr>
            <w:tcW w:w="1843" w:type="dxa"/>
          </w:tcPr>
          <w:p>
            <w:pPr>
              <w:pStyle w:val="yTableNAm"/>
              <w:spacing w:before="80"/>
            </w:pPr>
            <w:r>
              <w:rPr>
                <w:szCs w:val="22"/>
              </w:rPr>
              <w:t>7</w:t>
            </w:r>
          </w:p>
        </w:tc>
      </w:tr>
      <w:tr>
        <w:tc>
          <w:tcPr>
            <w:tcW w:w="2977" w:type="dxa"/>
          </w:tcPr>
          <w:p>
            <w:pPr>
              <w:pStyle w:val="yTableNAm"/>
              <w:spacing w:before="80"/>
            </w:pPr>
            <w:r>
              <w:rPr>
                <w:szCs w:val="22"/>
              </w:rPr>
              <w:t>Bullaring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Bullfinch</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Bunjil</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Buntine</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Burracoppin</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Calingiri</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Camballin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Capel</w:t>
            </w:r>
          </w:p>
        </w:tc>
        <w:tc>
          <w:tcPr>
            <w:tcW w:w="1984" w:type="dxa"/>
          </w:tcPr>
          <w:p>
            <w:pPr>
              <w:pStyle w:val="yTableNAm"/>
              <w:spacing w:before="80"/>
            </w:pPr>
            <w:r>
              <w:rPr>
                <w:szCs w:val="22"/>
              </w:rPr>
              <w:t>2</w:t>
            </w:r>
          </w:p>
        </w:tc>
        <w:tc>
          <w:tcPr>
            <w:tcW w:w="1843" w:type="dxa"/>
          </w:tcPr>
          <w:p>
            <w:pPr>
              <w:pStyle w:val="yTableNAm"/>
              <w:spacing w:before="80"/>
            </w:pPr>
            <w:r>
              <w:rPr>
                <w:szCs w:val="22"/>
              </w:rPr>
              <w:t>6</w:t>
            </w:r>
          </w:p>
        </w:tc>
      </w:tr>
      <w:tr>
        <w:tc>
          <w:tcPr>
            <w:tcW w:w="2977" w:type="dxa"/>
          </w:tcPr>
          <w:p>
            <w:pPr>
              <w:pStyle w:val="yTableNAm"/>
              <w:spacing w:before="80"/>
            </w:pPr>
            <w:r>
              <w:rPr>
                <w:szCs w:val="22"/>
              </w:rPr>
              <w:t>Carnamah</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Carnarvon</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Caron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Cervantes</w:t>
            </w:r>
          </w:p>
        </w:tc>
        <w:tc>
          <w:tcPr>
            <w:tcW w:w="1984" w:type="dxa"/>
          </w:tcPr>
          <w:p>
            <w:pPr>
              <w:pStyle w:val="yTableNAm"/>
              <w:spacing w:before="80"/>
            </w:pPr>
            <w:r>
              <w:rPr>
                <w:szCs w:val="22"/>
              </w:rPr>
              <w:t>5</w:t>
            </w:r>
          </w:p>
        </w:tc>
        <w:tc>
          <w:tcPr>
            <w:tcW w:w="1843" w:type="dxa"/>
          </w:tcPr>
          <w:p>
            <w:pPr>
              <w:pStyle w:val="yTableNAm"/>
              <w:spacing w:before="80"/>
            </w:pPr>
            <w:r>
              <w:rPr>
                <w:szCs w:val="22"/>
              </w:rPr>
              <w:t>9</w:t>
            </w:r>
          </w:p>
        </w:tc>
      </w:tr>
      <w:tr>
        <w:tc>
          <w:tcPr>
            <w:tcW w:w="2977" w:type="dxa"/>
          </w:tcPr>
          <w:p>
            <w:pPr>
              <w:pStyle w:val="yTableNAm"/>
              <w:spacing w:before="80"/>
            </w:pPr>
            <w:r>
              <w:rPr>
                <w:szCs w:val="22"/>
              </w:rPr>
              <w:t>Collie</w:t>
            </w:r>
          </w:p>
        </w:tc>
        <w:tc>
          <w:tcPr>
            <w:tcW w:w="1984" w:type="dxa"/>
          </w:tcPr>
          <w:p>
            <w:pPr>
              <w:pStyle w:val="yTableNAm"/>
              <w:spacing w:before="80"/>
            </w:pPr>
            <w:r>
              <w:rPr>
                <w:szCs w:val="22"/>
              </w:rPr>
              <w:t>2</w:t>
            </w:r>
          </w:p>
        </w:tc>
        <w:tc>
          <w:tcPr>
            <w:tcW w:w="1843" w:type="dxa"/>
          </w:tcPr>
          <w:p>
            <w:pPr>
              <w:pStyle w:val="yTableNAm"/>
              <w:spacing w:before="80"/>
            </w:pPr>
            <w:r>
              <w:rPr>
                <w:szCs w:val="22"/>
              </w:rPr>
              <w:t>6</w:t>
            </w:r>
          </w:p>
        </w:tc>
      </w:tr>
      <w:tr>
        <w:tc>
          <w:tcPr>
            <w:tcW w:w="2977" w:type="dxa"/>
          </w:tcPr>
          <w:p>
            <w:pPr>
              <w:pStyle w:val="yTableNAm"/>
              <w:spacing w:before="80"/>
            </w:pPr>
            <w:r>
              <w:rPr>
                <w:szCs w:val="22"/>
              </w:rPr>
              <w:t>Collie Farmlands</w:t>
            </w:r>
          </w:p>
        </w:tc>
        <w:tc>
          <w:tcPr>
            <w:tcW w:w="1984" w:type="dxa"/>
          </w:tcPr>
          <w:p>
            <w:pPr>
              <w:pStyle w:val="yTableNAm"/>
              <w:spacing w:before="80"/>
            </w:pPr>
            <w:r>
              <w:rPr>
                <w:szCs w:val="22"/>
              </w:rPr>
              <w:t>1</w:t>
            </w:r>
          </w:p>
        </w:tc>
        <w:tc>
          <w:tcPr>
            <w:tcW w:w="1843" w:type="dxa"/>
          </w:tcPr>
          <w:p>
            <w:pPr>
              <w:pStyle w:val="yTableNAm"/>
              <w:spacing w:before="80"/>
            </w:pPr>
            <w:r>
              <w:rPr>
                <w:szCs w:val="22"/>
              </w:rPr>
              <w:t>1</w:t>
            </w:r>
          </w:p>
        </w:tc>
      </w:tr>
      <w:tr>
        <w:tc>
          <w:tcPr>
            <w:tcW w:w="2977" w:type="dxa"/>
          </w:tcPr>
          <w:p>
            <w:pPr>
              <w:pStyle w:val="yTableNAm"/>
              <w:spacing w:before="80"/>
            </w:pPr>
            <w:r>
              <w:rPr>
                <w:szCs w:val="22"/>
              </w:rPr>
              <w:t>Condingup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Coolgardie</w:t>
            </w:r>
          </w:p>
        </w:tc>
        <w:tc>
          <w:tcPr>
            <w:tcW w:w="1984" w:type="dxa"/>
          </w:tcPr>
          <w:p>
            <w:pPr>
              <w:pStyle w:val="yTableNAm"/>
              <w:spacing w:before="80"/>
            </w:pPr>
            <w:r>
              <w:rPr>
                <w:szCs w:val="22"/>
              </w:rPr>
              <w:t>5</w:t>
            </w:r>
          </w:p>
        </w:tc>
        <w:tc>
          <w:tcPr>
            <w:tcW w:w="1843" w:type="dxa"/>
          </w:tcPr>
          <w:p>
            <w:pPr>
              <w:pStyle w:val="yTableNAm"/>
              <w:spacing w:before="80"/>
            </w:pPr>
            <w:r>
              <w:rPr>
                <w:szCs w:val="22"/>
              </w:rPr>
              <w:t>14</w:t>
            </w:r>
          </w:p>
        </w:tc>
      </w:tr>
      <w:tr>
        <w:tc>
          <w:tcPr>
            <w:tcW w:w="2977" w:type="dxa"/>
          </w:tcPr>
          <w:p>
            <w:pPr>
              <w:pStyle w:val="yTableNAm"/>
              <w:spacing w:before="80"/>
            </w:pPr>
            <w:r>
              <w:rPr>
                <w:szCs w:val="22"/>
              </w:rPr>
              <w:t>Coomberdale</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Coorow</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Coral Bay</w:t>
            </w:r>
          </w:p>
        </w:tc>
        <w:tc>
          <w:tcPr>
            <w:tcW w:w="1984" w:type="dxa"/>
          </w:tcPr>
          <w:p>
            <w:pPr>
              <w:pStyle w:val="yTableNAm"/>
              <w:spacing w:before="80"/>
            </w:pPr>
            <w:r>
              <w:rPr>
                <w:szCs w:val="22"/>
              </w:rPr>
              <w:t>5</w:t>
            </w:r>
          </w:p>
        </w:tc>
        <w:tc>
          <w:tcPr>
            <w:tcW w:w="1843" w:type="dxa"/>
          </w:tcPr>
          <w:p>
            <w:pPr>
              <w:pStyle w:val="yTableNAm"/>
              <w:spacing w:before="80"/>
            </w:pPr>
            <w:r>
              <w:rPr>
                <w:szCs w:val="22"/>
              </w:rPr>
              <w:t>N/A</w:t>
            </w:r>
          </w:p>
        </w:tc>
      </w:tr>
      <w:tr>
        <w:tc>
          <w:tcPr>
            <w:tcW w:w="2977" w:type="dxa"/>
          </w:tcPr>
          <w:p>
            <w:pPr>
              <w:pStyle w:val="yTableNAm"/>
              <w:spacing w:before="80"/>
            </w:pPr>
            <w:r>
              <w:rPr>
                <w:szCs w:val="22"/>
              </w:rPr>
              <w:t>Corrigin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Cowaramup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Cranbrook</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Cuballing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Cue</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Cunderdin</w:t>
            </w:r>
          </w:p>
        </w:tc>
        <w:tc>
          <w:tcPr>
            <w:tcW w:w="1984" w:type="dxa"/>
          </w:tcPr>
          <w:p>
            <w:pPr>
              <w:pStyle w:val="yTableNAm"/>
              <w:spacing w:before="80"/>
            </w:pPr>
            <w:r>
              <w:rPr>
                <w:szCs w:val="22"/>
              </w:rPr>
              <w:t>5</w:t>
            </w:r>
          </w:p>
        </w:tc>
        <w:tc>
          <w:tcPr>
            <w:tcW w:w="1843" w:type="dxa"/>
          </w:tcPr>
          <w:p>
            <w:pPr>
              <w:pStyle w:val="yTableNAm"/>
              <w:spacing w:before="80"/>
            </w:pPr>
            <w:r>
              <w:rPr>
                <w:szCs w:val="22"/>
              </w:rPr>
              <w:t>9</w:t>
            </w:r>
          </w:p>
        </w:tc>
      </w:tr>
      <w:tr>
        <w:tc>
          <w:tcPr>
            <w:tcW w:w="2977" w:type="dxa"/>
          </w:tcPr>
          <w:p>
            <w:pPr>
              <w:pStyle w:val="yTableNAm"/>
              <w:spacing w:before="80"/>
            </w:pPr>
            <w:r>
              <w:rPr>
                <w:szCs w:val="22"/>
              </w:rPr>
              <w:t>Dalwallinu</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Dalyellup</w:t>
            </w:r>
          </w:p>
        </w:tc>
        <w:tc>
          <w:tcPr>
            <w:tcW w:w="1984" w:type="dxa"/>
          </w:tcPr>
          <w:p>
            <w:pPr>
              <w:pStyle w:val="yTableNAm"/>
              <w:spacing w:before="80"/>
            </w:pPr>
            <w:r>
              <w:rPr>
                <w:szCs w:val="22"/>
              </w:rPr>
              <w:t>3</w:t>
            </w:r>
          </w:p>
        </w:tc>
        <w:tc>
          <w:tcPr>
            <w:tcW w:w="1843" w:type="dxa"/>
          </w:tcPr>
          <w:p>
            <w:pPr>
              <w:pStyle w:val="yTableNAm"/>
              <w:spacing w:before="80"/>
            </w:pPr>
            <w:r>
              <w:rPr>
                <w:szCs w:val="22"/>
              </w:rPr>
              <w:t>4</w:t>
            </w:r>
          </w:p>
        </w:tc>
      </w:tr>
      <w:tr>
        <w:tc>
          <w:tcPr>
            <w:tcW w:w="2977" w:type="dxa"/>
          </w:tcPr>
          <w:p>
            <w:pPr>
              <w:pStyle w:val="yTableNAm"/>
              <w:spacing w:before="80"/>
            </w:pPr>
            <w:r>
              <w:rPr>
                <w:szCs w:val="22"/>
              </w:rPr>
              <w:t>Dandaragan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Dardanup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Darkan</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Dathagnoorara Farmlands</w:t>
            </w:r>
          </w:p>
        </w:tc>
        <w:tc>
          <w:tcPr>
            <w:tcW w:w="1984" w:type="dxa"/>
          </w:tcPr>
          <w:p>
            <w:pPr>
              <w:pStyle w:val="yTableNAm"/>
              <w:spacing w:before="80"/>
            </w:pPr>
            <w:r>
              <w:rPr>
                <w:szCs w:val="22"/>
              </w:rPr>
              <w:t>4</w:t>
            </w:r>
          </w:p>
        </w:tc>
        <w:tc>
          <w:tcPr>
            <w:tcW w:w="1843" w:type="dxa"/>
          </w:tcPr>
          <w:p>
            <w:pPr>
              <w:pStyle w:val="yTableNAm"/>
              <w:spacing w:before="80"/>
            </w:pPr>
            <w:r>
              <w:rPr>
                <w:szCs w:val="22"/>
              </w:rPr>
              <w:t>9</w:t>
            </w:r>
          </w:p>
        </w:tc>
      </w:tr>
      <w:tr>
        <w:tc>
          <w:tcPr>
            <w:tcW w:w="2977" w:type="dxa"/>
          </w:tcPr>
          <w:p>
            <w:pPr>
              <w:pStyle w:val="yTableNAm"/>
              <w:spacing w:before="80"/>
            </w:pPr>
            <w:r>
              <w:rPr>
                <w:szCs w:val="22"/>
              </w:rPr>
              <w:t>Denham (Saline)</w:t>
            </w:r>
          </w:p>
        </w:tc>
        <w:tc>
          <w:tcPr>
            <w:tcW w:w="1984" w:type="dxa"/>
          </w:tcPr>
          <w:p>
            <w:pPr>
              <w:pStyle w:val="yTableNAm"/>
              <w:spacing w:before="80"/>
            </w:pPr>
            <w:r>
              <w:rPr>
                <w:szCs w:val="22"/>
              </w:rPr>
              <w:t>2</w:t>
            </w:r>
          </w:p>
        </w:tc>
        <w:tc>
          <w:tcPr>
            <w:tcW w:w="1843" w:type="dxa"/>
          </w:tcPr>
          <w:p>
            <w:pPr>
              <w:pStyle w:val="yTableNAm"/>
              <w:spacing w:before="80"/>
            </w:pPr>
            <w:r>
              <w:rPr>
                <w:szCs w:val="22"/>
              </w:rPr>
              <w:t>5</w:t>
            </w:r>
          </w:p>
        </w:tc>
      </w:tr>
      <w:tr>
        <w:tc>
          <w:tcPr>
            <w:tcW w:w="2977" w:type="dxa"/>
          </w:tcPr>
          <w:p>
            <w:pPr>
              <w:pStyle w:val="yTableNAm"/>
              <w:spacing w:before="80"/>
            </w:pPr>
            <w:r>
              <w:rPr>
                <w:szCs w:val="22"/>
              </w:rPr>
              <w:t>Denmark</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Derby</w:t>
            </w:r>
          </w:p>
        </w:tc>
        <w:tc>
          <w:tcPr>
            <w:tcW w:w="1984" w:type="dxa"/>
          </w:tcPr>
          <w:p>
            <w:pPr>
              <w:pStyle w:val="yTableNAm"/>
              <w:spacing w:before="80"/>
            </w:pPr>
            <w:r>
              <w:rPr>
                <w:szCs w:val="22"/>
              </w:rPr>
              <w:t>3</w:t>
            </w:r>
          </w:p>
        </w:tc>
        <w:tc>
          <w:tcPr>
            <w:tcW w:w="1843" w:type="dxa"/>
          </w:tcPr>
          <w:p>
            <w:pPr>
              <w:pStyle w:val="yTableNAm"/>
              <w:spacing w:before="80"/>
            </w:pPr>
            <w:r>
              <w:rPr>
                <w:szCs w:val="22"/>
              </w:rPr>
              <w:t>7</w:t>
            </w:r>
          </w:p>
        </w:tc>
      </w:tr>
      <w:tr>
        <w:tc>
          <w:tcPr>
            <w:tcW w:w="2977" w:type="dxa"/>
          </w:tcPr>
          <w:p>
            <w:pPr>
              <w:pStyle w:val="yTableNAm"/>
              <w:spacing w:before="80"/>
            </w:pPr>
            <w:r>
              <w:rPr>
                <w:szCs w:val="22"/>
              </w:rPr>
              <w:t>Dongara/Denison</w:t>
            </w:r>
          </w:p>
        </w:tc>
        <w:tc>
          <w:tcPr>
            <w:tcW w:w="1984" w:type="dxa"/>
          </w:tcPr>
          <w:p>
            <w:pPr>
              <w:pStyle w:val="yTableNAm"/>
              <w:spacing w:before="80"/>
            </w:pPr>
            <w:r>
              <w:rPr>
                <w:szCs w:val="22"/>
              </w:rPr>
              <w:t>2</w:t>
            </w:r>
          </w:p>
        </w:tc>
        <w:tc>
          <w:tcPr>
            <w:tcW w:w="1843" w:type="dxa"/>
          </w:tcPr>
          <w:p>
            <w:pPr>
              <w:pStyle w:val="yTableNAm"/>
              <w:spacing w:before="80"/>
            </w:pPr>
            <w:r>
              <w:rPr>
                <w:szCs w:val="22"/>
              </w:rPr>
              <w:t>3</w:t>
            </w:r>
          </w:p>
        </w:tc>
      </w:tr>
      <w:tr>
        <w:tc>
          <w:tcPr>
            <w:tcW w:w="2977" w:type="dxa"/>
          </w:tcPr>
          <w:p>
            <w:pPr>
              <w:pStyle w:val="yTableNAm"/>
              <w:spacing w:before="80"/>
            </w:pPr>
            <w:r>
              <w:rPr>
                <w:szCs w:val="22"/>
              </w:rPr>
              <w:t>Donnybrook</w:t>
            </w:r>
          </w:p>
        </w:tc>
        <w:tc>
          <w:tcPr>
            <w:tcW w:w="1984" w:type="dxa"/>
          </w:tcPr>
          <w:p>
            <w:pPr>
              <w:pStyle w:val="yTableNAm"/>
              <w:spacing w:before="80"/>
            </w:pPr>
            <w:r>
              <w:rPr>
                <w:szCs w:val="22"/>
              </w:rPr>
              <w:t>3</w:t>
            </w:r>
          </w:p>
        </w:tc>
        <w:tc>
          <w:tcPr>
            <w:tcW w:w="1843" w:type="dxa"/>
          </w:tcPr>
          <w:p>
            <w:pPr>
              <w:pStyle w:val="yTableNAm"/>
              <w:spacing w:before="80"/>
            </w:pPr>
            <w:r>
              <w:rPr>
                <w:szCs w:val="22"/>
              </w:rPr>
              <w:t>6</w:t>
            </w:r>
          </w:p>
        </w:tc>
      </w:tr>
      <w:tr>
        <w:tc>
          <w:tcPr>
            <w:tcW w:w="2977" w:type="dxa"/>
          </w:tcPr>
          <w:p>
            <w:pPr>
              <w:pStyle w:val="yTableNAm"/>
              <w:spacing w:before="80"/>
            </w:pPr>
            <w:r>
              <w:rPr>
                <w:szCs w:val="22"/>
              </w:rPr>
              <w:t>Doodlakine</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Dowerin</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Dudinin/Harrismith/Jitarning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Dumbleyung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Dunsborough/Yallingup</w:t>
            </w:r>
          </w:p>
        </w:tc>
        <w:tc>
          <w:tcPr>
            <w:tcW w:w="1984" w:type="dxa"/>
          </w:tcPr>
          <w:p>
            <w:pPr>
              <w:pStyle w:val="yTableNAm"/>
              <w:spacing w:before="80"/>
            </w:pPr>
            <w:r>
              <w:rPr>
                <w:szCs w:val="22"/>
              </w:rPr>
              <w:t>4</w:t>
            </w:r>
          </w:p>
        </w:tc>
        <w:tc>
          <w:tcPr>
            <w:tcW w:w="1843" w:type="dxa"/>
          </w:tcPr>
          <w:p>
            <w:pPr>
              <w:pStyle w:val="yTableNAm"/>
              <w:spacing w:before="80"/>
            </w:pPr>
            <w:r>
              <w:rPr>
                <w:szCs w:val="22"/>
              </w:rPr>
              <w:t>7</w:t>
            </w:r>
          </w:p>
        </w:tc>
      </w:tr>
      <w:tr>
        <w:tc>
          <w:tcPr>
            <w:tcW w:w="2977" w:type="dxa"/>
          </w:tcPr>
          <w:p>
            <w:pPr>
              <w:pStyle w:val="yTableNAm"/>
              <w:spacing w:before="80"/>
            </w:pPr>
            <w:r>
              <w:rPr>
                <w:szCs w:val="22"/>
              </w:rPr>
              <w:t>Dwellingup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Eneabba</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Eradu</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Esperance</w:t>
            </w:r>
          </w:p>
        </w:tc>
        <w:tc>
          <w:tcPr>
            <w:tcW w:w="1984" w:type="dxa"/>
          </w:tcPr>
          <w:p>
            <w:pPr>
              <w:pStyle w:val="yTableNAm"/>
              <w:spacing w:before="80"/>
            </w:pPr>
            <w:r>
              <w:rPr>
                <w:szCs w:val="22"/>
              </w:rPr>
              <w:t>3</w:t>
            </w:r>
          </w:p>
        </w:tc>
        <w:tc>
          <w:tcPr>
            <w:tcW w:w="1843" w:type="dxa"/>
          </w:tcPr>
          <w:p>
            <w:pPr>
              <w:pStyle w:val="yTableNAm"/>
              <w:spacing w:before="80"/>
            </w:pPr>
            <w:r>
              <w:rPr>
                <w:szCs w:val="22"/>
              </w:rPr>
              <w:t>7</w:t>
            </w:r>
          </w:p>
        </w:tc>
      </w:tr>
      <w:tr>
        <w:tc>
          <w:tcPr>
            <w:tcW w:w="2977" w:type="dxa"/>
          </w:tcPr>
          <w:p>
            <w:pPr>
              <w:pStyle w:val="yTableNAm"/>
              <w:spacing w:before="80"/>
            </w:pPr>
            <w:r>
              <w:rPr>
                <w:szCs w:val="22"/>
              </w:rPr>
              <w:t>Exmouth</w:t>
            </w:r>
          </w:p>
        </w:tc>
        <w:tc>
          <w:tcPr>
            <w:tcW w:w="1984" w:type="dxa"/>
          </w:tcPr>
          <w:p>
            <w:pPr>
              <w:pStyle w:val="yTableNAm"/>
              <w:spacing w:before="80"/>
            </w:pPr>
            <w:r>
              <w:rPr>
                <w:szCs w:val="22"/>
              </w:rPr>
              <w:t>4</w:t>
            </w:r>
          </w:p>
        </w:tc>
        <w:tc>
          <w:tcPr>
            <w:tcW w:w="1843" w:type="dxa"/>
          </w:tcPr>
          <w:p>
            <w:pPr>
              <w:pStyle w:val="yTableNAm"/>
              <w:spacing w:before="80"/>
            </w:pPr>
            <w:r>
              <w:rPr>
                <w:szCs w:val="22"/>
              </w:rPr>
              <w:t>11</w:t>
            </w:r>
          </w:p>
        </w:tc>
      </w:tr>
      <w:tr>
        <w:tc>
          <w:tcPr>
            <w:tcW w:w="2977" w:type="dxa"/>
          </w:tcPr>
          <w:p>
            <w:pPr>
              <w:pStyle w:val="yTableNAm"/>
              <w:spacing w:before="80"/>
            </w:pPr>
            <w:r>
              <w:rPr>
                <w:szCs w:val="22"/>
              </w:rPr>
              <w:t>Fitzroy Crossing</w:t>
            </w:r>
          </w:p>
        </w:tc>
        <w:tc>
          <w:tcPr>
            <w:tcW w:w="1984" w:type="dxa"/>
          </w:tcPr>
          <w:p>
            <w:pPr>
              <w:pStyle w:val="yTableNAm"/>
              <w:spacing w:before="80"/>
            </w:pPr>
            <w:r>
              <w:rPr>
                <w:szCs w:val="22"/>
              </w:rPr>
              <w:t>3</w:t>
            </w:r>
          </w:p>
        </w:tc>
        <w:tc>
          <w:tcPr>
            <w:tcW w:w="1843" w:type="dxa"/>
          </w:tcPr>
          <w:p>
            <w:pPr>
              <w:pStyle w:val="yTableNAm"/>
              <w:spacing w:before="80"/>
            </w:pPr>
            <w:r>
              <w:rPr>
                <w:szCs w:val="22"/>
              </w:rPr>
              <w:t>3</w:t>
            </w:r>
          </w:p>
        </w:tc>
      </w:tr>
      <w:tr>
        <w:tc>
          <w:tcPr>
            <w:tcW w:w="2977" w:type="dxa"/>
          </w:tcPr>
          <w:p>
            <w:pPr>
              <w:pStyle w:val="yTableNAm"/>
              <w:spacing w:before="80"/>
            </w:pPr>
            <w:r>
              <w:rPr>
                <w:szCs w:val="22"/>
              </w:rPr>
              <w:t>Frankland</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Gabbadah</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Gascoyne Junction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Geraldton</w:t>
            </w:r>
          </w:p>
        </w:tc>
        <w:tc>
          <w:tcPr>
            <w:tcW w:w="1984" w:type="dxa"/>
          </w:tcPr>
          <w:p>
            <w:pPr>
              <w:pStyle w:val="yTableNAm"/>
              <w:spacing w:before="80"/>
            </w:pPr>
            <w:r>
              <w:rPr>
                <w:szCs w:val="22"/>
              </w:rPr>
              <w:t>2</w:t>
            </w:r>
          </w:p>
        </w:tc>
        <w:tc>
          <w:tcPr>
            <w:tcW w:w="1843" w:type="dxa"/>
          </w:tcPr>
          <w:p>
            <w:pPr>
              <w:pStyle w:val="yTableNAm"/>
              <w:spacing w:before="80"/>
            </w:pPr>
            <w:r>
              <w:rPr>
                <w:szCs w:val="22"/>
              </w:rPr>
              <w:t>3</w:t>
            </w:r>
          </w:p>
        </w:tc>
      </w:tr>
      <w:tr>
        <w:tc>
          <w:tcPr>
            <w:tcW w:w="2977" w:type="dxa"/>
          </w:tcPr>
          <w:p>
            <w:pPr>
              <w:pStyle w:val="yTableNAm"/>
              <w:spacing w:before="80"/>
            </w:pPr>
            <w:r>
              <w:rPr>
                <w:szCs w:val="22"/>
              </w:rPr>
              <w:t>Gibson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Gingin</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Gnowangerup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Goomalling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Grass Patch</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Grass Valley</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Greenbushes</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Greenhead</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Guilderton</w:t>
            </w:r>
          </w:p>
        </w:tc>
        <w:tc>
          <w:tcPr>
            <w:tcW w:w="1984" w:type="dxa"/>
          </w:tcPr>
          <w:p>
            <w:pPr>
              <w:pStyle w:val="yTableNAm"/>
              <w:spacing w:before="80"/>
            </w:pPr>
            <w:r>
              <w:rPr>
                <w:szCs w:val="22"/>
              </w:rPr>
              <w:t>4</w:t>
            </w:r>
          </w:p>
        </w:tc>
        <w:tc>
          <w:tcPr>
            <w:tcW w:w="1843" w:type="dxa"/>
          </w:tcPr>
          <w:p>
            <w:pPr>
              <w:pStyle w:val="yTableNAm"/>
              <w:spacing w:before="80"/>
            </w:pPr>
            <w:r>
              <w:rPr>
                <w:szCs w:val="22"/>
              </w:rPr>
              <w:t>10</w:t>
            </w:r>
          </w:p>
        </w:tc>
      </w:tr>
      <w:tr>
        <w:tc>
          <w:tcPr>
            <w:tcW w:w="2977" w:type="dxa"/>
          </w:tcPr>
          <w:p>
            <w:pPr>
              <w:pStyle w:val="yTableNAm"/>
              <w:spacing w:before="80"/>
            </w:pPr>
            <w:r>
              <w:rPr>
                <w:szCs w:val="22"/>
              </w:rPr>
              <w:t>Halls Creek</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Hamel/Waroona</w:t>
            </w:r>
          </w:p>
        </w:tc>
        <w:tc>
          <w:tcPr>
            <w:tcW w:w="1984" w:type="dxa"/>
          </w:tcPr>
          <w:p>
            <w:pPr>
              <w:pStyle w:val="yTableNAm"/>
              <w:spacing w:before="80"/>
            </w:pPr>
            <w:r>
              <w:rPr>
                <w:szCs w:val="22"/>
              </w:rPr>
              <w:t>4</w:t>
            </w:r>
          </w:p>
        </w:tc>
        <w:tc>
          <w:tcPr>
            <w:tcW w:w="1843" w:type="dxa"/>
          </w:tcPr>
          <w:p>
            <w:pPr>
              <w:pStyle w:val="yTableNAm"/>
              <w:spacing w:before="80"/>
            </w:pPr>
            <w:r>
              <w:rPr>
                <w:szCs w:val="22"/>
              </w:rPr>
              <w:t>6</w:t>
            </w:r>
          </w:p>
        </w:tc>
      </w:tr>
      <w:tr>
        <w:tc>
          <w:tcPr>
            <w:tcW w:w="2977" w:type="dxa"/>
          </w:tcPr>
          <w:p>
            <w:pPr>
              <w:pStyle w:val="yTableNAm"/>
              <w:spacing w:before="80"/>
            </w:pPr>
            <w:r>
              <w:rPr>
                <w:szCs w:val="22"/>
              </w:rPr>
              <w:t>Harvey/Wokalup</w:t>
            </w:r>
          </w:p>
        </w:tc>
        <w:tc>
          <w:tcPr>
            <w:tcW w:w="1984" w:type="dxa"/>
          </w:tcPr>
          <w:p>
            <w:pPr>
              <w:pStyle w:val="yTableNAm"/>
              <w:spacing w:before="80"/>
            </w:pPr>
            <w:r>
              <w:rPr>
                <w:szCs w:val="22"/>
              </w:rPr>
              <w:t>3</w:t>
            </w:r>
          </w:p>
        </w:tc>
        <w:tc>
          <w:tcPr>
            <w:tcW w:w="1843" w:type="dxa"/>
          </w:tcPr>
          <w:p>
            <w:pPr>
              <w:pStyle w:val="yTableNAm"/>
              <w:spacing w:before="80"/>
            </w:pPr>
            <w:r>
              <w:rPr>
                <w:szCs w:val="22"/>
              </w:rPr>
              <w:t>7</w:t>
            </w:r>
          </w:p>
        </w:tc>
      </w:tr>
      <w:tr>
        <w:tc>
          <w:tcPr>
            <w:tcW w:w="2977" w:type="dxa"/>
          </w:tcPr>
          <w:p>
            <w:pPr>
              <w:pStyle w:val="yTableNAm"/>
              <w:spacing w:before="80"/>
            </w:pPr>
            <w:r>
              <w:rPr>
                <w:szCs w:val="22"/>
              </w:rPr>
              <w:t>Highbury/Piesseville</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Hines Hill</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Hopetoun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Horrocks</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Hyden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Jerramungup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Jurien</w:t>
            </w:r>
          </w:p>
        </w:tc>
        <w:tc>
          <w:tcPr>
            <w:tcW w:w="1984" w:type="dxa"/>
          </w:tcPr>
          <w:p>
            <w:pPr>
              <w:pStyle w:val="yTableNAm"/>
              <w:spacing w:before="80"/>
            </w:pPr>
            <w:r>
              <w:rPr>
                <w:szCs w:val="22"/>
              </w:rPr>
              <w:t>3</w:t>
            </w:r>
          </w:p>
        </w:tc>
        <w:tc>
          <w:tcPr>
            <w:tcW w:w="1843" w:type="dxa"/>
          </w:tcPr>
          <w:p>
            <w:pPr>
              <w:pStyle w:val="yTableNAm"/>
              <w:spacing w:before="80"/>
            </w:pPr>
            <w:r>
              <w:rPr>
                <w:szCs w:val="22"/>
              </w:rPr>
              <w:t>5</w:t>
            </w:r>
          </w:p>
        </w:tc>
      </w:tr>
      <w:tr>
        <w:tc>
          <w:tcPr>
            <w:tcW w:w="2977" w:type="dxa"/>
          </w:tcPr>
          <w:p>
            <w:pPr>
              <w:pStyle w:val="yTableNAm"/>
              <w:spacing w:before="80"/>
            </w:pPr>
            <w:r>
              <w:rPr>
                <w:szCs w:val="22"/>
              </w:rPr>
              <w:t>Kalannie</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Kalbarri</w:t>
            </w:r>
          </w:p>
        </w:tc>
        <w:tc>
          <w:tcPr>
            <w:tcW w:w="1984" w:type="dxa"/>
          </w:tcPr>
          <w:p>
            <w:pPr>
              <w:pStyle w:val="yTableNAm"/>
              <w:spacing w:before="80"/>
            </w:pPr>
            <w:r>
              <w:rPr>
                <w:szCs w:val="22"/>
              </w:rPr>
              <w:t>3</w:t>
            </w:r>
          </w:p>
        </w:tc>
        <w:tc>
          <w:tcPr>
            <w:tcW w:w="1843" w:type="dxa"/>
          </w:tcPr>
          <w:p>
            <w:pPr>
              <w:pStyle w:val="yTableNAm"/>
              <w:spacing w:before="80"/>
            </w:pPr>
            <w:r>
              <w:rPr>
                <w:szCs w:val="22"/>
              </w:rPr>
              <w:t>4</w:t>
            </w:r>
          </w:p>
        </w:tc>
      </w:tr>
      <w:tr>
        <w:tc>
          <w:tcPr>
            <w:tcW w:w="2977" w:type="dxa"/>
          </w:tcPr>
          <w:p>
            <w:pPr>
              <w:pStyle w:val="yTableNAm"/>
              <w:spacing w:before="80"/>
            </w:pPr>
            <w:r>
              <w:rPr>
                <w:szCs w:val="22"/>
              </w:rPr>
              <w:t>Kalgoorlie/Boulder</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Kambalda</w:t>
            </w:r>
          </w:p>
        </w:tc>
        <w:tc>
          <w:tcPr>
            <w:tcW w:w="1984" w:type="dxa"/>
          </w:tcPr>
          <w:p>
            <w:pPr>
              <w:pStyle w:val="yTableNAm"/>
              <w:spacing w:before="80"/>
            </w:pPr>
            <w:r>
              <w:rPr>
                <w:szCs w:val="22"/>
              </w:rPr>
              <w:t>5</w:t>
            </w:r>
          </w:p>
        </w:tc>
        <w:tc>
          <w:tcPr>
            <w:tcW w:w="1843" w:type="dxa"/>
          </w:tcPr>
          <w:p>
            <w:pPr>
              <w:pStyle w:val="yTableNAm"/>
              <w:spacing w:before="80"/>
            </w:pPr>
            <w:r>
              <w:rPr>
                <w:szCs w:val="22"/>
              </w:rPr>
              <w:t>11</w:t>
            </w:r>
          </w:p>
        </w:tc>
      </w:tr>
      <w:tr>
        <w:tc>
          <w:tcPr>
            <w:tcW w:w="2977" w:type="dxa"/>
          </w:tcPr>
          <w:p>
            <w:pPr>
              <w:pStyle w:val="yTableNAm"/>
              <w:spacing w:before="80"/>
            </w:pPr>
            <w:r>
              <w:rPr>
                <w:szCs w:val="22"/>
              </w:rPr>
              <w:t>Karakin</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Karlgarin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Karratha</w:t>
            </w:r>
          </w:p>
        </w:tc>
        <w:tc>
          <w:tcPr>
            <w:tcW w:w="1984" w:type="dxa"/>
          </w:tcPr>
          <w:p>
            <w:pPr>
              <w:pStyle w:val="yTableNAm"/>
              <w:spacing w:before="80"/>
            </w:pPr>
            <w:r>
              <w:rPr>
                <w:szCs w:val="22"/>
              </w:rPr>
              <w:t>3</w:t>
            </w:r>
          </w:p>
        </w:tc>
        <w:tc>
          <w:tcPr>
            <w:tcW w:w="1843" w:type="dxa"/>
          </w:tcPr>
          <w:p>
            <w:pPr>
              <w:pStyle w:val="yTableNAm"/>
              <w:spacing w:before="80"/>
            </w:pPr>
            <w:r>
              <w:rPr>
                <w:szCs w:val="22"/>
              </w:rPr>
              <w:t>8</w:t>
            </w:r>
          </w:p>
        </w:tc>
      </w:tr>
      <w:tr>
        <w:tc>
          <w:tcPr>
            <w:tcW w:w="2977" w:type="dxa"/>
          </w:tcPr>
          <w:p>
            <w:pPr>
              <w:pStyle w:val="yTableNAm"/>
              <w:spacing w:before="80"/>
            </w:pPr>
            <w:r>
              <w:rPr>
                <w:szCs w:val="22"/>
              </w:rPr>
              <w:t>Katanning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Katanning Farmlands</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Kellerberrin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Kendenup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Kendenup Farmlands</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Kirup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Kojonup/Muradup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Kondinin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Koorda</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Kukerin/Moulyinning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Kulin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Kununoppin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Kununurra</w:t>
            </w:r>
          </w:p>
        </w:tc>
        <w:tc>
          <w:tcPr>
            <w:tcW w:w="1984" w:type="dxa"/>
          </w:tcPr>
          <w:p>
            <w:pPr>
              <w:pStyle w:val="yTableNAm"/>
              <w:spacing w:before="80"/>
            </w:pPr>
            <w:r>
              <w:rPr>
                <w:szCs w:val="22"/>
              </w:rPr>
              <w:t>3</w:t>
            </w:r>
          </w:p>
        </w:tc>
        <w:tc>
          <w:tcPr>
            <w:tcW w:w="1843" w:type="dxa"/>
          </w:tcPr>
          <w:p>
            <w:pPr>
              <w:pStyle w:val="yTableNAm"/>
              <w:spacing w:before="80"/>
            </w:pPr>
            <w:r>
              <w:rPr>
                <w:szCs w:val="22"/>
              </w:rPr>
              <w:t>4</w:t>
            </w:r>
          </w:p>
        </w:tc>
      </w:tr>
      <w:tr>
        <w:tc>
          <w:tcPr>
            <w:tcW w:w="2977" w:type="dxa"/>
          </w:tcPr>
          <w:p>
            <w:pPr>
              <w:pStyle w:val="yTableNAm"/>
              <w:spacing w:before="80"/>
            </w:pPr>
            <w:r>
              <w:rPr>
                <w:szCs w:val="22"/>
              </w:rPr>
              <w:t>Lake Grace</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Lake King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Lancelin</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Latham</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Laverton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Ledge Point</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Leeman</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Leonora</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Mandurah</w:t>
            </w:r>
          </w:p>
        </w:tc>
        <w:tc>
          <w:tcPr>
            <w:tcW w:w="1984" w:type="dxa"/>
          </w:tcPr>
          <w:p>
            <w:pPr>
              <w:pStyle w:val="yTableNAm"/>
              <w:spacing w:before="80"/>
            </w:pPr>
            <w:r>
              <w:rPr>
                <w:szCs w:val="22"/>
              </w:rPr>
              <w:t>2</w:t>
            </w:r>
          </w:p>
        </w:tc>
        <w:tc>
          <w:tcPr>
            <w:tcW w:w="1843" w:type="dxa"/>
          </w:tcPr>
          <w:p>
            <w:pPr>
              <w:pStyle w:val="yTableNAm"/>
              <w:spacing w:before="80"/>
            </w:pPr>
            <w:r>
              <w:rPr>
                <w:szCs w:val="22"/>
              </w:rPr>
              <w:t>5</w:t>
            </w:r>
          </w:p>
        </w:tc>
      </w:tr>
      <w:tr>
        <w:tc>
          <w:tcPr>
            <w:tcW w:w="2977" w:type="dxa"/>
          </w:tcPr>
          <w:p>
            <w:pPr>
              <w:pStyle w:val="yTableNAm"/>
              <w:spacing w:before="80"/>
            </w:pPr>
            <w:r>
              <w:rPr>
                <w:szCs w:val="22"/>
              </w:rPr>
              <w:t>Manjimup</w:t>
            </w:r>
          </w:p>
        </w:tc>
        <w:tc>
          <w:tcPr>
            <w:tcW w:w="1984" w:type="dxa"/>
          </w:tcPr>
          <w:p>
            <w:pPr>
              <w:pStyle w:val="yTableNAm"/>
              <w:spacing w:before="80"/>
            </w:pPr>
            <w:r>
              <w:rPr>
                <w:szCs w:val="22"/>
              </w:rPr>
              <w:t>5</w:t>
            </w:r>
          </w:p>
        </w:tc>
        <w:tc>
          <w:tcPr>
            <w:tcW w:w="1843" w:type="dxa"/>
          </w:tcPr>
          <w:p>
            <w:pPr>
              <w:pStyle w:val="yTableNAm"/>
              <w:spacing w:before="80"/>
            </w:pPr>
            <w:r>
              <w:rPr>
                <w:szCs w:val="22"/>
              </w:rPr>
              <w:t>12</w:t>
            </w:r>
          </w:p>
        </w:tc>
      </w:tr>
      <w:tr>
        <w:tc>
          <w:tcPr>
            <w:tcW w:w="2977" w:type="dxa"/>
          </w:tcPr>
          <w:p>
            <w:pPr>
              <w:pStyle w:val="yTableNAm"/>
              <w:spacing w:before="80"/>
            </w:pPr>
            <w:r>
              <w:rPr>
                <w:szCs w:val="22"/>
              </w:rPr>
              <w:t>Marble Bar</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Margaret River</w:t>
            </w:r>
          </w:p>
        </w:tc>
        <w:tc>
          <w:tcPr>
            <w:tcW w:w="1984" w:type="dxa"/>
          </w:tcPr>
          <w:p>
            <w:pPr>
              <w:pStyle w:val="yTableNAm"/>
              <w:spacing w:before="80"/>
            </w:pPr>
            <w:r>
              <w:rPr>
                <w:szCs w:val="22"/>
              </w:rPr>
              <w:t>4</w:t>
            </w:r>
          </w:p>
        </w:tc>
        <w:tc>
          <w:tcPr>
            <w:tcW w:w="1843" w:type="dxa"/>
          </w:tcPr>
          <w:p>
            <w:pPr>
              <w:pStyle w:val="yTableNAm"/>
              <w:spacing w:before="80"/>
            </w:pPr>
            <w:r>
              <w:rPr>
                <w:szCs w:val="22"/>
              </w:rPr>
              <w:t>7</w:t>
            </w:r>
          </w:p>
        </w:tc>
      </w:tr>
      <w:tr>
        <w:tc>
          <w:tcPr>
            <w:tcW w:w="2977" w:type="dxa"/>
          </w:tcPr>
          <w:p>
            <w:pPr>
              <w:pStyle w:val="yTableNAm"/>
              <w:spacing w:before="80"/>
            </w:pPr>
            <w:r>
              <w:rPr>
                <w:szCs w:val="22"/>
              </w:rPr>
              <w:t>Marvel Loch</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Meckering</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Meekatharra</w:t>
            </w:r>
          </w:p>
        </w:tc>
        <w:tc>
          <w:tcPr>
            <w:tcW w:w="1984" w:type="dxa"/>
          </w:tcPr>
          <w:p>
            <w:pPr>
              <w:pStyle w:val="yTableNAm"/>
              <w:spacing w:before="80"/>
            </w:pPr>
            <w:r>
              <w:rPr>
                <w:szCs w:val="22"/>
              </w:rPr>
              <w:t>4</w:t>
            </w:r>
          </w:p>
        </w:tc>
        <w:tc>
          <w:tcPr>
            <w:tcW w:w="1843" w:type="dxa"/>
          </w:tcPr>
          <w:p>
            <w:pPr>
              <w:pStyle w:val="yTableNAm"/>
              <w:spacing w:before="80"/>
            </w:pPr>
            <w:r>
              <w:rPr>
                <w:szCs w:val="22"/>
              </w:rPr>
              <w:t>11</w:t>
            </w:r>
          </w:p>
        </w:tc>
      </w:tr>
      <w:tr>
        <w:tc>
          <w:tcPr>
            <w:tcW w:w="2977" w:type="dxa"/>
          </w:tcPr>
          <w:p>
            <w:pPr>
              <w:pStyle w:val="yTableNAm"/>
              <w:spacing w:before="80"/>
            </w:pPr>
            <w:r>
              <w:rPr>
                <w:szCs w:val="22"/>
              </w:rPr>
              <w:t>Menzies</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Merredin</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Merredin Farmlands</w:t>
            </w:r>
          </w:p>
        </w:tc>
        <w:tc>
          <w:tcPr>
            <w:tcW w:w="1984" w:type="dxa"/>
          </w:tcPr>
          <w:p>
            <w:pPr>
              <w:pStyle w:val="yTableNAm"/>
              <w:spacing w:before="80"/>
            </w:pPr>
            <w:r>
              <w:rPr>
                <w:szCs w:val="22"/>
              </w:rPr>
              <w:t>3</w:t>
            </w:r>
          </w:p>
        </w:tc>
        <w:tc>
          <w:tcPr>
            <w:tcW w:w="1843" w:type="dxa"/>
          </w:tcPr>
          <w:p>
            <w:pPr>
              <w:pStyle w:val="yTableNAm"/>
              <w:spacing w:before="80"/>
            </w:pPr>
            <w:r>
              <w:rPr>
                <w:szCs w:val="22"/>
              </w:rPr>
              <w:t>9</w:t>
            </w:r>
          </w:p>
        </w:tc>
      </w:tr>
      <w:tr>
        <w:tc>
          <w:tcPr>
            <w:tcW w:w="2977" w:type="dxa"/>
          </w:tcPr>
          <w:p>
            <w:pPr>
              <w:pStyle w:val="yTableNAm"/>
              <w:spacing w:before="80"/>
            </w:pPr>
            <w:r>
              <w:rPr>
                <w:szCs w:val="22"/>
              </w:rPr>
              <w:t>Miling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Mingenew</w:t>
            </w:r>
          </w:p>
        </w:tc>
        <w:tc>
          <w:tcPr>
            <w:tcW w:w="1984" w:type="dxa"/>
          </w:tcPr>
          <w:p>
            <w:pPr>
              <w:pStyle w:val="yTableNAm"/>
              <w:spacing w:before="80"/>
            </w:pPr>
            <w:r>
              <w:rPr>
                <w:szCs w:val="22"/>
              </w:rPr>
              <w:t>5</w:t>
            </w:r>
          </w:p>
        </w:tc>
        <w:tc>
          <w:tcPr>
            <w:tcW w:w="1843" w:type="dxa"/>
          </w:tcPr>
          <w:p>
            <w:pPr>
              <w:pStyle w:val="yTableNAm"/>
              <w:spacing w:before="80"/>
            </w:pPr>
            <w:r>
              <w:rPr>
                <w:szCs w:val="22"/>
              </w:rPr>
              <w:t>12</w:t>
            </w:r>
          </w:p>
        </w:tc>
      </w:tr>
      <w:tr>
        <w:tc>
          <w:tcPr>
            <w:tcW w:w="2977" w:type="dxa"/>
          </w:tcPr>
          <w:p>
            <w:pPr>
              <w:pStyle w:val="yTableNAm"/>
              <w:spacing w:before="80"/>
            </w:pPr>
            <w:r>
              <w:rPr>
                <w:szCs w:val="22"/>
              </w:rPr>
              <w:t>Moora</w:t>
            </w:r>
          </w:p>
        </w:tc>
        <w:tc>
          <w:tcPr>
            <w:tcW w:w="1984" w:type="dxa"/>
          </w:tcPr>
          <w:p>
            <w:pPr>
              <w:pStyle w:val="yTableNAm"/>
              <w:spacing w:before="80"/>
            </w:pPr>
            <w:r>
              <w:rPr>
                <w:szCs w:val="22"/>
              </w:rPr>
              <w:t>2</w:t>
            </w:r>
          </w:p>
        </w:tc>
        <w:tc>
          <w:tcPr>
            <w:tcW w:w="1843" w:type="dxa"/>
          </w:tcPr>
          <w:p>
            <w:pPr>
              <w:pStyle w:val="yTableNAm"/>
              <w:spacing w:before="80"/>
            </w:pPr>
            <w:r>
              <w:rPr>
                <w:szCs w:val="22"/>
              </w:rPr>
              <w:t>3</w:t>
            </w:r>
          </w:p>
        </w:tc>
      </w:tr>
      <w:tr>
        <w:tc>
          <w:tcPr>
            <w:tcW w:w="2977" w:type="dxa"/>
          </w:tcPr>
          <w:p>
            <w:pPr>
              <w:pStyle w:val="yTableNAm"/>
              <w:spacing w:before="80"/>
            </w:pPr>
            <w:r>
              <w:rPr>
                <w:szCs w:val="22"/>
              </w:rPr>
              <w:t>Moorine Rock</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Morawa</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Mount Barker</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Mount Magnet</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Mukinbudin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Mullalyup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Mullewa</w:t>
            </w:r>
          </w:p>
        </w:tc>
        <w:tc>
          <w:tcPr>
            <w:tcW w:w="1984" w:type="dxa"/>
          </w:tcPr>
          <w:p>
            <w:pPr>
              <w:pStyle w:val="yTableNAm"/>
              <w:spacing w:before="80"/>
            </w:pPr>
            <w:r>
              <w:rPr>
                <w:szCs w:val="22"/>
              </w:rPr>
              <w:t>5</w:t>
            </w:r>
          </w:p>
        </w:tc>
        <w:tc>
          <w:tcPr>
            <w:tcW w:w="1843" w:type="dxa"/>
          </w:tcPr>
          <w:p>
            <w:pPr>
              <w:pStyle w:val="yTableNAm"/>
              <w:spacing w:before="80"/>
            </w:pPr>
            <w:r>
              <w:rPr>
                <w:szCs w:val="22"/>
              </w:rPr>
              <w:t>12</w:t>
            </w:r>
          </w:p>
        </w:tc>
      </w:tr>
      <w:tr>
        <w:tc>
          <w:tcPr>
            <w:tcW w:w="2977" w:type="dxa"/>
          </w:tcPr>
          <w:p>
            <w:pPr>
              <w:pStyle w:val="yTableNAm"/>
              <w:spacing w:before="80"/>
            </w:pPr>
            <w:r>
              <w:rPr>
                <w:szCs w:val="22"/>
              </w:rPr>
              <w:t>Mullewa Farmlands</w:t>
            </w:r>
          </w:p>
        </w:tc>
        <w:tc>
          <w:tcPr>
            <w:tcW w:w="1984" w:type="dxa"/>
          </w:tcPr>
          <w:p>
            <w:pPr>
              <w:pStyle w:val="yTableNAm"/>
              <w:spacing w:before="80"/>
            </w:pPr>
            <w:r>
              <w:rPr>
                <w:szCs w:val="22"/>
              </w:rPr>
              <w:t>4</w:t>
            </w:r>
          </w:p>
        </w:tc>
        <w:tc>
          <w:tcPr>
            <w:tcW w:w="1843" w:type="dxa"/>
          </w:tcPr>
          <w:p>
            <w:pPr>
              <w:pStyle w:val="yTableNAm"/>
              <w:spacing w:before="80"/>
            </w:pPr>
            <w:r>
              <w:rPr>
                <w:szCs w:val="22"/>
              </w:rPr>
              <w:t>13</w:t>
            </w:r>
          </w:p>
        </w:tc>
      </w:tr>
      <w:tr>
        <w:tc>
          <w:tcPr>
            <w:tcW w:w="2977" w:type="dxa"/>
          </w:tcPr>
          <w:p>
            <w:pPr>
              <w:pStyle w:val="yTableNAm"/>
              <w:spacing w:before="80"/>
            </w:pPr>
            <w:r>
              <w:rPr>
                <w:szCs w:val="22"/>
              </w:rPr>
              <w:t>Munglinup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Muntadgin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Myalup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Nabawa</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Nannup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Narembeen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Narngulu</w:t>
            </w:r>
          </w:p>
        </w:tc>
        <w:tc>
          <w:tcPr>
            <w:tcW w:w="1984" w:type="dxa"/>
          </w:tcPr>
          <w:p>
            <w:pPr>
              <w:pStyle w:val="yTableNAm"/>
              <w:spacing w:before="80"/>
            </w:pPr>
            <w:r>
              <w:rPr>
                <w:szCs w:val="22"/>
              </w:rPr>
              <w:t>1</w:t>
            </w:r>
          </w:p>
        </w:tc>
        <w:tc>
          <w:tcPr>
            <w:tcW w:w="1843" w:type="dxa"/>
          </w:tcPr>
          <w:p>
            <w:pPr>
              <w:pStyle w:val="yTableNAm"/>
              <w:spacing w:before="80"/>
            </w:pPr>
            <w:r>
              <w:rPr>
                <w:szCs w:val="22"/>
              </w:rPr>
              <w:t>1</w:t>
            </w:r>
          </w:p>
        </w:tc>
      </w:tr>
      <w:tr>
        <w:tc>
          <w:tcPr>
            <w:tcW w:w="2977" w:type="dxa"/>
          </w:tcPr>
          <w:p>
            <w:pPr>
              <w:pStyle w:val="yTableNAm"/>
              <w:spacing w:before="80"/>
            </w:pPr>
            <w:r>
              <w:rPr>
                <w:szCs w:val="22"/>
              </w:rPr>
              <w:t>Narrikup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Narrogin</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Narrogin Farmlands</w:t>
            </w:r>
          </w:p>
        </w:tc>
        <w:tc>
          <w:tcPr>
            <w:tcW w:w="1984" w:type="dxa"/>
          </w:tcPr>
          <w:p>
            <w:pPr>
              <w:pStyle w:val="yTableNAm"/>
              <w:spacing w:before="80"/>
            </w:pPr>
            <w:r>
              <w:rPr>
                <w:szCs w:val="22"/>
              </w:rPr>
              <w:t>3</w:t>
            </w:r>
          </w:p>
        </w:tc>
        <w:tc>
          <w:tcPr>
            <w:tcW w:w="1843" w:type="dxa"/>
          </w:tcPr>
          <w:p>
            <w:pPr>
              <w:pStyle w:val="yTableNAm"/>
              <w:spacing w:before="80"/>
            </w:pPr>
            <w:r>
              <w:rPr>
                <w:szCs w:val="22"/>
              </w:rPr>
              <w:t>9</w:t>
            </w:r>
          </w:p>
        </w:tc>
      </w:tr>
      <w:tr>
        <w:tc>
          <w:tcPr>
            <w:tcW w:w="2977" w:type="dxa"/>
          </w:tcPr>
          <w:p>
            <w:pPr>
              <w:pStyle w:val="yTableNAm"/>
              <w:spacing w:before="80"/>
            </w:pPr>
            <w:r>
              <w:rPr>
                <w:szCs w:val="22"/>
              </w:rPr>
              <w:t>New Norcia</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Newdegate</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Newman</w:t>
            </w:r>
          </w:p>
        </w:tc>
        <w:tc>
          <w:tcPr>
            <w:tcW w:w="1984" w:type="dxa"/>
          </w:tcPr>
          <w:p>
            <w:pPr>
              <w:pStyle w:val="yTableNAm"/>
              <w:spacing w:before="80"/>
            </w:pPr>
            <w:r>
              <w:rPr>
                <w:szCs w:val="22"/>
              </w:rPr>
              <w:t>2</w:t>
            </w:r>
          </w:p>
        </w:tc>
        <w:tc>
          <w:tcPr>
            <w:tcW w:w="1843" w:type="dxa"/>
          </w:tcPr>
          <w:p>
            <w:pPr>
              <w:pStyle w:val="yTableNAm"/>
              <w:spacing w:before="80"/>
            </w:pPr>
            <w:r>
              <w:rPr>
                <w:szCs w:val="22"/>
              </w:rPr>
              <w:t>3</w:t>
            </w:r>
          </w:p>
        </w:tc>
      </w:tr>
      <w:tr>
        <w:tc>
          <w:tcPr>
            <w:tcW w:w="2977" w:type="dxa"/>
          </w:tcPr>
          <w:p>
            <w:pPr>
              <w:pStyle w:val="yTableNAm"/>
              <w:spacing w:before="80"/>
            </w:pPr>
            <w:r>
              <w:rPr>
                <w:szCs w:val="22"/>
              </w:rPr>
              <w:t>Nilgen</w:t>
            </w:r>
          </w:p>
        </w:tc>
        <w:tc>
          <w:tcPr>
            <w:tcW w:w="1984" w:type="dxa"/>
          </w:tcPr>
          <w:p>
            <w:pPr>
              <w:pStyle w:val="yTableNAm"/>
              <w:spacing w:before="80"/>
            </w:pPr>
            <w:r>
              <w:rPr>
                <w:szCs w:val="22"/>
              </w:rPr>
              <w:t>5</w:t>
            </w:r>
          </w:p>
        </w:tc>
        <w:tc>
          <w:tcPr>
            <w:tcW w:w="1843" w:type="dxa"/>
          </w:tcPr>
          <w:p>
            <w:pPr>
              <w:pStyle w:val="yTableNAm"/>
              <w:spacing w:before="80"/>
            </w:pPr>
            <w:r>
              <w:rPr>
                <w:szCs w:val="22"/>
              </w:rPr>
              <w:t>10</w:t>
            </w:r>
          </w:p>
        </w:tc>
      </w:tr>
      <w:tr>
        <w:tc>
          <w:tcPr>
            <w:tcW w:w="2977" w:type="dxa"/>
          </w:tcPr>
          <w:p>
            <w:pPr>
              <w:pStyle w:val="yTableNAm"/>
              <w:spacing w:before="80"/>
            </w:pPr>
            <w:r>
              <w:rPr>
                <w:szCs w:val="22"/>
              </w:rPr>
              <w:t>Norseman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North Dandalup</w:t>
            </w:r>
          </w:p>
        </w:tc>
        <w:tc>
          <w:tcPr>
            <w:tcW w:w="1984" w:type="dxa"/>
          </w:tcPr>
          <w:p>
            <w:pPr>
              <w:pStyle w:val="yTableNAm"/>
              <w:spacing w:before="80"/>
            </w:pPr>
            <w:r>
              <w:rPr>
                <w:szCs w:val="22"/>
              </w:rPr>
              <w:t>4</w:t>
            </w:r>
          </w:p>
        </w:tc>
        <w:tc>
          <w:tcPr>
            <w:tcW w:w="1843" w:type="dxa"/>
          </w:tcPr>
          <w:p>
            <w:pPr>
              <w:pStyle w:val="yTableNAm"/>
              <w:spacing w:before="80"/>
            </w:pPr>
            <w:r>
              <w:rPr>
                <w:szCs w:val="22"/>
              </w:rPr>
              <w:t>11</w:t>
            </w:r>
          </w:p>
        </w:tc>
      </w:tr>
      <w:tr>
        <w:tc>
          <w:tcPr>
            <w:tcW w:w="2977" w:type="dxa"/>
          </w:tcPr>
          <w:p>
            <w:pPr>
              <w:pStyle w:val="yTableNAm"/>
              <w:spacing w:before="80"/>
            </w:pPr>
            <w:r>
              <w:rPr>
                <w:szCs w:val="22"/>
              </w:rPr>
              <w:t>Northam</w:t>
            </w:r>
          </w:p>
        </w:tc>
        <w:tc>
          <w:tcPr>
            <w:tcW w:w="1984" w:type="dxa"/>
          </w:tcPr>
          <w:p>
            <w:pPr>
              <w:pStyle w:val="yTableNAm"/>
              <w:spacing w:before="80"/>
            </w:pPr>
            <w:r>
              <w:rPr>
                <w:szCs w:val="22"/>
              </w:rPr>
              <w:t>5</w:t>
            </w:r>
          </w:p>
        </w:tc>
        <w:tc>
          <w:tcPr>
            <w:tcW w:w="1843" w:type="dxa"/>
          </w:tcPr>
          <w:p>
            <w:pPr>
              <w:pStyle w:val="yTableNAm"/>
              <w:spacing w:before="80"/>
            </w:pPr>
            <w:r>
              <w:rPr>
                <w:szCs w:val="22"/>
              </w:rPr>
              <w:t>9</w:t>
            </w:r>
          </w:p>
        </w:tc>
      </w:tr>
      <w:tr>
        <w:tc>
          <w:tcPr>
            <w:tcW w:w="2977" w:type="dxa"/>
          </w:tcPr>
          <w:p>
            <w:pPr>
              <w:pStyle w:val="yTableNAm"/>
              <w:spacing w:before="80"/>
            </w:pPr>
            <w:r>
              <w:rPr>
                <w:szCs w:val="22"/>
              </w:rPr>
              <w:t>Northam Farmlands</w:t>
            </w:r>
          </w:p>
        </w:tc>
        <w:tc>
          <w:tcPr>
            <w:tcW w:w="1984" w:type="dxa"/>
          </w:tcPr>
          <w:p>
            <w:pPr>
              <w:pStyle w:val="yTableNAm"/>
              <w:spacing w:before="80"/>
            </w:pPr>
            <w:r>
              <w:rPr>
                <w:szCs w:val="22"/>
              </w:rPr>
              <w:t>3</w:t>
            </w:r>
          </w:p>
        </w:tc>
        <w:tc>
          <w:tcPr>
            <w:tcW w:w="1843" w:type="dxa"/>
          </w:tcPr>
          <w:p>
            <w:pPr>
              <w:pStyle w:val="yTableNAm"/>
              <w:spacing w:before="80"/>
            </w:pPr>
            <w:r>
              <w:rPr>
                <w:szCs w:val="22"/>
              </w:rPr>
              <w:t>9</w:t>
            </w:r>
          </w:p>
        </w:tc>
      </w:tr>
      <w:tr>
        <w:tc>
          <w:tcPr>
            <w:tcW w:w="2977" w:type="dxa"/>
          </w:tcPr>
          <w:p>
            <w:pPr>
              <w:pStyle w:val="yTableNAm"/>
              <w:spacing w:before="80"/>
            </w:pPr>
            <w:r>
              <w:rPr>
                <w:szCs w:val="22"/>
              </w:rPr>
              <w:t>Northampton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Northcliffe</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Nullagine</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Nungarin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Nyabing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Ongerup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Onslow</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Ora Banda</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Park Ridge</w:t>
            </w:r>
          </w:p>
        </w:tc>
        <w:tc>
          <w:tcPr>
            <w:tcW w:w="1984" w:type="dxa"/>
          </w:tcPr>
          <w:p>
            <w:pPr>
              <w:pStyle w:val="yTableNAm"/>
              <w:spacing w:before="80"/>
            </w:pPr>
            <w:r>
              <w:rPr>
                <w:szCs w:val="22"/>
              </w:rPr>
              <w:t>4</w:t>
            </w:r>
          </w:p>
        </w:tc>
        <w:tc>
          <w:tcPr>
            <w:tcW w:w="1843" w:type="dxa"/>
          </w:tcPr>
          <w:p>
            <w:pPr>
              <w:pStyle w:val="yTableNAm"/>
              <w:spacing w:before="80"/>
            </w:pPr>
            <w:r>
              <w:rPr>
                <w:szCs w:val="22"/>
              </w:rPr>
              <w:t>9</w:t>
            </w:r>
          </w:p>
        </w:tc>
      </w:tr>
      <w:tr>
        <w:tc>
          <w:tcPr>
            <w:tcW w:w="2977" w:type="dxa"/>
          </w:tcPr>
          <w:p>
            <w:pPr>
              <w:pStyle w:val="yTableNAm"/>
              <w:spacing w:before="80"/>
            </w:pPr>
            <w:r>
              <w:rPr>
                <w:szCs w:val="22"/>
              </w:rPr>
              <w:t>Pemberton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Peppermint Grove Beach</w:t>
            </w:r>
          </w:p>
        </w:tc>
        <w:tc>
          <w:tcPr>
            <w:tcW w:w="1984" w:type="dxa"/>
          </w:tcPr>
          <w:p>
            <w:pPr>
              <w:pStyle w:val="yTableNAm"/>
              <w:spacing w:before="80"/>
            </w:pPr>
            <w:r>
              <w:rPr>
                <w:szCs w:val="22"/>
              </w:rPr>
              <w:t>5</w:t>
            </w:r>
          </w:p>
        </w:tc>
        <w:tc>
          <w:tcPr>
            <w:tcW w:w="1843" w:type="dxa"/>
          </w:tcPr>
          <w:p>
            <w:pPr>
              <w:pStyle w:val="yTableNAm"/>
              <w:spacing w:before="80"/>
            </w:pPr>
            <w:r>
              <w:rPr>
                <w:szCs w:val="22"/>
              </w:rPr>
              <w:t>14</w:t>
            </w:r>
          </w:p>
        </w:tc>
      </w:tr>
      <w:tr>
        <w:tc>
          <w:tcPr>
            <w:tcW w:w="2977" w:type="dxa"/>
          </w:tcPr>
          <w:p>
            <w:pPr>
              <w:pStyle w:val="yTableNAm"/>
              <w:spacing w:before="80"/>
            </w:pPr>
            <w:r>
              <w:rPr>
                <w:szCs w:val="22"/>
              </w:rPr>
              <w:t>Perenjori</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Pingaring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Pingelly</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Pingrup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Pinjarra</w:t>
            </w:r>
          </w:p>
        </w:tc>
        <w:tc>
          <w:tcPr>
            <w:tcW w:w="1984" w:type="dxa"/>
          </w:tcPr>
          <w:p>
            <w:pPr>
              <w:pStyle w:val="yTableNAm"/>
              <w:spacing w:before="80"/>
            </w:pPr>
            <w:r>
              <w:rPr>
                <w:szCs w:val="22"/>
              </w:rPr>
              <w:t>2</w:t>
            </w:r>
          </w:p>
        </w:tc>
        <w:tc>
          <w:tcPr>
            <w:tcW w:w="1843" w:type="dxa"/>
          </w:tcPr>
          <w:p>
            <w:pPr>
              <w:pStyle w:val="yTableNAm"/>
              <w:spacing w:before="80"/>
            </w:pPr>
            <w:r>
              <w:rPr>
                <w:szCs w:val="22"/>
              </w:rPr>
              <w:t>2</w:t>
            </w:r>
          </w:p>
        </w:tc>
      </w:tr>
      <w:tr>
        <w:tc>
          <w:tcPr>
            <w:tcW w:w="2977" w:type="dxa"/>
          </w:tcPr>
          <w:p>
            <w:pPr>
              <w:pStyle w:val="yTableNAm"/>
              <w:spacing w:before="80"/>
            </w:pPr>
            <w:r>
              <w:rPr>
                <w:szCs w:val="22"/>
              </w:rPr>
              <w:t>Pithara</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Point Samson</w:t>
            </w:r>
          </w:p>
        </w:tc>
        <w:tc>
          <w:tcPr>
            <w:tcW w:w="1984" w:type="dxa"/>
          </w:tcPr>
          <w:p>
            <w:pPr>
              <w:pStyle w:val="yTableNAm"/>
              <w:spacing w:before="80"/>
            </w:pPr>
            <w:r>
              <w:rPr>
                <w:szCs w:val="22"/>
              </w:rPr>
              <w:t>4</w:t>
            </w:r>
          </w:p>
        </w:tc>
        <w:tc>
          <w:tcPr>
            <w:tcW w:w="1843" w:type="dxa"/>
          </w:tcPr>
          <w:p>
            <w:pPr>
              <w:pStyle w:val="yTableNAm"/>
              <w:spacing w:before="80"/>
            </w:pPr>
            <w:r>
              <w:rPr>
                <w:szCs w:val="22"/>
              </w:rPr>
              <w:t>10</w:t>
            </w:r>
          </w:p>
        </w:tc>
      </w:tr>
      <w:tr>
        <w:tc>
          <w:tcPr>
            <w:tcW w:w="2977" w:type="dxa"/>
          </w:tcPr>
          <w:p>
            <w:pPr>
              <w:pStyle w:val="yTableNAm"/>
              <w:spacing w:before="80"/>
            </w:pPr>
            <w:r>
              <w:rPr>
                <w:szCs w:val="22"/>
              </w:rPr>
              <w:t>Popanyinning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Porongurup</w:t>
            </w:r>
          </w:p>
        </w:tc>
        <w:tc>
          <w:tcPr>
            <w:tcW w:w="1984" w:type="dxa"/>
          </w:tcPr>
          <w:p>
            <w:pPr>
              <w:pStyle w:val="yTableNAm"/>
              <w:spacing w:before="80"/>
            </w:pPr>
            <w:r>
              <w:rPr>
                <w:szCs w:val="22"/>
              </w:rPr>
              <w:t>5</w:t>
            </w:r>
          </w:p>
        </w:tc>
        <w:tc>
          <w:tcPr>
            <w:tcW w:w="1843" w:type="dxa"/>
          </w:tcPr>
          <w:p>
            <w:pPr>
              <w:pStyle w:val="yTableNAm"/>
              <w:spacing w:before="80"/>
            </w:pPr>
            <w:r>
              <w:rPr>
                <w:szCs w:val="22"/>
              </w:rPr>
              <w:t>7</w:t>
            </w:r>
          </w:p>
        </w:tc>
      </w:tr>
      <w:tr>
        <w:tc>
          <w:tcPr>
            <w:tcW w:w="2977" w:type="dxa"/>
          </w:tcPr>
          <w:p>
            <w:pPr>
              <w:pStyle w:val="yTableNAm"/>
              <w:spacing w:before="80"/>
            </w:pPr>
            <w:r>
              <w:rPr>
                <w:szCs w:val="22"/>
              </w:rPr>
              <w:t>Port Hedland</w:t>
            </w:r>
          </w:p>
        </w:tc>
        <w:tc>
          <w:tcPr>
            <w:tcW w:w="1984" w:type="dxa"/>
          </w:tcPr>
          <w:p>
            <w:pPr>
              <w:pStyle w:val="yTableNAm"/>
              <w:spacing w:before="80"/>
            </w:pPr>
            <w:r>
              <w:rPr>
                <w:szCs w:val="22"/>
              </w:rPr>
              <w:t>2</w:t>
            </w:r>
          </w:p>
        </w:tc>
        <w:tc>
          <w:tcPr>
            <w:tcW w:w="1843" w:type="dxa"/>
          </w:tcPr>
          <w:p>
            <w:pPr>
              <w:pStyle w:val="yTableNAm"/>
              <w:spacing w:before="80"/>
            </w:pPr>
            <w:r>
              <w:rPr>
                <w:szCs w:val="22"/>
              </w:rPr>
              <w:t>5</w:t>
            </w:r>
          </w:p>
        </w:tc>
      </w:tr>
      <w:tr>
        <w:tc>
          <w:tcPr>
            <w:tcW w:w="2977" w:type="dxa"/>
          </w:tcPr>
          <w:p>
            <w:pPr>
              <w:pStyle w:val="yTableNAm"/>
              <w:spacing w:before="80"/>
            </w:pPr>
            <w:r>
              <w:rPr>
                <w:szCs w:val="22"/>
              </w:rPr>
              <w:t>Preston Beach</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Prevelly</w:t>
            </w:r>
          </w:p>
        </w:tc>
        <w:tc>
          <w:tcPr>
            <w:tcW w:w="1984" w:type="dxa"/>
          </w:tcPr>
          <w:p>
            <w:pPr>
              <w:pStyle w:val="yTableNAm"/>
              <w:spacing w:before="80"/>
            </w:pPr>
            <w:r>
              <w:rPr>
                <w:szCs w:val="22"/>
              </w:rPr>
              <w:t>5</w:t>
            </w:r>
          </w:p>
        </w:tc>
        <w:tc>
          <w:tcPr>
            <w:tcW w:w="1843" w:type="dxa"/>
          </w:tcPr>
          <w:p>
            <w:pPr>
              <w:pStyle w:val="yTableNAm"/>
              <w:spacing w:before="80"/>
            </w:pPr>
            <w:r>
              <w:rPr>
                <w:szCs w:val="22"/>
              </w:rPr>
              <w:t>9</w:t>
            </w:r>
          </w:p>
        </w:tc>
      </w:tr>
      <w:tr>
        <w:tc>
          <w:tcPr>
            <w:tcW w:w="2977" w:type="dxa"/>
          </w:tcPr>
          <w:p>
            <w:pPr>
              <w:pStyle w:val="yTableNAm"/>
              <w:spacing w:before="80"/>
            </w:pPr>
            <w:r>
              <w:rPr>
                <w:szCs w:val="22"/>
              </w:rPr>
              <w:t>Quairading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Quinninup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Ravensthorpe</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Rocky Gully</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Roebourne</w:t>
            </w:r>
          </w:p>
        </w:tc>
        <w:tc>
          <w:tcPr>
            <w:tcW w:w="1984" w:type="dxa"/>
          </w:tcPr>
          <w:p>
            <w:pPr>
              <w:pStyle w:val="yTableNAm"/>
              <w:spacing w:before="80"/>
            </w:pPr>
            <w:r>
              <w:rPr>
                <w:szCs w:val="22"/>
              </w:rPr>
              <w:t>4</w:t>
            </w:r>
          </w:p>
        </w:tc>
        <w:tc>
          <w:tcPr>
            <w:tcW w:w="1843" w:type="dxa"/>
          </w:tcPr>
          <w:p>
            <w:pPr>
              <w:pStyle w:val="yTableNAm"/>
              <w:spacing w:before="80"/>
            </w:pPr>
            <w:r>
              <w:rPr>
                <w:szCs w:val="22"/>
              </w:rPr>
              <w:t>10</w:t>
            </w:r>
          </w:p>
        </w:tc>
      </w:tr>
      <w:tr>
        <w:tc>
          <w:tcPr>
            <w:tcW w:w="2977" w:type="dxa"/>
          </w:tcPr>
          <w:p>
            <w:pPr>
              <w:pStyle w:val="yTableNAm"/>
              <w:spacing w:before="80"/>
            </w:pPr>
            <w:r>
              <w:rPr>
                <w:szCs w:val="22"/>
              </w:rPr>
              <w:t>Salmon Gums</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Sandstone</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Seabird</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South Hedland</w:t>
            </w:r>
          </w:p>
        </w:tc>
        <w:tc>
          <w:tcPr>
            <w:tcW w:w="1984" w:type="dxa"/>
          </w:tcPr>
          <w:p>
            <w:pPr>
              <w:pStyle w:val="yTableNAm"/>
              <w:spacing w:before="80"/>
            </w:pPr>
            <w:r>
              <w:rPr>
                <w:szCs w:val="22"/>
              </w:rPr>
              <w:t>2</w:t>
            </w:r>
          </w:p>
        </w:tc>
        <w:tc>
          <w:tcPr>
            <w:tcW w:w="1843" w:type="dxa"/>
          </w:tcPr>
          <w:p>
            <w:pPr>
              <w:pStyle w:val="yTableNAm"/>
              <w:spacing w:before="80"/>
            </w:pPr>
            <w:r>
              <w:rPr>
                <w:szCs w:val="22"/>
              </w:rPr>
              <w:t>5</w:t>
            </w:r>
          </w:p>
        </w:tc>
      </w:tr>
      <w:tr>
        <w:tc>
          <w:tcPr>
            <w:tcW w:w="2977" w:type="dxa"/>
          </w:tcPr>
          <w:p>
            <w:pPr>
              <w:pStyle w:val="yTableNAm"/>
              <w:spacing w:before="80"/>
            </w:pPr>
            <w:r>
              <w:rPr>
                <w:szCs w:val="22"/>
              </w:rPr>
              <w:t>Southern Cross</w:t>
            </w:r>
          </w:p>
        </w:tc>
        <w:tc>
          <w:tcPr>
            <w:tcW w:w="1984" w:type="dxa"/>
          </w:tcPr>
          <w:p>
            <w:pPr>
              <w:pStyle w:val="yTableNAm"/>
              <w:spacing w:before="80"/>
            </w:pPr>
            <w:r>
              <w:rPr>
                <w:szCs w:val="22"/>
              </w:rPr>
              <w:t>5</w:t>
            </w:r>
          </w:p>
        </w:tc>
        <w:tc>
          <w:tcPr>
            <w:tcW w:w="1843" w:type="dxa"/>
          </w:tcPr>
          <w:p>
            <w:pPr>
              <w:pStyle w:val="yTableNAm"/>
              <w:spacing w:before="80"/>
            </w:pPr>
            <w:r>
              <w:rPr>
                <w:szCs w:val="22"/>
              </w:rPr>
              <w:t>12</w:t>
            </w:r>
          </w:p>
        </w:tc>
      </w:tr>
      <w:tr>
        <w:tc>
          <w:tcPr>
            <w:tcW w:w="2977" w:type="dxa"/>
          </w:tcPr>
          <w:p>
            <w:pPr>
              <w:pStyle w:val="yTableNAm"/>
              <w:spacing w:before="80"/>
            </w:pPr>
            <w:r>
              <w:rPr>
                <w:szCs w:val="22"/>
              </w:rPr>
              <w:t>Tambellup</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Tammin</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Three Springs</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Tincurrin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Toodyay</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Trayning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Varley</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Wagin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Walkaway</w:t>
            </w:r>
          </w:p>
        </w:tc>
        <w:tc>
          <w:tcPr>
            <w:tcW w:w="1984" w:type="dxa"/>
          </w:tcPr>
          <w:p>
            <w:pPr>
              <w:pStyle w:val="yTableNAm"/>
              <w:spacing w:before="80"/>
            </w:pPr>
            <w:r>
              <w:rPr>
                <w:szCs w:val="22"/>
              </w:rPr>
              <w:t>2</w:t>
            </w:r>
          </w:p>
        </w:tc>
        <w:tc>
          <w:tcPr>
            <w:tcW w:w="1843" w:type="dxa"/>
          </w:tcPr>
          <w:p>
            <w:pPr>
              <w:pStyle w:val="yTableNAm"/>
              <w:spacing w:before="80"/>
            </w:pPr>
            <w:r>
              <w:rPr>
                <w:szCs w:val="22"/>
              </w:rPr>
              <w:t>1</w:t>
            </w:r>
          </w:p>
        </w:tc>
      </w:tr>
      <w:tr>
        <w:tc>
          <w:tcPr>
            <w:tcW w:w="2977" w:type="dxa"/>
          </w:tcPr>
          <w:p>
            <w:pPr>
              <w:pStyle w:val="yTableNAm"/>
              <w:spacing w:before="80"/>
            </w:pPr>
            <w:r>
              <w:rPr>
                <w:szCs w:val="22"/>
              </w:rPr>
              <w:t>Walpole</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Wandering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Watheroo</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Wellstead</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Westonia</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Wickepin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Wickham</w:t>
            </w:r>
          </w:p>
        </w:tc>
        <w:tc>
          <w:tcPr>
            <w:tcW w:w="1984" w:type="dxa"/>
          </w:tcPr>
          <w:p>
            <w:pPr>
              <w:pStyle w:val="yTableNAm"/>
              <w:spacing w:before="80"/>
            </w:pPr>
            <w:r>
              <w:rPr>
                <w:szCs w:val="22"/>
              </w:rPr>
              <w:t>4</w:t>
            </w:r>
          </w:p>
        </w:tc>
        <w:tc>
          <w:tcPr>
            <w:tcW w:w="1843" w:type="dxa"/>
          </w:tcPr>
          <w:p>
            <w:pPr>
              <w:pStyle w:val="yTableNAm"/>
              <w:spacing w:before="80"/>
            </w:pPr>
            <w:r>
              <w:rPr>
                <w:szCs w:val="22"/>
              </w:rPr>
              <w:t>10</w:t>
            </w:r>
          </w:p>
        </w:tc>
      </w:tr>
      <w:tr>
        <w:tc>
          <w:tcPr>
            <w:tcW w:w="2977" w:type="dxa"/>
          </w:tcPr>
          <w:p>
            <w:pPr>
              <w:pStyle w:val="yTableNAm"/>
              <w:spacing w:before="80"/>
            </w:pPr>
            <w:r>
              <w:rPr>
                <w:szCs w:val="22"/>
              </w:rPr>
              <w:t>Widgiemooltha</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Williams</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Wiluna</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Wongan Hills</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Woodanilling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Woodridge</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Pr>
          <w:p>
            <w:pPr>
              <w:pStyle w:val="yTableNAm"/>
              <w:spacing w:before="80"/>
            </w:pPr>
            <w:r>
              <w:rPr>
                <w:szCs w:val="22"/>
              </w:rPr>
              <w:t>Wubin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Wundowie</w:t>
            </w:r>
          </w:p>
        </w:tc>
        <w:tc>
          <w:tcPr>
            <w:tcW w:w="1984" w:type="dxa"/>
          </w:tcPr>
          <w:p>
            <w:pPr>
              <w:pStyle w:val="yTableNAm"/>
              <w:spacing w:before="80"/>
            </w:pPr>
            <w:r>
              <w:rPr>
                <w:szCs w:val="22"/>
              </w:rPr>
              <w:t>2</w:t>
            </w:r>
          </w:p>
        </w:tc>
        <w:tc>
          <w:tcPr>
            <w:tcW w:w="1843" w:type="dxa"/>
          </w:tcPr>
          <w:p>
            <w:pPr>
              <w:pStyle w:val="yTableNAm"/>
              <w:spacing w:before="80"/>
            </w:pPr>
            <w:r>
              <w:rPr>
                <w:szCs w:val="22"/>
              </w:rPr>
              <w:t>1</w:t>
            </w:r>
          </w:p>
        </w:tc>
      </w:tr>
      <w:tr>
        <w:tc>
          <w:tcPr>
            <w:tcW w:w="2977" w:type="dxa"/>
          </w:tcPr>
          <w:p>
            <w:pPr>
              <w:pStyle w:val="yTableNAm"/>
              <w:spacing w:before="80"/>
            </w:pPr>
            <w:r>
              <w:rPr>
                <w:szCs w:val="22"/>
              </w:rPr>
              <w:t>Wyalkatchem</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Wyndham</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Yalgoo</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Yarloop/Wagerup</w:t>
            </w:r>
          </w:p>
        </w:tc>
        <w:tc>
          <w:tcPr>
            <w:tcW w:w="1984" w:type="dxa"/>
          </w:tcPr>
          <w:p>
            <w:pPr>
              <w:pStyle w:val="yTableNAm"/>
              <w:spacing w:before="80"/>
            </w:pPr>
            <w:r>
              <w:rPr>
                <w:szCs w:val="22"/>
              </w:rPr>
              <w:t>5</w:t>
            </w:r>
          </w:p>
        </w:tc>
        <w:tc>
          <w:tcPr>
            <w:tcW w:w="1843" w:type="dxa"/>
          </w:tcPr>
          <w:p>
            <w:pPr>
              <w:pStyle w:val="yTableNAm"/>
              <w:spacing w:before="80"/>
            </w:pPr>
            <w:r>
              <w:rPr>
                <w:szCs w:val="22"/>
              </w:rPr>
              <w:t>9</w:t>
            </w:r>
          </w:p>
        </w:tc>
      </w:tr>
      <w:tr>
        <w:tc>
          <w:tcPr>
            <w:tcW w:w="2977" w:type="dxa"/>
          </w:tcPr>
          <w:p>
            <w:pPr>
              <w:pStyle w:val="yTableNAm"/>
              <w:spacing w:before="80"/>
            </w:pPr>
            <w:r>
              <w:rPr>
                <w:szCs w:val="22"/>
              </w:rPr>
              <w:t>Yealering</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Yerecoin</w:t>
            </w:r>
          </w:p>
        </w:tc>
        <w:tc>
          <w:tcPr>
            <w:tcW w:w="1984" w:type="dxa"/>
          </w:tcPr>
          <w:p>
            <w:pPr>
              <w:pStyle w:val="yTableNAm"/>
              <w:spacing w:before="80"/>
            </w:pPr>
            <w:r>
              <w:rPr>
                <w:szCs w:val="22"/>
              </w:rPr>
              <w:t>5</w:t>
            </w:r>
          </w:p>
        </w:tc>
        <w:tc>
          <w:tcPr>
            <w:tcW w:w="1843" w:type="dxa"/>
          </w:tcPr>
          <w:p>
            <w:pPr>
              <w:pStyle w:val="yTableNAm"/>
              <w:spacing w:before="80"/>
            </w:pPr>
            <w:r>
              <w:rPr>
                <w:szCs w:val="22"/>
              </w:rPr>
              <w:t>15</w:t>
            </w:r>
          </w:p>
        </w:tc>
      </w:tr>
      <w:tr>
        <w:tc>
          <w:tcPr>
            <w:tcW w:w="2977" w:type="dxa"/>
          </w:tcPr>
          <w:p>
            <w:pPr>
              <w:pStyle w:val="yTableNAm"/>
              <w:spacing w:before="80"/>
            </w:pPr>
            <w:r>
              <w:rPr>
                <w:szCs w:val="22"/>
              </w:rPr>
              <w:t>York</w:t>
            </w:r>
          </w:p>
        </w:tc>
        <w:tc>
          <w:tcPr>
            <w:tcW w:w="1984" w:type="dxa"/>
          </w:tcPr>
          <w:p>
            <w:pPr>
              <w:pStyle w:val="yTableNAm"/>
              <w:spacing w:before="80"/>
            </w:pPr>
            <w:r>
              <w:rPr>
                <w:szCs w:val="22"/>
              </w:rPr>
              <w:t>5</w:t>
            </w:r>
          </w:p>
        </w:tc>
        <w:tc>
          <w:tcPr>
            <w:tcW w:w="1843" w:type="dxa"/>
          </w:tcPr>
          <w:p>
            <w:pPr>
              <w:pStyle w:val="yTableNAm"/>
              <w:spacing w:before="80"/>
            </w:pPr>
            <w:r>
              <w:rPr>
                <w:szCs w:val="22"/>
              </w:rPr>
              <w:t>13</w:t>
            </w:r>
          </w:p>
        </w:tc>
      </w:tr>
      <w:tr>
        <w:tc>
          <w:tcPr>
            <w:tcW w:w="2977" w:type="dxa"/>
            <w:tcBorders>
              <w:bottom w:val="single" w:sz="4" w:space="0" w:color="auto"/>
            </w:tcBorders>
          </w:tcPr>
          <w:p>
            <w:pPr>
              <w:pStyle w:val="yTableNAm"/>
              <w:spacing w:before="80"/>
            </w:pPr>
            <w:r>
              <w:rPr>
                <w:szCs w:val="22"/>
              </w:rPr>
              <w:t>Yuna</w:t>
            </w:r>
          </w:p>
        </w:tc>
        <w:tc>
          <w:tcPr>
            <w:tcW w:w="1984" w:type="dxa"/>
            <w:tcBorders>
              <w:bottom w:val="single" w:sz="4" w:space="0" w:color="auto"/>
            </w:tcBorders>
          </w:tcPr>
          <w:p>
            <w:pPr>
              <w:pStyle w:val="yTableNAm"/>
              <w:spacing w:before="80"/>
            </w:pPr>
            <w:r>
              <w:rPr>
                <w:szCs w:val="22"/>
              </w:rPr>
              <w:t>5</w:t>
            </w:r>
          </w:p>
        </w:tc>
        <w:tc>
          <w:tcPr>
            <w:tcW w:w="1843" w:type="dxa"/>
            <w:tcBorders>
              <w:bottom w:val="single" w:sz="4" w:space="0" w:color="auto"/>
            </w:tcBorders>
          </w:tcPr>
          <w:p>
            <w:pPr>
              <w:pStyle w:val="yTableNAm"/>
              <w:spacing w:before="80"/>
            </w:pPr>
            <w:r>
              <w:rPr>
                <w:szCs w:val="22"/>
              </w:rPr>
              <w:t>15</w:t>
            </w:r>
          </w:p>
        </w:tc>
      </w:tr>
    </w:tbl>
    <w:p>
      <w:pPr>
        <w:pStyle w:val="yFootnotesection"/>
      </w:pPr>
      <w:r>
        <w:tab/>
        <w:t>[Schedule 10 inserted in Gazette 30 Jun 2015 p. 2395</w:t>
      </w:r>
      <w:r>
        <w:noBreakHyphen/>
        <w:t>404.]</w:t>
      </w:r>
    </w:p>
    <w:p>
      <w:pPr>
        <w:pStyle w:val="yScheduleHeading"/>
      </w:pPr>
      <w:bookmarkStart w:id="285" w:name="_Toc429577111"/>
      <w:bookmarkStart w:id="286" w:name="_Toc434929928"/>
      <w:r>
        <w:rPr>
          <w:rStyle w:val="CharSchNo"/>
        </w:rPr>
        <w:t>Schedule 11</w:t>
      </w:r>
      <w:r>
        <w:t> —</w:t>
      </w:r>
      <w:r>
        <w:rPr>
          <w:rStyle w:val="CharSDivText"/>
        </w:rPr>
        <w:t> </w:t>
      </w:r>
      <w:r>
        <w:rPr>
          <w:rStyle w:val="CharSchText"/>
        </w:rPr>
        <w:t>Class of town or area: previous consumption year</w:t>
      </w:r>
      <w:bookmarkEnd w:id="285"/>
      <w:bookmarkEnd w:id="286"/>
    </w:p>
    <w:p>
      <w:pPr>
        <w:pStyle w:val="yShoulderClause"/>
        <w:spacing w:after="120"/>
      </w:pPr>
      <w:r>
        <w:t>[Sch. 3 it. 24]</w:t>
      </w:r>
    </w:p>
    <w:p>
      <w:pPr>
        <w:pStyle w:val="yFootnoteheading"/>
        <w:spacing w:after="120"/>
      </w:pPr>
      <w:r>
        <w:tab/>
        <w:t>[Heading inserted in Gazette 30 Jun 2015 p. 2404.]</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8"/>
        <w:gridCol w:w="1684"/>
        <w:gridCol w:w="1685"/>
      </w:tblGrid>
      <w:tr>
        <w:trPr>
          <w:tblHeader/>
        </w:trPr>
        <w:tc>
          <w:tcPr>
            <w:tcW w:w="2868" w:type="dxa"/>
            <w:tcBorders>
              <w:top w:val="single" w:sz="4" w:space="0" w:color="auto"/>
              <w:left w:val="nil"/>
              <w:bottom w:val="single" w:sz="4" w:space="0" w:color="auto"/>
              <w:right w:val="nil"/>
            </w:tcBorders>
          </w:tcPr>
          <w:p>
            <w:pPr>
              <w:pStyle w:val="yTableNAm"/>
              <w:spacing w:before="100"/>
              <w:jc w:val="center"/>
            </w:pPr>
            <w:r>
              <w:rPr>
                <w:b/>
                <w:bCs/>
              </w:rPr>
              <w:t>Town/area</w:t>
            </w:r>
          </w:p>
        </w:tc>
        <w:tc>
          <w:tcPr>
            <w:tcW w:w="1684" w:type="dxa"/>
            <w:tcBorders>
              <w:top w:val="single" w:sz="4" w:space="0" w:color="auto"/>
              <w:left w:val="nil"/>
              <w:bottom w:val="single" w:sz="4" w:space="0" w:color="auto"/>
              <w:right w:val="nil"/>
            </w:tcBorders>
          </w:tcPr>
          <w:p>
            <w:pPr>
              <w:pStyle w:val="yTableNAm"/>
              <w:spacing w:before="100"/>
              <w:jc w:val="center"/>
            </w:pPr>
            <w:r>
              <w:rPr>
                <w:b/>
                <w:bCs/>
              </w:rPr>
              <w:t>Residential classification</w:t>
            </w:r>
          </w:p>
        </w:tc>
        <w:tc>
          <w:tcPr>
            <w:tcW w:w="1685" w:type="dxa"/>
            <w:tcBorders>
              <w:top w:val="single" w:sz="4" w:space="0" w:color="auto"/>
              <w:left w:val="nil"/>
              <w:bottom w:val="single" w:sz="4" w:space="0" w:color="auto"/>
              <w:right w:val="nil"/>
            </w:tcBorders>
          </w:tcPr>
          <w:p>
            <w:pPr>
              <w:pStyle w:val="yTableNAm"/>
              <w:spacing w:before="100"/>
              <w:jc w:val="center"/>
            </w:pPr>
            <w:r>
              <w:rPr>
                <w:b/>
                <w:bCs/>
              </w:rPr>
              <w:t>Non</w:t>
            </w:r>
            <w:r>
              <w:rPr>
                <w:b/>
                <w:bCs/>
              </w:rPr>
              <w:noBreakHyphen/>
              <w:t>residential classification</w:t>
            </w:r>
          </w:p>
        </w:tc>
      </w:tr>
      <w:tr>
        <w:tc>
          <w:tcPr>
            <w:tcW w:w="2868" w:type="dxa"/>
            <w:tcBorders>
              <w:top w:val="single" w:sz="4" w:space="0" w:color="auto"/>
              <w:left w:val="nil"/>
              <w:bottom w:val="nil"/>
              <w:right w:val="nil"/>
            </w:tcBorders>
            <w:vAlign w:val="center"/>
          </w:tcPr>
          <w:p>
            <w:pPr>
              <w:pStyle w:val="yTableNAm"/>
              <w:spacing w:before="80"/>
            </w:pPr>
            <w:smartTag w:uri="urn:schemas-microsoft-com:office:smarttags" w:element="place">
              <w:smartTag w:uri="urn:schemas-microsoft-com:office:smarttags" w:element="City">
                <w:r>
                  <w:rPr>
                    <w:szCs w:val="22"/>
                  </w:rPr>
                  <w:t>Albany</w:t>
                </w:r>
              </w:smartTag>
            </w:smartTag>
          </w:p>
        </w:tc>
        <w:tc>
          <w:tcPr>
            <w:tcW w:w="1684" w:type="dxa"/>
            <w:tcBorders>
              <w:top w:val="single" w:sz="4" w:space="0" w:color="auto"/>
              <w:left w:val="nil"/>
              <w:bottom w:val="nil"/>
              <w:right w:val="nil"/>
            </w:tcBorders>
            <w:vAlign w:val="bottom"/>
          </w:tcPr>
          <w:p>
            <w:pPr>
              <w:pStyle w:val="yTableNAm"/>
              <w:spacing w:before="80"/>
              <w:jc w:val="center"/>
              <w:rPr>
                <w:szCs w:val="24"/>
              </w:rPr>
            </w:pPr>
            <w:r>
              <w:t>4</w:t>
            </w:r>
          </w:p>
        </w:tc>
        <w:tc>
          <w:tcPr>
            <w:tcW w:w="1685" w:type="dxa"/>
            <w:tcBorders>
              <w:top w:val="single" w:sz="4" w:space="0" w:color="auto"/>
              <w:left w:val="nil"/>
              <w:bottom w:val="nil"/>
              <w:right w:val="nil"/>
            </w:tcBorders>
            <w:vAlign w:val="bottom"/>
          </w:tcPr>
          <w:p>
            <w:pPr>
              <w:pStyle w:val="yTableNAm"/>
              <w:spacing w:before="80"/>
              <w:jc w:val="center"/>
              <w:rPr>
                <w:szCs w:val="24"/>
              </w:rPr>
            </w:pPr>
            <w:r>
              <w:t>7</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City">
                <w:r>
                  <w:rPr>
                    <w:szCs w:val="22"/>
                  </w:rPr>
                  <w:t>Albany</w:t>
                </w:r>
              </w:smartTag>
            </w:smartTag>
            <w:r>
              <w:rPr>
                <w:szCs w:val="22"/>
              </w:rPr>
              <w:t xml:space="preserve"> Farmlands</w:t>
            </w:r>
          </w:p>
        </w:tc>
        <w:tc>
          <w:tcPr>
            <w:tcW w:w="1684" w:type="dxa"/>
            <w:tcBorders>
              <w:top w:val="nil"/>
              <w:left w:val="nil"/>
              <w:bottom w:val="nil"/>
              <w:right w:val="nil"/>
            </w:tcBorders>
            <w:vAlign w:val="bottom"/>
          </w:tcPr>
          <w:p>
            <w:pPr>
              <w:pStyle w:val="yTableNAm"/>
              <w:spacing w:before="80"/>
              <w:jc w:val="center"/>
              <w:rPr>
                <w:szCs w:val="24"/>
              </w:rPr>
            </w:pPr>
            <w:r>
              <w:t>4</w:t>
            </w:r>
          </w:p>
        </w:tc>
        <w:tc>
          <w:tcPr>
            <w:tcW w:w="1685" w:type="dxa"/>
            <w:tcBorders>
              <w:top w:val="nil"/>
              <w:left w:val="nil"/>
              <w:bottom w:val="nil"/>
              <w:right w:val="nil"/>
            </w:tcBorders>
            <w:vAlign w:val="bottom"/>
          </w:tcPr>
          <w:p>
            <w:pPr>
              <w:pStyle w:val="yTableNAm"/>
              <w:spacing w:before="80"/>
              <w:jc w:val="center"/>
              <w:rPr>
                <w:szCs w:val="24"/>
              </w:rPr>
            </w:pPr>
            <w:r>
              <w:t>7</w:t>
            </w:r>
          </w:p>
        </w:tc>
      </w:tr>
      <w:tr>
        <w:tc>
          <w:tcPr>
            <w:tcW w:w="2868" w:type="dxa"/>
            <w:tcBorders>
              <w:top w:val="nil"/>
              <w:left w:val="nil"/>
              <w:bottom w:val="nil"/>
              <w:right w:val="nil"/>
            </w:tcBorders>
            <w:vAlign w:val="center"/>
          </w:tcPr>
          <w:p>
            <w:pPr>
              <w:pStyle w:val="yTableNAm"/>
              <w:spacing w:before="80"/>
            </w:pPr>
            <w:r>
              <w:rPr>
                <w:szCs w:val="22"/>
              </w:rPr>
              <w:t>Allanooka Farmlands</w:t>
            </w:r>
          </w:p>
        </w:tc>
        <w:tc>
          <w:tcPr>
            <w:tcW w:w="1684" w:type="dxa"/>
            <w:tcBorders>
              <w:top w:val="nil"/>
              <w:left w:val="nil"/>
              <w:bottom w:val="nil"/>
              <w:right w:val="nil"/>
            </w:tcBorders>
            <w:vAlign w:val="bottom"/>
          </w:tcPr>
          <w:p>
            <w:pPr>
              <w:pStyle w:val="yTableNAm"/>
              <w:spacing w:before="80"/>
              <w:jc w:val="center"/>
              <w:rPr>
                <w:szCs w:val="24"/>
              </w:rPr>
            </w:pPr>
            <w:r>
              <w:t>2</w:t>
            </w:r>
          </w:p>
        </w:tc>
        <w:tc>
          <w:tcPr>
            <w:tcW w:w="1685" w:type="dxa"/>
            <w:tcBorders>
              <w:top w:val="nil"/>
              <w:left w:val="nil"/>
              <w:bottom w:val="nil"/>
              <w:right w:val="nil"/>
            </w:tcBorders>
            <w:vAlign w:val="bottom"/>
          </w:tcPr>
          <w:p>
            <w:pPr>
              <w:pStyle w:val="yTableNAm"/>
              <w:spacing w:before="80"/>
              <w:jc w:val="center"/>
              <w:rPr>
                <w:szCs w:val="24"/>
              </w:rPr>
            </w:pPr>
            <w:r>
              <w:t>1</w:t>
            </w:r>
          </w:p>
        </w:tc>
      </w:tr>
      <w:tr>
        <w:tc>
          <w:tcPr>
            <w:tcW w:w="2868" w:type="dxa"/>
            <w:tcBorders>
              <w:top w:val="nil"/>
              <w:left w:val="nil"/>
              <w:bottom w:val="nil"/>
              <w:right w:val="nil"/>
            </w:tcBorders>
            <w:vAlign w:val="center"/>
          </w:tcPr>
          <w:p>
            <w:pPr>
              <w:pStyle w:val="yTableNAm"/>
              <w:spacing w:before="80"/>
            </w:pPr>
            <w:r>
              <w:rPr>
                <w:szCs w:val="22"/>
              </w:rPr>
              <w:t>Allanson</w:t>
            </w:r>
          </w:p>
        </w:tc>
        <w:tc>
          <w:tcPr>
            <w:tcW w:w="1684" w:type="dxa"/>
            <w:tcBorders>
              <w:top w:val="nil"/>
              <w:left w:val="nil"/>
              <w:bottom w:val="nil"/>
              <w:right w:val="nil"/>
            </w:tcBorders>
            <w:vAlign w:val="bottom"/>
          </w:tcPr>
          <w:p>
            <w:pPr>
              <w:pStyle w:val="yTableNAm"/>
              <w:spacing w:before="80"/>
              <w:jc w:val="center"/>
              <w:rPr>
                <w:szCs w:val="24"/>
              </w:rPr>
            </w:pPr>
            <w:r>
              <w:t>4</w:t>
            </w:r>
          </w:p>
        </w:tc>
        <w:tc>
          <w:tcPr>
            <w:tcW w:w="1685" w:type="dxa"/>
            <w:tcBorders>
              <w:top w:val="nil"/>
              <w:left w:val="nil"/>
              <w:bottom w:val="nil"/>
              <w:right w:val="nil"/>
            </w:tcBorders>
            <w:vAlign w:val="bottom"/>
          </w:tcPr>
          <w:p>
            <w:pPr>
              <w:pStyle w:val="yTableNAm"/>
              <w:spacing w:before="80"/>
              <w:jc w:val="center"/>
              <w:rPr>
                <w:szCs w:val="24"/>
              </w:rPr>
            </w:pPr>
            <w:r>
              <w:t>11</w:t>
            </w:r>
          </w:p>
        </w:tc>
      </w:tr>
      <w:tr>
        <w:tc>
          <w:tcPr>
            <w:tcW w:w="2868" w:type="dxa"/>
            <w:tcBorders>
              <w:top w:val="nil"/>
              <w:left w:val="nil"/>
              <w:bottom w:val="nil"/>
              <w:right w:val="nil"/>
            </w:tcBorders>
            <w:vAlign w:val="center"/>
          </w:tcPr>
          <w:p>
            <w:pPr>
              <w:pStyle w:val="yTableNAm"/>
              <w:spacing w:before="80"/>
            </w:pPr>
            <w:r>
              <w:rPr>
                <w:szCs w:val="22"/>
              </w:rPr>
              <w:t>Arrino</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Arrowsmith Farmlands</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City">
                <w:r>
                  <w:rPr>
                    <w:szCs w:val="22"/>
                  </w:rPr>
                  <w:t>Augusta</w:t>
                </w:r>
              </w:smartTag>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Australind/Eaton</w:t>
            </w:r>
          </w:p>
        </w:tc>
        <w:tc>
          <w:tcPr>
            <w:tcW w:w="1684" w:type="dxa"/>
            <w:tcBorders>
              <w:top w:val="nil"/>
              <w:left w:val="nil"/>
              <w:bottom w:val="nil"/>
              <w:right w:val="nil"/>
            </w:tcBorders>
            <w:vAlign w:val="bottom"/>
          </w:tcPr>
          <w:p>
            <w:pPr>
              <w:pStyle w:val="yTableNAm"/>
              <w:spacing w:before="80"/>
              <w:jc w:val="center"/>
              <w:rPr>
                <w:szCs w:val="24"/>
              </w:rPr>
            </w:pPr>
            <w:r>
              <w:t>2</w:t>
            </w:r>
          </w:p>
        </w:tc>
        <w:tc>
          <w:tcPr>
            <w:tcW w:w="1685" w:type="dxa"/>
            <w:tcBorders>
              <w:top w:val="nil"/>
              <w:left w:val="nil"/>
              <w:bottom w:val="nil"/>
              <w:right w:val="nil"/>
            </w:tcBorders>
            <w:vAlign w:val="bottom"/>
          </w:tcPr>
          <w:p>
            <w:pPr>
              <w:pStyle w:val="yTableNAm"/>
              <w:spacing w:before="80"/>
              <w:jc w:val="center"/>
              <w:rPr>
                <w:szCs w:val="24"/>
              </w:rPr>
            </w:pPr>
            <w:r>
              <w:t>2</w:t>
            </w:r>
          </w:p>
        </w:tc>
      </w:tr>
      <w:tr>
        <w:tc>
          <w:tcPr>
            <w:tcW w:w="2868" w:type="dxa"/>
            <w:tcBorders>
              <w:top w:val="nil"/>
              <w:left w:val="nil"/>
              <w:bottom w:val="nil"/>
              <w:right w:val="nil"/>
            </w:tcBorders>
            <w:vAlign w:val="center"/>
          </w:tcPr>
          <w:p>
            <w:pPr>
              <w:pStyle w:val="yTableNAm"/>
              <w:spacing w:before="80"/>
            </w:pPr>
            <w:r>
              <w:rPr>
                <w:szCs w:val="22"/>
              </w:rPr>
              <w:t>Badgingarra</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Bakers Hill</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Balingup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Ballidu</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Beacon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Bencubbin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Beverley</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Bindi Bindi</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Bindoon/Chittering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Binningup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Bodallin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Boddington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Bolgart</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Borden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Boyanup</w:t>
            </w:r>
          </w:p>
        </w:tc>
        <w:tc>
          <w:tcPr>
            <w:tcW w:w="1684" w:type="dxa"/>
            <w:tcBorders>
              <w:top w:val="nil"/>
              <w:left w:val="nil"/>
              <w:bottom w:val="nil"/>
              <w:right w:val="nil"/>
            </w:tcBorders>
            <w:vAlign w:val="bottom"/>
          </w:tcPr>
          <w:p>
            <w:pPr>
              <w:pStyle w:val="yTableNAm"/>
              <w:spacing w:before="80"/>
              <w:jc w:val="center"/>
              <w:rPr>
                <w:szCs w:val="24"/>
              </w:rPr>
            </w:pPr>
            <w:r>
              <w:t>4</w:t>
            </w:r>
          </w:p>
        </w:tc>
        <w:tc>
          <w:tcPr>
            <w:tcW w:w="1685" w:type="dxa"/>
            <w:tcBorders>
              <w:top w:val="nil"/>
              <w:left w:val="nil"/>
              <w:bottom w:val="nil"/>
              <w:right w:val="nil"/>
            </w:tcBorders>
            <w:vAlign w:val="bottom"/>
          </w:tcPr>
          <w:p>
            <w:pPr>
              <w:pStyle w:val="yTableNAm"/>
              <w:spacing w:before="80"/>
              <w:jc w:val="center"/>
              <w:rPr>
                <w:szCs w:val="24"/>
              </w:rPr>
            </w:pPr>
            <w:r>
              <w:t>8</w:t>
            </w:r>
          </w:p>
        </w:tc>
      </w:tr>
      <w:tr>
        <w:tc>
          <w:tcPr>
            <w:tcW w:w="2868" w:type="dxa"/>
            <w:tcBorders>
              <w:top w:val="nil"/>
              <w:left w:val="nil"/>
              <w:bottom w:val="nil"/>
              <w:right w:val="nil"/>
            </w:tcBorders>
            <w:vAlign w:val="center"/>
          </w:tcPr>
          <w:p>
            <w:pPr>
              <w:pStyle w:val="yTableNAm"/>
              <w:spacing w:before="80"/>
            </w:pPr>
            <w:r>
              <w:rPr>
                <w:szCs w:val="22"/>
              </w:rPr>
              <w:t>Boyup Brook</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PlaceName">
                <w:r>
                  <w:rPr>
                    <w:szCs w:val="22"/>
                  </w:rPr>
                  <w:t>Bremer</w:t>
                </w:r>
              </w:smartTag>
              <w:r>
                <w:rPr>
                  <w:szCs w:val="22"/>
                </w:rPr>
                <w:t xml:space="preserve"> </w:t>
              </w:r>
              <w:smartTag w:uri="urn:schemas-microsoft-com:office:smarttags" w:element="PlaceType">
                <w:r>
                  <w:rPr>
                    <w:szCs w:val="22"/>
                  </w:rPr>
                  <w:t>Bay</w:t>
                </w:r>
              </w:smartTag>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Bridgetown/Hester</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Broad Arrow</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Brookton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Broome</w:t>
            </w:r>
          </w:p>
        </w:tc>
        <w:tc>
          <w:tcPr>
            <w:tcW w:w="1684" w:type="dxa"/>
            <w:tcBorders>
              <w:top w:val="nil"/>
              <w:left w:val="nil"/>
              <w:bottom w:val="nil"/>
              <w:right w:val="nil"/>
            </w:tcBorders>
            <w:vAlign w:val="bottom"/>
          </w:tcPr>
          <w:p>
            <w:pPr>
              <w:pStyle w:val="yTableNAm"/>
              <w:spacing w:before="80"/>
              <w:jc w:val="center"/>
              <w:rPr>
                <w:szCs w:val="24"/>
              </w:rPr>
            </w:pPr>
            <w:r>
              <w:t>2</w:t>
            </w:r>
          </w:p>
        </w:tc>
        <w:tc>
          <w:tcPr>
            <w:tcW w:w="1685" w:type="dxa"/>
            <w:tcBorders>
              <w:top w:val="nil"/>
              <w:left w:val="nil"/>
              <w:bottom w:val="nil"/>
              <w:right w:val="nil"/>
            </w:tcBorders>
            <w:vAlign w:val="bottom"/>
          </w:tcPr>
          <w:p>
            <w:pPr>
              <w:pStyle w:val="yTableNAm"/>
              <w:spacing w:before="80"/>
              <w:jc w:val="center"/>
              <w:rPr>
                <w:szCs w:val="24"/>
              </w:rPr>
            </w:pPr>
            <w:r>
              <w:t>2</w:t>
            </w:r>
          </w:p>
        </w:tc>
      </w:tr>
      <w:tr>
        <w:tc>
          <w:tcPr>
            <w:tcW w:w="2868" w:type="dxa"/>
            <w:tcBorders>
              <w:top w:val="nil"/>
              <w:left w:val="nil"/>
              <w:bottom w:val="nil"/>
              <w:right w:val="nil"/>
            </w:tcBorders>
            <w:vAlign w:val="center"/>
          </w:tcPr>
          <w:p>
            <w:pPr>
              <w:pStyle w:val="yTableNAm"/>
              <w:spacing w:before="80"/>
            </w:pPr>
            <w:r>
              <w:rPr>
                <w:szCs w:val="22"/>
              </w:rPr>
              <w:t>Broomehill</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Bruce Rock</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Brunswick/Burekup/Roelands</w:t>
            </w:r>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7</w:t>
            </w:r>
          </w:p>
        </w:tc>
      </w:tr>
      <w:tr>
        <w:tc>
          <w:tcPr>
            <w:tcW w:w="2868" w:type="dxa"/>
            <w:tcBorders>
              <w:top w:val="nil"/>
              <w:left w:val="nil"/>
              <w:bottom w:val="nil"/>
              <w:right w:val="nil"/>
            </w:tcBorders>
            <w:vAlign w:val="center"/>
          </w:tcPr>
          <w:p>
            <w:pPr>
              <w:pStyle w:val="yTableNAm"/>
              <w:spacing w:before="80"/>
            </w:pPr>
            <w:r>
              <w:rPr>
                <w:szCs w:val="22"/>
              </w:rPr>
              <w:t>Bullaring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Bullfinch</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Bunjil</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Buntine</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Burracoppin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Calingiri</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Camballin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Capel</w:t>
            </w:r>
          </w:p>
        </w:tc>
        <w:tc>
          <w:tcPr>
            <w:tcW w:w="1684" w:type="dxa"/>
            <w:tcBorders>
              <w:top w:val="nil"/>
              <w:left w:val="nil"/>
              <w:bottom w:val="nil"/>
              <w:right w:val="nil"/>
            </w:tcBorders>
            <w:vAlign w:val="bottom"/>
          </w:tcPr>
          <w:p>
            <w:pPr>
              <w:pStyle w:val="yTableNAm"/>
              <w:spacing w:before="80"/>
              <w:jc w:val="center"/>
              <w:rPr>
                <w:szCs w:val="24"/>
              </w:rPr>
            </w:pPr>
            <w:r>
              <w:t>2</w:t>
            </w:r>
          </w:p>
        </w:tc>
        <w:tc>
          <w:tcPr>
            <w:tcW w:w="1685" w:type="dxa"/>
            <w:tcBorders>
              <w:top w:val="nil"/>
              <w:left w:val="nil"/>
              <w:bottom w:val="nil"/>
              <w:right w:val="nil"/>
            </w:tcBorders>
            <w:vAlign w:val="bottom"/>
          </w:tcPr>
          <w:p>
            <w:pPr>
              <w:pStyle w:val="yTableNAm"/>
              <w:spacing w:before="80"/>
              <w:jc w:val="center"/>
              <w:rPr>
                <w:szCs w:val="24"/>
              </w:rPr>
            </w:pPr>
            <w:r>
              <w:t>6</w:t>
            </w:r>
          </w:p>
        </w:tc>
      </w:tr>
      <w:tr>
        <w:tc>
          <w:tcPr>
            <w:tcW w:w="2868" w:type="dxa"/>
            <w:tcBorders>
              <w:top w:val="nil"/>
              <w:left w:val="nil"/>
              <w:bottom w:val="nil"/>
              <w:right w:val="nil"/>
            </w:tcBorders>
            <w:vAlign w:val="center"/>
          </w:tcPr>
          <w:p>
            <w:pPr>
              <w:pStyle w:val="yTableNAm"/>
              <w:spacing w:before="80"/>
            </w:pPr>
            <w:r>
              <w:rPr>
                <w:szCs w:val="22"/>
              </w:rPr>
              <w:t>Carnamah</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Carnarvon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Caron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Cervantes</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8</w:t>
            </w:r>
          </w:p>
        </w:tc>
      </w:tr>
      <w:tr>
        <w:tc>
          <w:tcPr>
            <w:tcW w:w="2868" w:type="dxa"/>
            <w:tcBorders>
              <w:top w:val="nil"/>
              <w:left w:val="nil"/>
              <w:bottom w:val="nil"/>
              <w:right w:val="nil"/>
            </w:tcBorders>
            <w:vAlign w:val="center"/>
          </w:tcPr>
          <w:p>
            <w:pPr>
              <w:pStyle w:val="yTableNAm"/>
              <w:spacing w:before="80"/>
            </w:pPr>
            <w:r>
              <w:rPr>
                <w:szCs w:val="22"/>
              </w:rPr>
              <w:t>Collie</w:t>
            </w:r>
          </w:p>
        </w:tc>
        <w:tc>
          <w:tcPr>
            <w:tcW w:w="1684" w:type="dxa"/>
            <w:tcBorders>
              <w:top w:val="nil"/>
              <w:left w:val="nil"/>
              <w:bottom w:val="nil"/>
              <w:right w:val="nil"/>
            </w:tcBorders>
            <w:vAlign w:val="bottom"/>
          </w:tcPr>
          <w:p>
            <w:pPr>
              <w:pStyle w:val="yTableNAm"/>
              <w:spacing w:before="80"/>
              <w:jc w:val="center"/>
              <w:rPr>
                <w:szCs w:val="24"/>
              </w:rPr>
            </w:pPr>
            <w:r>
              <w:t>2</w:t>
            </w:r>
          </w:p>
        </w:tc>
        <w:tc>
          <w:tcPr>
            <w:tcW w:w="1685" w:type="dxa"/>
            <w:tcBorders>
              <w:top w:val="nil"/>
              <w:left w:val="nil"/>
              <w:bottom w:val="nil"/>
              <w:right w:val="nil"/>
            </w:tcBorders>
            <w:vAlign w:val="bottom"/>
          </w:tcPr>
          <w:p>
            <w:pPr>
              <w:pStyle w:val="yTableNAm"/>
              <w:spacing w:before="80"/>
              <w:jc w:val="center"/>
              <w:rPr>
                <w:szCs w:val="24"/>
              </w:rPr>
            </w:pPr>
            <w:r>
              <w:t>6</w:t>
            </w:r>
          </w:p>
        </w:tc>
      </w:tr>
      <w:tr>
        <w:tc>
          <w:tcPr>
            <w:tcW w:w="2868" w:type="dxa"/>
            <w:tcBorders>
              <w:top w:val="nil"/>
              <w:left w:val="nil"/>
              <w:bottom w:val="nil"/>
              <w:right w:val="nil"/>
            </w:tcBorders>
            <w:vAlign w:val="center"/>
          </w:tcPr>
          <w:p>
            <w:pPr>
              <w:pStyle w:val="yTableNAm"/>
              <w:spacing w:before="80"/>
            </w:pPr>
            <w:r>
              <w:rPr>
                <w:szCs w:val="22"/>
              </w:rPr>
              <w:t>Collie Farmlands</w:t>
            </w:r>
          </w:p>
        </w:tc>
        <w:tc>
          <w:tcPr>
            <w:tcW w:w="1684" w:type="dxa"/>
            <w:tcBorders>
              <w:top w:val="nil"/>
              <w:left w:val="nil"/>
              <w:bottom w:val="nil"/>
              <w:right w:val="nil"/>
            </w:tcBorders>
            <w:vAlign w:val="bottom"/>
          </w:tcPr>
          <w:p>
            <w:pPr>
              <w:pStyle w:val="yTableNAm"/>
              <w:spacing w:before="80"/>
              <w:jc w:val="center"/>
              <w:rPr>
                <w:szCs w:val="24"/>
              </w:rPr>
            </w:pPr>
            <w:r>
              <w:t>1</w:t>
            </w:r>
          </w:p>
        </w:tc>
        <w:tc>
          <w:tcPr>
            <w:tcW w:w="1685" w:type="dxa"/>
            <w:tcBorders>
              <w:top w:val="nil"/>
              <w:left w:val="nil"/>
              <w:bottom w:val="nil"/>
              <w:right w:val="nil"/>
            </w:tcBorders>
            <w:vAlign w:val="bottom"/>
          </w:tcPr>
          <w:p>
            <w:pPr>
              <w:pStyle w:val="yTableNAm"/>
              <w:spacing w:before="80"/>
              <w:jc w:val="center"/>
              <w:rPr>
                <w:szCs w:val="24"/>
              </w:rPr>
            </w:pPr>
            <w:r>
              <w:t>1</w:t>
            </w:r>
          </w:p>
        </w:tc>
      </w:tr>
      <w:tr>
        <w:tc>
          <w:tcPr>
            <w:tcW w:w="2868" w:type="dxa"/>
            <w:tcBorders>
              <w:top w:val="nil"/>
              <w:left w:val="nil"/>
              <w:bottom w:val="nil"/>
              <w:right w:val="nil"/>
            </w:tcBorders>
            <w:vAlign w:val="center"/>
          </w:tcPr>
          <w:p>
            <w:pPr>
              <w:pStyle w:val="yTableNAm"/>
              <w:spacing w:before="80"/>
            </w:pPr>
            <w:r>
              <w:rPr>
                <w:szCs w:val="22"/>
              </w:rPr>
              <w:t>Condingup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Coolgardie</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Coomberdale</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Coorow</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PlaceName">
                <w:r>
                  <w:rPr>
                    <w:szCs w:val="22"/>
                  </w:rPr>
                  <w:t>Coral</w:t>
                </w:r>
              </w:smartTag>
              <w:r>
                <w:rPr>
                  <w:szCs w:val="22"/>
                </w:rPr>
                <w:t xml:space="preserve"> </w:t>
              </w:r>
              <w:smartTag w:uri="urn:schemas-microsoft-com:office:smarttags" w:element="PlaceType">
                <w:r>
                  <w:rPr>
                    <w:szCs w:val="22"/>
                  </w:rPr>
                  <w:t>Bay</w:t>
                </w:r>
              </w:smartTag>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N/A</w:t>
            </w:r>
          </w:p>
        </w:tc>
      </w:tr>
      <w:tr>
        <w:tc>
          <w:tcPr>
            <w:tcW w:w="2868" w:type="dxa"/>
            <w:tcBorders>
              <w:top w:val="nil"/>
              <w:left w:val="nil"/>
              <w:bottom w:val="nil"/>
              <w:right w:val="nil"/>
            </w:tcBorders>
            <w:vAlign w:val="center"/>
          </w:tcPr>
          <w:p>
            <w:pPr>
              <w:pStyle w:val="yTableNAm"/>
              <w:spacing w:before="80"/>
            </w:pPr>
            <w:r>
              <w:rPr>
                <w:szCs w:val="22"/>
              </w:rPr>
              <w:t>Corrigin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Cowaramup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City">
                <w:r>
                  <w:rPr>
                    <w:szCs w:val="22"/>
                  </w:rPr>
                  <w:t>Cranbrook</w:t>
                </w:r>
              </w:smartTag>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Cuballing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Cue</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Cunderdin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8</w:t>
            </w:r>
          </w:p>
        </w:tc>
      </w:tr>
      <w:tr>
        <w:tc>
          <w:tcPr>
            <w:tcW w:w="2868" w:type="dxa"/>
            <w:tcBorders>
              <w:top w:val="nil"/>
              <w:left w:val="nil"/>
              <w:bottom w:val="nil"/>
              <w:right w:val="nil"/>
            </w:tcBorders>
            <w:vAlign w:val="center"/>
          </w:tcPr>
          <w:p>
            <w:pPr>
              <w:pStyle w:val="yTableNAm"/>
              <w:spacing w:before="80"/>
            </w:pPr>
            <w:r>
              <w:rPr>
                <w:szCs w:val="22"/>
              </w:rPr>
              <w:t>Dalwallinu</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Dalyellup</w:t>
            </w:r>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4</w:t>
            </w:r>
          </w:p>
        </w:tc>
      </w:tr>
      <w:tr>
        <w:tc>
          <w:tcPr>
            <w:tcW w:w="2868" w:type="dxa"/>
            <w:tcBorders>
              <w:top w:val="nil"/>
              <w:left w:val="nil"/>
              <w:bottom w:val="nil"/>
              <w:right w:val="nil"/>
            </w:tcBorders>
            <w:vAlign w:val="center"/>
          </w:tcPr>
          <w:p>
            <w:pPr>
              <w:pStyle w:val="yTableNAm"/>
              <w:spacing w:before="80"/>
            </w:pPr>
            <w:r>
              <w:rPr>
                <w:szCs w:val="22"/>
              </w:rPr>
              <w:t>Dandaragan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tcPr>
          <w:p>
            <w:pPr>
              <w:pStyle w:val="yTableNAm"/>
              <w:spacing w:before="80"/>
            </w:pPr>
            <w:r>
              <w:rPr>
                <w:szCs w:val="22"/>
              </w:rPr>
              <w:t>Dardanup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Darkan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Dathagnoorara Farmlands</w:t>
            </w:r>
          </w:p>
        </w:tc>
        <w:tc>
          <w:tcPr>
            <w:tcW w:w="1684" w:type="dxa"/>
            <w:tcBorders>
              <w:top w:val="nil"/>
              <w:left w:val="nil"/>
              <w:bottom w:val="nil"/>
              <w:right w:val="nil"/>
            </w:tcBorders>
            <w:vAlign w:val="bottom"/>
          </w:tcPr>
          <w:p>
            <w:pPr>
              <w:pStyle w:val="yTableNAm"/>
              <w:spacing w:before="80"/>
              <w:jc w:val="center"/>
              <w:rPr>
                <w:szCs w:val="24"/>
              </w:rPr>
            </w:pPr>
            <w:r>
              <w:t>4</w:t>
            </w:r>
          </w:p>
        </w:tc>
        <w:tc>
          <w:tcPr>
            <w:tcW w:w="1685" w:type="dxa"/>
            <w:tcBorders>
              <w:top w:val="nil"/>
              <w:left w:val="nil"/>
              <w:bottom w:val="nil"/>
              <w:right w:val="nil"/>
            </w:tcBorders>
            <w:vAlign w:val="bottom"/>
          </w:tcPr>
          <w:p>
            <w:pPr>
              <w:pStyle w:val="yTableNAm"/>
              <w:spacing w:before="80"/>
              <w:jc w:val="center"/>
              <w:rPr>
                <w:szCs w:val="24"/>
              </w:rPr>
            </w:pPr>
            <w:r>
              <w:t>8</w:t>
            </w:r>
          </w:p>
        </w:tc>
      </w:tr>
      <w:tr>
        <w:tc>
          <w:tcPr>
            <w:tcW w:w="2868" w:type="dxa"/>
            <w:tcBorders>
              <w:top w:val="nil"/>
              <w:left w:val="nil"/>
              <w:bottom w:val="nil"/>
              <w:right w:val="nil"/>
            </w:tcBorders>
            <w:vAlign w:val="center"/>
          </w:tcPr>
          <w:p>
            <w:pPr>
              <w:pStyle w:val="yTableNAm"/>
              <w:spacing w:before="80"/>
            </w:pPr>
            <w:r>
              <w:rPr>
                <w:szCs w:val="22"/>
              </w:rPr>
              <w:t>Denham (Saline)</w:t>
            </w:r>
          </w:p>
        </w:tc>
        <w:tc>
          <w:tcPr>
            <w:tcW w:w="1684" w:type="dxa"/>
            <w:tcBorders>
              <w:top w:val="nil"/>
              <w:left w:val="nil"/>
              <w:bottom w:val="nil"/>
              <w:right w:val="nil"/>
            </w:tcBorders>
            <w:vAlign w:val="bottom"/>
          </w:tcPr>
          <w:p>
            <w:pPr>
              <w:pStyle w:val="yTableNAm"/>
              <w:spacing w:before="80"/>
              <w:jc w:val="center"/>
              <w:rPr>
                <w:szCs w:val="24"/>
              </w:rPr>
            </w:pPr>
            <w:r>
              <w:t>2</w:t>
            </w:r>
          </w:p>
        </w:tc>
        <w:tc>
          <w:tcPr>
            <w:tcW w:w="1685" w:type="dxa"/>
            <w:tcBorders>
              <w:top w:val="nil"/>
              <w:left w:val="nil"/>
              <w:bottom w:val="nil"/>
              <w:right w:val="nil"/>
            </w:tcBorders>
            <w:vAlign w:val="bottom"/>
          </w:tcPr>
          <w:p>
            <w:pPr>
              <w:pStyle w:val="yTableNAm"/>
              <w:spacing w:before="80"/>
              <w:jc w:val="center"/>
              <w:rPr>
                <w:szCs w:val="24"/>
              </w:rPr>
            </w:pPr>
            <w:r>
              <w:t>5</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country-region">
                <w:r>
                  <w:rPr>
                    <w:szCs w:val="22"/>
                  </w:rPr>
                  <w:t>Denmark</w:t>
                </w:r>
              </w:smartTag>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City">
                <w:r>
                  <w:rPr>
                    <w:szCs w:val="22"/>
                  </w:rPr>
                  <w:t>Derby</w:t>
                </w:r>
              </w:smartTag>
            </w:smartTag>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6</w:t>
            </w:r>
          </w:p>
        </w:tc>
      </w:tr>
      <w:tr>
        <w:tc>
          <w:tcPr>
            <w:tcW w:w="2868" w:type="dxa"/>
            <w:tcBorders>
              <w:top w:val="nil"/>
              <w:left w:val="nil"/>
              <w:bottom w:val="nil"/>
              <w:right w:val="nil"/>
            </w:tcBorders>
            <w:vAlign w:val="center"/>
          </w:tcPr>
          <w:p>
            <w:pPr>
              <w:pStyle w:val="yTableNAm"/>
              <w:spacing w:before="80"/>
            </w:pPr>
            <w:r>
              <w:rPr>
                <w:szCs w:val="22"/>
              </w:rPr>
              <w:t>Dongara/Denison</w:t>
            </w:r>
          </w:p>
        </w:tc>
        <w:tc>
          <w:tcPr>
            <w:tcW w:w="1684" w:type="dxa"/>
            <w:tcBorders>
              <w:top w:val="nil"/>
              <w:left w:val="nil"/>
              <w:bottom w:val="nil"/>
              <w:right w:val="nil"/>
            </w:tcBorders>
            <w:vAlign w:val="bottom"/>
          </w:tcPr>
          <w:p>
            <w:pPr>
              <w:pStyle w:val="yTableNAm"/>
              <w:spacing w:before="80"/>
              <w:jc w:val="center"/>
              <w:rPr>
                <w:szCs w:val="24"/>
              </w:rPr>
            </w:pPr>
            <w:r>
              <w:t>2</w:t>
            </w:r>
          </w:p>
        </w:tc>
        <w:tc>
          <w:tcPr>
            <w:tcW w:w="1685" w:type="dxa"/>
            <w:tcBorders>
              <w:top w:val="nil"/>
              <w:left w:val="nil"/>
              <w:bottom w:val="nil"/>
              <w:right w:val="nil"/>
            </w:tcBorders>
            <w:vAlign w:val="bottom"/>
          </w:tcPr>
          <w:p>
            <w:pPr>
              <w:pStyle w:val="yTableNAm"/>
              <w:spacing w:before="80"/>
              <w:jc w:val="center"/>
              <w:rPr>
                <w:szCs w:val="24"/>
              </w:rPr>
            </w:pPr>
            <w:r>
              <w:t>2</w:t>
            </w:r>
          </w:p>
        </w:tc>
      </w:tr>
      <w:tr>
        <w:tc>
          <w:tcPr>
            <w:tcW w:w="2868" w:type="dxa"/>
            <w:tcBorders>
              <w:top w:val="nil"/>
              <w:left w:val="nil"/>
              <w:bottom w:val="nil"/>
              <w:right w:val="nil"/>
            </w:tcBorders>
            <w:vAlign w:val="center"/>
          </w:tcPr>
          <w:p>
            <w:pPr>
              <w:pStyle w:val="yTableNAm"/>
              <w:spacing w:before="80"/>
            </w:pPr>
            <w:r>
              <w:rPr>
                <w:szCs w:val="22"/>
              </w:rPr>
              <w:t>Donnybrook</w:t>
            </w:r>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5</w:t>
            </w:r>
          </w:p>
        </w:tc>
      </w:tr>
      <w:tr>
        <w:tc>
          <w:tcPr>
            <w:tcW w:w="2868" w:type="dxa"/>
            <w:tcBorders>
              <w:top w:val="nil"/>
              <w:left w:val="nil"/>
              <w:bottom w:val="nil"/>
              <w:right w:val="nil"/>
            </w:tcBorders>
            <w:vAlign w:val="center"/>
          </w:tcPr>
          <w:p>
            <w:pPr>
              <w:pStyle w:val="yTableNAm"/>
              <w:spacing w:before="80"/>
            </w:pPr>
            <w:r>
              <w:rPr>
                <w:szCs w:val="22"/>
              </w:rPr>
              <w:t>Doodlakine</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Dowerin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Dudinin/Harrismith/Jitarning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Dumbleyung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Dunsborough/Yallingup</w:t>
            </w:r>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6</w:t>
            </w:r>
          </w:p>
        </w:tc>
      </w:tr>
      <w:tr>
        <w:tc>
          <w:tcPr>
            <w:tcW w:w="2868" w:type="dxa"/>
            <w:tcBorders>
              <w:top w:val="nil"/>
              <w:left w:val="nil"/>
              <w:bottom w:val="nil"/>
              <w:right w:val="nil"/>
            </w:tcBorders>
            <w:vAlign w:val="center"/>
          </w:tcPr>
          <w:p>
            <w:pPr>
              <w:pStyle w:val="yTableNAm"/>
              <w:spacing w:before="80"/>
            </w:pPr>
            <w:r>
              <w:rPr>
                <w:szCs w:val="22"/>
              </w:rPr>
              <w:t>Dwellingup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Eneabba</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Eradu</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Esperance</w:t>
            </w:r>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6</w:t>
            </w:r>
          </w:p>
        </w:tc>
      </w:tr>
      <w:tr>
        <w:tc>
          <w:tcPr>
            <w:tcW w:w="2868" w:type="dxa"/>
            <w:tcBorders>
              <w:top w:val="nil"/>
              <w:left w:val="nil"/>
              <w:bottom w:val="nil"/>
              <w:right w:val="nil"/>
            </w:tcBorders>
            <w:vAlign w:val="center"/>
          </w:tcPr>
          <w:p>
            <w:pPr>
              <w:pStyle w:val="yTableNAm"/>
              <w:spacing w:before="80"/>
            </w:pPr>
            <w:r>
              <w:rPr>
                <w:szCs w:val="22"/>
              </w:rPr>
              <w:t>Exmouth</w:t>
            </w:r>
          </w:p>
        </w:tc>
        <w:tc>
          <w:tcPr>
            <w:tcW w:w="1684" w:type="dxa"/>
            <w:tcBorders>
              <w:top w:val="nil"/>
              <w:left w:val="nil"/>
              <w:bottom w:val="nil"/>
              <w:right w:val="nil"/>
            </w:tcBorders>
            <w:vAlign w:val="bottom"/>
          </w:tcPr>
          <w:p>
            <w:pPr>
              <w:pStyle w:val="yTableNAm"/>
              <w:spacing w:before="80"/>
              <w:jc w:val="center"/>
              <w:rPr>
                <w:szCs w:val="24"/>
              </w:rPr>
            </w:pPr>
            <w:r>
              <w:t>4</w:t>
            </w:r>
          </w:p>
        </w:tc>
        <w:tc>
          <w:tcPr>
            <w:tcW w:w="1685" w:type="dxa"/>
            <w:tcBorders>
              <w:top w:val="nil"/>
              <w:left w:val="nil"/>
              <w:bottom w:val="nil"/>
              <w:right w:val="nil"/>
            </w:tcBorders>
            <w:vAlign w:val="bottom"/>
          </w:tcPr>
          <w:p>
            <w:pPr>
              <w:pStyle w:val="yTableNAm"/>
              <w:spacing w:before="80"/>
              <w:jc w:val="center"/>
              <w:rPr>
                <w:szCs w:val="24"/>
              </w:rPr>
            </w:pPr>
            <w:r>
              <w:t>10</w:t>
            </w:r>
          </w:p>
        </w:tc>
      </w:tr>
      <w:tr>
        <w:tc>
          <w:tcPr>
            <w:tcW w:w="2868" w:type="dxa"/>
            <w:tcBorders>
              <w:top w:val="nil"/>
              <w:left w:val="nil"/>
              <w:bottom w:val="nil"/>
              <w:right w:val="nil"/>
            </w:tcBorders>
            <w:vAlign w:val="center"/>
          </w:tcPr>
          <w:p>
            <w:pPr>
              <w:pStyle w:val="yTableNAm"/>
              <w:spacing w:before="80"/>
            </w:pPr>
            <w:r>
              <w:rPr>
                <w:szCs w:val="22"/>
              </w:rPr>
              <w:t>Fitzroy Crossing</w:t>
            </w:r>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2</w:t>
            </w:r>
          </w:p>
        </w:tc>
      </w:tr>
      <w:tr>
        <w:tc>
          <w:tcPr>
            <w:tcW w:w="2868" w:type="dxa"/>
            <w:tcBorders>
              <w:top w:val="nil"/>
              <w:left w:val="nil"/>
              <w:bottom w:val="nil"/>
              <w:right w:val="nil"/>
            </w:tcBorders>
            <w:vAlign w:val="center"/>
          </w:tcPr>
          <w:p>
            <w:pPr>
              <w:pStyle w:val="yTableNAm"/>
              <w:spacing w:before="80"/>
            </w:pPr>
            <w:r>
              <w:rPr>
                <w:szCs w:val="22"/>
              </w:rPr>
              <w:t>Frankland</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Gabbadah</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Gascoyne Junction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Geraldton</w:t>
            </w:r>
          </w:p>
        </w:tc>
        <w:tc>
          <w:tcPr>
            <w:tcW w:w="1684" w:type="dxa"/>
            <w:tcBorders>
              <w:top w:val="nil"/>
              <w:left w:val="nil"/>
              <w:bottom w:val="nil"/>
              <w:right w:val="nil"/>
            </w:tcBorders>
            <w:vAlign w:val="bottom"/>
          </w:tcPr>
          <w:p>
            <w:pPr>
              <w:pStyle w:val="yTableNAm"/>
              <w:spacing w:before="80"/>
              <w:jc w:val="center"/>
              <w:rPr>
                <w:szCs w:val="24"/>
              </w:rPr>
            </w:pPr>
            <w:r>
              <w:t>2</w:t>
            </w:r>
          </w:p>
        </w:tc>
        <w:tc>
          <w:tcPr>
            <w:tcW w:w="1685" w:type="dxa"/>
            <w:tcBorders>
              <w:top w:val="nil"/>
              <w:left w:val="nil"/>
              <w:bottom w:val="nil"/>
              <w:right w:val="nil"/>
            </w:tcBorders>
            <w:vAlign w:val="bottom"/>
          </w:tcPr>
          <w:p>
            <w:pPr>
              <w:pStyle w:val="yTableNAm"/>
              <w:spacing w:before="80"/>
              <w:jc w:val="center"/>
              <w:rPr>
                <w:szCs w:val="24"/>
              </w:rPr>
            </w:pPr>
            <w:r>
              <w:t>2</w:t>
            </w:r>
          </w:p>
        </w:tc>
      </w:tr>
      <w:tr>
        <w:tc>
          <w:tcPr>
            <w:tcW w:w="2868" w:type="dxa"/>
            <w:tcBorders>
              <w:top w:val="nil"/>
              <w:left w:val="nil"/>
              <w:bottom w:val="nil"/>
              <w:right w:val="nil"/>
            </w:tcBorders>
            <w:vAlign w:val="center"/>
          </w:tcPr>
          <w:p>
            <w:pPr>
              <w:pStyle w:val="yTableNAm"/>
              <w:spacing w:before="80"/>
            </w:pPr>
            <w:r>
              <w:rPr>
                <w:szCs w:val="22"/>
              </w:rPr>
              <w:t>Gibson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Gingin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Gnarabup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8</w:t>
            </w:r>
          </w:p>
        </w:tc>
      </w:tr>
      <w:tr>
        <w:tc>
          <w:tcPr>
            <w:tcW w:w="2868" w:type="dxa"/>
            <w:tcBorders>
              <w:top w:val="nil"/>
              <w:left w:val="nil"/>
              <w:bottom w:val="nil"/>
              <w:right w:val="nil"/>
            </w:tcBorders>
            <w:vAlign w:val="center"/>
          </w:tcPr>
          <w:p>
            <w:pPr>
              <w:pStyle w:val="yTableNAm"/>
              <w:spacing w:before="80"/>
            </w:pPr>
            <w:r>
              <w:rPr>
                <w:szCs w:val="22"/>
              </w:rPr>
              <w:t>Gnowangerup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Goomalling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Grass Patch</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PlaceName">
                <w:r>
                  <w:rPr>
                    <w:szCs w:val="22"/>
                  </w:rPr>
                  <w:t>Grass</w:t>
                </w:r>
              </w:smartTag>
              <w:r>
                <w:rPr>
                  <w:szCs w:val="22"/>
                </w:rPr>
                <w:t xml:space="preserve"> </w:t>
              </w:r>
              <w:smartTag w:uri="urn:schemas-microsoft-com:office:smarttags" w:element="PlaceType">
                <w:r>
                  <w:rPr>
                    <w:szCs w:val="22"/>
                  </w:rPr>
                  <w:t>Valley</w:t>
                </w:r>
              </w:smartTag>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Greenbushes</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Greenhead</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Guilderton</w:t>
            </w:r>
          </w:p>
        </w:tc>
        <w:tc>
          <w:tcPr>
            <w:tcW w:w="1684" w:type="dxa"/>
            <w:tcBorders>
              <w:top w:val="nil"/>
              <w:left w:val="nil"/>
              <w:bottom w:val="nil"/>
              <w:right w:val="nil"/>
            </w:tcBorders>
            <w:vAlign w:val="bottom"/>
          </w:tcPr>
          <w:p>
            <w:pPr>
              <w:pStyle w:val="yTableNAm"/>
              <w:spacing w:before="80"/>
              <w:jc w:val="center"/>
              <w:rPr>
                <w:szCs w:val="24"/>
              </w:rPr>
            </w:pPr>
            <w:r>
              <w:t>4</w:t>
            </w:r>
          </w:p>
        </w:tc>
        <w:tc>
          <w:tcPr>
            <w:tcW w:w="1685" w:type="dxa"/>
            <w:tcBorders>
              <w:top w:val="nil"/>
              <w:left w:val="nil"/>
              <w:bottom w:val="nil"/>
              <w:right w:val="nil"/>
            </w:tcBorders>
            <w:vAlign w:val="bottom"/>
          </w:tcPr>
          <w:p>
            <w:pPr>
              <w:pStyle w:val="yTableNAm"/>
              <w:spacing w:before="80"/>
              <w:jc w:val="center"/>
              <w:rPr>
                <w:szCs w:val="24"/>
              </w:rPr>
            </w:pPr>
            <w:r>
              <w:t>9</w:t>
            </w:r>
          </w:p>
        </w:tc>
      </w:tr>
      <w:tr>
        <w:tc>
          <w:tcPr>
            <w:tcW w:w="2868" w:type="dxa"/>
            <w:tcBorders>
              <w:top w:val="nil"/>
              <w:left w:val="nil"/>
              <w:bottom w:val="nil"/>
              <w:right w:val="nil"/>
            </w:tcBorders>
            <w:vAlign w:val="center"/>
          </w:tcPr>
          <w:p>
            <w:pPr>
              <w:pStyle w:val="yTableNAm"/>
              <w:spacing w:before="80"/>
            </w:pPr>
            <w:r>
              <w:rPr>
                <w:szCs w:val="22"/>
              </w:rPr>
              <w:t>Halls Creek</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Hamel/Waroona</w:t>
            </w:r>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5</w:t>
            </w:r>
          </w:p>
        </w:tc>
      </w:tr>
      <w:tr>
        <w:tc>
          <w:tcPr>
            <w:tcW w:w="2868" w:type="dxa"/>
            <w:tcBorders>
              <w:top w:val="nil"/>
              <w:left w:val="nil"/>
              <w:bottom w:val="nil"/>
              <w:right w:val="nil"/>
            </w:tcBorders>
            <w:vAlign w:val="center"/>
          </w:tcPr>
          <w:p>
            <w:pPr>
              <w:pStyle w:val="yTableNAm"/>
              <w:spacing w:before="80"/>
            </w:pPr>
            <w:r>
              <w:rPr>
                <w:szCs w:val="22"/>
              </w:rPr>
              <w:t>Harvey/Wokalup</w:t>
            </w:r>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6</w:t>
            </w:r>
          </w:p>
        </w:tc>
      </w:tr>
      <w:tr>
        <w:tc>
          <w:tcPr>
            <w:tcW w:w="2868" w:type="dxa"/>
            <w:tcBorders>
              <w:top w:val="nil"/>
              <w:left w:val="nil"/>
              <w:bottom w:val="nil"/>
              <w:right w:val="nil"/>
            </w:tcBorders>
            <w:vAlign w:val="center"/>
          </w:tcPr>
          <w:p>
            <w:pPr>
              <w:pStyle w:val="yTableNAm"/>
              <w:spacing w:before="80"/>
            </w:pPr>
            <w:r>
              <w:rPr>
                <w:szCs w:val="22"/>
              </w:rPr>
              <w:t>Highbury/Piesseville</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Hines Hill</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Hopetoun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Horrocks</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Hyden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Jerramungup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PlaceName">
                <w:r>
                  <w:rPr>
                    <w:szCs w:val="22"/>
                  </w:rPr>
                  <w:t>Jurien</w:t>
                </w:r>
              </w:smartTag>
              <w:r>
                <w:rPr>
                  <w:szCs w:val="22"/>
                </w:rPr>
                <w:t xml:space="preserve"> </w:t>
              </w:r>
              <w:smartTag w:uri="urn:schemas-microsoft-com:office:smarttags" w:element="PlaceType">
                <w:r>
                  <w:rPr>
                    <w:szCs w:val="22"/>
                  </w:rPr>
                  <w:t>Bay</w:t>
                </w:r>
              </w:smartTag>
            </w:smartTag>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4</w:t>
            </w:r>
          </w:p>
        </w:tc>
      </w:tr>
      <w:tr>
        <w:tc>
          <w:tcPr>
            <w:tcW w:w="2868" w:type="dxa"/>
            <w:tcBorders>
              <w:top w:val="nil"/>
              <w:left w:val="nil"/>
              <w:bottom w:val="nil"/>
              <w:right w:val="nil"/>
            </w:tcBorders>
            <w:vAlign w:val="center"/>
          </w:tcPr>
          <w:p>
            <w:pPr>
              <w:pStyle w:val="yTableNAm"/>
              <w:spacing w:before="80"/>
            </w:pPr>
            <w:r>
              <w:rPr>
                <w:szCs w:val="22"/>
              </w:rPr>
              <w:t>Kalannie</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Kalbarri</w:t>
            </w:r>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3</w:t>
            </w:r>
          </w:p>
        </w:tc>
      </w:tr>
      <w:tr>
        <w:tc>
          <w:tcPr>
            <w:tcW w:w="2868" w:type="dxa"/>
            <w:tcBorders>
              <w:top w:val="nil"/>
              <w:left w:val="nil"/>
              <w:bottom w:val="nil"/>
              <w:right w:val="nil"/>
            </w:tcBorders>
            <w:vAlign w:val="center"/>
          </w:tcPr>
          <w:p>
            <w:pPr>
              <w:pStyle w:val="yTableNAm"/>
              <w:spacing w:before="80"/>
            </w:pPr>
            <w:r>
              <w:rPr>
                <w:szCs w:val="22"/>
              </w:rPr>
              <w:t>Kalgoorlie/Boulder</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Kambalda</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10</w:t>
            </w:r>
          </w:p>
        </w:tc>
      </w:tr>
      <w:tr>
        <w:tc>
          <w:tcPr>
            <w:tcW w:w="2868" w:type="dxa"/>
            <w:tcBorders>
              <w:top w:val="nil"/>
              <w:left w:val="nil"/>
              <w:bottom w:val="nil"/>
              <w:right w:val="nil"/>
            </w:tcBorders>
            <w:vAlign w:val="center"/>
          </w:tcPr>
          <w:p>
            <w:pPr>
              <w:pStyle w:val="yTableNAm"/>
              <w:spacing w:before="80"/>
            </w:pPr>
            <w:r>
              <w:rPr>
                <w:szCs w:val="22"/>
              </w:rPr>
              <w:t>Karakin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Karlgarin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Karratha</w:t>
            </w:r>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7</w:t>
            </w:r>
          </w:p>
        </w:tc>
      </w:tr>
      <w:tr>
        <w:tc>
          <w:tcPr>
            <w:tcW w:w="2868" w:type="dxa"/>
            <w:tcBorders>
              <w:top w:val="nil"/>
              <w:left w:val="nil"/>
              <w:bottom w:val="nil"/>
              <w:right w:val="nil"/>
            </w:tcBorders>
            <w:vAlign w:val="center"/>
          </w:tcPr>
          <w:p>
            <w:pPr>
              <w:pStyle w:val="yTableNAm"/>
              <w:spacing w:before="80"/>
            </w:pPr>
            <w:r>
              <w:rPr>
                <w:szCs w:val="22"/>
              </w:rPr>
              <w:t>Katanning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Katanning Farmlands</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Kellerberrin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Kendenup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Kendenup Farmlands</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Kirup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Kojonup/Muradup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Kondinin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Koorda</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Kukerin/Moulyinning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Kulin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Kununoppin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tcPr>
          <w:p>
            <w:pPr>
              <w:pStyle w:val="yTableNAm"/>
              <w:spacing w:before="80"/>
            </w:pPr>
            <w:r>
              <w:rPr>
                <w:szCs w:val="22"/>
              </w:rPr>
              <w:t>Kununurra</w:t>
            </w:r>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3</w:t>
            </w:r>
          </w:p>
        </w:tc>
      </w:tr>
      <w:tr>
        <w:tc>
          <w:tcPr>
            <w:tcW w:w="2868" w:type="dxa"/>
            <w:tcBorders>
              <w:top w:val="nil"/>
              <w:left w:val="nil"/>
              <w:bottom w:val="nil"/>
              <w:right w:val="nil"/>
            </w:tcBorders>
            <w:vAlign w:val="center"/>
          </w:tcPr>
          <w:p>
            <w:pPr>
              <w:pStyle w:val="yTableNAm"/>
              <w:spacing w:before="80"/>
            </w:pPr>
            <w:r>
              <w:rPr>
                <w:szCs w:val="22"/>
              </w:rPr>
              <w:t xml:space="preserve">Lake </w:t>
            </w:r>
            <w:smartTag w:uri="urn:schemas-microsoft-com:office:smarttags" w:element="PlaceName">
              <w:r>
                <w:rPr>
                  <w:szCs w:val="22"/>
                </w:rPr>
                <w:t>Grace</w:t>
              </w:r>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PlaceType">
                <w:r>
                  <w:rPr>
                    <w:szCs w:val="22"/>
                  </w:rPr>
                  <w:t>Lake</w:t>
                </w:r>
              </w:smartTag>
              <w:r>
                <w:rPr>
                  <w:szCs w:val="22"/>
                </w:rPr>
                <w:t xml:space="preserve"> </w:t>
              </w:r>
              <w:smartTag w:uri="urn:schemas-microsoft-com:office:smarttags" w:element="PlaceName">
                <w:r>
                  <w:rPr>
                    <w:szCs w:val="22"/>
                  </w:rPr>
                  <w:t>King</w:t>
                </w:r>
              </w:smartTag>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Lancelin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Latham</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Laverton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Ledge Point</w:t>
            </w:r>
          </w:p>
        </w:tc>
        <w:tc>
          <w:tcPr>
            <w:tcW w:w="1684" w:type="dxa"/>
            <w:tcBorders>
              <w:top w:val="nil"/>
              <w:left w:val="nil"/>
              <w:bottom w:val="nil"/>
              <w:right w:val="nil"/>
            </w:tcBorders>
            <w:vAlign w:val="bottom"/>
          </w:tcPr>
          <w:p>
            <w:pPr>
              <w:pStyle w:val="yTableNAm"/>
              <w:spacing w:before="80"/>
              <w:jc w:val="center"/>
              <w:rPr>
                <w:szCs w:val="24"/>
              </w:rPr>
            </w:pPr>
            <w:r>
              <w:t>4</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Leeman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Leonora</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Mandurah</w:t>
            </w:r>
          </w:p>
        </w:tc>
        <w:tc>
          <w:tcPr>
            <w:tcW w:w="1684" w:type="dxa"/>
            <w:tcBorders>
              <w:top w:val="nil"/>
              <w:left w:val="nil"/>
              <w:bottom w:val="nil"/>
              <w:right w:val="nil"/>
            </w:tcBorders>
            <w:vAlign w:val="bottom"/>
          </w:tcPr>
          <w:p>
            <w:pPr>
              <w:pStyle w:val="yTableNAm"/>
              <w:spacing w:before="80"/>
              <w:jc w:val="center"/>
              <w:rPr>
                <w:szCs w:val="24"/>
              </w:rPr>
            </w:pPr>
            <w:r>
              <w:t>2</w:t>
            </w:r>
          </w:p>
        </w:tc>
        <w:tc>
          <w:tcPr>
            <w:tcW w:w="1685" w:type="dxa"/>
            <w:tcBorders>
              <w:top w:val="nil"/>
              <w:left w:val="nil"/>
              <w:bottom w:val="nil"/>
              <w:right w:val="nil"/>
            </w:tcBorders>
            <w:vAlign w:val="bottom"/>
          </w:tcPr>
          <w:p>
            <w:pPr>
              <w:pStyle w:val="yTableNAm"/>
              <w:spacing w:before="80"/>
              <w:jc w:val="center"/>
              <w:rPr>
                <w:szCs w:val="24"/>
              </w:rPr>
            </w:pPr>
            <w:r>
              <w:t>4</w:t>
            </w:r>
          </w:p>
        </w:tc>
      </w:tr>
      <w:tr>
        <w:tc>
          <w:tcPr>
            <w:tcW w:w="2868" w:type="dxa"/>
            <w:tcBorders>
              <w:top w:val="nil"/>
              <w:left w:val="nil"/>
              <w:bottom w:val="nil"/>
              <w:right w:val="nil"/>
            </w:tcBorders>
            <w:vAlign w:val="center"/>
          </w:tcPr>
          <w:p>
            <w:pPr>
              <w:pStyle w:val="yTableNAm"/>
              <w:spacing w:before="80"/>
            </w:pPr>
            <w:r>
              <w:rPr>
                <w:szCs w:val="22"/>
              </w:rPr>
              <w:t>Manjimup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11</w:t>
            </w:r>
          </w:p>
        </w:tc>
      </w:tr>
      <w:tr>
        <w:tc>
          <w:tcPr>
            <w:tcW w:w="2868" w:type="dxa"/>
            <w:tcBorders>
              <w:top w:val="nil"/>
              <w:left w:val="nil"/>
              <w:bottom w:val="nil"/>
              <w:right w:val="nil"/>
            </w:tcBorders>
            <w:vAlign w:val="center"/>
          </w:tcPr>
          <w:p>
            <w:pPr>
              <w:pStyle w:val="yTableNAm"/>
              <w:spacing w:before="80"/>
            </w:pPr>
            <w:r>
              <w:rPr>
                <w:szCs w:val="22"/>
              </w:rPr>
              <w:t>Marble Bar</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PlaceName">
                <w:r>
                  <w:rPr>
                    <w:szCs w:val="22"/>
                  </w:rPr>
                  <w:t>Margaret</w:t>
                </w:r>
              </w:smartTag>
              <w:r>
                <w:rPr>
                  <w:szCs w:val="22"/>
                </w:rPr>
                <w:t xml:space="preserve"> </w:t>
              </w:r>
              <w:smartTag w:uri="urn:schemas-microsoft-com:office:smarttags" w:element="PlaceName">
                <w:r>
                  <w:rPr>
                    <w:szCs w:val="22"/>
                  </w:rPr>
                  <w:t>River</w:t>
                </w:r>
              </w:smartTag>
            </w:smartTag>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6</w:t>
            </w:r>
          </w:p>
        </w:tc>
      </w:tr>
      <w:tr>
        <w:tc>
          <w:tcPr>
            <w:tcW w:w="2868" w:type="dxa"/>
            <w:tcBorders>
              <w:top w:val="nil"/>
              <w:left w:val="nil"/>
              <w:bottom w:val="nil"/>
              <w:right w:val="nil"/>
            </w:tcBorders>
            <w:vAlign w:val="center"/>
          </w:tcPr>
          <w:p>
            <w:pPr>
              <w:pStyle w:val="yTableNAm"/>
              <w:spacing w:before="80"/>
            </w:pPr>
            <w:r>
              <w:rPr>
                <w:szCs w:val="22"/>
              </w:rPr>
              <w:t xml:space="preserve">Marvel </w:t>
            </w:r>
            <w:smartTag w:uri="urn:schemas-microsoft-com:office:smarttags" w:element="place">
              <w:r>
                <w:rPr>
                  <w:szCs w:val="22"/>
                </w:rPr>
                <w:t>Loch</w:t>
              </w:r>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Meckering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Meekatharra</w:t>
            </w:r>
          </w:p>
        </w:tc>
        <w:tc>
          <w:tcPr>
            <w:tcW w:w="1684" w:type="dxa"/>
            <w:tcBorders>
              <w:top w:val="nil"/>
              <w:left w:val="nil"/>
              <w:bottom w:val="nil"/>
              <w:right w:val="nil"/>
            </w:tcBorders>
            <w:vAlign w:val="bottom"/>
          </w:tcPr>
          <w:p>
            <w:pPr>
              <w:pStyle w:val="yTableNAm"/>
              <w:spacing w:before="80"/>
              <w:jc w:val="center"/>
              <w:rPr>
                <w:szCs w:val="24"/>
              </w:rPr>
            </w:pPr>
            <w:r>
              <w:t>4</w:t>
            </w:r>
          </w:p>
        </w:tc>
        <w:tc>
          <w:tcPr>
            <w:tcW w:w="1685" w:type="dxa"/>
            <w:tcBorders>
              <w:top w:val="nil"/>
              <w:left w:val="nil"/>
              <w:bottom w:val="nil"/>
              <w:right w:val="nil"/>
            </w:tcBorders>
            <w:vAlign w:val="bottom"/>
          </w:tcPr>
          <w:p>
            <w:pPr>
              <w:pStyle w:val="yTableNAm"/>
              <w:spacing w:before="80"/>
              <w:jc w:val="center"/>
              <w:rPr>
                <w:szCs w:val="24"/>
              </w:rPr>
            </w:pPr>
            <w:r>
              <w:t>11</w:t>
            </w:r>
          </w:p>
        </w:tc>
      </w:tr>
      <w:tr>
        <w:tc>
          <w:tcPr>
            <w:tcW w:w="2868" w:type="dxa"/>
            <w:tcBorders>
              <w:top w:val="nil"/>
              <w:left w:val="nil"/>
              <w:bottom w:val="nil"/>
              <w:right w:val="nil"/>
            </w:tcBorders>
            <w:vAlign w:val="center"/>
          </w:tcPr>
          <w:p>
            <w:pPr>
              <w:pStyle w:val="yTableNAm"/>
              <w:spacing w:before="80"/>
            </w:pPr>
            <w:r>
              <w:rPr>
                <w:szCs w:val="22"/>
              </w:rPr>
              <w:t>Menzies</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Merredin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Merredin Farmlands</w:t>
            </w:r>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9</w:t>
            </w:r>
          </w:p>
        </w:tc>
      </w:tr>
      <w:tr>
        <w:tc>
          <w:tcPr>
            <w:tcW w:w="2868" w:type="dxa"/>
            <w:tcBorders>
              <w:top w:val="nil"/>
              <w:left w:val="nil"/>
              <w:bottom w:val="nil"/>
              <w:right w:val="nil"/>
            </w:tcBorders>
            <w:vAlign w:val="center"/>
          </w:tcPr>
          <w:p>
            <w:pPr>
              <w:pStyle w:val="yTableNAm"/>
              <w:spacing w:before="80"/>
            </w:pPr>
            <w:r>
              <w:rPr>
                <w:szCs w:val="22"/>
              </w:rPr>
              <w:t>Miling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Mingenew</w:t>
            </w:r>
          </w:p>
        </w:tc>
        <w:tc>
          <w:tcPr>
            <w:tcW w:w="1684" w:type="dxa"/>
            <w:tcBorders>
              <w:top w:val="nil"/>
              <w:left w:val="nil"/>
              <w:bottom w:val="nil"/>
              <w:right w:val="nil"/>
            </w:tcBorders>
            <w:vAlign w:val="bottom"/>
          </w:tcPr>
          <w:p>
            <w:pPr>
              <w:pStyle w:val="yTableNAm"/>
              <w:spacing w:before="80"/>
              <w:jc w:val="center"/>
              <w:rPr>
                <w:szCs w:val="24"/>
              </w:rPr>
            </w:pPr>
            <w:r>
              <w:t>4</w:t>
            </w:r>
          </w:p>
        </w:tc>
        <w:tc>
          <w:tcPr>
            <w:tcW w:w="1685" w:type="dxa"/>
            <w:tcBorders>
              <w:top w:val="nil"/>
              <w:left w:val="nil"/>
              <w:bottom w:val="nil"/>
              <w:right w:val="nil"/>
            </w:tcBorders>
            <w:vAlign w:val="bottom"/>
          </w:tcPr>
          <w:p>
            <w:pPr>
              <w:pStyle w:val="yTableNAm"/>
              <w:spacing w:before="80"/>
              <w:jc w:val="center"/>
              <w:rPr>
                <w:szCs w:val="24"/>
              </w:rPr>
            </w:pPr>
            <w:r>
              <w:t>11</w:t>
            </w:r>
          </w:p>
        </w:tc>
      </w:tr>
      <w:tr>
        <w:tc>
          <w:tcPr>
            <w:tcW w:w="2868" w:type="dxa"/>
            <w:tcBorders>
              <w:top w:val="nil"/>
              <w:left w:val="nil"/>
              <w:bottom w:val="nil"/>
              <w:right w:val="nil"/>
            </w:tcBorders>
            <w:vAlign w:val="center"/>
          </w:tcPr>
          <w:p>
            <w:pPr>
              <w:pStyle w:val="yTableNAm"/>
              <w:spacing w:before="80"/>
            </w:pPr>
            <w:r>
              <w:rPr>
                <w:szCs w:val="22"/>
              </w:rPr>
              <w:t>Moora</w:t>
            </w:r>
          </w:p>
        </w:tc>
        <w:tc>
          <w:tcPr>
            <w:tcW w:w="1684" w:type="dxa"/>
            <w:tcBorders>
              <w:top w:val="nil"/>
              <w:left w:val="nil"/>
              <w:bottom w:val="nil"/>
              <w:right w:val="nil"/>
            </w:tcBorders>
            <w:vAlign w:val="bottom"/>
          </w:tcPr>
          <w:p>
            <w:pPr>
              <w:pStyle w:val="yTableNAm"/>
              <w:spacing w:before="80"/>
              <w:jc w:val="center"/>
              <w:rPr>
                <w:szCs w:val="24"/>
              </w:rPr>
            </w:pPr>
            <w:r>
              <w:t>2</w:t>
            </w:r>
          </w:p>
        </w:tc>
        <w:tc>
          <w:tcPr>
            <w:tcW w:w="1685" w:type="dxa"/>
            <w:tcBorders>
              <w:top w:val="nil"/>
              <w:left w:val="nil"/>
              <w:bottom w:val="nil"/>
              <w:right w:val="nil"/>
            </w:tcBorders>
            <w:vAlign w:val="bottom"/>
          </w:tcPr>
          <w:p>
            <w:pPr>
              <w:pStyle w:val="yTableNAm"/>
              <w:spacing w:before="80"/>
              <w:jc w:val="center"/>
              <w:rPr>
                <w:szCs w:val="24"/>
              </w:rPr>
            </w:pPr>
            <w:r>
              <w:t>3</w:t>
            </w:r>
          </w:p>
        </w:tc>
      </w:tr>
      <w:tr>
        <w:tc>
          <w:tcPr>
            <w:tcW w:w="2868" w:type="dxa"/>
            <w:tcBorders>
              <w:top w:val="nil"/>
              <w:left w:val="nil"/>
              <w:bottom w:val="nil"/>
              <w:right w:val="nil"/>
            </w:tcBorders>
            <w:vAlign w:val="center"/>
          </w:tcPr>
          <w:p>
            <w:pPr>
              <w:pStyle w:val="yTableNAm"/>
              <w:spacing w:before="80"/>
            </w:pPr>
            <w:r>
              <w:rPr>
                <w:szCs w:val="22"/>
              </w:rPr>
              <w:t>Moorine Rock</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Morawa</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Barker</w:t>
                </w:r>
              </w:smartTag>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Magnet</w:t>
                </w:r>
              </w:smartTag>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Roe</w:t>
                </w:r>
              </w:smartTag>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Mukinbudin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Mullalyup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Mullewa</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11</w:t>
            </w:r>
          </w:p>
        </w:tc>
      </w:tr>
      <w:tr>
        <w:tc>
          <w:tcPr>
            <w:tcW w:w="2868" w:type="dxa"/>
            <w:tcBorders>
              <w:top w:val="nil"/>
              <w:left w:val="nil"/>
              <w:bottom w:val="nil"/>
              <w:right w:val="nil"/>
            </w:tcBorders>
            <w:vAlign w:val="center"/>
          </w:tcPr>
          <w:p>
            <w:pPr>
              <w:pStyle w:val="yTableNAm"/>
              <w:spacing w:before="80"/>
            </w:pPr>
            <w:r>
              <w:rPr>
                <w:szCs w:val="22"/>
              </w:rPr>
              <w:t>Mullewa Farmlands</w:t>
            </w:r>
          </w:p>
        </w:tc>
        <w:tc>
          <w:tcPr>
            <w:tcW w:w="1684" w:type="dxa"/>
            <w:tcBorders>
              <w:top w:val="nil"/>
              <w:left w:val="nil"/>
              <w:bottom w:val="nil"/>
              <w:right w:val="nil"/>
            </w:tcBorders>
            <w:vAlign w:val="bottom"/>
          </w:tcPr>
          <w:p>
            <w:pPr>
              <w:pStyle w:val="yTableNAm"/>
              <w:spacing w:before="80"/>
              <w:jc w:val="center"/>
              <w:rPr>
                <w:szCs w:val="24"/>
              </w:rPr>
            </w:pPr>
            <w:r>
              <w:t>4</w:t>
            </w:r>
          </w:p>
        </w:tc>
        <w:tc>
          <w:tcPr>
            <w:tcW w:w="1685" w:type="dxa"/>
            <w:tcBorders>
              <w:top w:val="nil"/>
              <w:left w:val="nil"/>
              <w:bottom w:val="nil"/>
              <w:right w:val="nil"/>
            </w:tcBorders>
            <w:vAlign w:val="bottom"/>
          </w:tcPr>
          <w:p>
            <w:pPr>
              <w:pStyle w:val="yTableNAm"/>
              <w:spacing w:before="80"/>
              <w:jc w:val="center"/>
              <w:rPr>
                <w:szCs w:val="24"/>
              </w:rPr>
            </w:pPr>
            <w:r>
              <w:t>13</w:t>
            </w:r>
          </w:p>
        </w:tc>
      </w:tr>
      <w:tr>
        <w:tc>
          <w:tcPr>
            <w:tcW w:w="2868" w:type="dxa"/>
            <w:tcBorders>
              <w:top w:val="nil"/>
              <w:left w:val="nil"/>
              <w:bottom w:val="nil"/>
              <w:right w:val="nil"/>
            </w:tcBorders>
            <w:vAlign w:val="center"/>
          </w:tcPr>
          <w:p>
            <w:pPr>
              <w:pStyle w:val="yTableNAm"/>
              <w:spacing w:before="80"/>
            </w:pPr>
            <w:r>
              <w:rPr>
                <w:szCs w:val="22"/>
              </w:rPr>
              <w:t>Munglinup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Muntadgin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Myalup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Nabawa</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Nannup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Narembeen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Narngulu</w:t>
            </w:r>
          </w:p>
        </w:tc>
        <w:tc>
          <w:tcPr>
            <w:tcW w:w="1684" w:type="dxa"/>
            <w:tcBorders>
              <w:top w:val="nil"/>
              <w:left w:val="nil"/>
              <w:bottom w:val="nil"/>
              <w:right w:val="nil"/>
            </w:tcBorders>
            <w:vAlign w:val="bottom"/>
          </w:tcPr>
          <w:p>
            <w:pPr>
              <w:pStyle w:val="yTableNAm"/>
              <w:spacing w:before="80"/>
              <w:jc w:val="center"/>
              <w:rPr>
                <w:szCs w:val="24"/>
              </w:rPr>
            </w:pPr>
            <w:r>
              <w:t>1</w:t>
            </w:r>
          </w:p>
        </w:tc>
        <w:tc>
          <w:tcPr>
            <w:tcW w:w="1685" w:type="dxa"/>
            <w:tcBorders>
              <w:top w:val="nil"/>
              <w:left w:val="nil"/>
              <w:bottom w:val="nil"/>
              <w:right w:val="nil"/>
            </w:tcBorders>
            <w:vAlign w:val="bottom"/>
          </w:tcPr>
          <w:p>
            <w:pPr>
              <w:pStyle w:val="yTableNAm"/>
              <w:spacing w:before="80"/>
              <w:jc w:val="center"/>
              <w:rPr>
                <w:szCs w:val="24"/>
              </w:rPr>
            </w:pPr>
            <w:r>
              <w:t>1</w:t>
            </w:r>
          </w:p>
        </w:tc>
      </w:tr>
      <w:tr>
        <w:tc>
          <w:tcPr>
            <w:tcW w:w="2868" w:type="dxa"/>
            <w:tcBorders>
              <w:top w:val="nil"/>
              <w:left w:val="nil"/>
              <w:bottom w:val="nil"/>
              <w:right w:val="nil"/>
            </w:tcBorders>
            <w:vAlign w:val="center"/>
          </w:tcPr>
          <w:p>
            <w:pPr>
              <w:pStyle w:val="yTableNAm"/>
              <w:spacing w:before="80"/>
            </w:pPr>
            <w:r>
              <w:rPr>
                <w:szCs w:val="22"/>
              </w:rPr>
              <w:t>Narrikup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Narrogin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Narrogin Farmlands</w:t>
            </w:r>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9</w:t>
            </w:r>
          </w:p>
        </w:tc>
      </w:tr>
      <w:tr>
        <w:tc>
          <w:tcPr>
            <w:tcW w:w="2868" w:type="dxa"/>
            <w:tcBorders>
              <w:top w:val="nil"/>
              <w:left w:val="nil"/>
              <w:bottom w:val="nil"/>
              <w:right w:val="nil"/>
            </w:tcBorders>
            <w:vAlign w:val="center"/>
          </w:tcPr>
          <w:p>
            <w:pPr>
              <w:pStyle w:val="yTableNAm"/>
              <w:spacing w:before="80"/>
            </w:pPr>
            <w:r>
              <w:rPr>
                <w:szCs w:val="22"/>
              </w:rPr>
              <w:t>New Norcia</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Newdegate</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Newman</w:t>
            </w:r>
          </w:p>
        </w:tc>
        <w:tc>
          <w:tcPr>
            <w:tcW w:w="1684" w:type="dxa"/>
            <w:tcBorders>
              <w:top w:val="nil"/>
              <w:left w:val="nil"/>
              <w:bottom w:val="nil"/>
              <w:right w:val="nil"/>
            </w:tcBorders>
            <w:vAlign w:val="bottom"/>
          </w:tcPr>
          <w:p>
            <w:pPr>
              <w:pStyle w:val="yTableNAm"/>
              <w:spacing w:before="80"/>
              <w:jc w:val="center"/>
              <w:rPr>
                <w:szCs w:val="24"/>
              </w:rPr>
            </w:pPr>
            <w:r>
              <w:t>2</w:t>
            </w:r>
          </w:p>
        </w:tc>
        <w:tc>
          <w:tcPr>
            <w:tcW w:w="1685" w:type="dxa"/>
            <w:tcBorders>
              <w:top w:val="nil"/>
              <w:left w:val="nil"/>
              <w:bottom w:val="nil"/>
              <w:right w:val="nil"/>
            </w:tcBorders>
            <w:vAlign w:val="bottom"/>
          </w:tcPr>
          <w:p>
            <w:pPr>
              <w:pStyle w:val="yTableNAm"/>
              <w:spacing w:before="80"/>
              <w:jc w:val="center"/>
              <w:rPr>
                <w:szCs w:val="24"/>
              </w:rPr>
            </w:pPr>
            <w:r>
              <w:t>2</w:t>
            </w:r>
          </w:p>
        </w:tc>
      </w:tr>
      <w:tr>
        <w:tc>
          <w:tcPr>
            <w:tcW w:w="2868" w:type="dxa"/>
            <w:tcBorders>
              <w:top w:val="nil"/>
              <w:left w:val="nil"/>
              <w:bottom w:val="nil"/>
              <w:right w:val="nil"/>
            </w:tcBorders>
            <w:vAlign w:val="center"/>
          </w:tcPr>
          <w:p>
            <w:pPr>
              <w:pStyle w:val="yTableNAm"/>
              <w:spacing w:before="80"/>
            </w:pPr>
            <w:r>
              <w:rPr>
                <w:szCs w:val="22"/>
              </w:rPr>
              <w:t>Nilgen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9</w:t>
            </w:r>
          </w:p>
        </w:tc>
      </w:tr>
      <w:tr>
        <w:tc>
          <w:tcPr>
            <w:tcW w:w="2868" w:type="dxa"/>
            <w:tcBorders>
              <w:top w:val="nil"/>
              <w:left w:val="nil"/>
              <w:bottom w:val="nil"/>
              <w:right w:val="nil"/>
            </w:tcBorders>
            <w:vAlign w:val="center"/>
          </w:tcPr>
          <w:p>
            <w:pPr>
              <w:pStyle w:val="yTableNAm"/>
              <w:spacing w:before="80"/>
            </w:pPr>
            <w:r>
              <w:rPr>
                <w:szCs w:val="22"/>
              </w:rPr>
              <w:t>Norseman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smartTag w:uri="urn:schemas-microsoft-com:office:smarttags" w:element="place">
              <w:r>
                <w:rPr>
                  <w:szCs w:val="22"/>
                </w:rPr>
                <w:t>North Dandalup</w:t>
              </w:r>
            </w:smartTag>
          </w:p>
        </w:tc>
        <w:tc>
          <w:tcPr>
            <w:tcW w:w="1684" w:type="dxa"/>
            <w:tcBorders>
              <w:top w:val="nil"/>
              <w:left w:val="nil"/>
              <w:bottom w:val="nil"/>
              <w:right w:val="nil"/>
            </w:tcBorders>
            <w:vAlign w:val="bottom"/>
          </w:tcPr>
          <w:p>
            <w:pPr>
              <w:pStyle w:val="yTableNAm"/>
              <w:spacing w:before="80"/>
              <w:jc w:val="center"/>
              <w:rPr>
                <w:szCs w:val="24"/>
              </w:rPr>
            </w:pPr>
            <w:r>
              <w:t>4</w:t>
            </w:r>
          </w:p>
        </w:tc>
        <w:tc>
          <w:tcPr>
            <w:tcW w:w="1685" w:type="dxa"/>
            <w:tcBorders>
              <w:top w:val="nil"/>
              <w:left w:val="nil"/>
              <w:bottom w:val="nil"/>
              <w:right w:val="nil"/>
            </w:tcBorders>
            <w:vAlign w:val="bottom"/>
          </w:tcPr>
          <w:p>
            <w:pPr>
              <w:pStyle w:val="yTableNAm"/>
              <w:spacing w:before="80"/>
              <w:jc w:val="center"/>
              <w:rPr>
                <w:szCs w:val="24"/>
              </w:rPr>
            </w:pPr>
            <w:r>
              <w:t>10</w:t>
            </w:r>
          </w:p>
        </w:tc>
      </w:tr>
      <w:tr>
        <w:tc>
          <w:tcPr>
            <w:tcW w:w="2868" w:type="dxa"/>
            <w:tcBorders>
              <w:top w:val="nil"/>
              <w:left w:val="nil"/>
              <w:bottom w:val="nil"/>
              <w:right w:val="nil"/>
            </w:tcBorders>
            <w:vAlign w:val="center"/>
          </w:tcPr>
          <w:p>
            <w:pPr>
              <w:pStyle w:val="yTableNAm"/>
              <w:spacing w:before="80"/>
            </w:pPr>
            <w:r>
              <w:rPr>
                <w:szCs w:val="22"/>
              </w:rPr>
              <w:t>Northam</w:t>
            </w:r>
          </w:p>
        </w:tc>
        <w:tc>
          <w:tcPr>
            <w:tcW w:w="1684" w:type="dxa"/>
            <w:tcBorders>
              <w:top w:val="nil"/>
              <w:left w:val="nil"/>
              <w:bottom w:val="nil"/>
              <w:right w:val="nil"/>
            </w:tcBorders>
            <w:vAlign w:val="bottom"/>
          </w:tcPr>
          <w:p>
            <w:pPr>
              <w:pStyle w:val="yTableNAm"/>
              <w:spacing w:before="80"/>
              <w:jc w:val="center"/>
              <w:rPr>
                <w:szCs w:val="24"/>
              </w:rPr>
            </w:pPr>
            <w:r>
              <w:t>4</w:t>
            </w:r>
          </w:p>
        </w:tc>
        <w:tc>
          <w:tcPr>
            <w:tcW w:w="1685" w:type="dxa"/>
            <w:tcBorders>
              <w:top w:val="nil"/>
              <w:left w:val="nil"/>
              <w:bottom w:val="nil"/>
              <w:right w:val="nil"/>
            </w:tcBorders>
            <w:vAlign w:val="bottom"/>
          </w:tcPr>
          <w:p>
            <w:pPr>
              <w:pStyle w:val="yTableNAm"/>
              <w:spacing w:before="80"/>
              <w:jc w:val="center"/>
              <w:rPr>
                <w:szCs w:val="24"/>
              </w:rPr>
            </w:pPr>
            <w:r>
              <w:t>8</w:t>
            </w:r>
          </w:p>
        </w:tc>
      </w:tr>
      <w:tr>
        <w:tc>
          <w:tcPr>
            <w:tcW w:w="2868" w:type="dxa"/>
            <w:tcBorders>
              <w:top w:val="nil"/>
              <w:left w:val="nil"/>
              <w:bottom w:val="nil"/>
              <w:right w:val="nil"/>
            </w:tcBorders>
            <w:vAlign w:val="center"/>
          </w:tcPr>
          <w:p>
            <w:pPr>
              <w:pStyle w:val="yTableNAm"/>
              <w:spacing w:before="80"/>
            </w:pPr>
            <w:r>
              <w:rPr>
                <w:szCs w:val="22"/>
              </w:rPr>
              <w:t>Northam Farmlands</w:t>
            </w:r>
          </w:p>
        </w:tc>
        <w:tc>
          <w:tcPr>
            <w:tcW w:w="1684" w:type="dxa"/>
            <w:tcBorders>
              <w:top w:val="nil"/>
              <w:left w:val="nil"/>
              <w:bottom w:val="nil"/>
              <w:right w:val="nil"/>
            </w:tcBorders>
            <w:vAlign w:val="bottom"/>
          </w:tcPr>
          <w:p>
            <w:pPr>
              <w:pStyle w:val="yTableNAm"/>
              <w:spacing w:before="80"/>
              <w:jc w:val="center"/>
              <w:rPr>
                <w:szCs w:val="24"/>
              </w:rPr>
            </w:pPr>
            <w:r>
              <w:t>3</w:t>
            </w:r>
          </w:p>
        </w:tc>
        <w:tc>
          <w:tcPr>
            <w:tcW w:w="1685" w:type="dxa"/>
            <w:tcBorders>
              <w:top w:val="nil"/>
              <w:left w:val="nil"/>
              <w:bottom w:val="nil"/>
              <w:right w:val="nil"/>
            </w:tcBorders>
            <w:vAlign w:val="bottom"/>
          </w:tcPr>
          <w:p>
            <w:pPr>
              <w:pStyle w:val="yTableNAm"/>
              <w:spacing w:before="80"/>
              <w:jc w:val="center"/>
              <w:rPr>
                <w:szCs w:val="24"/>
              </w:rPr>
            </w:pPr>
            <w:r>
              <w:t>9</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City">
                <w:r>
                  <w:rPr>
                    <w:szCs w:val="22"/>
                  </w:rPr>
                  <w:t>Northampton</w:t>
                </w:r>
              </w:smartTag>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Northcliffe</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Nullagine</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Nungarin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Nyabing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Ongerup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Onslow</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Ora Banda</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City">
                <w:r>
                  <w:rPr>
                    <w:szCs w:val="22"/>
                  </w:rPr>
                  <w:t>Park Ridge</w:t>
                </w:r>
              </w:smartTag>
            </w:smartTag>
          </w:p>
        </w:tc>
        <w:tc>
          <w:tcPr>
            <w:tcW w:w="1684" w:type="dxa"/>
            <w:tcBorders>
              <w:top w:val="nil"/>
              <w:left w:val="nil"/>
              <w:bottom w:val="nil"/>
              <w:right w:val="nil"/>
            </w:tcBorders>
            <w:vAlign w:val="bottom"/>
          </w:tcPr>
          <w:p>
            <w:pPr>
              <w:pStyle w:val="yTableNAm"/>
              <w:spacing w:before="80"/>
              <w:jc w:val="center"/>
              <w:rPr>
                <w:szCs w:val="24"/>
              </w:rPr>
            </w:pPr>
            <w:r>
              <w:t>4</w:t>
            </w:r>
          </w:p>
        </w:tc>
        <w:tc>
          <w:tcPr>
            <w:tcW w:w="1685" w:type="dxa"/>
            <w:tcBorders>
              <w:top w:val="nil"/>
              <w:left w:val="nil"/>
              <w:bottom w:val="nil"/>
              <w:right w:val="nil"/>
            </w:tcBorders>
            <w:vAlign w:val="bottom"/>
          </w:tcPr>
          <w:p>
            <w:pPr>
              <w:pStyle w:val="yTableNAm"/>
              <w:spacing w:before="80"/>
              <w:jc w:val="center"/>
              <w:rPr>
                <w:szCs w:val="24"/>
              </w:rPr>
            </w:pPr>
            <w:r>
              <w:t>8</w:t>
            </w:r>
          </w:p>
        </w:tc>
      </w:tr>
      <w:tr>
        <w:tc>
          <w:tcPr>
            <w:tcW w:w="2868" w:type="dxa"/>
            <w:tcBorders>
              <w:top w:val="nil"/>
              <w:left w:val="nil"/>
              <w:bottom w:val="nil"/>
              <w:right w:val="nil"/>
            </w:tcBorders>
            <w:vAlign w:val="center"/>
          </w:tcPr>
          <w:p>
            <w:pPr>
              <w:pStyle w:val="yTableNAm"/>
              <w:spacing w:before="80"/>
            </w:pPr>
            <w:r>
              <w:rPr>
                <w:szCs w:val="22"/>
              </w:rPr>
              <w:t>Pemberton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PlaceName">
                <w:r>
                  <w:rPr>
                    <w:szCs w:val="22"/>
                  </w:rPr>
                  <w:t>Peppermint</w:t>
                </w:r>
              </w:smartTag>
              <w:r>
                <w:rPr>
                  <w:szCs w:val="22"/>
                </w:rPr>
                <w:t xml:space="preserve"> </w:t>
              </w:r>
              <w:smartTag w:uri="urn:schemas-microsoft-com:office:smarttags" w:element="PlaceType">
                <w:r>
                  <w:rPr>
                    <w:szCs w:val="22"/>
                  </w:rPr>
                  <w:t>Grove</w:t>
                </w:r>
              </w:smartTag>
              <w:r>
                <w:rPr>
                  <w:szCs w:val="22"/>
                </w:rPr>
                <w:t xml:space="preserve"> </w:t>
              </w:r>
              <w:smartTag w:uri="urn:schemas-microsoft-com:office:smarttags" w:element="PlaceType">
                <w:r>
                  <w:rPr>
                    <w:szCs w:val="22"/>
                  </w:rPr>
                  <w:t>Beach</w:t>
                </w:r>
              </w:smartTag>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13</w:t>
            </w:r>
          </w:p>
        </w:tc>
      </w:tr>
      <w:tr>
        <w:tc>
          <w:tcPr>
            <w:tcW w:w="2868" w:type="dxa"/>
            <w:tcBorders>
              <w:top w:val="nil"/>
              <w:left w:val="nil"/>
              <w:bottom w:val="nil"/>
              <w:right w:val="nil"/>
            </w:tcBorders>
            <w:vAlign w:val="center"/>
          </w:tcPr>
          <w:p>
            <w:pPr>
              <w:pStyle w:val="yTableNAm"/>
              <w:spacing w:before="80"/>
            </w:pPr>
            <w:r>
              <w:rPr>
                <w:szCs w:val="22"/>
              </w:rPr>
              <w:t>Perenjori</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Pingaring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Pingelly</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Pingrup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Pinjarra</w:t>
            </w:r>
          </w:p>
        </w:tc>
        <w:tc>
          <w:tcPr>
            <w:tcW w:w="1684" w:type="dxa"/>
            <w:tcBorders>
              <w:top w:val="nil"/>
              <w:left w:val="nil"/>
              <w:bottom w:val="nil"/>
              <w:right w:val="nil"/>
            </w:tcBorders>
            <w:vAlign w:val="bottom"/>
          </w:tcPr>
          <w:p>
            <w:pPr>
              <w:pStyle w:val="yTableNAm"/>
              <w:spacing w:before="80"/>
              <w:jc w:val="center"/>
              <w:rPr>
                <w:szCs w:val="24"/>
              </w:rPr>
            </w:pPr>
            <w:r>
              <w:t>2</w:t>
            </w:r>
          </w:p>
        </w:tc>
        <w:tc>
          <w:tcPr>
            <w:tcW w:w="1685" w:type="dxa"/>
            <w:tcBorders>
              <w:top w:val="nil"/>
              <w:left w:val="nil"/>
              <w:bottom w:val="nil"/>
              <w:right w:val="nil"/>
            </w:tcBorders>
            <w:vAlign w:val="bottom"/>
          </w:tcPr>
          <w:p>
            <w:pPr>
              <w:pStyle w:val="yTableNAm"/>
              <w:spacing w:before="80"/>
              <w:jc w:val="center"/>
              <w:rPr>
                <w:szCs w:val="24"/>
              </w:rPr>
            </w:pPr>
            <w:r>
              <w:t>2</w:t>
            </w:r>
          </w:p>
        </w:tc>
      </w:tr>
      <w:tr>
        <w:tc>
          <w:tcPr>
            <w:tcW w:w="2868" w:type="dxa"/>
            <w:tcBorders>
              <w:top w:val="nil"/>
              <w:left w:val="nil"/>
              <w:bottom w:val="nil"/>
              <w:right w:val="nil"/>
            </w:tcBorders>
            <w:vAlign w:val="center"/>
          </w:tcPr>
          <w:p>
            <w:pPr>
              <w:pStyle w:val="yTableNAm"/>
              <w:spacing w:before="80"/>
            </w:pPr>
            <w:r>
              <w:rPr>
                <w:szCs w:val="22"/>
              </w:rPr>
              <w:t>Pithara</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Point Samson</w:t>
            </w:r>
          </w:p>
        </w:tc>
        <w:tc>
          <w:tcPr>
            <w:tcW w:w="1684" w:type="dxa"/>
            <w:tcBorders>
              <w:top w:val="nil"/>
              <w:left w:val="nil"/>
              <w:bottom w:val="nil"/>
              <w:right w:val="nil"/>
            </w:tcBorders>
            <w:vAlign w:val="bottom"/>
          </w:tcPr>
          <w:p>
            <w:pPr>
              <w:pStyle w:val="yTableNAm"/>
              <w:spacing w:before="80"/>
              <w:jc w:val="center"/>
              <w:rPr>
                <w:szCs w:val="24"/>
              </w:rPr>
            </w:pPr>
            <w:r>
              <w:t>4</w:t>
            </w:r>
          </w:p>
        </w:tc>
        <w:tc>
          <w:tcPr>
            <w:tcW w:w="1685" w:type="dxa"/>
            <w:tcBorders>
              <w:top w:val="nil"/>
              <w:left w:val="nil"/>
              <w:bottom w:val="nil"/>
              <w:right w:val="nil"/>
            </w:tcBorders>
            <w:vAlign w:val="bottom"/>
          </w:tcPr>
          <w:p>
            <w:pPr>
              <w:pStyle w:val="yTableNAm"/>
              <w:spacing w:before="80"/>
              <w:jc w:val="center"/>
              <w:rPr>
                <w:szCs w:val="24"/>
              </w:rPr>
            </w:pPr>
            <w:r>
              <w:t>10</w:t>
            </w:r>
          </w:p>
        </w:tc>
      </w:tr>
      <w:tr>
        <w:tc>
          <w:tcPr>
            <w:tcW w:w="2868" w:type="dxa"/>
            <w:tcBorders>
              <w:top w:val="nil"/>
              <w:left w:val="nil"/>
              <w:bottom w:val="nil"/>
              <w:right w:val="nil"/>
            </w:tcBorders>
            <w:vAlign w:val="center"/>
          </w:tcPr>
          <w:p>
            <w:pPr>
              <w:pStyle w:val="yTableNAm"/>
              <w:spacing w:before="80"/>
            </w:pPr>
            <w:r>
              <w:rPr>
                <w:szCs w:val="22"/>
              </w:rPr>
              <w:t>Popanyinning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Porongurup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6</w:t>
            </w:r>
          </w:p>
        </w:tc>
      </w:tr>
      <w:tr>
        <w:tc>
          <w:tcPr>
            <w:tcW w:w="2868" w:type="dxa"/>
            <w:tcBorders>
              <w:top w:val="nil"/>
              <w:left w:val="nil"/>
              <w:bottom w:val="nil"/>
              <w:right w:val="nil"/>
            </w:tcBorders>
            <w:vAlign w:val="center"/>
          </w:tcPr>
          <w:p>
            <w:pPr>
              <w:pStyle w:val="yTableNAm"/>
              <w:spacing w:before="80"/>
            </w:pPr>
            <w:r>
              <w:rPr>
                <w:szCs w:val="22"/>
              </w:rPr>
              <w:t>Porongurup Farmlands</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Port Hedland</w:t>
            </w:r>
          </w:p>
        </w:tc>
        <w:tc>
          <w:tcPr>
            <w:tcW w:w="1684" w:type="dxa"/>
            <w:tcBorders>
              <w:top w:val="nil"/>
              <w:left w:val="nil"/>
              <w:bottom w:val="nil"/>
              <w:right w:val="nil"/>
            </w:tcBorders>
            <w:vAlign w:val="bottom"/>
          </w:tcPr>
          <w:p>
            <w:pPr>
              <w:pStyle w:val="yTableNAm"/>
              <w:spacing w:before="80"/>
              <w:jc w:val="center"/>
              <w:rPr>
                <w:szCs w:val="24"/>
              </w:rPr>
            </w:pPr>
            <w:r>
              <w:t>2</w:t>
            </w:r>
          </w:p>
        </w:tc>
        <w:tc>
          <w:tcPr>
            <w:tcW w:w="1685" w:type="dxa"/>
            <w:tcBorders>
              <w:top w:val="nil"/>
              <w:left w:val="nil"/>
              <w:bottom w:val="nil"/>
              <w:right w:val="nil"/>
            </w:tcBorders>
            <w:vAlign w:val="bottom"/>
          </w:tcPr>
          <w:p>
            <w:pPr>
              <w:pStyle w:val="yTableNAm"/>
              <w:spacing w:before="80"/>
              <w:jc w:val="center"/>
              <w:rPr>
                <w:szCs w:val="24"/>
              </w:rPr>
            </w:pPr>
            <w:r>
              <w:t>5</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PlaceName">
                <w:r>
                  <w:rPr>
                    <w:szCs w:val="22"/>
                  </w:rPr>
                  <w:t>Preston</w:t>
                </w:r>
              </w:smartTag>
              <w:r>
                <w:rPr>
                  <w:szCs w:val="22"/>
                </w:rPr>
                <w:t xml:space="preserve"> </w:t>
              </w:r>
              <w:smartTag w:uri="urn:schemas-microsoft-com:office:smarttags" w:element="PlaceType">
                <w:r>
                  <w:rPr>
                    <w:szCs w:val="22"/>
                  </w:rPr>
                  <w:t>Beach</w:t>
                </w:r>
              </w:smartTag>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Quairading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Quinninup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Ravensthorpe</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Rocky Gully</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Roebourne</w:t>
            </w:r>
          </w:p>
        </w:tc>
        <w:tc>
          <w:tcPr>
            <w:tcW w:w="1684" w:type="dxa"/>
            <w:tcBorders>
              <w:top w:val="nil"/>
              <w:left w:val="nil"/>
              <w:bottom w:val="nil"/>
              <w:right w:val="nil"/>
            </w:tcBorders>
            <w:vAlign w:val="bottom"/>
          </w:tcPr>
          <w:p>
            <w:pPr>
              <w:pStyle w:val="yTableNAm"/>
              <w:spacing w:before="80"/>
              <w:jc w:val="center"/>
              <w:rPr>
                <w:szCs w:val="24"/>
              </w:rPr>
            </w:pPr>
            <w:r>
              <w:t>4</w:t>
            </w:r>
          </w:p>
        </w:tc>
        <w:tc>
          <w:tcPr>
            <w:tcW w:w="1685" w:type="dxa"/>
            <w:tcBorders>
              <w:top w:val="nil"/>
              <w:left w:val="nil"/>
              <w:bottom w:val="nil"/>
              <w:right w:val="nil"/>
            </w:tcBorders>
            <w:vAlign w:val="bottom"/>
          </w:tcPr>
          <w:p>
            <w:pPr>
              <w:pStyle w:val="yTableNAm"/>
              <w:spacing w:before="80"/>
              <w:jc w:val="center"/>
              <w:rPr>
                <w:szCs w:val="24"/>
              </w:rPr>
            </w:pPr>
            <w:r>
              <w:t>10</w:t>
            </w:r>
          </w:p>
        </w:tc>
      </w:tr>
      <w:tr>
        <w:tc>
          <w:tcPr>
            <w:tcW w:w="2868" w:type="dxa"/>
            <w:tcBorders>
              <w:top w:val="nil"/>
              <w:left w:val="nil"/>
              <w:bottom w:val="nil"/>
              <w:right w:val="nil"/>
            </w:tcBorders>
            <w:vAlign w:val="center"/>
          </w:tcPr>
          <w:p>
            <w:pPr>
              <w:pStyle w:val="yTableNAm"/>
              <w:spacing w:before="80"/>
            </w:pPr>
            <w:r>
              <w:rPr>
                <w:szCs w:val="22"/>
              </w:rPr>
              <w:t>Salmon Gums</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Sandstone</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Seabird</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smartTag w:uri="urn:schemas-microsoft-com:office:smarttags" w:element="place">
              <w:r>
                <w:rPr>
                  <w:szCs w:val="22"/>
                </w:rPr>
                <w:t>South Hedland</w:t>
              </w:r>
            </w:smartTag>
          </w:p>
        </w:tc>
        <w:tc>
          <w:tcPr>
            <w:tcW w:w="1684" w:type="dxa"/>
            <w:tcBorders>
              <w:top w:val="nil"/>
              <w:left w:val="nil"/>
              <w:bottom w:val="nil"/>
              <w:right w:val="nil"/>
            </w:tcBorders>
            <w:vAlign w:val="bottom"/>
          </w:tcPr>
          <w:p>
            <w:pPr>
              <w:pStyle w:val="yTableNAm"/>
              <w:spacing w:before="80"/>
              <w:jc w:val="center"/>
              <w:rPr>
                <w:szCs w:val="24"/>
              </w:rPr>
            </w:pPr>
            <w:r>
              <w:t>2</w:t>
            </w:r>
          </w:p>
        </w:tc>
        <w:tc>
          <w:tcPr>
            <w:tcW w:w="1685" w:type="dxa"/>
            <w:tcBorders>
              <w:top w:val="nil"/>
              <w:left w:val="nil"/>
              <w:bottom w:val="nil"/>
              <w:right w:val="nil"/>
            </w:tcBorders>
            <w:vAlign w:val="bottom"/>
          </w:tcPr>
          <w:p>
            <w:pPr>
              <w:pStyle w:val="yTableNAm"/>
              <w:spacing w:before="80"/>
              <w:jc w:val="center"/>
              <w:rPr>
                <w:szCs w:val="24"/>
              </w:rPr>
            </w:pPr>
            <w:r>
              <w:t>5</w:t>
            </w:r>
          </w:p>
        </w:tc>
      </w:tr>
      <w:tr>
        <w:tc>
          <w:tcPr>
            <w:tcW w:w="2868" w:type="dxa"/>
            <w:tcBorders>
              <w:top w:val="nil"/>
              <w:left w:val="nil"/>
              <w:bottom w:val="nil"/>
              <w:right w:val="nil"/>
            </w:tcBorders>
            <w:vAlign w:val="center"/>
          </w:tcPr>
          <w:p>
            <w:pPr>
              <w:pStyle w:val="yTableNAm"/>
              <w:spacing w:before="80"/>
            </w:pPr>
            <w:r>
              <w:rPr>
                <w:szCs w:val="22"/>
              </w:rPr>
              <w:t>Southern Cross</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11</w:t>
            </w:r>
          </w:p>
        </w:tc>
      </w:tr>
      <w:tr>
        <w:tc>
          <w:tcPr>
            <w:tcW w:w="2868" w:type="dxa"/>
            <w:tcBorders>
              <w:top w:val="nil"/>
              <w:left w:val="nil"/>
              <w:bottom w:val="nil"/>
              <w:right w:val="nil"/>
            </w:tcBorders>
            <w:vAlign w:val="center"/>
          </w:tcPr>
          <w:p>
            <w:pPr>
              <w:pStyle w:val="yTableNAm"/>
              <w:spacing w:before="80"/>
            </w:pPr>
            <w:r>
              <w:rPr>
                <w:szCs w:val="22"/>
              </w:rPr>
              <w:t>Tambellup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Tammin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Three Springs</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Tincurrin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Toodyay</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Trayning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Varley</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Wagin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Walkaway</w:t>
            </w:r>
          </w:p>
        </w:tc>
        <w:tc>
          <w:tcPr>
            <w:tcW w:w="1684" w:type="dxa"/>
            <w:tcBorders>
              <w:top w:val="nil"/>
              <w:left w:val="nil"/>
              <w:bottom w:val="nil"/>
              <w:right w:val="nil"/>
            </w:tcBorders>
            <w:vAlign w:val="bottom"/>
          </w:tcPr>
          <w:p>
            <w:pPr>
              <w:pStyle w:val="yTableNAm"/>
              <w:spacing w:before="80"/>
              <w:jc w:val="center"/>
              <w:rPr>
                <w:szCs w:val="24"/>
              </w:rPr>
            </w:pPr>
            <w:r>
              <w:t>2</w:t>
            </w:r>
          </w:p>
        </w:tc>
        <w:tc>
          <w:tcPr>
            <w:tcW w:w="1685" w:type="dxa"/>
            <w:tcBorders>
              <w:top w:val="nil"/>
              <w:left w:val="nil"/>
              <w:bottom w:val="nil"/>
              <w:right w:val="nil"/>
            </w:tcBorders>
            <w:vAlign w:val="bottom"/>
          </w:tcPr>
          <w:p>
            <w:pPr>
              <w:pStyle w:val="yTableNAm"/>
              <w:spacing w:before="80"/>
              <w:jc w:val="center"/>
              <w:rPr>
                <w:szCs w:val="24"/>
              </w:rPr>
            </w:pPr>
            <w:r>
              <w:t>1</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City">
                <w:r>
                  <w:rPr>
                    <w:szCs w:val="22"/>
                  </w:rPr>
                  <w:t>Walpole</w:t>
                </w:r>
              </w:smartTag>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Wandering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Watheroo</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Wellstead</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Westonia</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Wickepin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Wickham</w:t>
            </w:r>
          </w:p>
        </w:tc>
        <w:tc>
          <w:tcPr>
            <w:tcW w:w="1684" w:type="dxa"/>
            <w:tcBorders>
              <w:top w:val="nil"/>
              <w:left w:val="nil"/>
              <w:bottom w:val="nil"/>
              <w:right w:val="nil"/>
            </w:tcBorders>
            <w:vAlign w:val="bottom"/>
          </w:tcPr>
          <w:p>
            <w:pPr>
              <w:pStyle w:val="yTableNAm"/>
              <w:spacing w:before="80"/>
              <w:jc w:val="center"/>
              <w:rPr>
                <w:szCs w:val="24"/>
              </w:rPr>
            </w:pPr>
            <w:r>
              <w:t>4</w:t>
            </w:r>
          </w:p>
        </w:tc>
        <w:tc>
          <w:tcPr>
            <w:tcW w:w="1685" w:type="dxa"/>
            <w:tcBorders>
              <w:top w:val="nil"/>
              <w:left w:val="nil"/>
              <w:bottom w:val="nil"/>
              <w:right w:val="nil"/>
            </w:tcBorders>
            <w:vAlign w:val="bottom"/>
          </w:tcPr>
          <w:p>
            <w:pPr>
              <w:pStyle w:val="yTableNAm"/>
              <w:spacing w:before="80"/>
              <w:jc w:val="center"/>
              <w:rPr>
                <w:szCs w:val="24"/>
              </w:rPr>
            </w:pPr>
            <w:r>
              <w:t>10</w:t>
            </w:r>
          </w:p>
        </w:tc>
      </w:tr>
      <w:tr>
        <w:tc>
          <w:tcPr>
            <w:tcW w:w="2868" w:type="dxa"/>
            <w:tcBorders>
              <w:top w:val="nil"/>
              <w:left w:val="nil"/>
              <w:bottom w:val="nil"/>
              <w:right w:val="nil"/>
            </w:tcBorders>
            <w:vAlign w:val="center"/>
          </w:tcPr>
          <w:p>
            <w:pPr>
              <w:pStyle w:val="yTableNAm"/>
              <w:spacing w:before="80"/>
            </w:pPr>
            <w:r>
              <w:rPr>
                <w:szCs w:val="22"/>
              </w:rPr>
              <w:t>Widgiemooltha</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Williams</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Wiluna</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Wongan Hills</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Woodanilling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smartTag w:uri="urn:schemas-microsoft-com:office:smarttags" w:element="place">
              <w:r>
                <w:rPr>
                  <w:szCs w:val="22"/>
                </w:rPr>
                <w:t>Woodridge</w:t>
              </w:r>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nil"/>
              <w:right w:val="nil"/>
            </w:tcBorders>
            <w:vAlign w:val="center"/>
          </w:tcPr>
          <w:p>
            <w:pPr>
              <w:pStyle w:val="yTableNAm"/>
              <w:spacing w:before="80"/>
            </w:pPr>
            <w:r>
              <w:rPr>
                <w:szCs w:val="22"/>
              </w:rPr>
              <w:t>Wubin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Wundowie</w:t>
            </w:r>
          </w:p>
        </w:tc>
        <w:tc>
          <w:tcPr>
            <w:tcW w:w="1684" w:type="dxa"/>
            <w:tcBorders>
              <w:top w:val="nil"/>
              <w:left w:val="nil"/>
              <w:bottom w:val="nil"/>
              <w:right w:val="nil"/>
            </w:tcBorders>
            <w:vAlign w:val="bottom"/>
          </w:tcPr>
          <w:p>
            <w:pPr>
              <w:pStyle w:val="yTableNAm"/>
              <w:spacing w:before="80"/>
              <w:jc w:val="center"/>
              <w:rPr>
                <w:szCs w:val="24"/>
              </w:rPr>
            </w:pPr>
            <w:r>
              <w:t>2</w:t>
            </w:r>
          </w:p>
        </w:tc>
        <w:tc>
          <w:tcPr>
            <w:tcW w:w="1685" w:type="dxa"/>
            <w:tcBorders>
              <w:top w:val="nil"/>
              <w:left w:val="nil"/>
              <w:bottom w:val="nil"/>
              <w:right w:val="nil"/>
            </w:tcBorders>
            <w:vAlign w:val="bottom"/>
          </w:tcPr>
          <w:p>
            <w:pPr>
              <w:pStyle w:val="yTableNAm"/>
              <w:spacing w:before="80"/>
              <w:jc w:val="center"/>
              <w:rPr>
                <w:szCs w:val="24"/>
              </w:rPr>
            </w:pPr>
            <w:r>
              <w:t>1</w:t>
            </w:r>
          </w:p>
        </w:tc>
      </w:tr>
      <w:tr>
        <w:tc>
          <w:tcPr>
            <w:tcW w:w="2868" w:type="dxa"/>
            <w:tcBorders>
              <w:top w:val="nil"/>
              <w:left w:val="nil"/>
              <w:bottom w:val="nil"/>
              <w:right w:val="nil"/>
            </w:tcBorders>
            <w:vAlign w:val="center"/>
          </w:tcPr>
          <w:p>
            <w:pPr>
              <w:pStyle w:val="yTableNAm"/>
              <w:spacing w:before="80"/>
            </w:pPr>
            <w:r>
              <w:rPr>
                <w:szCs w:val="22"/>
              </w:rPr>
              <w:t>Wyalkatchem</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Wyndham</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r>
              <w:rPr>
                <w:szCs w:val="22"/>
              </w:rPr>
              <w:t>Yalgoo</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rPr>
                <w:szCs w:val="22"/>
              </w:rPr>
            </w:pPr>
            <w:r>
              <w:rPr>
                <w:szCs w:val="22"/>
              </w:rPr>
              <w:t>Yarloop</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8</w:t>
            </w:r>
          </w:p>
        </w:tc>
      </w:tr>
      <w:tr>
        <w:tc>
          <w:tcPr>
            <w:tcW w:w="2868" w:type="dxa"/>
            <w:tcBorders>
              <w:top w:val="nil"/>
              <w:left w:val="nil"/>
              <w:bottom w:val="nil"/>
              <w:right w:val="nil"/>
            </w:tcBorders>
            <w:vAlign w:val="center"/>
          </w:tcPr>
          <w:p>
            <w:pPr>
              <w:pStyle w:val="yTableNAm"/>
              <w:spacing w:before="80"/>
            </w:pPr>
            <w:r>
              <w:rPr>
                <w:szCs w:val="22"/>
              </w:rPr>
              <w:t>Yealering</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14</w:t>
            </w:r>
          </w:p>
        </w:tc>
      </w:tr>
      <w:tr>
        <w:tc>
          <w:tcPr>
            <w:tcW w:w="2868" w:type="dxa"/>
            <w:tcBorders>
              <w:top w:val="nil"/>
              <w:left w:val="nil"/>
              <w:bottom w:val="nil"/>
              <w:right w:val="nil"/>
            </w:tcBorders>
            <w:vAlign w:val="center"/>
          </w:tcPr>
          <w:p>
            <w:pPr>
              <w:pStyle w:val="yTableNAm"/>
              <w:spacing w:before="80"/>
            </w:pPr>
            <w:r>
              <w:rPr>
                <w:szCs w:val="22"/>
              </w:rPr>
              <w:t>Yerecoin</w:t>
            </w:r>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15</w:t>
            </w:r>
          </w:p>
        </w:tc>
      </w:tr>
      <w:tr>
        <w:tc>
          <w:tcPr>
            <w:tcW w:w="2868" w:type="dxa"/>
            <w:tcBorders>
              <w:top w:val="nil"/>
              <w:left w:val="nil"/>
              <w:bottom w:val="nil"/>
              <w:right w:val="nil"/>
            </w:tcBorders>
            <w:vAlign w:val="center"/>
          </w:tcPr>
          <w:p>
            <w:pPr>
              <w:pStyle w:val="yTableNAm"/>
              <w:spacing w:before="80"/>
            </w:pPr>
            <w:smartTag w:uri="urn:schemas-microsoft-com:office:smarttags" w:element="place">
              <w:smartTag w:uri="urn:schemas-microsoft-com:office:smarttags" w:element="City">
                <w:r>
                  <w:rPr>
                    <w:szCs w:val="22"/>
                  </w:rPr>
                  <w:t>York</w:t>
                </w:r>
              </w:smartTag>
            </w:smartTag>
          </w:p>
        </w:tc>
        <w:tc>
          <w:tcPr>
            <w:tcW w:w="1684" w:type="dxa"/>
            <w:tcBorders>
              <w:top w:val="nil"/>
              <w:left w:val="nil"/>
              <w:bottom w:val="nil"/>
              <w:right w:val="nil"/>
            </w:tcBorders>
            <w:vAlign w:val="bottom"/>
          </w:tcPr>
          <w:p>
            <w:pPr>
              <w:pStyle w:val="yTableNAm"/>
              <w:spacing w:before="80"/>
              <w:jc w:val="center"/>
              <w:rPr>
                <w:szCs w:val="24"/>
              </w:rPr>
            </w:pPr>
            <w:r>
              <w:t>5</w:t>
            </w:r>
          </w:p>
        </w:tc>
        <w:tc>
          <w:tcPr>
            <w:tcW w:w="1685" w:type="dxa"/>
            <w:tcBorders>
              <w:top w:val="nil"/>
              <w:left w:val="nil"/>
              <w:bottom w:val="nil"/>
              <w:right w:val="nil"/>
            </w:tcBorders>
            <w:vAlign w:val="bottom"/>
          </w:tcPr>
          <w:p>
            <w:pPr>
              <w:pStyle w:val="yTableNAm"/>
              <w:spacing w:before="80"/>
              <w:jc w:val="center"/>
              <w:rPr>
                <w:szCs w:val="24"/>
              </w:rPr>
            </w:pPr>
            <w:r>
              <w:t>12</w:t>
            </w:r>
          </w:p>
        </w:tc>
      </w:tr>
      <w:tr>
        <w:tc>
          <w:tcPr>
            <w:tcW w:w="2868" w:type="dxa"/>
            <w:tcBorders>
              <w:top w:val="nil"/>
              <w:left w:val="nil"/>
              <w:bottom w:val="single" w:sz="4" w:space="0" w:color="auto"/>
              <w:right w:val="nil"/>
            </w:tcBorders>
            <w:vAlign w:val="center"/>
          </w:tcPr>
          <w:p>
            <w:pPr>
              <w:pStyle w:val="yTableNAm"/>
              <w:spacing w:before="80"/>
            </w:pPr>
            <w:r>
              <w:rPr>
                <w:szCs w:val="22"/>
              </w:rPr>
              <w:t>Yuna</w:t>
            </w:r>
          </w:p>
        </w:tc>
        <w:tc>
          <w:tcPr>
            <w:tcW w:w="1684" w:type="dxa"/>
            <w:tcBorders>
              <w:top w:val="nil"/>
              <w:left w:val="nil"/>
              <w:bottom w:val="single" w:sz="4" w:space="0" w:color="auto"/>
              <w:right w:val="nil"/>
            </w:tcBorders>
            <w:vAlign w:val="bottom"/>
          </w:tcPr>
          <w:p>
            <w:pPr>
              <w:pStyle w:val="yTableNAm"/>
              <w:spacing w:before="80"/>
              <w:jc w:val="center"/>
              <w:rPr>
                <w:szCs w:val="24"/>
              </w:rPr>
            </w:pPr>
            <w:r>
              <w:t>5</w:t>
            </w:r>
          </w:p>
        </w:tc>
        <w:tc>
          <w:tcPr>
            <w:tcW w:w="1685" w:type="dxa"/>
            <w:tcBorders>
              <w:top w:val="nil"/>
              <w:left w:val="nil"/>
              <w:bottom w:val="single" w:sz="4" w:space="0" w:color="auto"/>
              <w:right w:val="nil"/>
            </w:tcBorders>
            <w:vAlign w:val="bottom"/>
          </w:tcPr>
          <w:p>
            <w:pPr>
              <w:pStyle w:val="yTableNAm"/>
              <w:spacing w:before="80"/>
              <w:jc w:val="center"/>
              <w:rPr>
                <w:szCs w:val="24"/>
              </w:rPr>
            </w:pPr>
            <w:r>
              <w:t>15</w:t>
            </w:r>
          </w:p>
        </w:tc>
      </w:tr>
    </w:tbl>
    <w:p>
      <w:pPr>
        <w:pStyle w:val="yFootnotesection"/>
      </w:pPr>
      <w:r>
        <w:tab/>
        <w:t>[Schedule 11, formerly Schedule 10, renumbered as Schedule 11 in Gazette 30 Jun 2015 p. 2404.]</w:t>
      </w:r>
    </w:p>
    <w:p>
      <w:pPr>
        <w:pStyle w:val="yFootnotesection"/>
      </w:pPr>
      <w:r>
        <w:tab/>
        <w:t>[Schedule 11 deleted in Gazette 30 Jun 2015 p. 2404.]</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pStyle w:val="yFootnotesection"/>
      </w:pPr>
    </w:p>
    <w:p>
      <w:pPr>
        <w:pStyle w:val="yFootnotesection"/>
        <w:sectPr>
          <w:headerReference w:type="even" r:id="rId36"/>
          <w:headerReference w:type="default" r:id="rId37"/>
          <w:pgSz w:w="11907" w:h="16840" w:code="9"/>
          <w:pgMar w:top="2376" w:right="2405" w:bottom="3542" w:left="2405" w:header="706" w:footer="3380" w:gutter="0"/>
          <w:cols w:space="720"/>
          <w:noEndnote/>
          <w:docGrid w:linePitch="326"/>
        </w:sectPr>
      </w:pPr>
    </w:p>
    <w:p>
      <w:pPr>
        <w:pStyle w:val="nHeading2"/>
      </w:pPr>
      <w:bookmarkStart w:id="287" w:name="_Toc429577112"/>
      <w:bookmarkStart w:id="288" w:name="_Toc434929929"/>
      <w:r>
        <w:t>Notes</w:t>
      </w:r>
      <w:bookmarkEnd w:id="287"/>
      <w:bookmarkEnd w:id="288"/>
    </w:p>
    <w:p>
      <w:pPr>
        <w:pStyle w:val="nSubsection"/>
      </w:pPr>
      <w:r>
        <w:rPr>
          <w:vertAlign w:val="superscript"/>
        </w:rPr>
        <w:t>1</w:t>
      </w:r>
      <w:r>
        <w:tab/>
        <w:t xml:space="preserve">This reprint is a compilation as at 8 January 2016 of the </w:t>
      </w:r>
      <w:r>
        <w:rPr>
          <w:i/>
          <w:noProof/>
        </w:rPr>
        <w:t>Water Services (Water Corporations Charges) Regulations 2014</w:t>
      </w:r>
      <w:r>
        <w:t xml:space="preserve"> and includes the amendments made by the other written laws referred to in the following table.  The table also contains information about any reprint.</w:t>
      </w:r>
    </w:p>
    <w:p>
      <w:pPr>
        <w:pStyle w:val="nHeading3"/>
      </w:pPr>
      <w:bookmarkStart w:id="289" w:name="_Toc434929930"/>
      <w:r>
        <w:t>Compilation table</w:t>
      </w:r>
      <w:bookmarkEnd w:id="28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Services (Water Corporations Charges) Regulations 2014</w:t>
            </w:r>
          </w:p>
        </w:tc>
        <w:tc>
          <w:tcPr>
            <w:tcW w:w="1276" w:type="dxa"/>
            <w:tcBorders>
              <w:top w:val="single" w:sz="8" w:space="0" w:color="auto"/>
              <w:bottom w:val="nil"/>
            </w:tcBorders>
          </w:tcPr>
          <w:p>
            <w:pPr>
              <w:pStyle w:val="nTable"/>
              <w:spacing w:after="40"/>
            </w:pPr>
            <w:r>
              <w:t>25 Jun 2014 p. 2155</w:t>
            </w:r>
            <w:r>
              <w:noBreakHyphen/>
              <w:t>298</w:t>
            </w:r>
          </w:p>
        </w:tc>
        <w:tc>
          <w:tcPr>
            <w:tcW w:w="2693" w:type="dxa"/>
            <w:tcBorders>
              <w:top w:val="single" w:sz="8" w:space="0" w:color="auto"/>
              <w:bottom w:val="nil"/>
            </w:tcBorders>
          </w:tcPr>
          <w:p>
            <w:pPr>
              <w:pStyle w:val="nTable"/>
              <w:spacing w:after="40"/>
            </w:pPr>
            <w:r>
              <w:rPr>
                <w:rFonts w:ascii="Times" w:hAnsi="Times"/>
                <w:bCs/>
                <w:snapToGrid w:val="0"/>
                <w:spacing w:val="-2"/>
              </w:rPr>
              <w:t>r. 1 and 2: 25 Jun 2014 (see r. 2(a));</w:t>
            </w:r>
            <w:r>
              <w:rPr>
                <w:rFonts w:ascii="Times" w:hAnsi="Times"/>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tcBorders>
              <w:top w:val="nil"/>
              <w:bottom w:val="nil"/>
            </w:tcBorders>
          </w:tcPr>
          <w:p>
            <w:pPr>
              <w:pStyle w:val="nTable"/>
              <w:spacing w:after="40"/>
            </w:pPr>
            <w:r>
              <w:t>19 Sep 2014 p. 3344</w:t>
            </w:r>
            <w:r>
              <w:noBreakHyphen/>
              <w:t>5</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r. 1 and 2: 19 Sep 2014 (see r. 2(a));</w:t>
            </w:r>
            <w:r>
              <w:rPr>
                <w:rFonts w:ascii="Times" w:hAnsi="Times"/>
                <w:bCs/>
                <w:snapToGrid w:val="0"/>
                <w:spacing w:val="-2"/>
              </w:rPr>
              <w:br/>
              <w:t>Regulations other than r. 1 and 2: 1 Oct 2014 (see r. 2(b)(i))</w:t>
            </w:r>
          </w:p>
        </w:tc>
      </w:tr>
      <w:tr>
        <w:tc>
          <w:tcPr>
            <w:tcW w:w="3118" w:type="dxa"/>
            <w:tcBorders>
              <w:top w:val="nil"/>
              <w:bottom w:val="nil"/>
            </w:tcBorders>
          </w:tcPr>
          <w:p>
            <w:pPr>
              <w:pStyle w:val="nTable"/>
              <w:spacing w:after="40"/>
            </w:pPr>
            <w:r>
              <w:rPr>
                <w:i/>
              </w:rPr>
              <w:t>Water Services (Water Corporations Charges) Amendment Regulations (No. 2) 2014</w:t>
            </w:r>
            <w:r>
              <w:t xml:space="preserve"> </w:t>
            </w:r>
          </w:p>
        </w:tc>
        <w:tc>
          <w:tcPr>
            <w:tcW w:w="1276" w:type="dxa"/>
            <w:tcBorders>
              <w:top w:val="nil"/>
              <w:bottom w:val="nil"/>
            </w:tcBorders>
          </w:tcPr>
          <w:p>
            <w:pPr>
              <w:pStyle w:val="nTable"/>
              <w:spacing w:after="40"/>
            </w:pPr>
            <w:r>
              <w:t>15 Oct 2014 p. 3943</w:t>
            </w:r>
            <w:r>
              <w:noBreakHyphen/>
              <w:t>93</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r. 1 and 2: 15 Oct 2014 (see r. 2(a));</w:t>
            </w:r>
            <w:r>
              <w:rPr>
                <w:rFonts w:ascii="Times" w:hAnsi="Times"/>
                <w:bCs/>
                <w:snapToGrid w:val="0"/>
                <w:spacing w:val="-2"/>
              </w:rPr>
              <w:br/>
              <w:t>Regulations other than r. 1 and 2: 1 Nov 2014 (see r. 2(b))</w:t>
            </w:r>
          </w:p>
        </w:tc>
      </w:tr>
      <w:tr>
        <w:tc>
          <w:tcPr>
            <w:tcW w:w="3118" w:type="dxa"/>
            <w:tcBorders>
              <w:top w:val="nil"/>
              <w:bottom w:val="nil"/>
            </w:tcBorders>
            <w:shd w:val="clear" w:color="auto" w:fill="auto"/>
          </w:tcPr>
          <w:p>
            <w:pPr>
              <w:pStyle w:val="nTable"/>
              <w:spacing w:after="40"/>
              <w:rPr>
                <w:i/>
              </w:rPr>
            </w:pPr>
            <w:r>
              <w:rPr>
                <w:i/>
              </w:rPr>
              <w:t>Water Services (Water Corporations Charges) Amendment Regulations 2015</w:t>
            </w:r>
          </w:p>
        </w:tc>
        <w:tc>
          <w:tcPr>
            <w:tcW w:w="1276" w:type="dxa"/>
            <w:tcBorders>
              <w:top w:val="nil"/>
              <w:bottom w:val="nil"/>
            </w:tcBorders>
            <w:shd w:val="clear" w:color="auto" w:fill="auto"/>
          </w:tcPr>
          <w:p>
            <w:pPr>
              <w:pStyle w:val="nTable"/>
              <w:spacing w:after="40"/>
            </w:pPr>
            <w:r>
              <w:t>30 Jun 2015 p. 2363</w:t>
            </w:r>
            <w:r>
              <w:noBreakHyphen/>
              <w:t>404</w:t>
            </w:r>
          </w:p>
        </w:tc>
        <w:tc>
          <w:tcPr>
            <w:tcW w:w="2693" w:type="dxa"/>
            <w:tcBorders>
              <w:top w:val="nil"/>
              <w:bottom w:val="nil"/>
            </w:tcBorders>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30 Jun 2015</w:t>
            </w:r>
            <w:r>
              <w:rPr>
                <w:rFonts w:ascii="Times" w:hAnsi="Times"/>
                <w:bCs/>
                <w:snapToGrid w:val="0"/>
                <w:spacing w:val="-2"/>
              </w:rPr>
              <w:t xml:space="preserve"> (see r. 2(a));</w:t>
            </w:r>
            <w:r>
              <w:rPr>
                <w:rFonts w:ascii="Times" w:hAnsi="Times"/>
                <w:bCs/>
                <w:snapToGrid w:val="0"/>
                <w:spacing w:val="-2"/>
              </w:rPr>
              <w:br/>
              <w:t>Regulations other than r. 1 and 2: 1 Jul 2015 (see r. 2(b))</w:t>
            </w:r>
          </w:p>
        </w:tc>
      </w:tr>
      <w:tr>
        <w:tc>
          <w:tcPr>
            <w:tcW w:w="7087" w:type="dxa"/>
            <w:gridSpan w:val="3"/>
            <w:tcBorders>
              <w:top w:val="nil"/>
              <w:bottom w:val="single" w:sz="8" w:space="0" w:color="auto"/>
            </w:tcBorders>
            <w:shd w:val="clear" w:color="auto" w:fill="auto"/>
          </w:tcPr>
          <w:p>
            <w:pPr>
              <w:pStyle w:val="nTable"/>
              <w:spacing w:after="40"/>
              <w:rPr>
                <w:rFonts w:ascii="Times" w:hAnsi="Times"/>
                <w:bCs/>
                <w:snapToGrid w:val="0"/>
                <w:spacing w:val="-2"/>
              </w:rPr>
            </w:pPr>
            <w:r>
              <w:rPr>
                <w:rFonts w:ascii="Times" w:hAnsi="Times"/>
                <w:b/>
                <w:bCs/>
                <w:snapToGrid w:val="0"/>
                <w:spacing w:val="-2"/>
              </w:rPr>
              <w:t xml:space="preserve">Reprint 1: The </w:t>
            </w:r>
            <w:r>
              <w:rPr>
                <w:rFonts w:ascii="Times" w:hAnsi="Times"/>
                <w:b/>
                <w:bCs/>
                <w:i/>
                <w:noProof/>
                <w:snapToGrid w:val="0"/>
                <w:spacing w:val="-2"/>
              </w:rPr>
              <w:t>Water Services (Water Corporations Charges) Regulations 2014</w:t>
            </w:r>
            <w:r>
              <w:rPr>
                <w:rFonts w:ascii="Times" w:hAnsi="Times"/>
                <w:b/>
                <w:bCs/>
                <w:snapToGrid w:val="0"/>
                <w:spacing w:val="-2"/>
              </w:rPr>
              <w:t xml:space="preserve"> as at </w:t>
            </w:r>
            <w:r>
              <w:rPr>
                <w:rFonts w:ascii="Times" w:hAnsi="Times"/>
                <w:b/>
                <w:bCs/>
                <w:snapToGrid w:val="0"/>
                <w:spacing w:val="-2"/>
              </w:rPr>
              <w:br/>
              <w:t>8 Jan 2016</w:t>
            </w:r>
            <w:r>
              <w:rPr>
                <w:rFonts w:ascii="Times" w:hAnsi="Times"/>
                <w:bCs/>
                <w:snapToGrid w:val="0"/>
                <w:spacing w:val="-2"/>
              </w:rPr>
              <w:t xml:space="preserve"> (includes amendments listed above)</w:t>
            </w:r>
          </w:p>
        </w:tc>
      </w:tr>
    </w:tbl>
    <w:p>
      <w:pPr>
        <w:pStyle w:val="nSubsection"/>
        <w:spacing w:before="160"/>
      </w:pPr>
      <w:r>
        <w:rPr>
          <w:vertAlign w:val="superscript"/>
        </w:rPr>
        <w:t>2</w:t>
      </w:r>
      <w:r>
        <w:tab/>
        <w:t xml:space="preserve">The </w:t>
      </w:r>
      <w:r>
        <w:rPr>
          <w:i/>
        </w:rPr>
        <w:t>Country Town Sewage By-laws 1952</w:t>
      </w:r>
      <w:r>
        <w:t xml:space="preserve"> were repealed by the </w:t>
      </w:r>
      <w:r>
        <w:rPr>
          <w:i/>
        </w:rPr>
        <w:t>Water Services Legislation Amendment and Repeal Act 2012</w:t>
      </w:r>
      <w:r>
        <w:t xml:space="preserve"> s. 200(b) on 18 Nov 2013.</w:t>
      </w:r>
    </w:p>
    <w:p>
      <w:pPr>
        <w:pStyle w:val="nSubsection"/>
      </w:pPr>
      <w:r>
        <w:rPr>
          <w:vertAlign w:val="superscript"/>
        </w:rPr>
        <w:t>3</w:t>
      </w:r>
      <w:r>
        <w:tab/>
        <w:t xml:space="preserve">The </w:t>
      </w:r>
      <w:r>
        <w:rPr>
          <w:i/>
        </w:rPr>
        <w:t xml:space="preserve">Water Agencies (Charges) By-laws 1987 </w:t>
      </w:r>
      <w:r>
        <w:t xml:space="preserve">were repealed by the </w:t>
      </w:r>
      <w:r>
        <w:rPr>
          <w:i/>
        </w:rPr>
        <w:t>Water Services Legislation Amendment and Repeal Act 2012</w:t>
      </w:r>
      <w:r>
        <w:t xml:space="preserve"> s. 202(b) on 1 Jul 2014.</w:t>
      </w:r>
    </w:p>
    <w:p>
      <w:pPr>
        <w:pStyle w:val="nSubsection"/>
      </w:pPr>
      <w:r>
        <w:rPr>
          <w:vertAlign w:val="superscript"/>
        </w:rPr>
        <w:t>4</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pPr>
        <w:pStyle w:val="nSubsection"/>
      </w:pPr>
      <w:r>
        <w:rPr>
          <w:vertAlign w:val="superscript"/>
        </w:rPr>
        <w:t>5</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Water Services Legislation Amendment and Repeal Act 2012</w:t>
      </w:r>
      <w:r>
        <w:t xml:space="preserve"> s. 22 which commenced 18 Nov 2013.</w:t>
      </w:r>
    </w:p>
    <w:p>
      <w:pPr>
        <w:sectPr>
          <w:headerReference w:type="even" r:id="rId38"/>
          <w:headerReference w:type="default" r:id="rId39"/>
          <w:headerReference w:type="first" r:id="rId40"/>
          <w:pgSz w:w="11907" w:h="16840" w:code="9"/>
          <w:pgMar w:top="2376" w:right="2404" w:bottom="3544" w:left="2404" w:header="720" w:footer="3380" w:gutter="0"/>
          <w:cols w:space="720"/>
          <w:noEndnote/>
          <w:docGrid w:linePitch="326"/>
        </w:sectPr>
      </w:pPr>
    </w:p>
    <w:p>
      <w:pPr>
        <w:pStyle w:val="nHeading2"/>
        <w:rPr>
          <w:sz w:val="28"/>
        </w:rPr>
      </w:pPr>
      <w:bookmarkStart w:id="291" w:name="_Toc429577114"/>
      <w:bookmarkStart w:id="292" w:name="_Toc434929931"/>
      <w:r>
        <w:rPr>
          <w:sz w:val="28"/>
        </w:rPr>
        <w:t>Defined terms</w:t>
      </w:r>
      <w:bookmarkEnd w:id="291"/>
      <w:bookmarkEnd w:id="29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aged home</w:t>
      </w:r>
      <w:r>
        <w:tab/>
        <w:t>16(1)</w:t>
      </w:r>
    </w:p>
    <w:p>
      <w:pPr>
        <w:pStyle w:val="DefinedTerms"/>
      </w:pPr>
      <w:r>
        <w:t>alienated land</w:t>
      </w:r>
      <w:r>
        <w:tab/>
        <w:t>16(1)</w:t>
      </w:r>
    </w:p>
    <w:p>
      <w:pPr>
        <w:pStyle w:val="DefinedTerms"/>
      </w:pPr>
      <w:r>
        <w:t>approved meter</w:t>
      </w:r>
      <w:r>
        <w:tab/>
        <w:t>23(1)</w:t>
      </w:r>
    </w:p>
    <w:p>
      <w:pPr>
        <w:pStyle w:val="DefinedTerms"/>
      </w:pPr>
      <w:r>
        <w:t>B.O.D.</w:t>
      </w:r>
      <w:r>
        <w:tab/>
        <w:t>Sch. 4 it. 30(1)</w:t>
      </w:r>
    </w:p>
    <w:p>
      <w:pPr>
        <w:pStyle w:val="DefinedTerms"/>
      </w:pPr>
      <w:r>
        <w:t>boundary volume</w:t>
      </w:r>
      <w:r>
        <w:tab/>
        <w:t>16(1)</w:t>
      </w:r>
    </w:p>
    <w:p>
      <w:pPr>
        <w:pStyle w:val="DefinedTerms"/>
      </w:pPr>
      <w:r>
        <w:t>c/kg</w:t>
      </w:r>
      <w:r>
        <w:tab/>
        <w:t>Sch. 4 it. 30(1)</w:t>
      </w:r>
    </w:p>
    <w:p>
      <w:pPr>
        <w:pStyle w:val="DefinedTerms"/>
      </w:pPr>
      <w:r>
        <w:t>c/kL</w:t>
      </w:r>
      <w:r>
        <w:tab/>
        <w:t>Sch. 4 it. 30(1)</w:t>
      </w:r>
    </w:p>
    <w:p>
      <w:pPr>
        <w:pStyle w:val="DefinedTerms"/>
      </w:pPr>
      <w:r>
        <w:t>caravan bay</w:t>
      </w:r>
      <w:r>
        <w:tab/>
        <w:t>16(1)</w:t>
      </w:r>
    </w:p>
    <w:p>
      <w:pPr>
        <w:pStyle w:val="DefinedTerms"/>
      </w:pPr>
      <w:r>
        <w:t>central business districts</w:t>
      </w:r>
      <w:r>
        <w:tab/>
        <w:t>16(1)</w:t>
      </w:r>
    </w:p>
    <w:p>
      <w:pPr>
        <w:pStyle w:val="DefinedTerms"/>
      </w:pPr>
      <w:r>
        <w:t>change of circumstances</w:t>
      </w:r>
      <w:r>
        <w:tab/>
        <w:t>16(1)</w:t>
      </w:r>
    </w:p>
    <w:p>
      <w:pPr>
        <w:pStyle w:val="DefinedTerms"/>
      </w:pPr>
      <w:r>
        <w:t>charge period</w:t>
      </w:r>
      <w:r>
        <w:tab/>
        <w:t>3</w:t>
      </w:r>
    </w:p>
    <w:p>
      <w:pPr>
        <w:pStyle w:val="DefinedTerms"/>
      </w:pPr>
      <w:r>
        <w:t>charitable purposes</w:t>
      </w:r>
      <w:r>
        <w:tab/>
        <w:t>16(1)</w:t>
      </w:r>
    </w:p>
    <w:p>
      <w:pPr>
        <w:pStyle w:val="DefinedTerms"/>
      </w:pPr>
      <w:r>
        <w:t>combined charge</w:t>
      </w:r>
      <w:r>
        <w:tab/>
        <w:t>42(1)</w:t>
      </w:r>
    </w:p>
    <w:p>
      <w:pPr>
        <w:pStyle w:val="DefinedTerms"/>
      </w:pPr>
      <w:r>
        <w:t>Commonwealth seniors health card</w:t>
      </w:r>
      <w:r>
        <w:tab/>
        <w:t>3</w:t>
      </w:r>
    </w:p>
    <w:p>
      <w:pPr>
        <w:pStyle w:val="DefinedTerms"/>
      </w:pPr>
      <w:r>
        <w:t>concession card holder</w:t>
      </w:r>
      <w:r>
        <w:tab/>
        <w:t>16(1)</w:t>
      </w:r>
    </w:p>
    <w:p>
      <w:pPr>
        <w:pStyle w:val="DefinedTerms"/>
      </w:pPr>
      <w:r>
        <w:t>concessional land</w:t>
      </w:r>
      <w:r>
        <w:tab/>
        <w:t>16(1)</w:t>
      </w:r>
    </w:p>
    <w:p>
      <w:pPr>
        <w:pStyle w:val="DefinedTerms"/>
      </w:pPr>
      <w:r>
        <w:t>consumption year</w:t>
      </w:r>
      <w:r>
        <w:tab/>
        <w:t>6, 11, 16(1)</w:t>
      </w:r>
    </w:p>
    <w:p>
      <w:pPr>
        <w:pStyle w:val="DefinedTerms"/>
      </w:pPr>
      <w:r>
        <w:t>cost of sampling</w:t>
      </w:r>
      <w:r>
        <w:tab/>
        <w:t>Sch. 7 it. 13(1)</w:t>
      </w:r>
    </w:p>
    <w:p>
      <w:pPr>
        <w:pStyle w:val="DefinedTerms"/>
      </w:pPr>
      <w:r>
        <w:t>desalinated water</w:t>
      </w:r>
      <w:r>
        <w:tab/>
        <w:t>16(1)</w:t>
      </w:r>
    </w:p>
    <w:p>
      <w:pPr>
        <w:pStyle w:val="DefinedTerms"/>
      </w:pPr>
      <w:r>
        <w:t>development</w:t>
      </w:r>
      <w:r>
        <w:tab/>
        <w:t>47(4)</w:t>
      </w:r>
    </w:p>
    <w:p>
      <w:pPr>
        <w:pStyle w:val="DefinedTerms"/>
      </w:pPr>
      <w:r>
        <w:t>discharge factor</w:t>
      </w:r>
      <w:r>
        <w:tab/>
        <w:t>16(1)</w:t>
      </w:r>
    </w:p>
    <w:p>
      <w:pPr>
        <w:pStyle w:val="DefinedTerms"/>
      </w:pPr>
      <w:r>
        <w:t>discharge volume</w:t>
      </w:r>
      <w:r>
        <w:tab/>
        <w:t>16(1)</w:t>
      </w:r>
    </w:p>
    <w:p>
      <w:pPr>
        <w:pStyle w:val="DefinedTerms"/>
      </w:pPr>
      <w:r>
        <w:t>discharge year</w:t>
      </w:r>
      <w:r>
        <w:tab/>
        <w:t>16(1)</w:t>
      </w:r>
    </w:p>
    <w:p>
      <w:pPr>
        <w:pStyle w:val="DefinedTerms"/>
      </w:pPr>
      <w:r>
        <w:t>drainage area</w:t>
      </w:r>
      <w:r>
        <w:tab/>
        <w:t>16(1)</w:t>
      </w:r>
    </w:p>
    <w:p>
      <w:pPr>
        <w:pStyle w:val="DefinedTerms"/>
      </w:pPr>
      <w:r>
        <w:t>drainage charge</w:t>
      </w:r>
      <w:r>
        <w:tab/>
        <w:t>16(1)</w:t>
      </w:r>
    </w:p>
    <w:p>
      <w:pPr>
        <w:pStyle w:val="DefinedTerms"/>
      </w:pPr>
      <w:r>
        <w:t>eligible pensioner</w:t>
      </w:r>
      <w:r>
        <w:tab/>
        <w:t>3</w:t>
      </w:r>
    </w:p>
    <w:p>
      <w:pPr>
        <w:pStyle w:val="DefinedTerms"/>
      </w:pPr>
      <w:r>
        <w:t>farmland</w:t>
      </w:r>
      <w:r>
        <w:tab/>
        <w:t>16(1)</w:t>
      </w:r>
    </w:p>
    <w:p>
      <w:pPr>
        <w:pStyle w:val="DefinedTerms"/>
      </w:pPr>
      <w:r>
        <w:t>financial year</w:t>
      </w:r>
      <w:r>
        <w:tab/>
        <w:t>6, 11, 16(1)</w:t>
      </w:r>
    </w:p>
    <w:p>
      <w:pPr>
        <w:pStyle w:val="DefinedTerms"/>
      </w:pPr>
      <w:r>
        <w:t>fire service connection</w:t>
      </w:r>
      <w:r>
        <w:tab/>
        <w:t>11</w:t>
      </w:r>
    </w:p>
    <w:p>
      <w:pPr>
        <w:pStyle w:val="DefinedTerms"/>
      </w:pPr>
      <w:r>
        <w:t>garden use</w:t>
      </w:r>
      <w:r>
        <w:tab/>
        <w:t>Sch. 3 it. 15(1)</w:t>
      </w:r>
    </w:p>
    <w:p>
      <w:pPr>
        <w:pStyle w:val="DefinedTerms"/>
      </w:pPr>
      <w:r>
        <w:t>government trading organisation</w:t>
      </w:r>
      <w:r>
        <w:tab/>
        <w:t>16(1)</w:t>
      </w:r>
    </w:p>
    <w:p>
      <w:pPr>
        <w:pStyle w:val="DefinedTerms"/>
      </w:pPr>
      <w:r>
        <w:t>GRV</w:t>
      </w:r>
      <w:r>
        <w:tab/>
        <w:t>16(1)</w:t>
      </w:r>
    </w:p>
    <w:p>
      <w:pPr>
        <w:pStyle w:val="DefinedTerms"/>
      </w:pPr>
      <w:r>
        <w:t>holiday accommodation</w:t>
      </w:r>
      <w:r>
        <w:tab/>
        <w:t>16(1)</w:t>
      </w:r>
    </w:p>
    <w:p>
      <w:pPr>
        <w:pStyle w:val="DefinedTerms"/>
      </w:pPr>
      <w:r>
        <w:t>hydrant standpipe</w:t>
      </w:r>
      <w:r>
        <w:tab/>
        <w:t>16(1)</w:t>
      </w:r>
    </w:p>
    <w:p>
      <w:pPr>
        <w:pStyle w:val="DefinedTerms"/>
      </w:pPr>
      <w:r>
        <w:t>irrigation district</w:t>
      </w:r>
      <w:r>
        <w:tab/>
        <w:t>16(1)</w:t>
      </w:r>
    </w:p>
    <w:p>
      <w:pPr>
        <w:pStyle w:val="DefinedTerms"/>
      </w:pPr>
      <w:r>
        <w:t>irrigation works</w:t>
      </w:r>
      <w:r>
        <w:tab/>
        <w:t>16(1)</w:t>
      </w:r>
    </w:p>
    <w:p>
      <w:pPr>
        <w:pStyle w:val="DefinedTerms"/>
      </w:pPr>
      <w:r>
        <w:t>local government standpipe</w:t>
      </w:r>
      <w:r>
        <w:tab/>
        <w:t>16(1)</w:t>
      </w:r>
    </w:p>
    <w:p>
      <w:pPr>
        <w:pStyle w:val="DefinedTerms"/>
      </w:pPr>
      <w:r>
        <w:t>long</w:t>
      </w:r>
      <w:r>
        <w:noBreakHyphen/>
        <w:t>term residential caravan bay</w:t>
      </w:r>
      <w:r>
        <w:tab/>
        <w:t>16(1)</w:t>
      </w:r>
    </w:p>
    <w:p>
      <w:pPr>
        <w:pStyle w:val="DefinedTerms"/>
      </w:pPr>
      <w:r>
        <w:t>lot</w:t>
      </w:r>
      <w:r>
        <w:tab/>
        <w:t>6, 11, 16(1)</w:t>
      </w:r>
    </w:p>
    <w:p>
      <w:pPr>
        <w:pStyle w:val="DefinedTerms"/>
      </w:pPr>
      <w:r>
        <w:t>major fixture</w:t>
      </w:r>
      <w:r>
        <w:tab/>
        <w:t>16(1)</w:t>
      </w:r>
    </w:p>
    <w:p>
      <w:pPr>
        <w:pStyle w:val="DefinedTerms"/>
      </w:pPr>
      <w:r>
        <w:t>metropolitan area</w:t>
      </w:r>
      <w:r>
        <w:tab/>
        <w:t>16(1)</w:t>
      </w:r>
    </w:p>
    <w:p>
      <w:pPr>
        <w:pStyle w:val="DefinedTerms"/>
      </w:pPr>
      <w:r>
        <w:t>multi</w:t>
      </w:r>
      <w:r>
        <w:noBreakHyphen/>
        <w:t>unit development</w:t>
      </w:r>
      <w:r>
        <w:tab/>
        <w:t>3</w:t>
      </w:r>
    </w:p>
    <w:p>
      <w:pPr>
        <w:pStyle w:val="DefinedTerms"/>
      </w:pPr>
      <w:r>
        <w:t>non</w:t>
      </w:r>
      <w:r>
        <w:noBreakHyphen/>
        <w:t>commercial government property</w:t>
      </w:r>
      <w:r>
        <w:tab/>
        <w:t>16(1)</w:t>
      </w:r>
    </w:p>
    <w:p>
      <w:pPr>
        <w:pStyle w:val="DefinedTerms"/>
      </w:pPr>
      <w:r>
        <w:t>non</w:t>
      </w:r>
      <w:r>
        <w:noBreakHyphen/>
        <w:t>profit private organisation</w:t>
      </w:r>
      <w:r>
        <w:tab/>
        <w:t>16(1)</w:t>
      </w:r>
    </w:p>
    <w:p>
      <w:pPr>
        <w:pStyle w:val="DefinedTerms"/>
      </w:pPr>
      <w:r>
        <w:t>non</w:t>
      </w:r>
      <w:r>
        <w:noBreakHyphen/>
        <w:t>residential lot</w:t>
      </w:r>
      <w:r>
        <w:tab/>
        <w:t>6, 11</w:t>
      </w:r>
    </w:p>
    <w:p>
      <w:pPr>
        <w:pStyle w:val="DefinedTerms"/>
      </w:pPr>
      <w:r>
        <w:t>nursing home</w:t>
      </w:r>
      <w:r>
        <w:tab/>
        <w:t>16(1)</w:t>
      </w:r>
    </w:p>
    <w:p>
      <w:pPr>
        <w:pStyle w:val="DefinedTerms"/>
      </w:pPr>
      <w:r>
        <w:t>old provision</w:t>
      </w:r>
      <w:r>
        <w:tab/>
        <w:t>55(1)</w:t>
      </w:r>
    </w:p>
    <w:p>
      <w:pPr>
        <w:pStyle w:val="DefinedTerms"/>
      </w:pPr>
      <w:r>
        <w:t>product evaluation</w:t>
      </w:r>
      <w:r>
        <w:tab/>
        <w:t>Sch. 7 it. 13(1)</w:t>
      </w:r>
    </w:p>
    <w:p>
      <w:pPr>
        <w:pStyle w:val="DefinedTerms"/>
      </w:pPr>
      <w:r>
        <w:t>public land</w:t>
      </w:r>
      <w:r>
        <w:tab/>
        <w:t>16(1)</w:t>
      </w:r>
    </w:p>
    <w:p>
      <w:pPr>
        <w:pStyle w:val="DefinedTerms"/>
      </w:pPr>
      <w:r>
        <w:t>registered pensioner</w:t>
      </w:r>
      <w:r>
        <w:tab/>
        <w:t>3</w:t>
      </w:r>
    </w:p>
    <w:p>
      <w:pPr>
        <w:pStyle w:val="DefinedTerms"/>
      </w:pPr>
      <w:r>
        <w:t>registered senior</w:t>
      </w:r>
      <w:r>
        <w:tab/>
        <w:t>3</w:t>
      </w:r>
    </w:p>
    <w:p>
      <w:pPr>
        <w:pStyle w:val="DefinedTerms"/>
      </w:pPr>
      <w:r>
        <w:t>residential lot</w:t>
      </w:r>
      <w:r>
        <w:tab/>
        <w:t>6, 11</w:t>
      </w:r>
    </w:p>
    <w:p>
      <w:pPr>
        <w:pStyle w:val="DefinedTerms"/>
      </w:pPr>
      <w:r>
        <w:t>residential property</w:t>
      </w:r>
      <w:r>
        <w:tab/>
        <w:t>16(1)</w:t>
      </w:r>
    </w:p>
    <w:p>
      <w:pPr>
        <w:pStyle w:val="DefinedTerms"/>
      </w:pPr>
      <w:r>
        <w:t>residential rate</w:t>
      </w:r>
      <w:r>
        <w:tab/>
        <w:t>27(3)</w:t>
      </w:r>
    </w:p>
    <w:p>
      <w:pPr>
        <w:pStyle w:val="DefinedTerms"/>
      </w:pPr>
      <w:r>
        <w:t>retirement village</w:t>
      </w:r>
      <w:r>
        <w:tab/>
        <w:t>16(1)</w:t>
      </w:r>
    </w:p>
    <w:p>
      <w:pPr>
        <w:pStyle w:val="DefinedTerms"/>
      </w:pPr>
      <w:r>
        <w:t>rural land</w:t>
      </w:r>
      <w:r>
        <w:tab/>
        <w:t>47(4)</w:t>
      </w:r>
    </w:p>
    <w:p>
      <w:pPr>
        <w:pStyle w:val="DefinedTerms"/>
      </w:pPr>
      <w:r>
        <w:t>semi</w:t>
      </w:r>
      <w:r>
        <w:noBreakHyphen/>
        <w:t>rural residential property</w:t>
      </w:r>
      <w:r>
        <w:tab/>
        <w:t>16(1)</w:t>
      </w:r>
    </w:p>
    <w:p>
      <w:pPr>
        <w:pStyle w:val="DefinedTerms"/>
      </w:pPr>
      <w:r>
        <w:t>sewer junction</w:t>
      </w:r>
      <w:r>
        <w:tab/>
        <w:t>16(1)</w:t>
      </w:r>
    </w:p>
    <w:p>
      <w:pPr>
        <w:pStyle w:val="DefinedTerms"/>
      </w:pPr>
      <w:r>
        <w:t>sewerage area</w:t>
      </w:r>
      <w:r>
        <w:tab/>
        <w:t>16(1)</w:t>
      </w:r>
    </w:p>
    <w:p>
      <w:pPr>
        <w:pStyle w:val="DefinedTerms"/>
      </w:pPr>
      <w:r>
        <w:t>sewerage charge</w:t>
      </w:r>
      <w:r>
        <w:tab/>
        <w:t>16(1)</w:t>
      </w:r>
    </w:p>
    <w:p>
      <w:pPr>
        <w:pStyle w:val="DefinedTerms"/>
      </w:pPr>
      <w:r>
        <w:t>shared grease arrestor</w:t>
      </w:r>
      <w:r>
        <w:tab/>
        <w:t>Sch. 4 it. 8(1)</w:t>
      </w:r>
    </w:p>
    <w:p>
      <w:pPr>
        <w:pStyle w:val="DefinedTerms"/>
      </w:pPr>
      <w:r>
        <w:t>single capital infrastructure charge</w:t>
      </w:r>
      <w:r>
        <w:tab/>
        <w:t>16(1), Sch. 3 it. 18(3)</w:t>
      </w:r>
    </w:p>
    <w:p>
      <w:pPr>
        <w:pStyle w:val="DefinedTerms"/>
      </w:pPr>
      <w:r>
        <w:t>special meter reading</w:t>
      </w:r>
      <w:r>
        <w:tab/>
        <w:t>16(1)</w:t>
      </w:r>
    </w:p>
    <w:p>
      <w:pPr>
        <w:pStyle w:val="DefinedTerms"/>
      </w:pPr>
      <w:r>
        <w:t>strata</w:t>
      </w:r>
      <w:r>
        <w:noBreakHyphen/>
        <w:t>titled caravan bay</w:t>
      </w:r>
      <w:r>
        <w:tab/>
        <w:t>16(1)</w:t>
      </w:r>
    </w:p>
    <w:p>
      <w:pPr>
        <w:pStyle w:val="DefinedTerms"/>
      </w:pPr>
      <w:r>
        <w:t>trade waste charge</w:t>
      </w:r>
      <w:r>
        <w:tab/>
        <w:t>19(1)</w:t>
      </w:r>
    </w:p>
    <w:p>
      <w:pPr>
        <w:pStyle w:val="DefinedTerms"/>
      </w:pPr>
      <w:r>
        <w:t>vacant land</w:t>
      </w:r>
      <w:r>
        <w:tab/>
        <w:t>3</w:t>
      </w:r>
    </w:p>
    <w:p>
      <w:pPr>
        <w:pStyle w:val="DefinedTerms"/>
      </w:pPr>
      <w:r>
        <w:t>water supply charge</w:t>
      </w:r>
      <w:r>
        <w:tab/>
        <w:t>16(1)</w:t>
      </w:r>
    </w:p>
    <w:p>
      <w:pPr>
        <w:pStyle w:val="DefinedTerms"/>
      </w:pPr>
      <w:r>
        <w:t>water supply connection</w:t>
      </w:r>
      <w:r>
        <w:tab/>
        <w:t>3</w:t>
      </w:r>
    </w:p>
    <w:p>
      <w:pPr>
        <w:pStyle w:val="DefinedTerms"/>
        <w:sectPr>
          <w:headerReference w:type="even" r:id="rId41"/>
          <w:headerReference w:type="default" r:id="rId42"/>
          <w:pgSz w:w="11907" w:h="16840" w:code="9"/>
          <w:pgMar w:top="2381" w:right="2409" w:bottom="3543" w:left="2409" w:header="720" w:footer="3380" w:gutter="0"/>
          <w:cols w:space="720"/>
          <w:noEndnote/>
          <w:docGrid w:linePitch="326"/>
        </w:sectPr>
      </w:pPr>
    </w:p>
    <w:p>
      <w:r>
        <w:rPr>
          <w:noProof/>
        </w:rPr>
        <mc:AlternateContent>
          <mc:Choice Requires="wps">
            <w:drawing>
              <wp:anchor distT="0" distB="0" distL="114300" distR="114300" simplePos="0" relativeHeight="251663360" behindDoc="0" locked="0" layoutInCell="1" allowOverlap="1">
                <wp:simplePos x="0" y="0"/>
                <wp:positionH relativeFrom="page">
                  <wp:align>center</wp:align>
                </wp:positionH>
                <wp:positionV relativeFrom="page">
                  <wp:align>bottom</wp:align>
                </wp:positionV>
                <wp:extent cx="128954" cy="2451100"/>
                <wp:effectExtent l="0" t="0" r="1905" b="6350"/>
                <wp:wrapNone/>
                <wp:docPr id="1" name="Authority"/>
                <wp:cNvGraphicFramePr/>
                <a:graphic xmlns:a="http://schemas.openxmlformats.org/drawingml/2006/main">
                  <a:graphicData uri="http://schemas.microsoft.com/office/word/2010/wordprocessingShape">
                    <wps:wsp>
                      <wps:cNvSpPr txBox="1"/>
                      <wps:spPr>
                        <a:xfrm>
                          <a:off x="0" y="0"/>
                          <a:ext cx="128954" cy="245110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JOHN A. STRIJK,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Authority" o:spid="_x0000_s1041" type="#_x0000_t202" style="position:absolute;margin-left:0;margin-top:0;width:10.15pt;height:193pt;z-index:251663360;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" stroked="f" strokeweight=".5pt">
                <v:textbox>
                  <w:txbxContent>
                    <w:p w:rsidR="00E52995" w:rsidRDefault="00E52995">
                      <w:pPr>
                        <w:pBdr>
                          <w:top w:val="double" w:sz="4" w:space="0" w:color="auto"/>
                        </w:pBdr>
                        <w:ind w:left="2381" w:right="2381"/>
                        <w:jc w:val="center"/>
                        <w:rPr>
                          <w:rFonts w:ascii="Arial" w:hAnsi="Arial" w:cs="Arial"/>
                          <w:sz w:val="12"/>
                        </w:rPr>
                      </w:pPr>
                      <w:r>
                        <w:rPr>
                          <w:rFonts w:ascii="Arial" w:hAnsi="Arial" w:cs="Arial"/>
                          <w:sz w:val="12"/>
                        </w:rPr>
                        <w:t>By Authority: JOHN A. STRIJK, Government Printer</w:t>
                      </w:r>
                    </w:p>
                  </w:txbxContent>
                </v:textbox>
                <w10:wrap anchorx="page" anchory="page"/>
              </v:shape>
            </w:pict>
          </mc:Fallback>
        </mc:AlternateContent>
      </w:r>
    </w:p>
    <w:sectPr>
      <w:headerReference w:type="even" r:id="rId43"/>
      <w:headerReference w:type="default" r:id="rId44"/>
      <w:footerReference w:type="even" r:id="rId45"/>
      <w:footerReference w:type="default" r:id="rId46"/>
      <w:headerReference w:type="first" r:id="rId47"/>
      <w:footerReference w:type="first" r:id="rId48"/>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134</w:t>
    </w:r>
    <w:r>
      <w:rPr>
        <w:sz w:val="20"/>
      </w:rPr>
      <w:fldChar w:fldCharType="end"/>
    </w:r>
    <w:r>
      <w:rPr>
        <w:sz w:val="20"/>
      </w:rPr>
      <w:tab/>
      <w:t xml:space="preserve">Reprint </w:t>
    </w:r>
    <w:r>
      <w:rPr>
        <w:sz w:val="20"/>
      </w:rPr>
      <w:fldChar w:fldCharType="begin"/>
    </w:r>
    <w:r>
      <w:rPr>
        <w:sz w:val="20"/>
      </w:rPr>
      <w:instrText xml:space="preserve"> DOCPROPERTY "ReprintNo" </w:instrText>
    </w:r>
    <w:r>
      <w:rPr>
        <w:sz w:val="20"/>
      </w:rPr>
      <w:fldChar w:fldCharType="separate"/>
    </w:r>
    <w:r>
      <w:rPr>
        <w:sz w:val="20"/>
      </w:rPr>
      <w:t>1</w:t>
    </w:r>
    <w:r>
      <w:rPr>
        <w:sz w:val="20"/>
      </w:rPr>
      <w:fldChar w:fldCharType="end"/>
    </w:r>
  </w:p>
  <w:p>
    <w:pPr>
      <w:pStyle w:val="Footer"/>
      <w:rPr>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135</w:t>
    </w:r>
    <w:r>
      <w:rPr>
        <w:sz w:val="20"/>
      </w:rPr>
      <w:fldChar w:fldCharType="end"/>
    </w:r>
  </w:p>
  <w:p>
    <w:pPr>
      <w:pStyle w:val="Footer"/>
      <w:rPr>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styleref CharSchText</w:instrText>
          </w:r>
          <w:r>
            <w:fldChar w:fldCharType="separate"/>
          </w:r>
          <w:r>
            <w:t>Sewerage charges for the Water Corporation</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3</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separate"/>
          </w:r>
          <w:r>
            <w:rPr>
              <w:b/>
            </w:rPr>
            <w:t>Division 3</w:t>
          </w:r>
          <w:r>
            <w:rPr>
              <w:b/>
            </w:rPr>
            <w:fldChar w:fldCharType="end"/>
          </w:r>
        </w:p>
      </w:tc>
      <w:tc>
        <w:tcPr>
          <w:tcW w:w="5715" w:type="dxa"/>
        </w:tcPr>
        <w:p>
          <w:pPr>
            <w:pStyle w:val="Header"/>
            <w:spacing w:before="40"/>
          </w:pPr>
          <w:r>
            <w:fldChar w:fldCharType="begin"/>
          </w:r>
          <w:r>
            <w:instrText>styleref CharSDivText</w:instrText>
          </w:r>
          <w:r>
            <w:fldChar w:fldCharType="separate"/>
          </w:r>
          <w:r>
            <w:t>Discharge charges: trade waste and effluent</w:t>
          </w:r>
          <w:r>
            <w:fldChar w:fldCharType="end"/>
          </w:r>
        </w:p>
      </w:tc>
    </w:tr>
    <w:tr>
      <w:tc>
        <w:tcPr>
          <w:tcW w:w="1548" w:type="dxa"/>
        </w:tcPr>
        <w:p>
          <w:pPr>
            <w:pStyle w:val="Header"/>
            <w:spacing w:before="40"/>
          </w:pPr>
          <w:r>
            <w:rPr>
              <w:b/>
            </w:rPr>
            <w:t xml:space="preserve">it.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31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31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97" w:type="dxa"/>
        </w:tcPr>
        <w:p>
          <w:pPr>
            <w:pStyle w:val="Header"/>
            <w:spacing w:before="40"/>
            <w:jc w:val="right"/>
          </w:pPr>
          <w:r>
            <w:fldChar w:fldCharType="begin"/>
          </w:r>
          <w:r>
            <w:instrText>styleref CharSchText</w:instrText>
          </w:r>
          <w:r>
            <w:fldChar w:fldCharType="separate"/>
          </w:r>
          <w:r>
            <w:t>Sewerage charges for the Water Corporation</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separate"/>
          </w:r>
          <w:r>
            <w:rPr>
              <w:b/>
            </w:rPr>
            <w:t>Schedule 4</w:t>
          </w:r>
          <w:r>
            <w:rPr>
              <w:b/>
            </w:rPr>
            <w:fldChar w:fldCharType="end"/>
          </w:r>
        </w:p>
      </w:tc>
    </w:tr>
    <w:tr>
      <w:tc>
        <w:tcPr>
          <w:tcW w:w="5797" w:type="dxa"/>
        </w:tcPr>
        <w:p>
          <w:pPr>
            <w:pStyle w:val="Header"/>
            <w:spacing w:before="40"/>
            <w:jc w:val="right"/>
          </w:pPr>
          <w:r>
            <w:rPr>
              <w:noProof w:val="0"/>
            </w:rPr>
            <w:fldChar w:fldCharType="begin"/>
          </w:r>
          <w:r>
            <w:instrText xml:space="preserve"> styleref CharSDivText </w:instrText>
          </w:r>
          <w:r>
            <w:rPr>
              <w:noProof w:val="0"/>
            </w:rPr>
            <w:fldChar w:fldCharType="separate"/>
          </w:r>
          <w:r>
            <w:t>Discharge charges: trade waste and effluent</w: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separate"/>
          </w:r>
          <w:r>
            <w:rPr>
              <w:b/>
            </w:rPr>
            <w:t>Division 3</w:t>
          </w:r>
          <w:r>
            <w:rPr>
              <w:b/>
            </w:rPr>
            <w:fldChar w:fldCharType="end"/>
          </w:r>
        </w:p>
      </w:tc>
    </w:tr>
    <w:tr>
      <w:tc>
        <w:tcPr>
          <w:tcW w:w="5797" w:type="dxa"/>
        </w:tcPr>
        <w:p>
          <w:pPr>
            <w:pStyle w:val="Header"/>
            <w:spacing w:before="40"/>
            <w:jc w:val="right"/>
          </w:pPr>
        </w:p>
      </w:tc>
      <w:tc>
        <w:tcPr>
          <w:tcW w:w="1466" w:type="dxa"/>
        </w:tcPr>
        <w:p>
          <w:pPr>
            <w:pStyle w:val="Header"/>
            <w:spacing w:before="40"/>
            <w:ind w:right="17"/>
            <w:jc w:val="right"/>
          </w:pPr>
          <w:r>
            <w:rPr>
              <w:b/>
            </w:rPr>
            <w:t xml:space="preserve">it.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31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31</w:t>
          </w:r>
          <w:r>
            <w:rPr>
              <w:b/>
            </w:rPr>
            <w:fldChar w:fldCharType="end"/>
          </w:r>
        </w:p>
      </w:tc>
    </w:tr>
  </w:tbl>
  <w:p>
    <w:pPr>
      <w:pStyle w:val="Header"/>
      <w:pBdr>
        <w:top w:val="single" w:sz="4" w:space="1" w:color="auto"/>
      </w:pBdr>
    </w:pPr>
    <w:bookmarkStart w:id="244" w:name="Schedule"/>
    <w:bookmarkEnd w:id="24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8</w:t>
          </w:r>
          <w:r>
            <w:rPr>
              <w:b/>
            </w:rPr>
            <w:fldChar w:fldCharType="end"/>
          </w:r>
        </w:p>
      </w:tc>
      <w:tc>
        <w:tcPr>
          <w:tcW w:w="5715" w:type="dxa"/>
        </w:tcPr>
        <w:p>
          <w:pPr>
            <w:pStyle w:val="Header"/>
            <w:spacing w:before="40"/>
          </w:pPr>
          <w:r>
            <w:fldChar w:fldCharType="begin"/>
          </w:r>
          <w:r>
            <w:instrText>styleref CharSchText</w:instrText>
          </w:r>
          <w:r>
            <w:fldChar w:fldCharType="separate"/>
          </w:r>
          <w:r>
            <w:t>Government trading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17</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17</w:t>
          </w:r>
          <w:r>
            <w:rPr>
              <w:b/>
            </w:rPr>
            <w:fldChar w:fldCharType="end"/>
          </w: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Government trading organisations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8</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9</w:t>
          </w:r>
          <w:r>
            <w:rPr>
              <w:b/>
            </w:rPr>
            <w:fldChar w:fldCharType="end"/>
          </w:r>
        </w:p>
      </w:tc>
      <w:tc>
        <w:tcPr>
          <w:tcW w:w="5715" w:type="dxa"/>
        </w:tcPr>
        <w:p>
          <w:pPr>
            <w:pStyle w:val="Header"/>
            <w:spacing w:before="40"/>
          </w:pPr>
          <w:r>
            <w:fldChar w:fldCharType="begin"/>
          </w:r>
          <w:r>
            <w:instrText>styleref CharSchText</w:instrText>
          </w:r>
          <w:r>
            <w:fldChar w:fldCharType="separate"/>
          </w:r>
          <w:r>
            <w:t>Central business districts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Central business districts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9</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90" w:name="Compilation"/>
    <w:bookmarkEnd w:id="290"/>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93" w:name="DefinedTerms"/>
    <w:bookmarkEnd w:id="293"/>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94" w:name="Coversheet"/>
    <w:bookmarkEnd w:id="29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8"/>
  </w:num>
  <w:num w:numId="18">
    <w:abstractNumId w:val="13"/>
  </w:num>
  <w:num w:numId="19">
    <w:abstractNumId w:val="16"/>
  </w:num>
  <w:num w:numId="20">
    <w:abstractNumId w:val="21"/>
  </w:num>
  <w:num w:numId="21">
    <w:abstractNumId w:val="20"/>
  </w:num>
  <w:num w:numId="22">
    <w:abstractNumId w:val="24"/>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0143805"/>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8.xml"/><Relationship Id="rId39" Type="http://schemas.openxmlformats.org/officeDocument/2006/relationships/header" Target="header2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6.xml"/><Relationship Id="rId42" Type="http://schemas.openxmlformats.org/officeDocument/2006/relationships/header" Target="header23.xml"/><Relationship Id="rId47" Type="http://schemas.openxmlformats.org/officeDocument/2006/relationships/header" Target="header26.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7.xml"/><Relationship Id="rId33" Type="http://schemas.openxmlformats.org/officeDocument/2006/relationships/header" Target="header15.xml"/><Relationship Id="rId38" Type="http://schemas.openxmlformats.org/officeDocument/2006/relationships/header" Target="header19.xml"/><Relationship Id="rId46"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41"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4.wmf"/><Relationship Id="rId32" Type="http://schemas.openxmlformats.org/officeDocument/2006/relationships/header" Target="header14.xml"/><Relationship Id="rId37" Type="http://schemas.openxmlformats.org/officeDocument/2006/relationships/header" Target="header18.xml"/><Relationship Id="rId40" Type="http://schemas.openxmlformats.org/officeDocument/2006/relationships/header" Target="header21.xml"/><Relationship Id="rId45"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wmf"/><Relationship Id="rId28" Type="http://schemas.openxmlformats.org/officeDocument/2006/relationships/header" Target="header10.xml"/><Relationship Id="rId36" Type="http://schemas.openxmlformats.org/officeDocument/2006/relationships/header" Target="header17.xml"/><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3.xml"/><Relationship Id="rId44" Type="http://schemas.openxmlformats.org/officeDocument/2006/relationships/header" Target="header2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image" Target="media/image5.png"/><Relationship Id="rId43" Type="http://schemas.openxmlformats.org/officeDocument/2006/relationships/header" Target="header24.xml"/><Relationship Id="rId48" Type="http://schemas.openxmlformats.org/officeDocument/2006/relationships/footer" Target="footer9.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B110B-4433-4F35-84FB-9850780DB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147</Pages>
  <Words>28817</Words>
  <Characters>137459</Characters>
  <Application>Microsoft Office Word</Application>
  <DocSecurity>0</DocSecurity>
  <Lines>5976</Lines>
  <Paragraphs>4750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161526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2014 - 01-00-00</dc:title>
  <dc:subject/>
  <dc:creator/>
  <cp:keywords/>
  <dc:description/>
  <cp:lastModifiedBy>svcMRProcess</cp:lastModifiedBy>
  <cp:revision>4</cp:revision>
  <cp:lastPrinted>2016-01-06T01:57:00Z</cp:lastPrinted>
  <dcterms:created xsi:type="dcterms:W3CDTF">2020-04-27T02:48:00Z</dcterms:created>
  <dcterms:modified xsi:type="dcterms:W3CDTF">2020-04-27T02:48:00Z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CommencementDate">
    <vt:lpwstr>20160108</vt:lpwstr>
  </property>
  <property fmtid="{D5CDD505-2E9C-101B-9397-08002B2CF9AE}" pid="5" name="AsAtDate">
    <vt:lpwstr>08 Jan 2016</vt:lpwstr>
  </property>
  <property fmtid="{D5CDD505-2E9C-101B-9397-08002B2CF9AE}" pid="6" name="Suffix">
    <vt:lpwstr>01-00-00</vt:lpwstr>
  </property>
  <property fmtid="{D5CDD505-2E9C-101B-9397-08002B2CF9AE}" pid="7" name="ReprintedAsAt">
    <vt:filetime>2016-01-07T16:00:00Z</vt:filetime>
  </property>
  <property fmtid="{D5CDD505-2E9C-101B-9397-08002B2CF9AE}" pid="8" name="ReprintNo">
    <vt:lpwstr>1</vt:lpwstr>
  </property>
</Properties>
</file>