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_Toc426101203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_Toc426101204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_Toc426101205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Australian legal practitioners</w:t>
      </w:r>
    </w:p>
    <w:p>
      <w:pPr>
        <w:pStyle w:val="TOC4"/>
        <w:tabs>
          <w:tab w:val="right" w:leader="dot" w:pos="708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_Toc426101208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or renewal of local practising certificate (s. 43(1)(b))</w:t>
      </w:r>
      <w:r>
        <w:tab/>
      </w:r>
      <w:r>
        <w:fldChar w:fldCharType="begin"/>
      </w:r>
      <w:r>
        <w:instrText xml:space="preserve"> PAGEREF _Toc426101209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_Toc426101210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_Toc426101211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_Toc426101212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_Toc426101215 \h </w:instrText>
      </w:r>
      <w:r>
        <w:fldChar w:fldCharType="separate"/>
      </w:r>
      <w:r>
        <w:t>4</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_Toc426101217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_Toc426101218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_Toc426101219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_Toc426101220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_Toc426101221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_Toc426101222 \h </w:instrText>
      </w:r>
      <w:r>
        <w:fldChar w:fldCharType="separate"/>
      </w:r>
      <w:r>
        <w:t>8</w:t>
      </w:r>
      <w:r>
        <w:fldChar w:fldCharType="end"/>
      </w:r>
    </w:p>
    <w:p>
      <w:pPr>
        <w:pStyle w:val="TOC6"/>
        <w:tabs>
          <w:tab w:val="right" w:leader="dot" w:pos="708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_Toc426101224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_Toc426101225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_Toc426101226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_Toc426101227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_Toc426101228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_Toc426101229 \h </w:instrText>
      </w:r>
      <w:r>
        <w:fldChar w:fldCharType="separate"/>
      </w:r>
      <w:r>
        <w:t>12</w:t>
      </w:r>
      <w:r>
        <w:fldChar w:fldCharType="end"/>
      </w:r>
    </w:p>
    <w:p>
      <w:pPr>
        <w:pStyle w:val="TOC6"/>
        <w:tabs>
          <w:tab w:val="right" w:leader="dot" w:pos="708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_Toc426101231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_Toc426101232 \h </w:instrText>
      </w:r>
      <w:r>
        <w:fldChar w:fldCharType="separate"/>
      </w:r>
      <w:r>
        <w:t>15</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_Toc426101233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_Toc426101234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_Toc426101235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_Toc426101236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_Toc426101238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_Toc426101240 \h </w:instrText>
      </w:r>
      <w:r>
        <w:fldChar w:fldCharType="separate"/>
      </w:r>
      <w:r>
        <w:t>24</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_Toc426101241 \h </w:instrText>
      </w:r>
      <w:r>
        <w:fldChar w:fldCharType="separate"/>
      </w:r>
      <w:r>
        <w:t>25</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_Toc426101242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_Toc426101244 \h </w:instrText>
      </w:r>
      <w:r>
        <w:fldChar w:fldCharType="separate"/>
      </w:r>
      <w:r>
        <w:t>25</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_Toc426101245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_Toc426101247 \h </w:instrText>
      </w:r>
      <w:r>
        <w:fldChar w:fldCharType="separate"/>
      </w:r>
      <w:r>
        <w:t>28</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_Toc426101248 \h </w:instrText>
      </w:r>
      <w:r>
        <w:fldChar w:fldCharType="separate"/>
      </w:r>
      <w:r>
        <w:t>28</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_Toc426101249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4 — Legal Practice Board</w:t>
      </w:r>
    </w:p>
    <w:p>
      <w:pPr>
        <w:pStyle w:val="TOC4"/>
        <w:tabs>
          <w:tab w:val="right" w:leader="dot" w:pos="708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_Toc426101252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_Toc426101254 \h </w:instrText>
      </w:r>
      <w:r>
        <w:fldChar w:fldCharType="separate"/>
      </w:r>
      <w:r>
        <w:t>29</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_Toc426101255 \h </w:instrText>
      </w:r>
      <w:r>
        <w:fldChar w:fldCharType="separate"/>
      </w:r>
      <w:r>
        <w:t>29</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_Toc426101256 \h </w:instrText>
      </w:r>
      <w:r>
        <w:fldChar w:fldCharType="separate"/>
      </w:r>
      <w:r>
        <w:t>29</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_Toc426101257 \h </w:instrText>
      </w:r>
      <w:r>
        <w:fldChar w:fldCharType="separate"/>
      </w:r>
      <w:r>
        <w:t>30</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_Toc426101258 \h </w:instrText>
      </w:r>
      <w:r>
        <w:fldChar w:fldCharType="separate"/>
      </w:r>
      <w:r>
        <w:t>30</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_Toc426101259 \h </w:instrText>
      </w:r>
      <w:r>
        <w:fldChar w:fldCharType="separate"/>
      </w:r>
      <w:r>
        <w:t>30</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_Toc426101260 \h </w:instrText>
      </w:r>
      <w:r>
        <w:fldChar w:fldCharType="separate"/>
      </w:r>
      <w:r>
        <w:t>31</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_Toc426101261 \h </w:instrText>
      </w:r>
      <w:r>
        <w:fldChar w:fldCharType="separate"/>
      </w:r>
      <w:r>
        <w:t>32</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_Toc426101262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_Toc426101264 \h </w:instrText>
      </w:r>
      <w:r>
        <w:fldChar w:fldCharType="separate"/>
      </w:r>
      <w:r>
        <w:t>32</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_Toc426101265 \h </w:instrText>
      </w:r>
      <w:r>
        <w:fldChar w:fldCharType="separate"/>
      </w:r>
      <w:r>
        <w:t>32</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_Toc426101266 \h </w:instrText>
      </w:r>
      <w:r>
        <w:fldChar w:fldCharType="separate"/>
      </w:r>
      <w:r>
        <w:t>32</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_Toc426101267 \h </w:instrText>
      </w:r>
      <w:r>
        <w:fldChar w:fldCharType="separate"/>
      </w:r>
      <w:r>
        <w:t>33</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_Toc426101268 \h </w:instrText>
      </w:r>
      <w:r>
        <w:fldChar w:fldCharType="separate"/>
      </w:r>
      <w:r>
        <w:t>33</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_Toc426101269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_Toc426101271 \h </w:instrText>
      </w:r>
      <w:r>
        <w:fldChar w:fldCharType="separate"/>
      </w:r>
      <w:r>
        <w:t>34</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_Toc426101272 \h </w:instrText>
      </w:r>
      <w:r>
        <w:fldChar w:fldCharType="separate"/>
      </w:r>
      <w:r>
        <w:t>34</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_Toc426101273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_Toc426101275 \h </w:instrText>
      </w:r>
      <w:r>
        <w:fldChar w:fldCharType="separate"/>
      </w:r>
      <w:r>
        <w:t>35</w:t>
      </w:r>
      <w:r>
        <w:fldChar w:fldCharType="end"/>
      </w:r>
    </w:p>
    <w:p>
      <w:pPr>
        <w:pStyle w:val="TOC8"/>
        <w:rPr>
          <w:rFonts w:asciiTheme="minorHAnsi" w:eastAsiaTheme="minorEastAsia" w:hAnsiTheme="minorHAnsi" w:cstheme="minorBidi"/>
          <w:szCs w:val="22"/>
        </w:rPr>
      </w:pPr>
      <w:r>
        <w:t>48.</w:t>
      </w:r>
      <w:r>
        <w:tab/>
        <w:t>People entitled to use library</w:t>
      </w:r>
      <w:r>
        <w:tab/>
      </w:r>
      <w:r>
        <w:fldChar w:fldCharType="begin"/>
      </w:r>
      <w:r>
        <w:instrText xml:space="preserve"> PAGEREF _Toc426101276 \h </w:instrText>
      </w:r>
      <w:r>
        <w:fldChar w:fldCharType="separate"/>
      </w:r>
      <w:r>
        <w:t>35</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_Toc426101277 \h </w:instrText>
      </w:r>
      <w:r>
        <w:fldChar w:fldCharType="separate"/>
      </w:r>
      <w:r>
        <w:t>36</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_Toc426101278 \h </w:instrText>
      </w:r>
      <w:r>
        <w:fldChar w:fldCharType="separate"/>
      </w:r>
      <w:r>
        <w:t>37</w:t>
      </w:r>
      <w:r>
        <w:fldChar w:fldCharType="end"/>
      </w:r>
    </w:p>
    <w:p>
      <w:pPr>
        <w:pStyle w:val="TOC8"/>
        <w:rPr>
          <w:rFonts w:asciiTheme="minorHAnsi" w:eastAsiaTheme="minorEastAsia" w:hAnsiTheme="minorHAnsi" w:cstheme="minorBidi"/>
          <w:szCs w:val="22"/>
        </w:rPr>
      </w:pPr>
      <w:r>
        <w:t>51.</w:t>
      </w:r>
      <w:r>
        <w:tab/>
        <w:t>Use of library and books</w:t>
      </w:r>
      <w:r>
        <w:tab/>
      </w:r>
      <w:r>
        <w:fldChar w:fldCharType="begin"/>
      </w:r>
      <w:r>
        <w:instrText xml:space="preserve"> PAGEREF _Toc426101279 \h </w:instrText>
      </w:r>
      <w:r>
        <w:fldChar w:fldCharType="separate"/>
      </w:r>
      <w:r>
        <w:t>37</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_Toc426101280 \h </w:instrText>
      </w:r>
      <w:r>
        <w:fldChar w:fldCharType="separate"/>
      </w:r>
      <w:r>
        <w:t>38</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_Toc426101281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Board</w:t>
      </w:r>
      <w:r>
        <w:tab/>
      </w:r>
      <w:r>
        <w:fldChar w:fldCharType="begin"/>
      </w:r>
      <w:r>
        <w:instrText xml:space="preserve"> PAGEREF _Toc426101283 \h </w:instrText>
      </w:r>
      <w:r>
        <w:fldChar w:fldCharType="separate"/>
      </w:r>
      <w:r>
        <w:t>40</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_Toc426101284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_Toc426101286 \h </w:instrText>
      </w:r>
      <w:r>
        <w:fldChar w:fldCharType="separate"/>
      </w:r>
      <w:r>
        <w:t>41</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_Toc426101287 \h </w:instrText>
      </w:r>
      <w:r>
        <w:fldChar w:fldCharType="separate"/>
      </w:r>
      <w:r>
        <w:t>41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_Toc426101289 \h </w:instrText>
      </w:r>
      <w:r>
        <w:fldChar w:fldCharType="separate"/>
      </w:r>
      <w:r>
        <w:t>44</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26101202"/>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26101203"/>
      <w:r>
        <w:rPr>
          <w:rStyle w:val="CharSectno"/>
        </w:rPr>
        <w:t>1</w:t>
      </w:r>
      <w:r>
        <w:t>.</w:t>
      </w:r>
      <w:r>
        <w:tab/>
        <w:t>Citation</w:t>
      </w:r>
      <w:bookmarkEnd w:id="4"/>
    </w:p>
    <w:p>
      <w:pPr>
        <w:pStyle w:val="Subsection"/>
      </w:pPr>
      <w:r>
        <w:tab/>
      </w:r>
      <w:r>
        <w:tab/>
      </w:r>
      <w:bookmarkStart w:id="5" w:name="Start_Cursor"/>
      <w:bookmarkEnd w:id="5"/>
      <w:r>
        <w:t xml:space="preserve">These rules are the </w:t>
      </w:r>
      <w:r>
        <w:rPr>
          <w:i/>
        </w:rPr>
        <w:t>Legal Profession Rules 2009</w:t>
      </w:r>
      <w:r>
        <w:rPr>
          <w:vertAlign w:val="superscript"/>
        </w:rPr>
        <w:t> 1</w:t>
      </w:r>
      <w:r>
        <w:t>.</w:t>
      </w:r>
    </w:p>
    <w:p>
      <w:pPr>
        <w:pStyle w:val="Heading5"/>
      </w:pPr>
      <w:bookmarkStart w:id="6" w:name="_Toc426101204"/>
      <w:r>
        <w:rPr>
          <w:rStyle w:val="CharSectno"/>
        </w:rPr>
        <w:t>2</w:t>
      </w:r>
      <w:r>
        <w:t>.</w:t>
      </w:r>
      <w:r>
        <w:tab/>
        <w:t>Commencement</w:t>
      </w:r>
      <w:bookmarkEnd w:id="6"/>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7" w:name="_Toc426101205"/>
      <w:r>
        <w:rPr>
          <w:rStyle w:val="CharSectno"/>
        </w:rPr>
        <w:t>3A</w:t>
      </w:r>
      <w:r>
        <w:t>.</w:t>
      </w:r>
      <w:r>
        <w:tab/>
        <w:t>Supervised legal practice (s. 3)</w:t>
      </w:r>
      <w:bookmarkEnd w:id="7"/>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8" w:name="_Toc426101206"/>
      <w:r>
        <w:rPr>
          <w:rStyle w:val="CharPartNo"/>
        </w:rPr>
        <w:t>Part 2</w:t>
      </w:r>
      <w:r>
        <w:t> — </w:t>
      </w:r>
      <w:r>
        <w:rPr>
          <w:rStyle w:val="CharPartText"/>
        </w:rPr>
        <w:t>Australian legal practitioners</w:t>
      </w:r>
      <w:bookmarkEnd w:id="8"/>
    </w:p>
    <w:p>
      <w:pPr>
        <w:pStyle w:val="Heading3"/>
      </w:pPr>
      <w:bookmarkStart w:id="9" w:name="_Toc426101207"/>
      <w:r>
        <w:rPr>
          <w:rStyle w:val="CharDivNo"/>
        </w:rPr>
        <w:t>Division 1</w:t>
      </w:r>
      <w:r>
        <w:t> — </w:t>
      </w:r>
      <w:r>
        <w:rPr>
          <w:rStyle w:val="CharDivText"/>
        </w:rPr>
        <w:t>Grant or renewal of local practising certificates</w:t>
      </w:r>
      <w:bookmarkEnd w:id="9"/>
    </w:p>
    <w:p>
      <w:pPr>
        <w:pStyle w:val="Heading5"/>
      </w:pPr>
      <w:bookmarkStart w:id="10" w:name="_Toc426101208"/>
      <w:r>
        <w:rPr>
          <w:rStyle w:val="CharSectno"/>
        </w:rPr>
        <w:t>3</w:t>
      </w:r>
      <w:r>
        <w:t>.</w:t>
      </w:r>
      <w:r>
        <w:tab/>
        <w:t>Application for grant or renewal of local practising certificate (s. 43(1))</w:t>
      </w:r>
      <w:bookmarkEnd w:id="1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1" w:name="_Toc426101209"/>
      <w:r>
        <w:rPr>
          <w:rStyle w:val="CharSectno"/>
        </w:rPr>
        <w:t>4</w:t>
      </w:r>
      <w:r>
        <w:t>.</w:t>
      </w:r>
      <w:r>
        <w:tab/>
        <w:t>Fee for application for grant or renewal of local practising certificate (s. 43(1)(b))</w:t>
      </w:r>
      <w:bookmarkEnd w:id="11"/>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12" w:name="_Toc426101210"/>
      <w:r>
        <w:rPr>
          <w:rStyle w:val="CharSectno"/>
        </w:rPr>
        <w:t>5</w:t>
      </w:r>
      <w:r>
        <w:t>.</w:t>
      </w:r>
      <w:r>
        <w:tab/>
        <w:t>Timing of application for renewal of local practising certificate (s. 44)</w:t>
      </w:r>
      <w:bookmarkEnd w:id="1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3" w:name="_Toc426101211"/>
      <w:r>
        <w:rPr>
          <w:rStyle w:val="CharSectno"/>
        </w:rPr>
        <w:t>6</w:t>
      </w:r>
      <w:r>
        <w:t>.</w:t>
      </w:r>
      <w:r>
        <w:tab/>
        <w:t>Notification of change of details</w:t>
      </w:r>
      <w:bookmarkEnd w:id="1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4" w:name="_Toc426101212"/>
      <w:r>
        <w:rPr>
          <w:rStyle w:val="CharSectno"/>
        </w:rPr>
        <w:t>7A</w:t>
      </w:r>
      <w:r>
        <w:t>.</w:t>
      </w:r>
      <w:r>
        <w:tab/>
        <w:t>Contributions to Guarantee Fund (s. 337)</w:t>
      </w:r>
      <w:bookmarkEnd w:id="1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5" w:name="_Toc426101213"/>
      <w:r>
        <w:rPr>
          <w:rStyle w:val="CharDivNo"/>
        </w:rPr>
        <w:t>Division 2</w:t>
      </w:r>
      <w:r>
        <w:t> — </w:t>
      </w:r>
      <w:r>
        <w:rPr>
          <w:rStyle w:val="CharDivText"/>
        </w:rPr>
        <w:t>Condition on local practising certificates: continuing professional development</w:t>
      </w:r>
      <w:bookmarkEnd w:id="15"/>
    </w:p>
    <w:p>
      <w:pPr>
        <w:pStyle w:val="Heading4"/>
      </w:pPr>
      <w:bookmarkStart w:id="16" w:name="_Toc426101214"/>
      <w:r>
        <w:t>Subdivision 1 — Preliminary</w:t>
      </w:r>
      <w:bookmarkEnd w:id="16"/>
    </w:p>
    <w:p>
      <w:pPr>
        <w:pStyle w:val="Footnoteheading"/>
      </w:pPr>
      <w:r>
        <w:tab/>
        <w:t>[Heading inserted in Gazette 20 Feb 2015 p. 681.]</w:t>
      </w:r>
    </w:p>
    <w:p>
      <w:pPr>
        <w:pStyle w:val="Heading5"/>
      </w:pPr>
      <w:bookmarkStart w:id="17" w:name="_Toc426101215"/>
      <w:r>
        <w:rPr>
          <w:rStyle w:val="CharSectno"/>
        </w:rPr>
        <w:t>7</w:t>
      </w:r>
      <w:r>
        <w:t>.</w:t>
      </w:r>
      <w:r>
        <w:tab/>
        <w:t>Terms used</w:t>
      </w:r>
      <w:bookmarkEnd w:id="1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18" w:name="_Toc426101216"/>
      <w:r>
        <w:t>Subdivision 2 — Local practising certificates in force before 1 July 2015</w:t>
      </w:r>
      <w:bookmarkEnd w:id="18"/>
    </w:p>
    <w:p>
      <w:pPr>
        <w:pStyle w:val="Footnoteheading"/>
      </w:pPr>
      <w:r>
        <w:tab/>
        <w:t>[Heading inserted in Gazette 20 Feb 2015 p. 681.]</w:t>
      </w:r>
    </w:p>
    <w:p>
      <w:pPr>
        <w:pStyle w:val="Heading5"/>
      </w:pPr>
      <w:bookmarkStart w:id="19" w:name="_Toc426101217"/>
      <w:r>
        <w:rPr>
          <w:rStyle w:val="CharSectno"/>
        </w:rPr>
        <w:t>8A</w:t>
      </w:r>
      <w:r>
        <w:t>.</w:t>
      </w:r>
      <w:r>
        <w:tab/>
        <w:t>Terms used</w:t>
      </w:r>
      <w:bookmarkEnd w:id="19"/>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20" w:name="_Toc426101218"/>
      <w:r>
        <w:rPr>
          <w:rStyle w:val="CharSectno"/>
        </w:rPr>
        <w:t>8</w:t>
      </w:r>
      <w:r>
        <w:t>.</w:t>
      </w:r>
      <w:r>
        <w:tab/>
        <w:t>Condition on practising certificates before 1 July 2015: practitioner must complete professional development</w:t>
      </w:r>
      <w:bookmarkEnd w:id="20"/>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in Gazette 20 Feb 2015 p. 682.]</w:t>
      </w:r>
    </w:p>
    <w:p>
      <w:pPr>
        <w:pStyle w:val="Heading5"/>
      </w:pPr>
      <w:bookmarkStart w:id="21" w:name="_Toc426101219"/>
      <w:r>
        <w:rPr>
          <w:rStyle w:val="CharSectno"/>
        </w:rPr>
        <w:t>9</w:t>
      </w:r>
      <w:r>
        <w:t>.</w:t>
      </w:r>
      <w:r>
        <w:tab/>
        <w:t>Earning CPD points</w:t>
      </w:r>
      <w:bookmarkEnd w:id="21"/>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in Gazette 20 Feb 2015 p. 682.]</w:t>
      </w:r>
    </w:p>
    <w:p>
      <w:pPr>
        <w:pStyle w:val="Heading5"/>
      </w:pPr>
      <w:bookmarkStart w:id="22" w:name="_Toc426101220"/>
      <w:r>
        <w:rPr>
          <w:rStyle w:val="CharSectno"/>
        </w:rPr>
        <w:t>10</w:t>
      </w:r>
      <w:r>
        <w:t>.</w:t>
      </w:r>
      <w:r>
        <w:tab/>
        <w:t>Competency area requirements</w:t>
      </w:r>
      <w:bookmarkEnd w:id="22"/>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3" w:name="_Toc426101221"/>
      <w:r>
        <w:rPr>
          <w:rStyle w:val="CharSectno"/>
        </w:rPr>
        <w:t>11</w:t>
      </w:r>
      <w:r>
        <w:t>.</w:t>
      </w:r>
      <w:r>
        <w:tab/>
        <w:t>Interactive and publishing point requirements</w:t>
      </w:r>
      <w:bookmarkEnd w:id="23"/>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4" w:name="_Toc426101222"/>
      <w:r>
        <w:rPr>
          <w:rStyle w:val="CharSectno"/>
        </w:rPr>
        <w:t>12</w:t>
      </w:r>
      <w:r>
        <w:t>.</w:t>
      </w:r>
      <w:r>
        <w:tab/>
        <w:t>CPD points for an activity</w:t>
      </w:r>
      <w:bookmarkEnd w:id="24"/>
    </w:p>
    <w:p>
      <w:pPr>
        <w:pStyle w:val="Subsection"/>
      </w:pPr>
      <w:r>
        <w:tab/>
        <w:t>(1)</w:t>
      </w:r>
      <w:r>
        <w:tab/>
        <w:t>Subject to subrule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 19 Feb 2016 p. 519.]</w:t>
      </w:r>
    </w:p>
    <w:p>
      <w:pPr>
        <w:pStyle w:val="Heading4"/>
      </w:pPr>
      <w:bookmarkStart w:id="25" w:name="_Toc426101223"/>
      <w:r>
        <w:t>Subdivision 3 — Local practising certificates in force on or after 1 July 2015</w:t>
      </w:r>
      <w:bookmarkEnd w:id="25"/>
    </w:p>
    <w:p>
      <w:pPr>
        <w:pStyle w:val="Footnoteheading"/>
      </w:pPr>
      <w:r>
        <w:tab/>
        <w:t>[Heading inserted in Gazette 20 Feb 2015 p. 682.]</w:t>
      </w:r>
    </w:p>
    <w:p>
      <w:pPr>
        <w:pStyle w:val="Heading5"/>
      </w:pPr>
      <w:bookmarkStart w:id="26" w:name="_Toc426101224"/>
      <w:r>
        <w:rPr>
          <w:rStyle w:val="CharSectno"/>
        </w:rPr>
        <w:t>13A</w:t>
      </w:r>
      <w:r>
        <w:t>.</w:t>
      </w:r>
      <w:r>
        <w:tab/>
        <w:t>Terms used</w:t>
      </w:r>
      <w:bookmarkEnd w:id="26"/>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27" w:name="_Toc426101225"/>
      <w:r>
        <w:rPr>
          <w:rStyle w:val="CharSectno"/>
        </w:rPr>
        <w:t>13B</w:t>
      </w:r>
      <w:r>
        <w:t>.</w:t>
      </w:r>
      <w:r>
        <w:tab/>
        <w:t>Condition on practising certificates on and after 1 July 2015: practitioner must complete professional development</w:t>
      </w:r>
      <w:bookmarkEnd w:id="27"/>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28" w:name="_Toc426101226"/>
      <w:r>
        <w:rPr>
          <w:rStyle w:val="CharSectno"/>
        </w:rPr>
        <w:t>13C</w:t>
      </w:r>
      <w:r>
        <w:t>.</w:t>
      </w:r>
      <w:r>
        <w:tab/>
        <w:t>Earning CPD points</w:t>
      </w:r>
      <w:bookmarkEnd w:id="28"/>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29" w:name="_Toc426101227"/>
      <w:r>
        <w:rPr>
          <w:rStyle w:val="CharSectno"/>
        </w:rPr>
        <w:t>13D</w:t>
      </w:r>
      <w:r>
        <w:t>.</w:t>
      </w:r>
      <w:r>
        <w:tab/>
        <w:t>Competency area requirements</w:t>
      </w:r>
      <w:bookmarkEnd w:id="29"/>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30" w:name="_Toc426101228"/>
      <w:r>
        <w:rPr>
          <w:rStyle w:val="CharSectno"/>
        </w:rPr>
        <w:t>13E</w:t>
      </w:r>
      <w:r>
        <w:t>.</w:t>
      </w:r>
      <w:r>
        <w:tab/>
        <w:t>Requirements for interactive and publication CPD points</w:t>
      </w:r>
      <w:bookmarkEnd w:id="30"/>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31" w:name="_Toc426101229"/>
      <w:r>
        <w:rPr>
          <w:rStyle w:val="CharSectno"/>
        </w:rPr>
        <w:t>13F</w:t>
      </w:r>
      <w:r>
        <w:t>.</w:t>
      </w:r>
      <w:r>
        <w:tab/>
        <w:t>CPD points for particular approved CPD activities</w:t>
      </w:r>
      <w:bookmarkEnd w:id="31"/>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32" w:name="_Toc426101230"/>
      <w:r>
        <w:t>Subdivision 4 — Other matters about continuing professional development</w:t>
      </w:r>
      <w:bookmarkEnd w:id="32"/>
    </w:p>
    <w:p>
      <w:pPr>
        <w:pStyle w:val="Footnoteheading"/>
      </w:pPr>
      <w:r>
        <w:tab/>
        <w:t>[Heading inserted in Gazette 20 Feb 2015 p. 686.]</w:t>
      </w:r>
    </w:p>
    <w:p>
      <w:pPr>
        <w:pStyle w:val="Heading5"/>
      </w:pPr>
      <w:bookmarkStart w:id="33" w:name="_Toc426101231"/>
      <w:r>
        <w:rPr>
          <w:rStyle w:val="CharSectno"/>
        </w:rPr>
        <w:t>13</w:t>
      </w:r>
      <w:r>
        <w:t>.</w:t>
      </w:r>
      <w:r>
        <w:tab/>
        <w:t>Points for repeated activities</w:t>
      </w:r>
      <w:bookmarkEnd w:id="33"/>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34" w:name="_Toc426101232"/>
      <w:r>
        <w:rPr>
          <w:rStyle w:val="CharSectno"/>
        </w:rPr>
        <w:t>14</w:t>
      </w:r>
      <w:r>
        <w:t>.</w:t>
      </w:r>
      <w:r>
        <w:tab/>
        <w:t>QA providers</w:t>
      </w:r>
      <w:bookmarkEnd w:id="34"/>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35" w:name="_Toc426101233"/>
      <w:r>
        <w:rPr>
          <w:rStyle w:val="CharSectno"/>
        </w:rPr>
        <w:t>15</w:t>
      </w:r>
      <w:r>
        <w:t>.</w:t>
      </w:r>
      <w:r>
        <w:tab/>
        <w:t>Approval of professional development activities</w:t>
      </w:r>
      <w:bookmarkEnd w:id="35"/>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36" w:name="_Toc426101234"/>
      <w:r>
        <w:rPr>
          <w:rStyle w:val="CharSectno"/>
        </w:rPr>
        <w:t>16</w:t>
      </w:r>
      <w:r>
        <w:t>.</w:t>
      </w:r>
      <w:r>
        <w:tab/>
        <w:t>Approvals generally</w:t>
      </w:r>
      <w:bookmarkEnd w:id="36"/>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37" w:name="_Toc426101235"/>
      <w:r>
        <w:rPr>
          <w:rStyle w:val="CharSectno"/>
        </w:rPr>
        <w:t>17</w:t>
      </w:r>
      <w:r>
        <w:t>.</w:t>
      </w:r>
      <w:r>
        <w:tab/>
        <w:t>Variations</w:t>
      </w:r>
      <w:bookmarkEnd w:id="37"/>
    </w:p>
    <w:p>
      <w:pPr>
        <w:pStyle w:val="Subsection"/>
      </w:pPr>
      <w:r>
        <w:tab/>
        <w:t>(1)</w:t>
      </w:r>
      <w:r>
        <w:tab/>
        <w:t xml:space="preserve">In this rule — </w:t>
      </w:r>
    </w:p>
    <w:p>
      <w:pPr>
        <w:pStyle w:val="Defstart"/>
      </w:pPr>
      <w:r>
        <w:tab/>
      </w:r>
      <w:r>
        <w:rPr>
          <w:rStyle w:val="CharDefText"/>
        </w:rPr>
        <w:t>approved practice management course</w:t>
      </w:r>
      <w:r>
        <w:t xml:space="preserve"> means an approved PMC as defined in rule 18A;</w:t>
      </w:r>
    </w:p>
    <w:p>
      <w:pPr>
        <w:pStyle w:val="Defstart"/>
      </w:pPr>
      <w:r>
        <w:tab/>
      </w:r>
      <w:r>
        <w:rPr>
          <w:rStyle w:val="CharDefText"/>
        </w:rPr>
        <w:t>reduce</w:t>
      </w:r>
      <w:r>
        <w:t xml:space="preserve"> includes reduce to zero. </w:t>
      </w:r>
    </w:p>
    <w:p>
      <w:pPr>
        <w:pStyle w:val="Subsection"/>
      </w:pPr>
      <w:r>
        <w:tab/>
        <w:t>(1A)</w:t>
      </w:r>
      <w:r>
        <w:tab/>
        <w:t xml:space="preserve">The condition imposed on a practising certificate by rule 13B(1) or (2) is varied to reduce the number of CPD points the local legal practitioner is required to earn during a CPD period to zero if — </w:t>
      </w:r>
    </w:p>
    <w:p>
      <w:pPr>
        <w:pStyle w:val="Indenta"/>
      </w:pPr>
      <w:r>
        <w:tab/>
        <w:t>(a)</w:t>
      </w:r>
      <w:r>
        <w:tab/>
        <w:t>the practitioner has successfully completed an approved practice management course during that CPD period; and</w:t>
      </w:r>
    </w:p>
    <w:p>
      <w:pPr>
        <w:pStyle w:val="Indenta"/>
      </w:pPr>
      <w:r>
        <w:tab/>
        <w:t>(b)</w:t>
      </w:r>
      <w:r>
        <w:tab/>
        <w:t>the practitioner has not satisfied the condition imposed under rule 13B(1) or (2) during a previous certificate year by completing an approved practice management course.</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 19 Feb 2016 p. 519-20.]</w:t>
      </w:r>
    </w:p>
    <w:p>
      <w:pPr>
        <w:pStyle w:val="Heading5"/>
      </w:pPr>
      <w:bookmarkStart w:id="38" w:name="_Toc426101236"/>
      <w:r>
        <w:rPr>
          <w:rStyle w:val="CharSectno"/>
        </w:rPr>
        <w:t>18</w:t>
      </w:r>
      <w:r>
        <w:t>.</w:t>
      </w:r>
      <w:r>
        <w:tab/>
        <w:t>Electronic activities to be reviewed yearly</w:t>
      </w:r>
      <w:bookmarkEnd w:id="38"/>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pPr>
      <w:bookmarkStart w:id="39" w:name="_Toc426101237"/>
      <w:r>
        <w:rPr>
          <w:rStyle w:val="CharDivNo"/>
        </w:rPr>
        <w:t>Division 2A</w:t>
      </w:r>
      <w:r>
        <w:t> — </w:t>
      </w:r>
      <w:r>
        <w:rPr>
          <w:rStyle w:val="CharDivText"/>
        </w:rPr>
        <w:t>Condition on local practising certificate: practise as principal of law practice</w:t>
      </w:r>
    </w:p>
    <w:p>
      <w:pPr>
        <w:pStyle w:val="Footnoteheading"/>
      </w:pPr>
      <w:r>
        <w:tab/>
        <w:t>[Heading inserted in Gazette 19 Feb 2016 p. 520.]</w:t>
      </w:r>
    </w:p>
    <w:p>
      <w:pPr>
        <w:pStyle w:val="Heading4"/>
      </w:pPr>
      <w:r>
        <w:t>Subdivision 1 — Preliminary</w:t>
      </w:r>
    </w:p>
    <w:p>
      <w:pPr>
        <w:pStyle w:val="Footnoteheading"/>
      </w:pPr>
      <w:r>
        <w:tab/>
        <w:t>[Heading inserted in Gazette 19 Feb 2016 p. 520.]</w:t>
      </w:r>
    </w:p>
    <w:p>
      <w:pPr>
        <w:pStyle w:val="Heading5"/>
      </w:pPr>
      <w:r>
        <w:rPr>
          <w:rStyle w:val="CharSectno"/>
        </w:rPr>
        <w:t>18A</w:t>
      </w:r>
      <w:r>
        <w:t>.</w:t>
      </w:r>
      <w:r>
        <w:tab/>
        <w:t>Terms used</w:t>
      </w:r>
    </w:p>
    <w:p>
      <w:pPr>
        <w:pStyle w:val="Subsection"/>
      </w:pPr>
      <w:r>
        <w:tab/>
      </w:r>
      <w:r>
        <w:tab/>
        <w:t xml:space="preserve">In this Division — </w:t>
      </w:r>
    </w:p>
    <w:p>
      <w:pPr>
        <w:pStyle w:val="Defstart"/>
      </w:pPr>
      <w:r>
        <w:tab/>
      </w:r>
      <w:r>
        <w:rPr>
          <w:rStyle w:val="CharDefText"/>
        </w:rPr>
        <w:t>approved PMC</w:t>
      </w:r>
      <w:r>
        <w:t xml:space="preserve"> has the meaning given in rule 18I;</w:t>
      </w:r>
    </w:p>
    <w:p>
      <w:pPr>
        <w:pStyle w:val="Defstart"/>
      </w:pPr>
      <w:r>
        <w:tab/>
      </w:r>
      <w:r>
        <w:rPr>
          <w:rStyle w:val="CharDefText"/>
        </w:rPr>
        <w:t>PMC condition</w:t>
      </w:r>
      <w:r>
        <w:t xml:space="preserve"> means the condition imposed on a local practising certificate by rule 18C(1)(a);</w:t>
      </w:r>
    </w:p>
    <w:p>
      <w:pPr>
        <w:pStyle w:val="Defstart"/>
      </w:pPr>
      <w:r>
        <w:tab/>
      </w:r>
      <w:r>
        <w:rPr>
          <w:rStyle w:val="CharDefText"/>
        </w:rPr>
        <w:t>PMC provider</w:t>
      </w:r>
      <w:r>
        <w:t xml:space="preserve"> means a person, body or group of persons approved as a PMC provider under rule 18G.</w:t>
      </w:r>
    </w:p>
    <w:p>
      <w:pPr>
        <w:pStyle w:val="Footnotesection"/>
      </w:pPr>
      <w:r>
        <w:tab/>
        <w:t>[Rule 18A inserted in Gazette 19 Feb 2016 p. 520.]</w:t>
      </w:r>
    </w:p>
    <w:p>
      <w:pPr>
        <w:pStyle w:val="Heading5"/>
      </w:pPr>
      <w:r>
        <w:rPr>
          <w:rStyle w:val="CharSectno"/>
        </w:rPr>
        <w:t>18B</w:t>
      </w:r>
      <w:r>
        <w:t>.</w:t>
      </w:r>
      <w:r>
        <w:tab/>
        <w:t>Application of Division</w:t>
      </w:r>
    </w:p>
    <w:p>
      <w:pPr>
        <w:pStyle w:val="Subsection"/>
      </w:pPr>
      <w:r>
        <w:tab/>
      </w:r>
      <w:r>
        <w:tab/>
        <w:t>This Division applies in respect of a local practising certificate that is granted or renewed on or after 1 July 2016.</w:t>
      </w:r>
    </w:p>
    <w:p>
      <w:pPr>
        <w:pStyle w:val="Footnotesection"/>
      </w:pPr>
      <w:r>
        <w:tab/>
        <w:t>[Rule 18B inserted in Gazette 19 Feb 2016 p. 520.]</w:t>
      </w:r>
    </w:p>
    <w:p>
      <w:pPr>
        <w:pStyle w:val="Heading4"/>
      </w:pPr>
      <w:r>
        <w:t>Subdivision 2 — Local practising certificates</w:t>
      </w:r>
    </w:p>
    <w:p>
      <w:pPr>
        <w:pStyle w:val="Footnoteheading"/>
      </w:pPr>
      <w:r>
        <w:tab/>
        <w:t>[Heading inserted in Gazette 19 Feb 2016 p. 520.]</w:t>
      </w:r>
    </w:p>
    <w:p>
      <w:pPr>
        <w:pStyle w:val="Heading5"/>
      </w:pPr>
      <w:r>
        <w:rPr>
          <w:rStyle w:val="CharSectno"/>
        </w:rPr>
        <w:t>18C</w:t>
      </w:r>
      <w:r>
        <w:t>.</w:t>
      </w:r>
      <w:r>
        <w:tab/>
        <w:t>Condition on local practising certificate: practice management</w:t>
      </w:r>
    </w:p>
    <w:p>
      <w:pPr>
        <w:pStyle w:val="Subsection"/>
      </w:pPr>
      <w:r>
        <w:tab/>
        <w:t>(1)</w:t>
      </w:r>
      <w:r>
        <w:tab/>
        <w:t xml:space="preserve">A local practising certificate that is an unrestricted practising certificate is subject to the following conditions — </w:t>
      </w:r>
    </w:p>
    <w:p>
      <w:pPr>
        <w:pStyle w:val="Indenta"/>
      </w:pPr>
      <w:r>
        <w:tab/>
        <w:t>(a)</w:t>
      </w:r>
      <w:r>
        <w:tab/>
        <w:t>the local legal practitioner must not practise as the principal of a law practice unless the practitioner has successfully completed a course in practice management that is an approved PMC;</w:t>
      </w:r>
    </w:p>
    <w:p>
      <w:pPr>
        <w:pStyle w:val="Indenta"/>
      </w:pPr>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p>
    <w:p>
      <w:pPr>
        <w:pStyle w:val="Subsection"/>
      </w:pPr>
      <w:r>
        <w:tab/>
        <w:t>(2)</w:t>
      </w:r>
      <w:r>
        <w:tab/>
        <w:t>However, a local practising certificate is not subject to the PMC condition if the local legal practitioner was practising as the principal of a law practice, other than as a restricted practitioner, immediately before 1 July 2016.</w:t>
      </w:r>
    </w:p>
    <w:p>
      <w:pPr>
        <w:pStyle w:val="Footnotesection"/>
      </w:pPr>
      <w:r>
        <w:tab/>
        <w:t>[Rule 18C inserted in Gazette 19 Feb 2016 p. 520-1.]</w:t>
      </w:r>
    </w:p>
    <w:p>
      <w:pPr>
        <w:pStyle w:val="Heading5"/>
      </w:pPr>
      <w:r>
        <w:rPr>
          <w:rStyle w:val="CharSectno"/>
        </w:rPr>
        <w:t>18D</w:t>
      </w:r>
      <w:r>
        <w:t>.</w:t>
      </w:r>
      <w:r>
        <w:tab/>
        <w:t xml:space="preserve">Request to revoke or vary PMC condition </w:t>
      </w:r>
    </w:p>
    <w:p>
      <w:pPr>
        <w:pStyle w:val="Subsection"/>
      </w:pPr>
      <w:r>
        <w:tab/>
        <w:t>(1)</w:t>
      </w:r>
      <w:r>
        <w:tab/>
        <w:t xml:space="preserve">A local legal practitioner may request the Board to — </w:t>
      </w:r>
    </w:p>
    <w:p>
      <w:pPr>
        <w:pStyle w:val="Indenta"/>
      </w:pPr>
      <w:r>
        <w:tab/>
        <w:t>(a)</w:t>
      </w:r>
      <w:r>
        <w:tab/>
        <w:t>revoke the PMC condition on the practitioner’s local practising certificate; or</w:t>
      </w:r>
    </w:p>
    <w:p>
      <w:pPr>
        <w:pStyle w:val="Indenta"/>
      </w:pPr>
      <w:r>
        <w:tab/>
        <w:t>(b)</w:t>
      </w:r>
      <w:r>
        <w:tab/>
        <w:t>vary the PMC condition on the practitioner’s local practising certificate to allow the practitioner to commence practise as a principal of a law practice subject to completion of an approved PMC within a specified time; or</w:t>
      </w:r>
    </w:p>
    <w:p>
      <w:pPr>
        <w:pStyle w:val="Indenta"/>
      </w:pPr>
      <w:r>
        <w:tab/>
        <w:t>(c)</w:t>
      </w:r>
      <w:r>
        <w:tab/>
        <w:t>vary the PMC condition on the practitioner’s local practising certificate to allow the practitioner to commence practise as a barrister.</w:t>
      </w:r>
    </w:p>
    <w:p>
      <w:pPr>
        <w:pStyle w:val="Subsection"/>
      </w:pPr>
      <w:r>
        <w:tab/>
        <w:t>(2)</w:t>
      </w:r>
      <w:r>
        <w:tab/>
        <w:t>A request is to be in a form approved by the Board.</w:t>
      </w:r>
    </w:p>
    <w:p>
      <w:pPr>
        <w:pStyle w:val="Footnotesection"/>
      </w:pPr>
      <w:r>
        <w:tab/>
        <w:t>[Rule 18D inserted in Gazette 19 Feb 2016 p. 521.]</w:t>
      </w:r>
    </w:p>
    <w:p>
      <w:pPr>
        <w:pStyle w:val="Heading5"/>
      </w:pPr>
      <w:r>
        <w:rPr>
          <w:rStyle w:val="CharSectno"/>
        </w:rPr>
        <w:t>18E</w:t>
      </w:r>
      <w:r>
        <w:t>.</w:t>
      </w:r>
      <w:r>
        <w:tab/>
        <w:t xml:space="preserve">Board may revoke PMC condition </w:t>
      </w:r>
    </w:p>
    <w:p>
      <w:pPr>
        <w:pStyle w:val="Subsection"/>
      </w:pPr>
      <w:r>
        <w:tab/>
        <w:t>(1)</w:t>
      </w:r>
      <w:r>
        <w:tab/>
        <w:t xml:space="preserve">On a request made under rule 18D(1)(a), the Board may revoke the PMC condition on a local practising certificate if the Board is satisfied that the practitioner — </w:t>
      </w:r>
    </w:p>
    <w:p>
      <w:pPr>
        <w:pStyle w:val="Indenta"/>
      </w:pPr>
      <w:r>
        <w:tab/>
        <w:t>(a)</w:t>
      </w:r>
      <w:r>
        <w:tab/>
        <w:t>has the skills or experience to practise as the principal of a law practice; and</w:t>
      </w:r>
    </w:p>
    <w:p>
      <w:pPr>
        <w:pStyle w:val="Indenta"/>
      </w:pPr>
      <w:r>
        <w:tab/>
        <w:t>(b)</w:t>
      </w:r>
      <w:r>
        <w:tab/>
        <w:t>is a fit and proper person to practise as the principal of a law practice.</w:t>
      </w:r>
    </w:p>
    <w:p>
      <w:pPr>
        <w:pStyle w:val="Subsection"/>
      </w:pPr>
      <w:r>
        <w:tab/>
        <w:t>(2)</w:t>
      </w:r>
      <w:r>
        <w:tab/>
        <w:t xml:space="preserve">Without limiting subrule (1), the Board may be satisfied that a practitioner has the skills or experience to practise as the principal of a law practice if the practitioner — </w:t>
      </w:r>
    </w:p>
    <w:p>
      <w:pPr>
        <w:pStyle w:val="Indenta"/>
      </w:pPr>
      <w:r>
        <w:tab/>
        <w:t>(a)</w:t>
      </w:r>
      <w:r>
        <w:tab/>
        <w:t>holds a practising certificate in another jurisdiction that allows the practitioner to practise as the principal of a law practice; or</w:t>
      </w:r>
    </w:p>
    <w:p>
      <w:pPr>
        <w:pStyle w:val="Indenta"/>
      </w:pPr>
      <w:r>
        <w:tab/>
        <w:t>(b)</w:t>
      </w:r>
      <w:r>
        <w:tab/>
        <w:t>has successfully completed a qualification that the Board considers is at least equivalent to an approved PMC; or</w:t>
      </w:r>
    </w:p>
    <w:p>
      <w:pPr>
        <w:pStyle w:val="Indenta"/>
      </w:pPr>
      <w:r>
        <w:tab/>
        <w:t>(c)</w:t>
      </w:r>
      <w:r>
        <w:tab/>
        <w:t>has prior learning experience that, in the opinion of the Board, demonstrates that the practitioner is suitable to practise as the principal of a law practice.</w:t>
      </w:r>
    </w:p>
    <w:p>
      <w:pPr>
        <w:pStyle w:val="Footnotesection"/>
      </w:pPr>
      <w:r>
        <w:tab/>
        <w:t>[Rule 18E inserted in Gazette 19 Feb 2016 p. 521.]</w:t>
      </w:r>
    </w:p>
    <w:p>
      <w:pPr>
        <w:pStyle w:val="Heading5"/>
      </w:pPr>
      <w:r>
        <w:rPr>
          <w:rStyle w:val="CharSectno"/>
        </w:rPr>
        <w:t>18F</w:t>
      </w:r>
      <w:r>
        <w:t>.</w:t>
      </w:r>
      <w:r>
        <w:tab/>
        <w:t xml:space="preserve">Board may vary PMC condition </w:t>
      </w:r>
    </w:p>
    <w:p>
      <w:pPr>
        <w:pStyle w:val="Subsection"/>
      </w:pPr>
      <w:r>
        <w:tab/>
        <w:t>(1)</w:t>
      </w:r>
      <w:r>
        <w:tab/>
        <w:t xml:space="preserve">On a request made under rule 18D(1)(b), the Board may vary the PMC condition on a local practising certificate if the Board is satisfied that — </w:t>
      </w:r>
    </w:p>
    <w:p>
      <w:pPr>
        <w:pStyle w:val="Indenta"/>
      </w:pPr>
      <w:r>
        <w:tab/>
        <w:t>(a)</w:t>
      </w:r>
      <w:r>
        <w:tab/>
        <w:t>it is not reasonably practicable for the practitioner to complete an approved PMC before commencing practise as the principal of a law practice; and</w:t>
      </w:r>
    </w:p>
    <w:p>
      <w:pPr>
        <w:pStyle w:val="Indenta"/>
      </w:pPr>
      <w:r>
        <w:tab/>
        <w:t>(b)</w:t>
      </w:r>
      <w:r>
        <w:tab/>
        <w:t>the practitioner is otherwise a fit and proper person to practise as the principal of a law practice.</w:t>
      </w:r>
    </w:p>
    <w:p>
      <w:pPr>
        <w:pStyle w:val="Subsection"/>
      </w:pPr>
      <w:r>
        <w:tab/>
        <w:t>(2)</w:t>
      </w:r>
      <w:r>
        <w:tab/>
        <w:t xml:space="preserve">On a request made under rule 18D(1)(c), the Board may vary the PMC condition on a local practising certificate if — </w:t>
      </w:r>
    </w:p>
    <w:p>
      <w:pPr>
        <w:pStyle w:val="Indenta"/>
      </w:pPr>
      <w:r>
        <w:tab/>
        <w:t>(a)</w:t>
      </w:r>
      <w:r>
        <w:tab/>
        <w:t>the practitioner holds a practising certificate that is subject to the condition that the practitioner only practise as a barrister; and</w:t>
      </w:r>
    </w:p>
    <w:p>
      <w:pPr>
        <w:pStyle w:val="Indenta"/>
      </w:pPr>
      <w:r>
        <w:tab/>
        <w:t>(b)</w:t>
      </w:r>
      <w:r>
        <w:tab/>
        <w:t xml:space="preserve">either — </w:t>
      </w:r>
    </w:p>
    <w:p>
      <w:pPr>
        <w:pStyle w:val="Indenti"/>
      </w:pPr>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p>
    <w:p>
      <w:pPr>
        <w:pStyle w:val="Indenti"/>
      </w:pPr>
      <w:r>
        <w:tab/>
        <w:t>(ii)</w:t>
      </w:r>
      <w:r>
        <w:tab/>
        <w:t>the practitioner has given to the Board a written undertaking that the practitioner will complete a Bar Readers Course within the period of 2 years or a further period allowed by the Board; or</w:t>
      </w:r>
    </w:p>
    <w:p>
      <w:pPr>
        <w:pStyle w:val="Indenti"/>
      </w:pPr>
      <w:r>
        <w:tab/>
        <w:t>(iii)</w:t>
      </w:r>
      <w:r>
        <w:tab/>
        <w:t>the Board is satisfied that the practitioner should not be required to undertake a Bar Readers Course because the practitioner has the skills or experience to practise as a barrister.</w:t>
      </w:r>
    </w:p>
    <w:p>
      <w:pPr>
        <w:pStyle w:val="Footnotesection"/>
      </w:pPr>
      <w:r>
        <w:tab/>
        <w:t>[Rule 18F inserted in Gazette 19 Feb 2016 p. 522.]</w:t>
      </w:r>
    </w:p>
    <w:p>
      <w:pPr>
        <w:pStyle w:val="Heading4"/>
      </w:pPr>
      <w:r>
        <w:t>Subdivision 3 — Other matters about practice management</w:t>
      </w:r>
    </w:p>
    <w:p>
      <w:pPr>
        <w:pStyle w:val="Footnoteheading"/>
      </w:pPr>
      <w:r>
        <w:tab/>
        <w:t>[Heading inserted in Gazette 19 Feb 2016 p. 522.]</w:t>
      </w:r>
    </w:p>
    <w:p>
      <w:pPr>
        <w:pStyle w:val="Heading5"/>
      </w:pPr>
      <w:r>
        <w:rPr>
          <w:rStyle w:val="CharSectno"/>
        </w:rPr>
        <w:t>18G</w:t>
      </w:r>
      <w:r>
        <w:t>.</w:t>
      </w:r>
      <w:r>
        <w:tab/>
        <w:t>PMC providers</w:t>
      </w:r>
    </w:p>
    <w:p>
      <w:pPr>
        <w:pStyle w:val="Subsection"/>
      </w:pPr>
      <w:r>
        <w:tab/>
        <w:t>(1)</w:t>
      </w:r>
      <w:r>
        <w:tab/>
        <w:t>The Board may approve any person, body or group of persons as a PMC provider.</w:t>
      </w:r>
    </w:p>
    <w:p>
      <w:pPr>
        <w:pStyle w:val="Subsection"/>
      </w:pPr>
      <w:r>
        <w:tab/>
        <w:t>(2)</w:t>
      </w:r>
      <w:r>
        <w:tab/>
        <w:t>The Board may audit, or cause to be audited, a person, body or group of persons approved as a PMC provider under subrule (1) in relation to the provision by the PMC provider of practice management courses.</w:t>
      </w:r>
    </w:p>
    <w:p>
      <w:pPr>
        <w:pStyle w:val="Subsection"/>
      </w:pPr>
      <w:r>
        <w:tab/>
        <w:t>(3)</w:t>
      </w:r>
      <w:r>
        <w:tab/>
        <w:t xml:space="preserve">An approval under subrule (1)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18G inserted in Gazette 19 Feb 2016 p. 522-3.]</w:t>
      </w:r>
    </w:p>
    <w:p>
      <w:pPr>
        <w:pStyle w:val="Heading5"/>
      </w:pPr>
      <w:r>
        <w:rPr>
          <w:rStyle w:val="CharSectno"/>
        </w:rPr>
        <w:t>18H</w:t>
      </w:r>
      <w:r>
        <w:t>.</w:t>
      </w:r>
      <w:r>
        <w:tab/>
        <w:t>PMC requirements</w:t>
      </w:r>
    </w:p>
    <w:p>
      <w:pPr>
        <w:pStyle w:val="Subsection"/>
      </w:pPr>
      <w:r>
        <w:tab/>
        <w:t>(1)</w:t>
      </w:r>
      <w:r>
        <w:tab/>
        <w:t xml:space="preserve">The Board may publish guidelines setting out requirements in relation to the following — </w:t>
      </w:r>
    </w:p>
    <w:p>
      <w:pPr>
        <w:pStyle w:val="Indenta"/>
      </w:pPr>
      <w:r>
        <w:tab/>
        <w:t>(a)</w:t>
      </w:r>
      <w:r>
        <w:tab/>
        <w:t>the content of a PMC;</w:t>
      </w:r>
    </w:p>
    <w:p>
      <w:pPr>
        <w:pStyle w:val="Indenta"/>
      </w:pPr>
      <w:r>
        <w:tab/>
        <w:t>(b)</w:t>
      </w:r>
      <w:r>
        <w:tab/>
        <w:t>the structure of a PMC;</w:t>
      </w:r>
    </w:p>
    <w:p>
      <w:pPr>
        <w:pStyle w:val="Indenta"/>
      </w:pPr>
      <w:r>
        <w:tab/>
        <w:t>(c)</w:t>
      </w:r>
      <w:r>
        <w:tab/>
        <w:t>assessment methods to be used in respect of a PMC;</w:t>
      </w:r>
    </w:p>
    <w:p>
      <w:pPr>
        <w:pStyle w:val="Indenta"/>
      </w:pPr>
      <w:r>
        <w:tab/>
        <w:t>(d)</w:t>
      </w:r>
      <w:r>
        <w:tab/>
        <w:t>resources and materials to be provided to participants in a PMC;</w:t>
      </w:r>
    </w:p>
    <w:p>
      <w:pPr>
        <w:pStyle w:val="Indenta"/>
      </w:pPr>
      <w:r>
        <w:tab/>
        <w:t>(e)</w:t>
      </w:r>
      <w:r>
        <w:tab/>
        <w:t>support services to be provided to participants in a PMC;</w:t>
      </w:r>
    </w:p>
    <w:p>
      <w:pPr>
        <w:pStyle w:val="Indenta"/>
      </w:pPr>
      <w:r>
        <w:tab/>
        <w:t>(f)</w:t>
      </w:r>
      <w:r>
        <w:tab/>
        <w:t>availability of a PMC;</w:t>
      </w:r>
    </w:p>
    <w:p>
      <w:pPr>
        <w:pStyle w:val="Indenta"/>
      </w:pPr>
      <w:r>
        <w:tab/>
        <w:t>(g)</w:t>
      </w:r>
      <w:r>
        <w:tab/>
        <w:t>any other matter relevant to the provision of a PMC.</w:t>
      </w:r>
    </w:p>
    <w:p>
      <w:pPr>
        <w:pStyle w:val="Subsection"/>
      </w:pPr>
      <w:r>
        <w:tab/>
        <w:t>(2)</w:t>
      </w:r>
      <w:r>
        <w:tab/>
        <w:t xml:space="preserve">The Board is to ensure that the guidelines are available on the Board’s website. </w:t>
      </w:r>
    </w:p>
    <w:p>
      <w:pPr>
        <w:pStyle w:val="Footnotesection"/>
      </w:pPr>
      <w:r>
        <w:tab/>
        <w:t>[Rule 18H inserted in Gazette 19 Feb 2016 p. 523.]</w:t>
      </w:r>
    </w:p>
    <w:p>
      <w:pPr>
        <w:pStyle w:val="Heading5"/>
      </w:pPr>
      <w:r>
        <w:rPr>
          <w:rStyle w:val="CharSectno"/>
        </w:rPr>
        <w:t>18I</w:t>
      </w:r>
      <w:r>
        <w:t>.</w:t>
      </w:r>
      <w:r>
        <w:tab/>
        <w:t>Approved PMCs</w:t>
      </w:r>
    </w:p>
    <w:p>
      <w:pPr>
        <w:pStyle w:val="Subsection"/>
      </w:pPr>
      <w:r>
        <w:tab/>
      </w:r>
      <w:r>
        <w:tab/>
        <w:t>A course in practice management is an approved PMC if it —</w:t>
      </w:r>
    </w:p>
    <w:p>
      <w:pPr>
        <w:pStyle w:val="Indenta"/>
      </w:pPr>
      <w:r>
        <w:tab/>
        <w:t>(a)</w:t>
      </w:r>
      <w:r>
        <w:tab/>
        <w:t>satisfies the requirements set out in guidelines published under rule 18H; and</w:t>
      </w:r>
    </w:p>
    <w:p>
      <w:pPr>
        <w:pStyle w:val="Indenta"/>
      </w:pPr>
      <w:r>
        <w:tab/>
        <w:t>(b)</w:t>
      </w:r>
      <w:r>
        <w:tab/>
        <w:t>is provided by a PMC provider.</w:t>
      </w:r>
    </w:p>
    <w:p>
      <w:pPr>
        <w:pStyle w:val="Footnotesection"/>
      </w:pPr>
      <w:r>
        <w:tab/>
        <w:t>[Rule 18I inserted in Gazette 19 Feb 2016 p. 523.]</w:t>
      </w:r>
    </w:p>
    <w:p>
      <w:pPr>
        <w:pStyle w:val="Heading3"/>
      </w:pPr>
      <w:r>
        <w:rPr>
          <w:rStyle w:val="CharDivNo"/>
        </w:rPr>
        <w:t>Division 3</w:t>
      </w:r>
      <w:r>
        <w:t> — </w:t>
      </w:r>
      <w:r>
        <w:rPr>
          <w:rStyle w:val="CharDivText"/>
        </w:rPr>
        <w:t>Other conditions on local practising certificates</w:t>
      </w:r>
      <w:bookmarkEnd w:id="39"/>
    </w:p>
    <w:p>
      <w:pPr>
        <w:pStyle w:val="Heading5"/>
      </w:pPr>
      <w:bookmarkStart w:id="40" w:name="_Toc426101238"/>
      <w:r>
        <w:rPr>
          <w:rStyle w:val="CharSectno"/>
        </w:rPr>
        <w:t>19</w:t>
      </w:r>
      <w:r>
        <w:t>.</w:t>
      </w:r>
      <w:r>
        <w:tab/>
        <w:t>Restricted legal practice (s. 50)</w:t>
      </w:r>
      <w:bookmarkEnd w:id="40"/>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in Gazette 17 Jul 2015 p. 2884</w:t>
      </w:r>
      <w:r>
        <w:noBreakHyphen/>
        <w:t>6.]</w:t>
      </w:r>
    </w:p>
    <w:p>
      <w:pPr>
        <w:pStyle w:val="Heading3"/>
      </w:pPr>
      <w:bookmarkStart w:id="41" w:name="_Toc426101239"/>
      <w:r>
        <w:rPr>
          <w:rStyle w:val="CharDivNo"/>
        </w:rPr>
        <w:t>Division 4</w:t>
      </w:r>
      <w:r>
        <w:t> — </w:t>
      </w:r>
      <w:r>
        <w:rPr>
          <w:rStyle w:val="CharDivText"/>
        </w:rPr>
        <w:t>Local legal practitioner with articled clerk</w:t>
      </w:r>
      <w:bookmarkEnd w:id="41"/>
    </w:p>
    <w:p>
      <w:pPr>
        <w:pStyle w:val="Heading5"/>
      </w:pPr>
      <w:bookmarkStart w:id="42" w:name="_Toc426101240"/>
      <w:r>
        <w:rPr>
          <w:rStyle w:val="CharSectno"/>
        </w:rPr>
        <w:t>20</w:t>
      </w:r>
      <w:r>
        <w:t>.</w:t>
      </w:r>
      <w:r>
        <w:tab/>
        <w:t>Terms used</w:t>
      </w:r>
      <w:bookmarkEnd w:id="42"/>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43" w:name="_Toc426101241"/>
      <w:r>
        <w:rPr>
          <w:rStyle w:val="CharSectno"/>
        </w:rPr>
        <w:t>21</w:t>
      </w:r>
      <w:r>
        <w:t>.</w:t>
      </w:r>
      <w:r>
        <w:tab/>
        <w:t>Supervision of articled clerks</w:t>
      </w:r>
      <w:bookmarkEnd w:id="43"/>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44" w:name="_Toc426101242"/>
      <w:r>
        <w:rPr>
          <w:rStyle w:val="CharSectno"/>
        </w:rPr>
        <w:t>22</w:t>
      </w:r>
      <w:r>
        <w:t>.</w:t>
      </w:r>
      <w:r>
        <w:tab/>
        <w:t>Conduct of principal for articled clerk</w:t>
      </w:r>
      <w:bookmarkEnd w:id="44"/>
    </w:p>
    <w:p>
      <w:pPr>
        <w:pStyle w:val="Subsection"/>
      </w:pPr>
      <w:r>
        <w:tab/>
      </w:r>
      <w:r>
        <w:tab/>
        <w:t>A local legal practitioner who is the principal for an articled clerk under articles of clerkship must comply with that deed.</w:t>
      </w:r>
    </w:p>
    <w:p>
      <w:pPr>
        <w:pStyle w:val="Heading3"/>
      </w:pPr>
      <w:bookmarkStart w:id="45" w:name="_Toc426101243"/>
      <w:r>
        <w:rPr>
          <w:rStyle w:val="CharDivNo"/>
        </w:rPr>
        <w:t>Division 5</w:t>
      </w:r>
      <w:r>
        <w:t> — </w:t>
      </w:r>
      <w:r>
        <w:rPr>
          <w:rStyle w:val="CharDivText"/>
        </w:rPr>
        <w:t>Interstate legal practitioners</w:t>
      </w:r>
      <w:bookmarkEnd w:id="45"/>
    </w:p>
    <w:p>
      <w:pPr>
        <w:pStyle w:val="Heading5"/>
      </w:pPr>
      <w:bookmarkStart w:id="46" w:name="_Toc426101244"/>
      <w:r>
        <w:rPr>
          <w:rStyle w:val="CharSectno"/>
        </w:rPr>
        <w:t>23</w:t>
      </w:r>
      <w:r>
        <w:t>.</w:t>
      </w:r>
      <w:r>
        <w:tab/>
        <w:t>Notification requirements for interstate legal practitioners (s. 71)</w:t>
      </w:r>
      <w:bookmarkEnd w:id="46"/>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47" w:name="_Toc426101245"/>
      <w:r>
        <w:rPr>
          <w:rStyle w:val="CharSectno"/>
        </w:rPr>
        <w:t>24</w:t>
      </w:r>
      <w:r>
        <w:t>.</w:t>
      </w:r>
      <w:r>
        <w:tab/>
        <w:t>Restricted legal practice by interstate legal practitioner (s. 72)</w:t>
      </w:r>
      <w:bookmarkEnd w:id="47"/>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48" w:name="_Toc426101246"/>
      <w:r>
        <w:rPr>
          <w:rStyle w:val="CharPartNo"/>
        </w:rPr>
        <w:t>Part 3</w:t>
      </w:r>
      <w:r>
        <w:rPr>
          <w:rStyle w:val="CharDivNo"/>
        </w:rPr>
        <w:t> </w:t>
      </w:r>
      <w:r>
        <w:t>—</w:t>
      </w:r>
      <w:r>
        <w:rPr>
          <w:rStyle w:val="CharDivText"/>
        </w:rPr>
        <w:t> </w:t>
      </w:r>
      <w:r>
        <w:rPr>
          <w:rStyle w:val="CharPartText"/>
        </w:rPr>
        <w:t>Foreign lawyers</w:t>
      </w:r>
      <w:bookmarkEnd w:id="48"/>
    </w:p>
    <w:p>
      <w:pPr>
        <w:pStyle w:val="Heading5"/>
      </w:pPr>
      <w:bookmarkStart w:id="49" w:name="_Toc426101247"/>
      <w:r>
        <w:rPr>
          <w:rStyle w:val="CharSectno"/>
        </w:rPr>
        <w:t>25</w:t>
      </w:r>
      <w:r>
        <w:t>.</w:t>
      </w:r>
      <w:r>
        <w:tab/>
        <w:t>Fee for application for grant or renewal of registration (s. 168)</w:t>
      </w:r>
      <w:bookmarkEnd w:id="49"/>
    </w:p>
    <w:p>
      <w:pPr>
        <w:pStyle w:val="Subsection"/>
      </w:pPr>
      <w:r>
        <w:tab/>
      </w:r>
      <w:r>
        <w:tab/>
        <w:t>The fee payable for an application for the grant or renewal of registration as a foreign lawyer is the relevant fee specified in Schedule 1.</w:t>
      </w:r>
    </w:p>
    <w:p>
      <w:pPr>
        <w:pStyle w:val="Heading5"/>
      </w:pPr>
      <w:bookmarkStart w:id="50" w:name="_Toc426101248"/>
      <w:r>
        <w:rPr>
          <w:rStyle w:val="CharSectno"/>
        </w:rPr>
        <w:t>26</w:t>
      </w:r>
      <w:r>
        <w:t>.</w:t>
      </w:r>
      <w:r>
        <w:tab/>
        <w:t>Conditions regarding notification of offence (s. 191)</w:t>
      </w:r>
      <w:bookmarkEnd w:id="50"/>
    </w:p>
    <w:p>
      <w:pPr>
        <w:pStyle w:val="Subsection"/>
      </w:pPr>
      <w:r>
        <w:tab/>
      </w:r>
      <w:r>
        <w:tab/>
        <w:t>A notice under section 191 of the Act must be in an approved form.</w:t>
      </w:r>
    </w:p>
    <w:p>
      <w:pPr>
        <w:pStyle w:val="Heading5"/>
      </w:pPr>
      <w:bookmarkStart w:id="51" w:name="_Toc426101249"/>
      <w:r>
        <w:rPr>
          <w:rStyle w:val="CharSectno"/>
        </w:rPr>
        <w:t>27</w:t>
      </w:r>
      <w:r>
        <w:t>.</w:t>
      </w:r>
      <w:r>
        <w:tab/>
        <w:t>Notification requirements for interstate</w:t>
      </w:r>
      <w:r>
        <w:noBreakHyphen/>
        <w:t>registered foreign lawyers (s. 196)</w:t>
      </w:r>
      <w:bookmarkEnd w:id="5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52" w:name="_Toc426101250"/>
      <w:r>
        <w:rPr>
          <w:rStyle w:val="CharPartNo"/>
        </w:rPr>
        <w:t>Part 4</w:t>
      </w:r>
      <w:r>
        <w:t> — </w:t>
      </w:r>
      <w:r>
        <w:rPr>
          <w:rStyle w:val="CharPartText"/>
        </w:rPr>
        <w:t>Legal Practice Board</w:t>
      </w:r>
      <w:bookmarkEnd w:id="52"/>
    </w:p>
    <w:p>
      <w:pPr>
        <w:pStyle w:val="Heading3"/>
      </w:pPr>
      <w:bookmarkStart w:id="53" w:name="_Toc426101251"/>
      <w:r>
        <w:rPr>
          <w:rStyle w:val="CharDivNo"/>
        </w:rPr>
        <w:t>Division 1</w:t>
      </w:r>
      <w:r>
        <w:t> — </w:t>
      </w:r>
      <w:r>
        <w:rPr>
          <w:rStyle w:val="CharDivText"/>
        </w:rPr>
        <w:t>Preliminary matters</w:t>
      </w:r>
      <w:bookmarkEnd w:id="53"/>
    </w:p>
    <w:p>
      <w:pPr>
        <w:pStyle w:val="Heading5"/>
      </w:pPr>
      <w:bookmarkStart w:id="54" w:name="_Toc426101252"/>
      <w:r>
        <w:rPr>
          <w:rStyle w:val="CharSectno"/>
        </w:rPr>
        <w:t>28</w:t>
      </w:r>
      <w:r>
        <w:t>.</w:t>
      </w:r>
      <w:r>
        <w:tab/>
        <w:t>Term used: secretary</w:t>
      </w:r>
      <w:bookmarkEnd w:id="54"/>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5" w:name="_Toc426101253"/>
      <w:r>
        <w:rPr>
          <w:rStyle w:val="CharDivNo"/>
        </w:rPr>
        <w:t>Division 2</w:t>
      </w:r>
      <w:r>
        <w:t> — </w:t>
      </w:r>
      <w:r>
        <w:rPr>
          <w:rStyle w:val="CharDivText"/>
        </w:rPr>
        <w:t>Election of members of the Board</w:t>
      </w:r>
      <w:bookmarkEnd w:id="55"/>
    </w:p>
    <w:p>
      <w:pPr>
        <w:pStyle w:val="Heading5"/>
      </w:pPr>
      <w:bookmarkStart w:id="56" w:name="_Toc426101254"/>
      <w:r>
        <w:rPr>
          <w:rStyle w:val="CharSectno"/>
        </w:rPr>
        <w:t>29</w:t>
      </w:r>
      <w:r>
        <w:t>.</w:t>
      </w:r>
      <w:r>
        <w:tab/>
        <w:t>Annual election date</w:t>
      </w:r>
      <w:bookmarkEnd w:id="56"/>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57" w:name="_Toc426101255"/>
      <w:r>
        <w:rPr>
          <w:rStyle w:val="CharSectno"/>
        </w:rPr>
        <w:t>30</w:t>
      </w:r>
      <w:r>
        <w:t>.</w:t>
      </w:r>
      <w:r>
        <w:tab/>
        <w:t>Returning officers</w:t>
      </w:r>
      <w:bookmarkEnd w:id="57"/>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58" w:name="_Toc426101256"/>
      <w:r>
        <w:rPr>
          <w:rStyle w:val="CharSectno"/>
        </w:rPr>
        <w:t>31</w:t>
      </w:r>
      <w:r>
        <w:t>.</w:t>
      </w:r>
      <w:r>
        <w:tab/>
        <w:t>Nomination of candidates</w:t>
      </w:r>
      <w:bookmarkEnd w:id="5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59" w:name="_Toc426101257"/>
      <w:r>
        <w:rPr>
          <w:rStyle w:val="CharSectno"/>
        </w:rPr>
        <w:t>32</w:t>
      </w:r>
      <w:r>
        <w:t>.</w:t>
      </w:r>
      <w:r>
        <w:tab/>
        <w:t>Candidates elected when nominations equal vacancies</w:t>
      </w:r>
      <w:bookmarkEnd w:id="59"/>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0" w:name="_Toc426101258"/>
      <w:r>
        <w:rPr>
          <w:rStyle w:val="CharSectno"/>
        </w:rPr>
        <w:t>33</w:t>
      </w:r>
      <w:r>
        <w:t>.</w:t>
      </w:r>
      <w:r>
        <w:tab/>
        <w:t>Ballot papers</w:t>
      </w:r>
      <w:bookmarkEnd w:id="60"/>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1" w:name="_Toc426101259"/>
      <w:r>
        <w:rPr>
          <w:rStyle w:val="CharSectno"/>
        </w:rPr>
        <w:t>34</w:t>
      </w:r>
      <w:r>
        <w:t>.</w:t>
      </w:r>
      <w:r>
        <w:tab/>
        <w:t>Voting</w:t>
      </w:r>
      <w:bookmarkEnd w:id="61"/>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2" w:name="_Toc426101260"/>
      <w:r>
        <w:rPr>
          <w:rStyle w:val="CharSectno"/>
        </w:rPr>
        <w:t>35</w:t>
      </w:r>
      <w:r>
        <w:t>.</w:t>
      </w:r>
      <w:r>
        <w:tab/>
        <w:t>Commencement of term of office</w:t>
      </w:r>
      <w:bookmarkEnd w:id="62"/>
    </w:p>
    <w:p>
      <w:pPr>
        <w:pStyle w:val="Subsection"/>
      </w:pPr>
      <w:r>
        <w:tab/>
      </w:r>
      <w:r>
        <w:tab/>
        <w:t>A person elected under rule 32 or 34 takes office on the Thursday after the election date.</w:t>
      </w:r>
    </w:p>
    <w:p>
      <w:pPr>
        <w:pStyle w:val="Heading5"/>
      </w:pPr>
      <w:bookmarkStart w:id="63" w:name="_Toc426101261"/>
      <w:r>
        <w:rPr>
          <w:rStyle w:val="CharSectno"/>
        </w:rPr>
        <w:t>36</w:t>
      </w:r>
      <w:r>
        <w:t>.</w:t>
      </w:r>
      <w:r>
        <w:tab/>
        <w:t xml:space="preserve">Results to be published in </w:t>
      </w:r>
      <w:r>
        <w:rPr>
          <w:i/>
          <w:iCs/>
        </w:rPr>
        <w:t>Gazette</w:t>
      </w:r>
      <w:bookmarkEnd w:id="6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64" w:name="_Toc426101262"/>
      <w:r>
        <w:rPr>
          <w:rStyle w:val="CharSectno"/>
        </w:rPr>
        <w:t>37</w:t>
      </w:r>
      <w:r>
        <w:t>.</w:t>
      </w:r>
      <w:r>
        <w:tab/>
        <w:t>Non-receipt of ballot papers</w:t>
      </w:r>
      <w:bookmarkEnd w:id="64"/>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65" w:name="_Toc426101263"/>
      <w:r>
        <w:rPr>
          <w:rStyle w:val="CharDivNo"/>
        </w:rPr>
        <w:t>Division 3</w:t>
      </w:r>
      <w:r>
        <w:t> — </w:t>
      </w:r>
      <w:r>
        <w:rPr>
          <w:rStyle w:val="CharDivText"/>
        </w:rPr>
        <w:t>Board meetings</w:t>
      </w:r>
      <w:bookmarkEnd w:id="65"/>
    </w:p>
    <w:p>
      <w:pPr>
        <w:pStyle w:val="Heading5"/>
        <w:spacing w:before="240"/>
      </w:pPr>
      <w:bookmarkStart w:id="66" w:name="_Toc426101264"/>
      <w:r>
        <w:rPr>
          <w:rStyle w:val="CharSectno"/>
        </w:rPr>
        <w:t>38</w:t>
      </w:r>
      <w:r>
        <w:t>.</w:t>
      </w:r>
      <w:r>
        <w:tab/>
        <w:t>Board meetings</w:t>
      </w:r>
      <w:bookmarkEnd w:id="66"/>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67" w:name="_Toc426101265"/>
      <w:r>
        <w:rPr>
          <w:rStyle w:val="CharSectno"/>
        </w:rPr>
        <w:t>39</w:t>
      </w:r>
      <w:r>
        <w:t>.</w:t>
      </w:r>
      <w:r>
        <w:tab/>
        <w:t>Holding meetings remotely</w:t>
      </w:r>
      <w:bookmarkEnd w:id="6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68" w:name="_Toc426101266"/>
      <w:r>
        <w:rPr>
          <w:rStyle w:val="CharSectno"/>
        </w:rPr>
        <w:t>40</w:t>
      </w:r>
      <w:r>
        <w:t>.</w:t>
      </w:r>
      <w:r>
        <w:tab/>
        <w:t>Urgent meetings</w:t>
      </w:r>
      <w:bookmarkEnd w:id="68"/>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69" w:name="_Toc426101267"/>
      <w:r>
        <w:rPr>
          <w:rStyle w:val="CharSectno"/>
        </w:rPr>
        <w:t>41</w:t>
      </w:r>
      <w:r>
        <w:t>.</w:t>
      </w:r>
      <w:r>
        <w:tab/>
        <w:t>Resolution without meeting</w:t>
      </w:r>
      <w:bookmarkEnd w:id="69"/>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0" w:name="_Toc426101268"/>
      <w:r>
        <w:rPr>
          <w:rStyle w:val="CharSectno"/>
        </w:rPr>
        <w:t>42</w:t>
      </w:r>
      <w:r>
        <w:t>.</w:t>
      </w:r>
      <w:r>
        <w:tab/>
        <w:t>Rescission or amendment</w:t>
      </w:r>
      <w:bookmarkEnd w:id="7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1" w:name="_Toc426101269"/>
      <w:r>
        <w:rPr>
          <w:rStyle w:val="CharSectno"/>
        </w:rPr>
        <w:t>43</w:t>
      </w:r>
      <w:r>
        <w:t>.</w:t>
      </w:r>
      <w:r>
        <w:tab/>
        <w:t>Minutes</w:t>
      </w:r>
      <w:bookmarkEnd w:id="71"/>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2" w:name="_Toc426101270"/>
      <w:r>
        <w:rPr>
          <w:rStyle w:val="CharDivNo"/>
        </w:rPr>
        <w:t>Division 4</w:t>
      </w:r>
      <w:r>
        <w:t> — </w:t>
      </w:r>
      <w:r>
        <w:rPr>
          <w:rStyle w:val="CharDivText"/>
        </w:rPr>
        <w:t>Committees</w:t>
      </w:r>
      <w:bookmarkEnd w:id="72"/>
    </w:p>
    <w:p>
      <w:pPr>
        <w:pStyle w:val="Heading5"/>
        <w:spacing w:before="200"/>
      </w:pPr>
      <w:bookmarkStart w:id="73" w:name="_Toc426101271"/>
      <w:r>
        <w:rPr>
          <w:rStyle w:val="CharSectno"/>
        </w:rPr>
        <w:t>44</w:t>
      </w:r>
      <w:r>
        <w:t>.</w:t>
      </w:r>
      <w:r>
        <w:tab/>
        <w:t>Convenor and deputy convenor</w:t>
      </w:r>
      <w:bookmarkEnd w:id="7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74" w:name="_Toc426101272"/>
      <w:r>
        <w:rPr>
          <w:rStyle w:val="CharSectno"/>
        </w:rPr>
        <w:t>45</w:t>
      </w:r>
      <w:r>
        <w:t>.</w:t>
      </w:r>
      <w:r>
        <w:tab/>
        <w:t>Committee meetings</w:t>
      </w:r>
      <w:bookmarkEnd w:id="74"/>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75" w:name="_Toc426101273"/>
      <w:r>
        <w:rPr>
          <w:rStyle w:val="CharSectno"/>
        </w:rPr>
        <w:t>46</w:t>
      </w:r>
      <w:r>
        <w:t>.</w:t>
      </w:r>
      <w:r>
        <w:tab/>
        <w:t>Application of applied provisions</w:t>
      </w:r>
      <w:bookmarkEnd w:id="75"/>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pPr>
      <w:bookmarkStart w:id="76" w:name="_Toc426101274"/>
      <w:r>
        <w:rPr>
          <w:rStyle w:val="CharPartNo"/>
        </w:rPr>
        <w:t>Part 5</w:t>
      </w:r>
      <w:r>
        <w:rPr>
          <w:rStyle w:val="CharDivNo"/>
        </w:rPr>
        <w:t> </w:t>
      </w:r>
      <w:r>
        <w:t>—</w:t>
      </w:r>
      <w:r>
        <w:rPr>
          <w:rStyle w:val="CharDivText"/>
        </w:rPr>
        <w:t> </w:t>
      </w:r>
      <w:r>
        <w:rPr>
          <w:rStyle w:val="CharPartText"/>
        </w:rPr>
        <w:t>Law Library at Supreme Court</w:t>
      </w:r>
      <w:bookmarkEnd w:id="76"/>
    </w:p>
    <w:p>
      <w:pPr>
        <w:pStyle w:val="Heading5"/>
      </w:pPr>
      <w:bookmarkStart w:id="77" w:name="_Toc426101275"/>
      <w:r>
        <w:rPr>
          <w:rStyle w:val="CharSectno"/>
        </w:rPr>
        <w:t>47</w:t>
      </w:r>
      <w:r>
        <w:t>.</w:t>
      </w:r>
      <w:r>
        <w:tab/>
        <w:t>Terms used</w:t>
      </w:r>
      <w:bookmarkEnd w:id="77"/>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 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78" w:name="_Toc426101276"/>
      <w:r>
        <w:rPr>
          <w:rStyle w:val="CharSectno"/>
        </w:rPr>
        <w:t>48</w:t>
      </w:r>
      <w:r>
        <w:t>.</w:t>
      </w:r>
      <w:r>
        <w:tab/>
        <w:t>People entitled to use library</w:t>
      </w:r>
      <w:bookmarkEnd w:id="78"/>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79" w:name="_Toc426101277"/>
      <w:r>
        <w:rPr>
          <w:rStyle w:val="CharSectno"/>
        </w:rPr>
        <w:t>49</w:t>
      </w:r>
      <w:r>
        <w:t>.</w:t>
      </w:r>
      <w:r>
        <w:tab/>
        <w:t>Librarian may suspend or restrict entitlement to use library</w:t>
      </w:r>
      <w:bookmarkEnd w:id="79"/>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80" w:name="_Toc426101278"/>
      <w:r>
        <w:rPr>
          <w:rStyle w:val="CharSectno"/>
        </w:rPr>
        <w:t>50</w:t>
      </w:r>
      <w:r>
        <w:t>.</w:t>
      </w:r>
      <w:r>
        <w:tab/>
        <w:t>Board may suspend or restrict entitlement to use library</w:t>
      </w:r>
      <w:bookmarkEnd w:id="8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81" w:name="_Toc426101279"/>
      <w:r>
        <w:rPr>
          <w:rStyle w:val="CharSectno"/>
        </w:rPr>
        <w:t>51</w:t>
      </w:r>
      <w:r>
        <w:t>.</w:t>
      </w:r>
      <w:r>
        <w:tab/>
        <w:t>Use of library and books</w:t>
      </w:r>
      <w:bookmarkEnd w:id="81"/>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82" w:name="_Toc426101280"/>
      <w:r>
        <w:rPr>
          <w:rStyle w:val="CharSectno"/>
        </w:rPr>
        <w:t>52</w:t>
      </w:r>
      <w:r>
        <w:t>.</w:t>
      </w:r>
      <w:r>
        <w:tab/>
        <w:t>Borrowing books</w:t>
      </w:r>
      <w:bookmarkEnd w:id="82"/>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83" w:name="_Toc426101281"/>
      <w:r>
        <w:rPr>
          <w:rStyle w:val="CharSectno"/>
        </w:rPr>
        <w:t>53</w:t>
      </w:r>
      <w:r>
        <w:t>.</w:t>
      </w:r>
      <w:r>
        <w:tab/>
        <w:t>Removal of unauthorised people and retrieval of books</w:t>
      </w:r>
      <w:bookmarkEnd w:id="83"/>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84" w:name="_Toc426101282"/>
      <w:r>
        <w:rPr>
          <w:rStyle w:val="CharPartNo"/>
        </w:rPr>
        <w:t>Part 6</w:t>
      </w:r>
      <w:r>
        <w:rPr>
          <w:rStyle w:val="CharDivNo"/>
        </w:rPr>
        <w:t> </w:t>
      </w:r>
      <w:r>
        <w:t>—</w:t>
      </w:r>
      <w:r>
        <w:rPr>
          <w:rStyle w:val="CharDivText"/>
        </w:rPr>
        <w:t> </w:t>
      </w:r>
      <w:r>
        <w:rPr>
          <w:rStyle w:val="CharPartText"/>
        </w:rPr>
        <w:t>General matters</w:t>
      </w:r>
      <w:bookmarkEnd w:id="84"/>
    </w:p>
    <w:p>
      <w:pPr>
        <w:pStyle w:val="Heading5"/>
      </w:pPr>
      <w:bookmarkStart w:id="85" w:name="_Toc426101283"/>
      <w:r>
        <w:rPr>
          <w:rStyle w:val="CharSectno"/>
        </w:rPr>
        <w:t>54</w:t>
      </w:r>
      <w:r>
        <w:t>.</w:t>
      </w:r>
      <w:r>
        <w:tab/>
        <w:t>Documents given to or by Board</w:t>
      </w:r>
      <w:bookmarkEnd w:id="85"/>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86" w:name="_Toc426101284"/>
      <w:r>
        <w:rPr>
          <w:rStyle w:val="CharSectno"/>
        </w:rPr>
        <w:t>55</w:t>
      </w:r>
      <w:r>
        <w:t>.</w:t>
      </w:r>
      <w:r>
        <w:tab/>
        <w:t>Board may excuse non-compliance</w:t>
      </w:r>
      <w:bookmarkEnd w:id="8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7" w:name="_Toc426101285"/>
      <w:r>
        <w:rPr>
          <w:rStyle w:val="CharSchNo"/>
        </w:rPr>
        <w:t>Schedule 1</w:t>
      </w:r>
      <w:r>
        <w:rPr>
          <w:rStyle w:val="CharSDivNo"/>
        </w:rPr>
        <w:t> </w:t>
      </w:r>
      <w:r>
        <w:t>—</w:t>
      </w:r>
      <w:r>
        <w:rPr>
          <w:rStyle w:val="CharSDivText"/>
        </w:rPr>
        <w:t> </w:t>
      </w:r>
      <w:r>
        <w:rPr>
          <w:rStyle w:val="CharSchText"/>
        </w:rPr>
        <w:t>Fees</w:t>
      </w:r>
      <w:bookmarkEnd w:id="87"/>
    </w:p>
    <w:p>
      <w:pPr>
        <w:pStyle w:val="yShoulderClause"/>
        <w:spacing w:after="60"/>
      </w:pPr>
      <w:r>
        <w:t>[r. 4 and 25]</w:t>
      </w:r>
    </w:p>
    <w:p>
      <w:pPr>
        <w:pStyle w:val="yHeading5"/>
      </w:pPr>
      <w:bookmarkStart w:id="88" w:name="_Toc426101286"/>
      <w:r>
        <w:rPr>
          <w:rStyle w:val="CharSClsNo"/>
        </w:rPr>
        <w:t>1</w:t>
      </w:r>
      <w:r>
        <w:t>.</w:t>
      </w:r>
      <w:r>
        <w:tab/>
        <w:t>Terms used</w:t>
      </w:r>
      <w:bookmarkEnd w:id="88"/>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89" w:name="_Toc426101287"/>
      <w:r>
        <w:rPr>
          <w:rStyle w:val="CharSClsNo"/>
        </w:rPr>
        <w:t>2</w:t>
      </w:r>
      <w:r>
        <w:t>.</w:t>
      </w:r>
      <w:r>
        <w:tab/>
        <w:t>Fees</w:t>
      </w:r>
      <w:bookmarkEnd w:id="89"/>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426101288"/>
      <w:r>
        <w:t>Notes</w:t>
      </w:r>
      <w:bookmarkEnd w:id="91"/>
    </w:p>
    <w:p>
      <w:pPr>
        <w:pStyle w:val="nSubsection"/>
      </w:pPr>
      <w:r>
        <w:rPr>
          <w:vertAlign w:val="superscript"/>
        </w:rPr>
        <w:t>1</w:t>
      </w:r>
      <w:r>
        <w:tab/>
        <w:t xml:space="preserve">This is a compilation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92" w:name="_Toc426101289"/>
      <w:r>
        <w:t>Compilation table</w:t>
      </w:r>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c>
          <w:tcPr>
            <w:tcW w:w="3118" w:type="dxa"/>
            <w:tcBorders>
              <w:top w:val="nil"/>
              <w:bottom w:val="single" w:sz="4" w:space="0" w:color="auto"/>
            </w:tcBorders>
            <w:shd w:val="clear" w:color="auto" w:fill="auto"/>
          </w:tcPr>
          <w:p>
            <w:pPr>
              <w:pStyle w:val="nTable"/>
              <w:keepNext/>
              <w:spacing w:after="40"/>
              <w:rPr>
                <w:i/>
              </w:rPr>
            </w:pPr>
            <w:r>
              <w:rPr>
                <w:i/>
              </w:rPr>
              <w:t>Legal Profession Amendment Rules 2016</w:t>
            </w:r>
          </w:p>
        </w:tc>
        <w:tc>
          <w:tcPr>
            <w:tcW w:w="1276" w:type="dxa"/>
            <w:tcBorders>
              <w:top w:val="nil"/>
              <w:bottom w:val="single" w:sz="4" w:space="0" w:color="auto"/>
            </w:tcBorders>
            <w:shd w:val="clear" w:color="auto" w:fill="auto"/>
          </w:tcPr>
          <w:p>
            <w:pPr>
              <w:pStyle w:val="nTable"/>
              <w:keepNext/>
              <w:spacing w:after="40"/>
            </w:pPr>
            <w:r>
              <w:t>19 Feb 2016 p. 519-23</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r. 1 and 2: 19 Feb 2016 (see r. 2(a));</w:t>
            </w:r>
            <w:r>
              <w:rPr>
                <w:bCs/>
                <w:snapToGrid w:val="0"/>
              </w:rPr>
              <w:br/>
              <w:t>Rules other than r. 1 and 2: 20 Feb 2016 (see r. 2(b))</w:t>
            </w:r>
          </w:p>
        </w:tc>
      </w:tr>
    </w:tbl>
    <w:p>
      <w:pPr>
        <w:rPr>
          <w:iCs/>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approved PMC</w:t>
      </w:r>
      <w:r>
        <w:tab/>
        <w:t>18A</w:t>
      </w:r>
    </w:p>
    <w:p>
      <w:pPr>
        <w:pStyle w:val="DefinedTerms"/>
      </w:pPr>
      <w:r>
        <w:t>approved practice management course</w:t>
      </w:r>
      <w:r>
        <w:tab/>
        <w:t>17(1)</w:t>
      </w:r>
    </w:p>
    <w:p>
      <w:pPr>
        <w:pStyle w:val="DefinedTerms"/>
      </w:pPr>
      <w:r>
        <w:t>Bar Readers Course</w:t>
      </w:r>
      <w:r>
        <w:tab/>
        <w:t>18F(2)</w:t>
      </w:r>
    </w:p>
    <w:p>
      <w:pPr>
        <w:pStyle w:val="DefinedTerms"/>
      </w:pPr>
      <w:r>
        <w:t>book</w:t>
      </w:r>
      <w:r>
        <w:tab/>
        <w:t>47</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committee</w:t>
      </w:r>
      <w:r>
        <w:tab/>
        <w:t>47</w:t>
      </w:r>
    </w:p>
    <w:p>
      <w:pPr>
        <w:pStyle w:val="DefinedTerms"/>
      </w:pPr>
      <w:r>
        <w:t>competency area 1</w:t>
      </w:r>
      <w:r>
        <w:tab/>
        <w:t>10(2), 13D(2)</w:t>
      </w:r>
    </w:p>
    <w:p>
      <w:pPr>
        <w:pStyle w:val="DefinedTerms"/>
      </w:pPr>
      <w:r>
        <w:t>competency area 2</w:t>
      </w:r>
      <w:r>
        <w:tab/>
        <w:t>10(3), 13D(3)</w:t>
      </w:r>
    </w:p>
    <w:p>
      <w:pPr>
        <w:pStyle w:val="DefinedTerms"/>
      </w:pPr>
      <w:r>
        <w:t>competency area 3</w:t>
      </w:r>
      <w:r>
        <w:tab/>
        <w:t>10(4), 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PMC condition</w:t>
      </w:r>
      <w:r>
        <w:tab/>
        <w:t>18A</w:t>
      </w:r>
    </w:p>
    <w:p>
      <w:pPr>
        <w:pStyle w:val="DefinedTerms"/>
      </w:pPr>
      <w:r>
        <w:t>PMC provider</w:t>
      </w:r>
      <w:r>
        <w:tab/>
        <w:t>18A</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10502</Words>
  <Characters>50624</Characters>
  <Application>Microsoft Office Word</Application>
  <DocSecurity>0</DocSecurity>
  <Lines>1687</Lines>
  <Paragraphs>1036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2009 - 01-b0-01</dc:title>
  <dc:subject/>
  <dc:creator/>
  <cp:keywords/>
  <dc:description/>
  <cp:lastModifiedBy>svcMRProcess</cp:lastModifiedBy>
  <cp:revision>4</cp:revision>
  <cp:lastPrinted>2015-08-19T03:38:00Z</cp:lastPrinted>
  <dcterms:created xsi:type="dcterms:W3CDTF">2018-09-18T00:58:00Z</dcterms:created>
  <dcterms:modified xsi:type="dcterms:W3CDTF">2018-09-18T00:58:00Z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20160220</vt:lpwstr>
  </property>
  <property fmtid="{D5CDD505-2E9C-101B-9397-08002B2CF9AE}" pid="4" name="OwlsUID">
    <vt:i4>41036</vt:i4>
  </property>
  <property fmtid="{D5CDD505-2E9C-101B-9397-08002B2CF9AE}" pid="5" name="DocumentType">
    <vt:lpwstr>Reg</vt:lpwstr>
  </property>
  <property fmtid="{D5CDD505-2E9C-101B-9397-08002B2CF9AE}" pid="6" name="ReprintedAsAt">
    <vt:filetime>2015-08-13T16:00:00Z</vt:filetime>
  </property>
  <property fmtid="{D5CDD505-2E9C-101B-9397-08002B2CF9AE}" pid="7" name="ReprintNo">
    <vt:lpwstr>1</vt:lpwstr>
  </property>
  <property fmtid="{D5CDD505-2E9C-101B-9397-08002B2CF9AE}" pid="8" name="AsAtDate">
    <vt:lpwstr>20 Feb 2016</vt:lpwstr>
  </property>
  <property fmtid="{D5CDD505-2E9C-101B-9397-08002B2CF9AE}" pid="9" name="Suffix">
    <vt:lpwstr>01-b0-01</vt:lpwstr>
  </property>
</Properties>
</file>