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Jetties Regulations 1940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Jetties Regulations 1940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_Toc443638663 \h </w:instrText>
      </w:r>
      <w:r>
        <w:fldChar w:fldCharType="separate"/>
      </w:r>
      <w:r>
        <w:t>1</w:t>
      </w:r>
      <w:r>
        <w:fldChar w:fldCharType="end"/>
      </w:r>
    </w:p>
    <w:p>
      <w:pPr>
        <w:pStyle w:val="TOC8"/>
        <w:rPr>
          <w:rFonts w:asciiTheme="minorHAnsi" w:eastAsiaTheme="minorEastAsia" w:hAnsiTheme="minorHAnsi" w:cstheme="minorBidi"/>
          <w:szCs w:val="22"/>
        </w:rPr>
      </w:pPr>
      <w:r>
        <w:t>2.</w:t>
      </w:r>
      <w:r>
        <w:tab/>
        <w:t>Liability for dues and charges</w:t>
      </w:r>
      <w:r>
        <w:tab/>
      </w:r>
      <w:r>
        <w:fldChar w:fldCharType="begin"/>
      </w:r>
      <w:r>
        <w:instrText xml:space="preserve"> PAGEREF _Toc443638664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_Toc443638665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1 — Regulations applying to jetties controlled by the Department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3A</w:t>
      </w:r>
      <w:r>
        <w:rPr>
          <w:snapToGrid w:val="0"/>
        </w:rPr>
        <w:t>.</w:t>
      </w:r>
      <w:r>
        <w:rPr>
          <w:snapToGrid w:val="0"/>
        </w:rPr>
        <w:tab/>
        <w:t>Application</w:t>
      </w:r>
      <w:r>
        <w:tab/>
      </w:r>
      <w:r>
        <w:fldChar w:fldCharType="begin"/>
      </w:r>
      <w:r>
        <w:instrText xml:space="preserve"> PAGEREF _Toc443638668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Arrival and movement of vessels</w:t>
      </w:r>
    </w:p>
    <w:p>
      <w:pPr>
        <w:pStyle w:val="TOC8"/>
        <w:rPr>
          <w:rFonts w:asciiTheme="minorHAnsi" w:eastAsiaTheme="minorEastAsia" w:hAnsiTheme="minorHAnsi" w:cstheme="minorBidi"/>
          <w:szCs w:val="22"/>
        </w:rPr>
      </w:pPr>
      <w:r>
        <w:t>4</w:t>
      </w:r>
      <w:r>
        <w:rPr>
          <w:snapToGrid w:val="0"/>
        </w:rPr>
        <w:t>.</w:t>
      </w:r>
      <w:r>
        <w:rPr>
          <w:snapToGrid w:val="0"/>
        </w:rPr>
        <w:tab/>
        <w:t>Master or agent to report arrival</w:t>
      </w:r>
      <w:r>
        <w:tab/>
      </w:r>
      <w:r>
        <w:fldChar w:fldCharType="begin"/>
      </w:r>
      <w:r>
        <w:instrText xml:space="preserve"> PAGEREF _Toc443638670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Vessels to change berths</w:t>
      </w:r>
      <w:r>
        <w:tab/>
      </w:r>
      <w:r>
        <w:fldChar w:fldCharType="begin"/>
      </w:r>
      <w:r>
        <w:instrText xml:space="preserve"> PAGEREF _Toc443638671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Berthing dues</w:t>
      </w:r>
    </w:p>
    <w:p>
      <w:pPr>
        <w:pStyle w:val="TOC8"/>
        <w:rPr>
          <w:rFonts w:asciiTheme="minorHAnsi" w:eastAsiaTheme="minorEastAsia" w:hAnsiTheme="minorHAnsi" w:cstheme="minorBidi"/>
          <w:szCs w:val="22"/>
        </w:rPr>
      </w:pPr>
      <w:r>
        <w:t>6.</w:t>
      </w:r>
      <w:r>
        <w:tab/>
        <w:t>Berthing dues</w:t>
      </w:r>
      <w:r>
        <w:tab/>
      </w:r>
      <w:r>
        <w:fldChar w:fldCharType="begin"/>
      </w:r>
      <w:r>
        <w:instrText xml:space="preserve"> PAGEREF _Toc443638673 \h </w:instrText>
      </w:r>
      <w:r>
        <w:fldChar w:fldCharType="separate"/>
      </w:r>
      <w:r>
        <w:t>6</w:t>
      </w:r>
      <w:r>
        <w:fldChar w:fldCharType="end"/>
      </w:r>
    </w:p>
    <w:p>
      <w:pPr>
        <w:pStyle w:val="TOC8"/>
        <w:rPr>
          <w:rFonts w:asciiTheme="minorHAnsi" w:eastAsiaTheme="minorEastAsia" w:hAnsiTheme="minorHAnsi" w:cstheme="minorBidi"/>
          <w:szCs w:val="22"/>
        </w:rPr>
      </w:pPr>
      <w:r>
        <w:t>6A.</w:t>
      </w:r>
      <w:r>
        <w:tab/>
        <w:t>Requirement to pay berthing dues</w:t>
      </w:r>
      <w:r>
        <w:tab/>
      </w:r>
      <w:r>
        <w:fldChar w:fldCharType="begin"/>
      </w:r>
      <w:r>
        <w:instrText xml:space="preserve"> PAGEREF _Toc443638674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Computation of berthing dues</w:t>
      </w:r>
      <w:r>
        <w:tab/>
      </w:r>
      <w:r>
        <w:fldChar w:fldCharType="begin"/>
      </w:r>
      <w:r>
        <w:instrText xml:space="preserve"> PAGEREF _Toc443638675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Inwards manifests</w:t>
      </w:r>
      <w:r>
        <w:tab/>
      </w:r>
      <w:r>
        <w:fldChar w:fldCharType="begin"/>
      </w:r>
      <w:r>
        <w:instrText xml:space="preserve"> PAGEREF _Toc443638676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Outwards manifests</w:t>
      </w:r>
      <w:r>
        <w:tab/>
      </w:r>
      <w:r>
        <w:fldChar w:fldCharType="begin"/>
      </w:r>
      <w:r>
        <w:instrText xml:space="preserve"> PAGEREF _Toc443638677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Wharfage dues, handling and haulage charges</w:t>
      </w:r>
    </w:p>
    <w:p>
      <w:pPr>
        <w:pStyle w:val="TOC8"/>
        <w:rPr>
          <w:rFonts w:asciiTheme="minorHAnsi" w:eastAsiaTheme="minorEastAsia" w:hAnsiTheme="minorHAnsi" w:cstheme="minorBidi"/>
          <w:szCs w:val="22"/>
        </w:rPr>
      </w:pPr>
      <w:r>
        <w:t>10A</w:t>
      </w:r>
      <w:r>
        <w:rPr>
          <w:snapToGrid w:val="0"/>
        </w:rPr>
        <w:t>.</w:t>
      </w:r>
      <w:r>
        <w:rPr>
          <w:snapToGrid w:val="0"/>
        </w:rPr>
        <w:tab/>
        <w:t>Payment of dues and charges</w:t>
      </w:r>
      <w:r>
        <w:tab/>
      </w:r>
      <w:r>
        <w:fldChar w:fldCharType="begin"/>
      </w:r>
      <w:r>
        <w:instrText xml:space="preserve"> PAGEREF _Toc443638679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 for transhipment cargo</w:t>
      </w:r>
      <w:r>
        <w:tab/>
      </w:r>
      <w:r>
        <w:fldChar w:fldCharType="begin"/>
      </w:r>
      <w:r>
        <w:instrText xml:space="preserve"> PAGEREF _Toc443638680 \h </w:instrText>
      </w:r>
      <w:r>
        <w:fldChar w:fldCharType="separate"/>
      </w:r>
      <w:r>
        <w:t>8</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Charges on vessels’ stores, including fuel oil</w:t>
      </w:r>
      <w:r>
        <w:tab/>
      </w:r>
      <w:r>
        <w:fldChar w:fldCharType="begin"/>
      </w:r>
      <w:r>
        <w:instrText xml:space="preserve"> PAGEREF _Toc443638681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Charges to be paid before delivery of cargo</w:t>
      </w:r>
      <w:r>
        <w:tab/>
      </w:r>
      <w:r>
        <w:fldChar w:fldCharType="begin"/>
      </w:r>
      <w:r>
        <w:instrText xml:space="preserve"> PAGEREF _Toc443638682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Extra charges</w:t>
      </w:r>
      <w:r>
        <w:tab/>
      </w:r>
      <w:r>
        <w:fldChar w:fldCharType="begin"/>
      </w:r>
      <w:r>
        <w:instrText xml:space="preserve"> PAGEREF _Toc443638683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Handling of cargo</w:t>
      </w:r>
    </w:p>
    <w:p>
      <w:pPr>
        <w:pStyle w:val="TOC8"/>
        <w:rPr>
          <w:rFonts w:asciiTheme="minorHAnsi" w:eastAsiaTheme="minorEastAsia" w:hAnsiTheme="minorHAnsi" w:cstheme="minorBidi"/>
          <w:szCs w:val="22"/>
        </w:rPr>
      </w:pPr>
      <w:r>
        <w:t>14</w:t>
      </w:r>
      <w:r>
        <w:rPr>
          <w:snapToGrid w:val="0"/>
        </w:rPr>
        <w:t>.</w:t>
      </w:r>
      <w:r>
        <w:rPr>
          <w:snapToGrid w:val="0"/>
        </w:rPr>
        <w:tab/>
        <w:t>Cargo not to be placed on jetties or premises without authority</w:t>
      </w:r>
      <w:r>
        <w:tab/>
      </w:r>
      <w:r>
        <w:fldChar w:fldCharType="begin"/>
      </w:r>
      <w:r>
        <w:instrText xml:space="preserve"> PAGEREF _Toc443638685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Discharging of cargo may be stopped</w:t>
      </w:r>
      <w:r>
        <w:tab/>
      </w:r>
      <w:r>
        <w:fldChar w:fldCharType="begin"/>
      </w:r>
      <w:r>
        <w:instrText xml:space="preserve"> PAGEREF _Toc443638686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Goods not to be shifted without authority</w:t>
      </w:r>
      <w:r>
        <w:tab/>
      </w:r>
      <w:r>
        <w:fldChar w:fldCharType="begin"/>
      </w:r>
      <w:r>
        <w:instrText xml:space="preserve"> PAGEREF _Toc443638687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Bulk cargo not to be deposited without authority</w:t>
      </w:r>
      <w:r>
        <w:tab/>
      </w:r>
      <w:r>
        <w:fldChar w:fldCharType="begin"/>
      </w:r>
      <w:r>
        <w:instrText xml:space="preserve"> PAGEREF _Toc443638688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Outward cargo advice notes</w:t>
      </w:r>
      <w:r>
        <w:tab/>
      </w:r>
      <w:r>
        <w:fldChar w:fldCharType="begin"/>
      </w:r>
      <w:r>
        <w:instrText xml:space="preserve"> PAGEREF _Toc443638689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Outward cargo</w:t>
      </w:r>
      <w:r>
        <w:tab/>
      </w:r>
      <w:r>
        <w:fldChar w:fldCharType="begin"/>
      </w:r>
      <w:r>
        <w:instrText xml:space="preserve"> PAGEREF _Toc443638690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Dangerous cargo not to be shipped without permission</w:t>
      </w:r>
      <w:r>
        <w:tab/>
      </w:r>
      <w:r>
        <w:fldChar w:fldCharType="begin"/>
      </w:r>
      <w:r>
        <w:instrText xml:space="preserve"> PAGEREF _Toc443638691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Dangerous cargo may be refused or examined</w:t>
      </w:r>
      <w:r>
        <w:tab/>
      </w:r>
      <w:r>
        <w:fldChar w:fldCharType="begin"/>
      </w:r>
      <w:r>
        <w:instrText xml:space="preserve"> PAGEREF _Toc443638692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Marking of heavy packages</w:t>
      </w:r>
      <w:r>
        <w:tab/>
      </w:r>
      <w:r>
        <w:fldChar w:fldCharType="begin"/>
      </w:r>
      <w:r>
        <w:instrText xml:space="preserve"> PAGEREF _Toc443638693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False statements</w:t>
      </w:r>
      <w:r>
        <w:tab/>
      </w:r>
      <w:r>
        <w:fldChar w:fldCharType="begin"/>
      </w:r>
      <w:r>
        <w:instrText xml:space="preserve"> PAGEREF _Toc443638694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Receipt, delivery and storage of cargo</w:t>
      </w:r>
    </w:p>
    <w:p>
      <w:pPr>
        <w:pStyle w:val="TOC8"/>
        <w:rPr>
          <w:rFonts w:asciiTheme="minorHAnsi" w:eastAsiaTheme="minorEastAsia" w:hAnsiTheme="minorHAnsi" w:cstheme="minorBidi"/>
          <w:szCs w:val="22"/>
        </w:rPr>
      </w:pPr>
      <w:r>
        <w:t>24</w:t>
      </w:r>
      <w:r>
        <w:rPr>
          <w:snapToGrid w:val="0"/>
        </w:rPr>
        <w:t>.</w:t>
      </w:r>
      <w:r>
        <w:rPr>
          <w:snapToGrid w:val="0"/>
        </w:rPr>
        <w:tab/>
        <w:t>Removal of cargo</w:t>
      </w:r>
      <w:r>
        <w:tab/>
      </w:r>
      <w:r>
        <w:fldChar w:fldCharType="begin"/>
      </w:r>
      <w:r>
        <w:instrText xml:space="preserve"> PAGEREF _Toc443638696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Storage charges</w:t>
      </w:r>
      <w:r>
        <w:tab/>
      </w:r>
      <w:r>
        <w:fldChar w:fldCharType="begin"/>
      </w:r>
      <w:r>
        <w:instrText xml:space="preserve"> PAGEREF _Toc443638697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Department not bound to find storage accommodation</w:t>
      </w:r>
      <w:r>
        <w:tab/>
      </w:r>
      <w:r>
        <w:fldChar w:fldCharType="begin"/>
      </w:r>
      <w:r>
        <w:instrText xml:space="preserve"> PAGEREF _Toc443638698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Goods may be disposed of</w:t>
      </w:r>
      <w:r>
        <w:tab/>
      </w:r>
      <w:r>
        <w:fldChar w:fldCharType="begin"/>
      </w:r>
      <w:r>
        <w:instrText xml:space="preserve"> PAGEREF _Toc443638699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Goods to be checked before delivery</w:t>
      </w:r>
      <w:r>
        <w:tab/>
      </w:r>
      <w:r>
        <w:fldChar w:fldCharType="begin"/>
      </w:r>
      <w:r>
        <w:instrText xml:space="preserve"> PAGEREF _Toc443638700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Delay in delivery</w:t>
      </w:r>
      <w:r>
        <w:tab/>
      </w:r>
      <w:r>
        <w:fldChar w:fldCharType="begin"/>
      </w:r>
      <w:r>
        <w:instrText xml:space="preserve"> PAGEREF _Toc443638701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Wrong delivery</w:t>
      </w:r>
      <w:r>
        <w:tab/>
      </w:r>
      <w:r>
        <w:fldChar w:fldCharType="begin"/>
      </w:r>
      <w:r>
        <w:instrText xml:space="preserve"> PAGEREF _Toc443638702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Responsibility of Department</w:t>
      </w:r>
    </w:p>
    <w:p>
      <w:pPr>
        <w:pStyle w:val="TOC8"/>
        <w:rPr>
          <w:rFonts w:asciiTheme="minorHAnsi" w:eastAsiaTheme="minorEastAsia" w:hAnsiTheme="minorHAnsi" w:cstheme="minorBidi"/>
          <w:szCs w:val="22"/>
        </w:rPr>
      </w:pPr>
      <w:r>
        <w:t>31</w:t>
      </w:r>
      <w:r>
        <w:rPr>
          <w:snapToGrid w:val="0"/>
        </w:rPr>
        <w:t>.</w:t>
      </w:r>
      <w:r>
        <w:rPr>
          <w:snapToGrid w:val="0"/>
        </w:rPr>
        <w:tab/>
        <w:t>Custody of cargo</w:t>
      </w:r>
      <w:r>
        <w:tab/>
      </w:r>
      <w:r>
        <w:fldChar w:fldCharType="begin"/>
      </w:r>
      <w:r>
        <w:instrText xml:space="preserve"> PAGEREF _Toc443638704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Goods without receipts</w:t>
      </w:r>
      <w:r>
        <w:tab/>
      </w:r>
      <w:r>
        <w:fldChar w:fldCharType="begin"/>
      </w:r>
      <w:r>
        <w:instrText xml:space="preserve"> PAGEREF _Toc443638705 \h </w:instrText>
      </w:r>
      <w:r>
        <w:fldChar w:fldCharType="separate"/>
      </w:r>
      <w:r>
        <w:t>17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Goods stacked on jetties</w:t>
      </w:r>
      <w:r>
        <w:tab/>
      </w:r>
      <w:r>
        <w:fldChar w:fldCharType="begin"/>
      </w:r>
      <w:r>
        <w:instrText xml:space="preserve"> PAGEREF _Toc443638706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Cargo damaged by fire etc.</w:t>
      </w:r>
      <w:r>
        <w:tab/>
      </w:r>
      <w:r>
        <w:fldChar w:fldCharType="begin"/>
      </w:r>
      <w:r>
        <w:instrText xml:space="preserve"> PAGEREF _Toc443638707 \h </w:instrText>
      </w:r>
      <w:r>
        <w:fldChar w:fldCharType="separate"/>
      </w:r>
      <w:r>
        <w:t>18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Goods insufficiently packed</w:t>
      </w:r>
      <w:r>
        <w:tab/>
      </w:r>
      <w:r>
        <w:fldChar w:fldCharType="begin"/>
      </w:r>
      <w:r>
        <w:instrText xml:space="preserve"> PAGEREF _Toc443638708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Claims in respect of cargo</w:t>
      </w:r>
      <w:r>
        <w:tab/>
      </w:r>
      <w:r>
        <w:fldChar w:fldCharType="begin"/>
      </w:r>
      <w:r>
        <w:instrText xml:space="preserve"> PAGEREF _Toc443638709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Working hours</w:t>
      </w:r>
    </w:p>
    <w:p>
      <w:pPr>
        <w:pStyle w:val="TOC8"/>
        <w:rPr>
          <w:rFonts w:asciiTheme="minorHAnsi" w:eastAsiaTheme="minorEastAsia" w:hAnsiTheme="minorHAnsi" w:cstheme="minorBidi"/>
          <w:szCs w:val="22"/>
        </w:rPr>
      </w:pPr>
      <w:r>
        <w:t>37</w:t>
      </w:r>
      <w:r>
        <w:rPr>
          <w:snapToGrid w:val="0"/>
        </w:rPr>
        <w:t>.</w:t>
      </w:r>
      <w:r>
        <w:rPr>
          <w:snapToGrid w:val="0"/>
        </w:rPr>
        <w:tab/>
        <w:t>Ordinary time</w:t>
      </w:r>
      <w:r>
        <w:tab/>
      </w:r>
      <w:r>
        <w:fldChar w:fldCharType="begin"/>
      </w:r>
      <w:r>
        <w:instrText xml:space="preserve"> PAGEREF _Toc443638711 \h </w:instrText>
      </w:r>
      <w:r>
        <w:fldChar w:fldCharType="separate"/>
      </w:r>
      <w:r>
        <w:t>19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Overtime</w:t>
      </w:r>
      <w:r>
        <w:tab/>
      </w:r>
      <w:r>
        <w:fldChar w:fldCharType="begin"/>
      </w:r>
      <w:r>
        <w:instrText xml:space="preserve"> PAGEREF _Toc443638712 \h </w:instrText>
      </w:r>
      <w:r>
        <w:fldChar w:fldCharType="separate"/>
      </w:r>
      <w:r>
        <w:t>19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Wages incurred through ships’ delays to be paid for</w:t>
      </w:r>
      <w:r>
        <w:tab/>
      </w:r>
      <w:r>
        <w:fldChar w:fldCharType="begin"/>
      </w:r>
      <w:r>
        <w:instrText xml:space="preserve"> PAGEREF _Toc443638713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Master to give notice of desire to work</w:t>
      </w:r>
      <w:r>
        <w:tab/>
      </w:r>
      <w:r>
        <w:fldChar w:fldCharType="begin"/>
      </w:r>
      <w:r>
        <w:instrText xml:space="preserve"> PAGEREF _Toc443638714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Livestock or vehicles on jetties or premises</w:t>
      </w:r>
    </w:p>
    <w:p>
      <w:pPr>
        <w:pStyle w:val="TOC8"/>
        <w:rPr>
          <w:rFonts w:asciiTheme="minorHAnsi" w:eastAsiaTheme="minorEastAsia" w:hAnsiTheme="minorHAnsi" w:cstheme="minorBidi"/>
          <w:szCs w:val="22"/>
        </w:rPr>
      </w:pPr>
      <w:r>
        <w:t>40</w:t>
      </w:r>
      <w:r>
        <w:rPr>
          <w:snapToGrid w:val="0"/>
        </w:rPr>
        <w:t>.</w:t>
      </w:r>
      <w:r>
        <w:rPr>
          <w:snapToGrid w:val="0"/>
        </w:rPr>
        <w:tab/>
        <w:t>Livestock on jetties or premises</w:t>
      </w:r>
      <w:r>
        <w:tab/>
      </w:r>
      <w:r>
        <w:fldChar w:fldCharType="begin"/>
      </w:r>
      <w:r>
        <w:instrText xml:space="preserve"> PAGEREF _Toc443638716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Riding vehicles etc. on jetties or premises</w:t>
      </w:r>
      <w:r>
        <w:tab/>
      </w:r>
      <w:r>
        <w:fldChar w:fldCharType="begin"/>
      </w:r>
      <w:r>
        <w:instrText xml:space="preserve"> PAGEREF _Toc443638717 \h </w:instrText>
      </w:r>
      <w:r>
        <w:fldChar w:fldCharType="separate"/>
      </w:r>
      <w:r>
        <w:t>20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Vehicles not to be parked on jetties</w:t>
      </w:r>
      <w:r>
        <w:tab/>
      </w:r>
      <w:r>
        <w:fldChar w:fldCharType="begin"/>
      </w:r>
      <w:r>
        <w:instrText xml:space="preserve"> PAGEREF _Toc443638718 \h </w:instrText>
      </w:r>
      <w:r>
        <w:fldChar w:fldCharType="separate"/>
      </w:r>
      <w:r>
        <w:t>20</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Department not responsible for vehicles on jetties</w:t>
      </w:r>
      <w:r>
        <w:tab/>
      </w:r>
      <w:r>
        <w:fldChar w:fldCharType="begin"/>
      </w:r>
      <w:r>
        <w:instrText xml:space="preserve"> PAGEREF _Toc443638719 \h </w:instrText>
      </w:r>
      <w:r>
        <w:fldChar w:fldCharType="separate"/>
      </w:r>
      <w:r>
        <w:t>21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Drivers of vehicles to obey instructions</w:t>
      </w:r>
      <w:r>
        <w:tab/>
      </w:r>
      <w:r>
        <w:fldChar w:fldCharType="begin"/>
      </w:r>
      <w:r>
        <w:instrText xml:space="preserve"> PAGEREF _Toc443638720 \h </w:instrText>
      </w:r>
      <w:r>
        <w:fldChar w:fldCharType="separate"/>
      </w:r>
      <w:r>
        <w:t>21</w:t>
      </w:r>
      <w:r>
        <w:fldChar w:fldCharType="end"/>
      </w:r>
    </w:p>
    <w:p>
      <w:pPr>
        <w:pStyle w:val="TOC8"/>
        <w:rPr>
          <w:rFonts w:asciiTheme="minorHAnsi" w:eastAsiaTheme="minorEastAsia" w:hAnsiTheme="minorHAnsi" w:cstheme="minorBidi"/>
          <w:szCs w:val="22"/>
        </w:rPr>
      </w:pPr>
      <w:r>
        <w:t>42A.</w:t>
      </w:r>
      <w:r>
        <w:tab/>
        <w:t>Charges for vehicular use of jetty</w:t>
      </w:r>
      <w:r>
        <w:tab/>
      </w:r>
      <w:r>
        <w:fldChar w:fldCharType="begin"/>
      </w:r>
      <w:r>
        <w:instrText xml:space="preserve"> PAGEREF _Toc443638721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Persons not to be on jetties when livestock is being handled</w:t>
      </w:r>
      <w:r>
        <w:tab/>
      </w:r>
      <w:r>
        <w:fldChar w:fldCharType="begin"/>
      </w:r>
      <w:r>
        <w:instrText xml:space="preserve"> PAGEREF _Toc443638722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Miscellaneous</w:t>
      </w:r>
    </w:p>
    <w:p>
      <w:pPr>
        <w:pStyle w:val="TOC8"/>
        <w:rPr>
          <w:rFonts w:asciiTheme="minorHAnsi" w:eastAsiaTheme="minorEastAsia" w:hAnsiTheme="minorHAnsi" w:cstheme="minorBidi"/>
          <w:szCs w:val="22"/>
        </w:rPr>
      </w:pPr>
      <w:r>
        <w:t>44</w:t>
      </w:r>
      <w:r>
        <w:rPr>
          <w:snapToGrid w:val="0"/>
        </w:rPr>
        <w:t>.</w:t>
      </w:r>
      <w:r>
        <w:rPr>
          <w:snapToGrid w:val="0"/>
        </w:rPr>
        <w:tab/>
        <w:t>Bill posting, defacement and obscenity</w:t>
      </w:r>
      <w:r>
        <w:tab/>
      </w:r>
      <w:r>
        <w:fldChar w:fldCharType="begin"/>
      </w:r>
      <w:r>
        <w:instrText xml:space="preserve"> PAGEREF _Toc443638724 \h </w:instrText>
      </w:r>
      <w:r>
        <w:fldChar w:fldCharType="separate"/>
      </w:r>
      <w:r>
        <w:t>22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Disorderly persons</w:t>
      </w:r>
      <w:r>
        <w:tab/>
      </w:r>
      <w:r>
        <w:fldChar w:fldCharType="begin"/>
      </w:r>
      <w:r>
        <w:instrText xml:space="preserve"> PAGEREF _Toc443638725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Fires not to be lit</w:t>
      </w:r>
      <w:r>
        <w:tab/>
      </w:r>
      <w:r>
        <w:fldChar w:fldCharType="begin"/>
      </w:r>
      <w:r>
        <w:instrText xml:space="preserve"> PAGEREF _Toc443638726 \h </w:instrText>
      </w:r>
      <w:r>
        <w:fldChar w:fldCharType="separate"/>
      </w:r>
      <w:r>
        <w:t>23</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Gates to be shut</w:t>
      </w:r>
      <w:r>
        <w:tab/>
      </w:r>
      <w:r>
        <w:fldChar w:fldCharType="begin"/>
      </w:r>
      <w:r>
        <w:instrText xml:space="preserve"> PAGEREF _Toc443638727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Interference with lights</w:t>
      </w:r>
      <w:r>
        <w:tab/>
      </w:r>
      <w:r>
        <w:fldChar w:fldCharType="begin"/>
      </w:r>
      <w:r>
        <w:instrText xml:space="preserve"> PAGEREF _Toc443638728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Interference with or damaging property</w:t>
      </w:r>
      <w:r>
        <w:tab/>
      </w:r>
      <w:r>
        <w:fldChar w:fldCharType="begin"/>
      </w:r>
      <w:r>
        <w:instrText xml:space="preserve"> PAGEREF _Toc443638729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Lost property</w:t>
      </w:r>
      <w:r>
        <w:tab/>
      </w:r>
      <w:r>
        <w:fldChar w:fldCharType="begin"/>
      </w:r>
      <w:r>
        <w:instrText xml:space="preserve"> PAGEREF _Toc443638730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Obstruction of officers, or premises</w:t>
      </w:r>
      <w:r>
        <w:tab/>
      </w:r>
      <w:r>
        <w:fldChar w:fldCharType="begin"/>
      </w:r>
      <w:r>
        <w:instrText xml:space="preserve"> PAGEREF _Toc443638731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Obstruction of or damage to jetties or premises</w:t>
      </w:r>
      <w:r>
        <w:tab/>
      </w:r>
      <w:r>
        <w:fldChar w:fldCharType="begin"/>
      </w:r>
      <w:r>
        <w:instrText xml:space="preserve"> PAGEREF _Toc443638732 \h </w:instrText>
      </w:r>
      <w:r>
        <w:fldChar w:fldCharType="separate"/>
      </w:r>
      <w:r>
        <w:t>25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Rubbish etc. not to be thrown</w:t>
      </w:r>
      <w:r>
        <w:tab/>
      </w:r>
      <w:r>
        <w:fldChar w:fldCharType="begin"/>
      </w:r>
      <w:r>
        <w:instrText xml:space="preserve"> PAGEREF _Toc443638733 \h </w:instrText>
      </w:r>
      <w:r>
        <w:fldChar w:fldCharType="separate"/>
      </w:r>
      <w:r>
        <w:t>25</w:t>
      </w:r>
      <w:r>
        <w:fldChar w:fldCharType="end"/>
      </w:r>
    </w:p>
    <w:p>
      <w:pPr>
        <w:pStyle w:val="TOC8"/>
        <w:rPr>
          <w:rFonts w:asciiTheme="minorHAnsi" w:eastAsiaTheme="minorEastAsia" w:hAnsiTheme="minorHAnsi" w:cstheme="minorBidi"/>
          <w:szCs w:val="22"/>
        </w:rPr>
      </w:pPr>
      <w:r>
        <w:t>53A.</w:t>
      </w:r>
      <w:r>
        <w:tab/>
        <w:t>Charges for rubbish removal</w:t>
      </w:r>
      <w:r>
        <w:tab/>
      </w:r>
      <w:r>
        <w:fldChar w:fldCharType="begin"/>
      </w:r>
      <w:r>
        <w:instrText xml:space="preserve"> PAGEREF _Toc443638734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 of articles prohibited</w:t>
      </w:r>
      <w:r>
        <w:tab/>
      </w:r>
      <w:r>
        <w:fldChar w:fldCharType="begin"/>
      </w:r>
      <w:r>
        <w:instrText xml:space="preserve"> PAGEREF _Toc443638735 \h </w:instrText>
      </w:r>
      <w:r>
        <w:fldChar w:fldCharType="separate"/>
      </w:r>
      <w:r>
        <w:t>26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Smoking and loitering</w:t>
      </w:r>
      <w:r>
        <w:tab/>
      </w:r>
      <w:r>
        <w:fldChar w:fldCharType="begin"/>
      </w:r>
      <w:r>
        <w:instrText xml:space="preserve"> PAGEREF _Toc443638736 \h </w:instrText>
      </w:r>
      <w:r>
        <w:fldChar w:fldCharType="separate"/>
      </w:r>
      <w:r>
        <w:t>26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Trespassing</w:t>
      </w:r>
      <w:r>
        <w:tab/>
      </w:r>
      <w:r>
        <w:fldChar w:fldCharType="begin"/>
      </w:r>
      <w:r>
        <w:instrText xml:space="preserve"> PAGEREF _Toc443638737 \h </w:instrText>
      </w:r>
      <w:r>
        <w:fldChar w:fldCharType="separate"/>
      </w:r>
      <w:r>
        <w:t>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Conditions for construction and installation of pipelines</w:t>
      </w:r>
      <w:r>
        <w:tab/>
      </w:r>
      <w:r>
        <w:fldChar w:fldCharType="begin"/>
      </w:r>
      <w:r>
        <w:instrText xml:space="preserve"> PAGEREF _Toc443638738 \h </w:instrText>
      </w:r>
      <w:r>
        <w:fldChar w:fldCharType="separate"/>
      </w:r>
      <w:r>
        <w:t>27</w:t>
      </w:r>
      <w:r>
        <w:fldChar w:fldCharType="end"/>
      </w:r>
    </w:p>
    <w:p>
      <w:pPr>
        <w:pStyle w:val="TOC8"/>
        <w:rPr>
          <w:rFonts w:asciiTheme="minorHAnsi" w:eastAsiaTheme="minorEastAsia" w:hAnsiTheme="minorHAnsi" w:cstheme="minorBidi"/>
          <w:szCs w:val="22"/>
        </w:rPr>
      </w:pPr>
      <w:r>
        <w:t>67B</w:t>
      </w:r>
      <w:r>
        <w:rPr>
          <w:snapToGrid w:val="0"/>
        </w:rPr>
        <w:t>.</w:t>
      </w:r>
      <w:r>
        <w:rPr>
          <w:snapToGrid w:val="0"/>
        </w:rPr>
        <w:tab/>
        <w:t>Maintenance and operation of pipelines</w:t>
      </w:r>
      <w:r>
        <w:tab/>
      </w:r>
      <w:r>
        <w:fldChar w:fldCharType="begin"/>
      </w:r>
      <w:r>
        <w:instrText xml:space="preserve"> PAGEREF _Toc443638739 \h </w:instrText>
      </w:r>
      <w:r>
        <w:fldChar w:fldCharType="separate"/>
      </w:r>
      <w:r>
        <w:t>30</w:t>
      </w:r>
      <w:r>
        <w:fldChar w:fldCharType="end"/>
      </w:r>
    </w:p>
    <w:p>
      <w:pPr>
        <w:pStyle w:val="TOC8"/>
        <w:rPr>
          <w:rFonts w:asciiTheme="minorHAnsi" w:eastAsiaTheme="minorEastAsia" w:hAnsiTheme="minorHAnsi" w:cstheme="minorBidi"/>
          <w:szCs w:val="22"/>
        </w:rPr>
      </w:pPr>
      <w:r>
        <w:t>67D</w:t>
      </w:r>
      <w:r>
        <w:rPr>
          <w:snapToGrid w:val="0"/>
        </w:rPr>
        <w:t>.</w:t>
      </w:r>
      <w:r>
        <w:rPr>
          <w:snapToGrid w:val="0"/>
        </w:rPr>
        <w:tab/>
        <w:t>Penalty for failure to remove or amend pipeline</w:t>
      </w:r>
      <w:r>
        <w:tab/>
      </w:r>
      <w:r>
        <w:fldChar w:fldCharType="begin"/>
      </w:r>
      <w:r>
        <w:instrText xml:space="preserve"> PAGEREF _Toc443638740 \h </w:instrText>
      </w:r>
      <w:r>
        <w:fldChar w:fldCharType="separate"/>
      </w:r>
      <w:r>
        <w:t>36</w:t>
      </w:r>
      <w:r>
        <w:fldChar w:fldCharType="end"/>
      </w:r>
    </w:p>
    <w:p>
      <w:pPr>
        <w:pStyle w:val="TOC8"/>
        <w:rPr>
          <w:rFonts w:asciiTheme="minorHAnsi" w:eastAsiaTheme="minorEastAsia" w:hAnsiTheme="minorHAnsi" w:cstheme="minorBidi"/>
          <w:szCs w:val="22"/>
        </w:rPr>
      </w:pPr>
      <w:r>
        <w:t>67DA.</w:t>
      </w:r>
      <w:r>
        <w:tab/>
        <w:t>Fuelling vessels at service jetties limited</w:t>
      </w:r>
      <w:r>
        <w:tab/>
      </w:r>
      <w:r>
        <w:fldChar w:fldCharType="begin"/>
      </w:r>
      <w:r>
        <w:instrText xml:space="preserve"> PAGEREF _Toc443638741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2 — Regulations applying to jetties within the Port of Perth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 of this Part</w:t>
      </w:r>
    </w:p>
    <w:p>
      <w:pPr>
        <w:pStyle w:val="TOC8"/>
        <w:rPr>
          <w:rFonts w:asciiTheme="minorHAnsi" w:eastAsiaTheme="minorEastAsia" w:hAnsiTheme="minorHAnsi" w:cstheme="minorBidi"/>
          <w:szCs w:val="22"/>
        </w:rPr>
      </w:pPr>
      <w:r>
        <w:t>67E</w:t>
      </w:r>
      <w:r>
        <w:rPr>
          <w:snapToGrid w:val="0"/>
        </w:rPr>
        <w:t>.</w:t>
      </w:r>
      <w:r>
        <w:rPr>
          <w:snapToGrid w:val="0"/>
        </w:rPr>
        <w:tab/>
        <w:t>Application</w:t>
      </w:r>
      <w:r>
        <w:tab/>
      </w:r>
      <w:r>
        <w:fldChar w:fldCharType="begin"/>
      </w:r>
      <w:r>
        <w:instrText xml:space="preserve"> PAGEREF _Toc443638744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Management and use of jetties</w:t>
      </w:r>
    </w:p>
    <w:p>
      <w:pPr>
        <w:pStyle w:val="TOC8"/>
        <w:rPr>
          <w:rFonts w:asciiTheme="minorHAnsi" w:eastAsiaTheme="minorEastAsia" w:hAnsiTheme="minorHAnsi" w:cstheme="minorBidi"/>
          <w:szCs w:val="22"/>
        </w:rPr>
      </w:pPr>
      <w:r>
        <w:t>68</w:t>
      </w:r>
      <w:r>
        <w:rPr>
          <w:snapToGrid w:val="0"/>
        </w:rPr>
        <w:t>.</w:t>
      </w:r>
      <w:r>
        <w:rPr>
          <w:snapToGrid w:val="0"/>
        </w:rPr>
        <w:tab/>
        <w:t>Control of jetties</w:t>
      </w:r>
      <w:r>
        <w:tab/>
      </w:r>
      <w:r>
        <w:fldChar w:fldCharType="begin"/>
      </w:r>
      <w:r>
        <w:instrText xml:space="preserve"> PAGEREF _Toc443638746 \h </w:instrText>
      </w:r>
      <w:r>
        <w:fldChar w:fldCharType="separate"/>
      </w:r>
      <w:r>
        <w:t>37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Use of jetties</w:t>
      </w:r>
      <w:r>
        <w:tab/>
      </w:r>
      <w:r>
        <w:fldChar w:fldCharType="begin"/>
      </w:r>
      <w:r>
        <w:instrText xml:space="preserve"> PAGEREF _Toc443638747 \h </w:instrText>
      </w:r>
      <w:r>
        <w:fldChar w:fldCharType="separate"/>
      </w:r>
      <w:r>
        <w:t>37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Jetties may be closed</w:t>
      </w:r>
      <w:r>
        <w:tab/>
      </w:r>
      <w:r>
        <w:fldChar w:fldCharType="begin"/>
      </w:r>
      <w:r>
        <w:instrText xml:space="preserve"> PAGEREF _Toc443638748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and berthing of vessels</w:t>
      </w:r>
    </w:p>
    <w:p>
      <w:pPr>
        <w:pStyle w:val="TOC8"/>
        <w:rPr>
          <w:rFonts w:asciiTheme="minorHAnsi" w:eastAsiaTheme="minorEastAsia" w:hAnsiTheme="minorHAnsi" w:cstheme="minorBidi"/>
          <w:szCs w:val="22"/>
        </w:rPr>
      </w:pPr>
      <w:r>
        <w:t>71</w:t>
      </w:r>
      <w:r>
        <w:rPr>
          <w:snapToGrid w:val="0"/>
        </w:rPr>
        <w:t>.</w:t>
      </w:r>
      <w:r>
        <w:rPr>
          <w:snapToGrid w:val="0"/>
        </w:rPr>
        <w:tab/>
        <w:t>Permit required to moor etc. alongside jetty or buoy</w:t>
      </w:r>
      <w:r>
        <w:tab/>
      </w:r>
      <w:r>
        <w:fldChar w:fldCharType="begin"/>
      </w:r>
      <w:r>
        <w:instrText xml:space="preserve"> PAGEREF _Toc443638750 \h </w:instrText>
      </w:r>
      <w:r>
        <w:fldChar w:fldCharType="separate"/>
      </w:r>
      <w:r>
        <w:t>38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Duration of, and charges for, permits</w:t>
      </w:r>
      <w:r>
        <w:tab/>
      </w:r>
      <w:r>
        <w:fldChar w:fldCharType="begin"/>
      </w:r>
      <w:r>
        <w:instrText xml:space="preserve"> PAGEREF _Toc443638751 \h </w:instrText>
      </w:r>
      <w:r>
        <w:fldChar w:fldCharType="separate"/>
      </w:r>
      <w:r>
        <w:t>38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Permit for exclusive use of berth</w:t>
      </w:r>
      <w:r>
        <w:tab/>
      </w:r>
      <w:r>
        <w:fldChar w:fldCharType="begin"/>
      </w:r>
      <w:r>
        <w:instrText xml:space="preserve"> PAGEREF _Toc443638752 \h </w:instrText>
      </w:r>
      <w:r>
        <w:fldChar w:fldCharType="separate"/>
      </w:r>
      <w:r>
        <w:t>39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Manner of mooring vessels</w:t>
      </w:r>
      <w:r>
        <w:tab/>
      </w:r>
      <w:r>
        <w:fldChar w:fldCharType="begin"/>
      </w:r>
      <w:r>
        <w:instrText xml:space="preserve"> PAGEREF _Toc443638753 \h </w:instrText>
      </w:r>
      <w:r>
        <w:fldChar w:fldCharType="separate"/>
      </w:r>
      <w:r>
        <w:t>40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Vessels not to remain at jetties longer than necessary</w:t>
      </w:r>
      <w:r>
        <w:tab/>
      </w:r>
      <w:r>
        <w:fldChar w:fldCharType="begin"/>
      </w:r>
      <w:r>
        <w:instrText xml:space="preserve"> PAGEREF _Toc443638754 \h </w:instrText>
      </w:r>
      <w:r>
        <w:fldChar w:fldCharType="separate"/>
      </w:r>
      <w:r>
        <w:t>41</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Mooring of rafts and boathouses</w:t>
      </w:r>
      <w:r>
        <w:tab/>
      </w:r>
      <w:r>
        <w:fldChar w:fldCharType="begin"/>
      </w:r>
      <w:r>
        <w:instrText xml:space="preserve"> PAGEREF _Toc443638755 \h </w:instrText>
      </w:r>
      <w:r>
        <w:fldChar w:fldCharType="separate"/>
      </w:r>
      <w:r>
        <w:t>41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Vessels to be in charge of competent person</w:t>
      </w:r>
      <w:r>
        <w:tab/>
      </w:r>
      <w:r>
        <w:fldChar w:fldCharType="begin"/>
      </w:r>
      <w:r>
        <w:instrText xml:space="preserve"> PAGEREF _Toc443638756 \h </w:instrText>
      </w:r>
      <w:r>
        <w:fldChar w:fldCharType="separate"/>
      </w:r>
      <w:r>
        <w:t>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Approaching jetties after sunset</w:t>
      </w:r>
      <w:r>
        <w:tab/>
      </w:r>
      <w:r>
        <w:fldChar w:fldCharType="begin"/>
      </w:r>
      <w:r>
        <w:instrText xml:space="preserve"> PAGEREF _Toc443638757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Loading or discharging cargo</w:t>
      </w:r>
    </w:p>
    <w:p>
      <w:pPr>
        <w:pStyle w:val="TOC8"/>
        <w:rPr>
          <w:rFonts w:asciiTheme="minorHAnsi" w:eastAsiaTheme="minorEastAsia" w:hAnsiTheme="minorHAnsi" w:cstheme="minorBidi"/>
          <w:szCs w:val="22"/>
        </w:rPr>
      </w:pPr>
      <w:r>
        <w:t>80</w:t>
      </w:r>
      <w:r>
        <w:rPr>
          <w:snapToGrid w:val="0"/>
        </w:rPr>
        <w:t>.</w:t>
      </w:r>
      <w:r>
        <w:rPr>
          <w:snapToGrid w:val="0"/>
        </w:rPr>
        <w:tab/>
        <w:t>Vessels loading or discharging</w:t>
      </w:r>
      <w:r>
        <w:tab/>
      </w:r>
      <w:r>
        <w:fldChar w:fldCharType="begin"/>
      </w:r>
      <w:r>
        <w:instrText xml:space="preserve"> PAGEREF _Toc443638759 \h </w:instrText>
      </w:r>
      <w:r>
        <w:fldChar w:fldCharType="separate"/>
      </w:r>
      <w:r>
        <w:t>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Cargo to be removed</w:t>
      </w:r>
      <w:r>
        <w:tab/>
      </w:r>
      <w:r>
        <w:fldChar w:fldCharType="begin"/>
      </w:r>
      <w:r>
        <w:instrText xml:space="preserve"> PAGEREF _Toc443638760 \h </w:instrText>
      </w:r>
      <w:r>
        <w:fldChar w:fldCharType="separate"/>
      </w:r>
      <w:r>
        <w:t>42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Cargo not to remain on jetties overnight</w:t>
      </w:r>
      <w:r>
        <w:tab/>
      </w:r>
      <w:r>
        <w:fldChar w:fldCharType="begin"/>
      </w:r>
      <w:r>
        <w:instrText xml:space="preserve"> PAGEREF _Toc443638761 \h </w:instrText>
      </w:r>
      <w:r>
        <w:fldChar w:fldCharType="separate"/>
      </w:r>
      <w:r>
        <w:t>43</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Explosives not to be handled without permission</w:t>
      </w:r>
      <w:r>
        <w:tab/>
      </w:r>
      <w:r>
        <w:fldChar w:fldCharType="begin"/>
      </w:r>
      <w:r>
        <w:instrText xml:space="preserve"> PAGEREF _Toc443638762 \h </w:instrText>
      </w:r>
      <w:r>
        <w:fldChar w:fldCharType="separate"/>
      </w:r>
      <w:r>
        <w:t>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Manner of handling cargo</w:t>
      </w:r>
      <w:r>
        <w:tab/>
      </w:r>
      <w:r>
        <w:fldChar w:fldCharType="begin"/>
      </w:r>
      <w:r>
        <w:instrText xml:space="preserve"> PAGEREF _Toc443638763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Navigation of vessels</w:t>
      </w:r>
    </w:p>
    <w:p>
      <w:pPr>
        <w:pStyle w:val="TOC8"/>
        <w:rPr>
          <w:rFonts w:asciiTheme="minorHAnsi" w:eastAsiaTheme="minorEastAsia" w:hAnsiTheme="minorHAnsi" w:cstheme="minorBidi"/>
          <w:szCs w:val="22"/>
        </w:rPr>
      </w:pPr>
      <w:r>
        <w:t>85</w:t>
      </w:r>
      <w:r>
        <w:rPr>
          <w:snapToGrid w:val="0"/>
        </w:rPr>
        <w:t>.</w:t>
      </w:r>
      <w:r>
        <w:rPr>
          <w:snapToGrid w:val="0"/>
        </w:rPr>
        <w:tab/>
        <w:t>Power vessels approaching jetties</w:t>
      </w:r>
      <w:r>
        <w:tab/>
      </w:r>
      <w:r>
        <w:fldChar w:fldCharType="begin"/>
      </w:r>
      <w:r>
        <w:instrText xml:space="preserve"> PAGEREF _Toc443638765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86</w:t>
      </w:r>
      <w:r>
        <w:rPr>
          <w:snapToGrid w:val="0"/>
        </w:rPr>
        <w:t>.</w:t>
      </w:r>
      <w:r>
        <w:rPr>
          <w:snapToGrid w:val="0"/>
        </w:rPr>
        <w:tab/>
        <w:t>Bathing from jetties</w:t>
      </w:r>
      <w:r>
        <w:tab/>
      </w:r>
      <w:r>
        <w:fldChar w:fldCharType="begin"/>
      </w:r>
      <w:r>
        <w:instrText xml:space="preserve"> PAGEREF _Toc443638767 \h </w:instrText>
      </w:r>
      <w:r>
        <w:fldChar w:fldCharType="separate"/>
      </w:r>
      <w:r>
        <w:t>44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Damage to jetties</w:t>
      </w:r>
      <w:r>
        <w:tab/>
      </w:r>
      <w:r>
        <w:fldChar w:fldCharType="begin"/>
      </w:r>
      <w:r>
        <w:instrText xml:space="preserve"> PAGEREF _Toc443638768 \h </w:instrText>
      </w:r>
      <w:r>
        <w:fldChar w:fldCharType="separate"/>
      </w:r>
      <w:r>
        <w:t>44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Fishing from certain places prohibited</w:t>
      </w:r>
      <w:r>
        <w:tab/>
      </w:r>
      <w:r>
        <w:fldChar w:fldCharType="begin"/>
      </w:r>
      <w:r>
        <w:instrText xml:space="preserve"> PAGEREF _Toc443638769 \h </w:instrText>
      </w:r>
      <w:r>
        <w:fldChar w:fldCharType="separate"/>
      </w:r>
      <w:r>
        <w:t>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Fishing nets on jetties</w:t>
      </w:r>
      <w:r>
        <w:tab/>
      </w:r>
      <w:r>
        <w:fldChar w:fldCharType="begin"/>
      </w:r>
      <w:r>
        <w:instrText xml:space="preserve"> PAGEREF _Toc443638770 \h </w:instrText>
      </w:r>
      <w:r>
        <w:fldChar w:fldCharType="separate"/>
      </w:r>
      <w:r>
        <w:t>45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Gangways to be provided</w:t>
      </w:r>
      <w:r>
        <w:tab/>
      </w:r>
      <w:r>
        <w:fldChar w:fldCharType="begin"/>
      </w:r>
      <w:r>
        <w:instrText xml:space="preserve"> PAGEREF _Toc443638771 \h </w:instrText>
      </w:r>
      <w:r>
        <w:fldChar w:fldCharType="separate"/>
      </w:r>
      <w:r>
        <w:t>45</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Interference with jetties or approaches</w:t>
      </w:r>
      <w:r>
        <w:tab/>
      </w:r>
      <w:r>
        <w:fldChar w:fldCharType="begin"/>
      </w:r>
      <w:r>
        <w:instrText xml:space="preserve"> PAGEREF _Toc443638772 \h </w:instrText>
      </w:r>
      <w:r>
        <w:fldChar w:fldCharType="separate"/>
      </w:r>
      <w:r>
        <w:t>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Lifebuoys on jetties</w:t>
      </w:r>
      <w:r>
        <w:tab/>
      </w:r>
      <w:r>
        <w:fldChar w:fldCharType="begin"/>
      </w:r>
      <w:r>
        <w:instrText xml:space="preserve"> PAGEREF _Toc443638773 \h </w:instrText>
      </w:r>
      <w:r>
        <w:fldChar w:fldCharType="separate"/>
      </w:r>
      <w:r>
        <w:t>45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Obstruction of jetties or officers</w:t>
      </w:r>
      <w:r>
        <w:tab/>
      </w:r>
      <w:r>
        <w:fldChar w:fldCharType="begin"/>
      </w:r>
      <w:r>
        <w:instrText xml:space="preserve"> PAGEREF _Toc443638774 \h </w:instrText>
      </w:r>
      <w:r>
        <w:fldChar w:fldCharType="separate"/>
      </w:r>
      <w:r>
        <w:t>45</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Rubbish not to be thrown in river etc.</w:t>
      </w:r>
      <w:r>
        <w:tab/>
      </w:r>
      <w:r>
        <w:fldChar w:fldCharType="begin"/>
      </w:r>
      <w:r>
        <w:instrText xml:space="preserve"> PAGEREF _Toc443638775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2A — Mooring and berthing other than in the Port of Perth</w:t>
      </w:r>
    </w:p>
    <w:p>
      <w:pPr>
        <w:pStyle w:val="TOC8"/>
        <w:rPr>
          <w:rFonts w:asciiTheme="minorHAnsi" w:eastAsiaTheme="minorEastAsia" w:hAnsiTheme="minorHAnsi" w:cstheme="minorBidi"/>
          <w:szCs w:val="22"/>
        </w:rPr>
      </w:pPr>
      <w:r>
        <w:t>94A.</w:t>
      </w:r>
      <w:r>
        <w:tab/>
        <w:t>Charges for pen rentals and services</w:t>
      </w:r>
      <w:r>
        <w:tab/>
      </w:r>
      <w:r>
        <w:fldChar w:fldCharType="begin"/>
      </w:r>
      <w:r>
        <w:instrText xml:space="preserve"> PAGEREF _Toc443638777 \h </w:instrText>
      </w:r>
      <w:r>
        <w:fldChar w:fldCharType="separate"/>
      </w:r>
      <w:r>
        <w:t>47</w:t>
      </w:r>
      <w:r>
        <w:fldChar w:fldCharType="end"/>
      </w:r>
    </w:p>
    <w:p>
      <w:pPr>
        <w:pStyle w:val="TOC8"/>
        <w:rPr>
          <w:rFonts w:asciiTheme="minorHAnsi" w:eastAsiaTheme="minorEastAsia" w:hAnsiTheme="minorHAnsi" w:cstheme="minorBidi"/>
          <w:szCs w:val="22"/>
        </w:rPr>
      </w:pPr>
      <w:r>
        <w:t>94B</w:t>
      </w:r>
      <w:r>
        <w:rPr>
          <w:snapToGrid w:val="0"/>
        </w:rPr>
        <w:t>.</w:t>
      </w:r>
      <w:r>
        <w:rPr>
          <w:snapToGrid w:val="0"/>
        </w:rPr>
        <w:tab/>
        <w:t>Charges for pile mooring</w:t>
      </w:r>
      <w:r>
        <w:tab/>
      </w:r>
      <w:r>
        <w:fldChar w:fldCharType="begin"/>
      </w:r>
      <w:r>
        <w:instrText xml:space="preserve"> PAGEREF _Toc443638778 \h </w:instrText>
      </w:r>
      <w:r>
        <w:fldChar w:fldCharType="separate"/>
      </w:r>
      <w:r>
        <w:t>47</w:t>
      </w:r>
      <w:r>
        <w:fldChar w:fldCharType="end"/>
      </w:r>
    </w:p>
    <w:p>
      <w:pPr>
        <w:pStyle w:val="TOC8"/>
        <w:rPr>
          <w:rFonts w:asciiTheme="minorHAnsi" w:eastAsiaTheme="minorEastAsia" w:hAnsiTheme="minorHAnsi" w:cstheme="minorBidi"/>
          <w:szCs w:val="22"/>
        </w:rPr>
      </w:pPr>
      <w:r>
        <w:t>94C</w:t>
      </w:r>
      <w:r>
        <w:rPr>
          <w:snapToGrid w:val="0"/>
        </w:rPr>
        <w:t>.</w:t>
      </w:r>
      <w:r>
        <w:rPr>
          <w:snapToGrid w:val="0"/>
        </w:rPr>
        <w:tab/>
        <w:t>Dues or charges for berthing or mooring on casual basis</w:t>
      </w:r>
      <w:r>
        <w:tab/>
      </w:r>
      <w:r>
        <w:fldChar w:fldCharType="begin"/>
      </w:r>
      <w:r>
        <w:instrText xml:space="preserve"> PAGEREF _Toc443638779 \h </w:instrText>
      </w:r>
      <w:r>
        <w:fldChar w:fldCharType="separate"/>
      </w:r>
      <w:r>
        <w:t>47</w:t>
      </w:r>
      <w:r>
        <w:fldChar w:fldCharType="end"/>
      </w:r>
    </w:p>
    <w:p>
      <w:pPr>
        <w:pStyle w:val="TOC8"/>
        <w:rPr>
          <w:rFonts w:asciiTheme="minorHAnsi" w:eastAsiaTheme="minorEastAsia" w:hAnsiTheme="minorHAnsi" w:cstheme="minorBidi"/>
          <w:szCs w:val="22"/>
        </w:rPr>
      </w:pPr>
      <w:r>
        <w:t>94D.</w:t>
      </w:r>
      <w:r>
        <w:tab/>
        <w:t>Waiving charges in emergencies</w:t>
      </w:r>
      <w:r>
        <w:tab/>
      </w:r>
      <w:r>
        <w:fldChar w:fldCharType="begin"/>
      </w:r>
      <w:r>
        <w:instrText xml:space="preserve"> PAGEREF _Toc443638780 \h </w:instrText>
      </w:r>
      <w:r>
        <w:fldChar w:fldCharType="separate"/>
      </w:r>
      <w:r>
        <w:t>48</w:t>
      </w:r>
      <w:r>
        <w:fldChar w:fldCharType="end"/>
      </w:r>
    </w:p>
    <w:p>
      <w:pPr>
        <w:pStyle w:val="TOC8"/>
        <w:rPr>
          <w:rFonts w:asciiTheme="minorHAnsi" w:eastAsiaTheme="minorEastAsia" w:hAnsiTheme="minorHAnsi" w:cstheme="minorBidi"/>
          <w:szCs w:val="22"/>
        </w:rPr>
      </w:pPr>
      <w:r>
        <w:t>94E.</w:t>
      </w:r>
      <w:r>
        <w:tab/>
        <w:t>Controlling short term use</w:t>
      </w:r>
      <w:r>
        <w:tab/>
      </w:r>
      <w:r>
        <w:fldChar w:fldCharType="begin"/>
      </w:r>
      <w:r>
        <w:instrText xml:space="preserve"> PAGEREF _Toc443638781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provisions applying at particular ports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Use of slipways</w:t>
      </w:r>
    </w:p>
    <w:p>
      <w:pPr>
        <w:pStyle w:val="TOC8"/>
        <w:rPr>
          <w:rFonts w:asciiTheme="minorHAnsi" w:eastAsiaTheme="minorEastAsia" w:hAnsiTheme="minorHAnsi" w:cstheme="minorBidi"/>
          <w:szCs w:val="22"/>
        </w:rPr>
      </w:pPr>
      <w:r>
        <w:t>95.</w:t>
      </w:r>
      <w:r>
        <w:tab/>
        <w:t>Management and control of departmental slipways</w:t>
      </w:r>
      <w:r>
        <w:tab/>
      </w:r>
      <w:r>
        <w:fldChar w:fldCharType="begin"/>
      </w:r>
      <w:r>
        <w:instrText xml:space="preserve"> PAGEREF _Toc443638784 \h </w:instrText>
      </w:r>
      <w:r>
        <w:fldChar w:fldCharType="separate"/>
      </w:r>
      <w:r>
        <w:t>49</w:t>
      </w:r>
      <w:r>
        <w:fldChar w:fldCharType="end"/>
      </w:r>
    </w:p>
    <w:p>
      <w:pPr>
        <w:pStyle w:val="TOC8"/>
        <w:rPr>
          <w:rFonts w:asciiTheme="minorHAnsi" w:eastAsiaTheme="minorEastAsia" w:hAnsiTheme="minorHAnsi" w:cstheme="minorBidi"/>
          <w:szCs w:val="22"/>
        </w:rPr>
      </w:pPr>
      <w:r>
        <w:t>95A.</w:t>
      </w:r>
      <w:r>
        <w:tab/>
        <w:t>Use of slipway</w:t>
      </w:r>
      <w:r>
        <w:tab/>
      </w:r>
      <w:r>
        <w:fldChar w:fldCharType="begin"/>
      </w:r>
      <w:r>
        <w:instrText xml:space="preserve"> PAGEREF _Toc443638785 \h </w:instrText>
      </w:r>
      <w:r>
        <w:fldChar w:fldCharType="separate"/>
      </w:r>
      <w:r>
        <w:t>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Charges for use of slipway</w:t>
      </w:r>
      <w:r>
        <w:tab/>
      </w:r>
      <w:r>
        <w:fldChar w:fldCharType="begin"/>
      </w:r>
      <w:r>
        <w:instrText xml:space="preserve"> PAGEREF _Toc443638786 \h </w:instrText>
      </w:r>
      <w:r>
        <w:fldChar w:fldCharType="separate"/>
      </w:r>
      <w:r>
        <w:t>49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Government vessels may take precedence</w:t>
      </w:r>
      <w:r>
        <w:tab/>
      </w:r>
      <w:r>
        <w:fldChar w:fldCharType="begin"/>
      </w:r>
      <w:r>
        <w:instrText xml:space="preserve"> PAGEREF _Toc443638787 \h </w:instrText>
      </w:r>
      <w:r>
        <w:fldChar w:fldCharType="separate"/>
      </w:r>
      <w:r>
        <w:t>50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Vessels may forfeit their turn</w:t>
      </w:r>
      <w:r>
        <w:tab/>
      </w:r>
      <w:r>
        <w:fldChar w:fldCharType="begin"/>
      </w:r>
      <w:r>
        <w:instrText xml:space="preserve"> PAGEREF _Toc443638788 \h </w:instrText>
      </w:r>
      <w:r>
        <w:fldChar w:fldCharType="separate"/>
      </w:r>
      <w:r>
        <w:t>50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Department will not undertake repairs etc.</w:t>
      </w:r>
      <w:r>
        <w:tab/>
      </w:r>
      <w:r>
        <w:fldChar w:fldCharType="begin"/>
      </w:r>
      <w:r>
        <w:instrText xml:space="preserve"> PAGEREF _Toc443638789 \h </w:instrText>
      </w:r>
      <w:r>
        <w:fldChar w:fldCharType="separate"/>
      </w:r>
      <w:r>
        <w:t>50</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Department not responsible for damage to vessel when in use of slip</w:t>
      </w:r>
      <w:r>
        <w:tab/>
      </w:r>
      <w:r>
        <w:fldChar w:fldCharType="begin"/>
      </w:r>
      <w:r>
        <w:instrText xml:space="preserve"> PAGEREF _Toc443638790 \h </w:instrText>
      </w:r>
      <w:r>
        <w:fldChar w:fldCharType="separate"/>
      </w:r>
      <w:r>
        <w:t>51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Duties of owner or master using slipway</w:t>
      </w:r>
      <w:r>
        <w:tab/>
      </w:r>
      <w:r>
        <w:fldChar w:fldCharType="begin"/>
      </w:r>
      <w:r>
        <w:instrText xml:space="preserve"> PAGEREF _Toc443638791 \h </w:instrText>
      </w:r>
      <w:r>
        <w:fldChar w:fldCharType="separate"/>
      </w:r>
      <w:r>
        <w:t>51</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Slipping of more than one vessel at a time</w:t>
      </w:r>
      <w:r>
        <w:tab/>
      </w:r>
      <w:r>
        <w:fldChar w:fldCharType="begin"/>
      </w:r>
      <w:r>
        <w:instrText xml:space="preserve"> PAGEREF _Toc443638792 \h </w:instrText>
      </w:r>
      <w:r>
        <w:fldChar w:fldCharType="separate"/>
      </w:r>
      <w:r>
        <w:t>51</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Dispute procedure</w:t>
      </w:r>
      <w:r>
        <w:tab/>
      </w:r>
      <w:r>
        <w:fldChar w:fldCharType="begin"/>
      </w:r>
      <w:r>
        <w:instrText xml:space="preserve"> PAGEREF _Toc443638793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mooring springs</w:t>
      </w:r>
    </w:p>
    <w:p>
      <w:pPr>
        <w:pStyle w:val="TOC8"/>
        <w:rPr>
          <w:rFonts w:asciiTheme="minorHAnsi" w:eastAsiaTheme="minorEastAsia" w:hAnsiTheme="minorHAnsi" w:cstheme="minorBidi"/>
          <w:szCs w:val="22"/>
        </w:rPr>
      </w:pPr>
      <w:r>
        <w:t>105F</w:t>
      </w:r>
      <w:r>
        <w:rPr>
          <w:snapToGrid w:val="0"/>
        </w:rPr>
        <w:t>.</w:t>
      </w:r>
      <w:r>
        <w:rPr>
          <w:snapToGrid w:val="0"/>
        </w:rPr>
        <w:tab/>
        <w:t>Approaching bollard or jetty to which mooring spring or rope fastened</w:t>
      </w:r>
      <w:r>
        <w:tab/>
      </w:r>
      <w:r>
        <w:fldChar w:fldCharType="begin"/>
      </w:r>
      <w:r>
        <w:instrText xml:space="preserve"> PAGEREF _Toc443638795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Use of weighbridges at Wyndham</w:t>
      </w:r>
    </w:p>
    <w:p>
      <w:pPr>
        <w:pStyle w:val="TOC8"/>
        <w:rPr>
          <w:rFonts w:asciiTheme="minorHAnsi" w:eastAsiaTheme="minorEastAsia" w:hAnsiTheme="minorHAnsi" w:cstheme="minorBidi"/>
          <w:szCs w:val="22"/>
        </w:rPr>
      </w:pPr>
      <w:r>
        <w:t>105I</w:t>
      </w:r>
      <w:r>
        <w:rPr>
          <w:snapToGrid w:val="0"/>
        </w:rPr>
        <w:t>.</w:t>
      </w:r>
      <w:r>
        <w:rPr>
          <w:snapToGrid w:val="0"/>
        </w:rPr>
        <w:tab/>
        <w:t>Weighbridge charges</w:t>
      </w:r>
      <w:r>
        <w:tab/>
      </w:r>
      <w:r>
        <w:fldChar w:fldCharType="begin"/>
      </w:r>
      <w:r>
        <w:instrText xml:space="preserve"> PAGEREF _Toc443638797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Breach of regulations and penalties</w:t>
      </w:r>
    </w:p>
    <w:p>
      <w:pPr>
        <w:pStyle w:val="TOC8"/>
        <w:rPr>
          <w:rFonts w:asciiTheme="minorHAnsi" w:eastAsiaTheme="minorEastAsia" w:hAnsiTheme="minorHAnsi" w:cstheme="minorBidi"/>
          <w:szCs w:val="22"/>
        </w:rPr>
      </w:pPr>
      <w:r>
        <w:t>106</w:t>
      </w:r>
      <w:r>
        <w:rPr>
          <w:snapToGrid w:val="0"/>
        </w:rPr>
        <w:t>.</w:t>
      </w:r>
      <w:r>
        <w:rPr>
          <w:snapToGrid w:val="0"/>
        </w:rPr>
        <w:tab/>
        <w:t>Powers of officer of Department</w:t>
      </w:r>
      <w:r>
        <w:tab/>
      </w:r>
      <w:r>
        <w:fldChar w:fldCharType="begin"/>
      </w:r>
      <w:r>
        <w:instrText xml:space="preserve"> PAGEREF _Toc443638799 \h </w:instrText>
      </w:r>
      <w:r>
        <w:fldChar w:fldCharType="separate"/>
      </w:r>
      <w:r>
        <w:t>54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Recovery of expenses incurred by breaches of regulations</w:t>
      </w:r>
      <w:r>
        <w:tab/>
      </w:r>
      <w:r>
        <w:fldChar w:fldCharType="begin"/>
      </w:r>
      <w:r>
        <w:instrText xml:space="preserve"> PAGEREF _Toc443638800 \h </w:instrText>
      </w:r>
      <w:r>
        <w:fldChar w:fldCharType="separate"/>
      </w:r>
      <w:r>
        <w:t>54</w:t>
      </w:r>
      <w:r>
        <w:fldChar w:fldCharType="end"/>
      </w:r>
    </w:p>
    <w:p>
      <w:pPr>
        <w:pStyle w:val="TOC8"/>
        <w:rPr>
          <w:rFonts w:asciiTheme="minorHAnsi" w:eastAsiaTheme="minorEastAsia" w:hAnsiTheme="minorHAnsi" w:cstheme="minorBidi"/>
          <w:szCs w:val="22"/>
        </w:rPr>
      </w:pPr>
      <w:r>
        <w:t>107A</w:t>
      </w:r>
      <w:r>
        <w:rPr>
          <w:snapToGrid w:val="0"/>
        </w:rPr>
        <w:t>.</w:t>
      </w:r>
      <w:r>
        <w:rPr>
          <w:snapToGrid w:val="0"/>
        </w:rPr>
        <w:tab/>
        <w:t>Police have authority to enforce regulations</w:t>
      </w:r>
      <w:r>
        <w:tab/>
      </w:r>
      <w:r>
        <w:fldChar w:fldCharType="begin"/>
      </w:r>
      <w:r>
        <w:instrText xml:space="preserve"> PAGEREF _Toc443638801 \h </w:instrText>
      </w:r>
      <w:r>
        <w:fldChar w:fldCharType="separate"/>
      </w:r>
      <w:r>
        <w:t>54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Penalty for offences</w:t>
      </w:r>
      <w:r>
        <w:tab/>
      </w:r>
      <w:r>
        <w:fldChar w:fldCharType="begin"/>
      </w:r>
      <w:r>
        <w:instrText xml:space="preserve"> PAGEREF _Toc443638802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Dues and charges generally</w:t>
      </w:r>
    </w:p>
    <w:p>
      <w:pPr>
        <w:pStyle w:val="TOC4"/>
        <w:tabs>
          <w:tab w:val="right" w:leader="dot" w:pos="7077"/>
        </w:tabs>
        <w:rPr>
          <w:rFonts w:asciiTheme="minorHAnsi" w:eastAsiaTheme="minorEastAsia" w:hAnsiTheme="minorHAnsi" w:cstheme="minorBidi"/>
          <w:b w:val="0"/>
          <w:szCs w:val="22"/>
        </w:rPr>
      </w:pPr>
      <w:r>
        <w:t>Division 1A</w:t>
      </w:r>
      <w:r>
        <w:rPr>
          <w:b w:val="0"/>
        </w:rPr>
        <w:t> — </w:t>
      </w:r>
      <w:r>
        <w:t>Standard rates</w:t>
      </w:r>
    </w:p>
    <w:p>
      <w:pPr>
        <w:pStyle w:val="TOC8"/>
        <w:rPr>
          <w:rFonts w:asciiTheme="minorHAnsi" w:eastAsiaTheme="minorEastAsia" w:hAnsiTheme="minorHAnsi" w:cstheme="minorBidi"/>
          <w:szCs w:val="22"/>
        </w:rPr>
      </w:pPr>
      <w:r>
        <w:t>1A.</w:t>
      </w:r>
      <w:r>
        <w:tab/>
        <w:t>Standard rates for this Schedule</w:t>
      </w:r>
      <w:r>
        <w:tab/>
      </w:r>
      <w:r>
        <w:fldChar w:fldCharType="begin"/>
      </w:r>
      <w:r>
        <w:instrText xml:space="preserve"> PAGEREF _Toc443638805 \h </w:instrText>
      </w:r>
      <w:r>
        <w:fldChar w:fldCharType="separate"/>
      </w:r>
      <w:r>
        <w:t>56</w:t>
      </w:r>
      <w:r>
        <w:fldChar w:fldCharType="end"/>
      </w:r>
    </w:p>
    <w:p>
      <w:pPr>
        <w:pStyle w:val="TOC8"/>
        <w:rPr>
          <w:rFonts w:asciiTheme="minorHAnsi" w:eastAsiaTheme="minorEastAsia" w:hAnsiTheme="minorHAnsi" w:cstheme="minorBidi"/>
          <w:szCs w:val="22"/>
        </w:rPr>
      </w:pPr>
      <w:r>
        <w:t>1B.</w:t>
      </w:r>
      <w:r>
        <w:tab/>
        <w:t>Transferability of annual payments</w:t>
      </w:r>
      <w:r>
        <w:tab/>
      </w:r>
      <w:r>
        <w:fldChar w:fldCharType="begin"/>
      </w:r>
      <w:r>
        <w:instrText xml:space="preserve"> PAGEREF _Toc443638806 \h </w:instrText>
      </w:r>
      <w:r>
        <w:fldChar w:fldCharType="separate"/>
      </w:r>
      <w:r>
        <w:t>56</w:t>
      </w:r>
      <w:r>
        <w:fldChar w:fldCharType="end"/>
      </w:r>
    </w:p>
    <w:p>
      <w:pPr>
        <w:pStyle w:val="TOC8"/>
        <w:rPr>
          <w:rFonts w:asciiTheme="minorHAnsi" w:eastAsiaTheme="minorEastAsia" w:hAnsiTheme="minorHAnsi" w:cstheme="minorBidi"/>
          <w:szCs w:val="22"/>
        </w:rPr>
      </w:pPr>
      <w:r>
        <w:t>1C.</w:t>
      </w:r>
      <w:r>
        <w:tab/>
        <w:t>Service wharf or jetty entitlements</w:t>
      </w:r>
      <w:r>
        <w:tab/>
      </w:r>
      <w:r>
        <w:fldChar w:fldCharType="begin"/>
      </w:r>
      <w:r>
        <w:instrText xml:space="preserve"> PAGEREF _Toc443638807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Specified places</w:t>
      </w:r>
    </w:p>
    <w:p>
      <w:pPr>
        <w:pStyle w:val="TOC8"/>
        <w:rPr>
          <w:rFonts w:asciiTheme="minorHAnsi" w:eastAsiaTheme="minorEastAsia" w:hAnsiTheme="minorHAnsi" w:cstheme="minorBidi"/>
          <w:szCs w:val="22"/>
        </w:rPr>
      </w:pPr>
      <w:r>
        <w:t>1.</w:t>
      </w:r>
      <w:r>
        <w:tab/>
        <w:t>Albany, Albany Waterfront Marina</w:t>
      </w:r>
      <w:r>
        <w:tab/>
      </w:r>
      <w:r>
        <w:fldChar w:fldCharType="begin"/>
      </w:r>
      <w:r>
        <w:instrText xml:space="preserve"> PAGEREF _Toc443638809 \h </w:instrText>
      </w:r>
      <w:r>
        <w:fldChar w:fldCharType="separate"/>
      </w:r>
      <w:r>
        <w:t>57</w:t>
      </w:r>
      <w:r>
        <w:fldChar w:fldCharType="end"/>
      </w:r>
    </w:p>
    <w:p>
      <w:pPr>
        <w:pStyle w:val="TOC8"/>
        <w:rPr>
          <w:rFonts w:asciiTheme="minorHAnsi" w:eastAsiaTheme="minorEastAsia" w:hAnsiTheme="minorHAnsi" w:cstheme="minorBidi"/>
          <w:szCs w:val="22"/>
        </w:rPr>
      </w:pPr>
      <w:r>
        <w:t>2.</w:t>
      </w:r>
      <w:r>
        <w:tab/>
        <w:t>Albany, Emu Point Boat Harbour</w:t>
      </w:r>
      <w:r>
        <w:tab/>
      </w:r>
      <w:r>
        <w:fldChar w:fldCharType="begin"/>
      </w:r>
      <w:r>
        <w:instrText xml:space="preserve"> PAGEREF _Toc443638810 \h </w:instrText>
      </w:r>
      <w:r>
        <w:fldChar w:fldCharType="separate"/>
      </w:r>
      <w:r>
        <w:t>58</w:t>
      </w:r>
      <w:r>
        <w:fldChar w:fldCharType="end"/>
      </w:r>
    </w:p>
    <w:p>
      <w:pPr>
        <w:pStyle w:val="TOC8"/>
        <w:rPr>
          <w:rFonts w:asciiTheme="minorHAnsi" w:eastAsiaTheme="minorEastAsia" w:hAnsiTheme="minorHAnsi" w:cstheme="minorBidi"/>
          <w:szCs w:val="22"/>
        </w:rPr>
      </w:pPr>
      <w:r>
        <w:t>3.</w:t>
      </w:r>
      <w:r>
        <w:tab/>
        <w:t>Augusta Boat Harbour</w:t>
      </w:r>
      <w:r>
        <w:tab/>
      </w:r>
      <w:r>
        <w:fldChar w:fldCharType="begin"/>
      </w:r>
      <w:r>
        <w:instrText xml:space="preserve"> PAGEREF _Toc443638811 \h </w:instrText>
      </w:r>
      <w:r>
        <w:fldChar w:fldCharType="separate"/>
      </w:r>
      <w:r>
        <w:t>59</w:t>
      </w:r>
      <w:r>
        <w:fldChar w:fldCharType="end"/>
      </w:r>
    </w:p>
    <w:p>
      <w:pPr>
        <w:pStyle w:val="TOC8"/>
        <w:rPr>
          <w:rFonts w:asciiTheme="minorHAnsi" w:eastAsiaTheme="minorEastAsia" w:hAnsiTheme="minorHAnsi" w:cstheme="minorBidi"/>
          <w:szCs w:val="22"/>
        </w:rPr>
      </w:pPr>
      <w:r>
        <w:t>4.</w:t>
      </w:r>
      <w:r>
        <w:tab/>
        <w:t>Augusta (Ellis Street) Maritime Facility</w:t>
      </w:r>
      <w:r>
        <w:tab/>
      </w:r>
      <w:r>
        <w:fldChar w:fldCharType="begin"/>
      </w:r>
      <w:r>
        <w:instrText xml:space="preserve"> PAGEREF _Toc443638812 \h </w:instrText>
      </w:r>
      <w:r>
        <w:fldChar w:fldCharType="separate"/>
      </w:r>
      <w:r>
        <w:t>59</w:t>
      </w:r>
      <w:r>
        <w:fldChar w:fldCharType="end"/>
      </w:r>
    </w:p>
    <w:p>
      <w:pPr>
        <w:pStyle w:val="TOC8"/>
        <w:rPr>
          <w:rFonts w:asciiTheme="minorHAnsi" w:eastAsiaTheme="minorEastAsia" w:hAnsiTheme="minorHAnsi" w:cstheme="minorBidi"/>
          <w:szCs w:val="22"/>
        </w:rPr>
      </w:pPr>
      <w:r>
        <w:t>5.</w:t>
      </w:r>
      <w:r>
        <w:tab/>
        <w:t>Bremer Bay</w:t>
      </w:r>
      <w:r>
        <w:tab/>
      </w:r>
      <w:r>
        <w:fldChar w:fldCharType="begin"/>
      </w:r>
      <w:r>
        <w:instrText xml:space="preserve"> PAGEREF _Toc443638813 \h </w:instrText>
      </w:r>
      <w:r>
        <w:fldChar w:fldCharType="separate"/>
      </w:r>
      <w:r>
        <w:t>60</w:t>
      </w:r>
      <w:r>
        <w:fldChar w:fldCharType="end"/>
      </w:r>
    </w:p>
    <w:p>
      <w:pPr>
        <w:pStyle w:val="TOC8"/>
        <w:rPr>
          <w:rFonts w:asciiTheme="minorHAnsi" w:eastAsiaTheme="minorEastAsia" w:hAnsiTheme="minorHAnsi" w:cstheme="minorBidi"/>
          <w:szCs w:val="22"/>
        </w:rPr>
      </w:pPr>
      <w:r>
        <w:t>6.</w:t>
      </w:r>
      <w:r>
        <w:tab/>
        <w:t>Bunbury, Casuarina Boat Harbour</w:t>
      </w:r>
      <w:r>
        <w:tab/>
      </w:r>
      <w:r>
        <w:fldChar w:fldCharType="begin"/>
      </w:r>
      <w:r>
        <w:instrText xml:space="preserve"> PAGEREF _Toc443638814 \h </w:instrText>
      </w:r>
      <w:r>
        <w:fldChar w:fldCharType="separate"/>
      </w:r>
      <w:r>
        <w:t>61</w:t>
      </w:r>
      <w:r>
        <w:fldChar w:fldCharType="end"/>
      </w:r>
    </w:p>
    <w:p>
      <w:pPr>
        <w:pStyle w:val="TOC8"/>
        <w:rPr>
          <w:rFonts w:asciiTheme="minorHAnsi" w:eastAsiaTheme="minorEastAsia" w:hAnsiTheme="minorHAnsi" w:cstheme="minorBidi"/>
          <w:szCs w:val="22"/>
        </w:rPr>
      </w:pPr>
      <w:r>
        <w:t>7.</w:t>
      </w:r>
      <w:r>
        <w:tab/>
        <w:t>Carnarvon Boat Harbour</w:t>
      </w:r>
      <w:r>
        <w:tab/>
      </w:r>
      <w:r>
        <w:fldChar w:fldCharType="begin"/>
      </w:r>
      <w:r>
        <w:instrText xml:space="preserve"> PAGEREF _Toc443638815 \h </w:instrText>
      </w:r>
      <w:r>
        <w:fldChar w:fldCharType="separate"/>
      </w:r>
      <w:r>
        <w:t>62</w:t>
      </w:r>
      <w:r>
        <w:fldChar w:fldCharType="end"/>
      </w:r>
    </w:p>
    <w:p>
      <w:pPr>
        <w:pStyle w:val="TOC8"/>
        <w:rPr>
          <w:rFonts w:asciiTheme="minorHAnsi" w:eastAsiaTheme="minorEastAsia" w:hAnsiTheme="minorHAnsi" w:cstheme="minorBidi"/>
          <w:szCs w:val="22"/>
        </w:rPr>
      </w:pPr>
      <w:r>
        <w:t>8.</w:t>
      </w:r>
      <w:r>
        <w:tab/>
        <w:t>Cervantes</w:t>
      </w:r>
      <w:r>
        <w:tab/>
      </w:r>
      <w:r>
        <w:fldChar w:fldCharType="begin"/>
      </w:r>
      <w:r>
        <w:instrText xml:space="preserve"> PAGEREF _Toc443638816 \h </w:instrText>
      </w:r>
      <w:r>
        <w:fldChar w:fldCharType="separate"/>
      </w:r>
      <w:r>
        <w:t>63</w:t>
      </w:r>
      <w:r>
        <w:fldChar w:fldCharType="end"/>
      </w:r>
    </w:p>
    <w:p>
      <w:pPr>
        <w:pStyle w:val="TOC8"/>
        <w:rPr>
          <w:rFonts w:asciiTheme="minorHAnsi" w:eastAsiaTheme="minorEastAsia" w:hAnsiTheme="minorHAnsi" w:cstheme="minorBidi"/>
          <w:szCs w:val="22"/>
        </w:rPr>
      </w:pPr>
      <w:r>
        <w:t>9.</w:t>
      </w:r>
      <w:r>
        <w:tab/>
        <w:t>Coral Bay Maritime Facility</w:t>
      </w:r>
      <w:r>
        <w:tab/>
      </w:r>
      <w:r>
        <w:fldChar w:fldCharType="begin"/>
      </w:r>
      <w:r>
        <w:instrText xml:space="preserve"> PAGEREF _Toc443638817 \h </w:instrText>
      </w:r>
      <w:r>
        <w:fldChar w:fldCharType="separate"/>
      </w:r>
      <w:r>
        <w:t>64</w:t>
      </w:r>
      <w:r>
        <w:fldChar w:fldCharType="end"/>
      </w:r>
    </w:p>
    <w:p>
      <w:pPr>
        <w:pStyle w:val="TOC8"/>
        <w:rPr>
          <w:rFonts w:asciiTheme="minorHAnsi" w:eastAsiaTheme="minorEastAsia" w:hAnsiTheme="minorHAnsi" w:cstheme="minorBidi"/>
          <w:szCs w:val="22"/>
        </w:rPr>
      </w:pPr>
      <w:r>
        <w:t>10.</w:t>
      </w:r>
      <w:r>
        <w:tab/>
        <w:t>Denham Maritime Facility</w:t>
      </w:r>
      <w:r>
        <w:tab/>
      </w:r>
      <w:r>
        <w:fldChar w:fldCharType="begin"/>
      </w:r>
      <w:r>
        <w:instrText xml:space="preserve"> PAGEREF _Toc443638818 \h </w:instrText>
      </w:r>
      <w:r>
        <w:fldChar w:fldCharType="separate"/>
      </w:r>
      <w:r>
        <w:t>64</w:t>
      </w:r>
      <w:r>
        <w:fldChar w:fldCharType="end"/>
      </w:r>
    </w:p>
    <w:p>
      <w:pPr>
        <w:pStyle w:val="TOC8"/>
        <w:rPr>
          <w:rFonts w:asciiTheme="minorHAnsi" w:eastAsiaTheme="minorEastAsia" w:hAnsiTheme="minorHAnsi" w:cstheme="minorBidi"/>
          <w:szCs w:val="22"/>
        </w:rPr>
      </w:pPr>
      <w:r>
        <w:t>11.</w:t>
      </w:r>
      <w:r>
        <w:tab/>
        <w:t>Esperance, Bandy Creek Boat Harbour</w:t>
      </w:r>
      <w:r>
        <w:tab/>
      </w:r>
      <w:r>
        <w:fldChar w:fldCharType="begin"/>
      </w:r>
      <w:r>
        <w:instrText xml:space="preserve"> PAGEREF _Toc443638819 \h </w:instrText>
      </w:r>
      <w:r>
        <w:fldChar w:fldCharType="separate"/>
      </w:r>
      <w:r>
        <w:t>65</w:t>
      </w:r>
      <w:r>
        <w:fldChar w:fldCharType="end"/>
      </w:r>
    </w:p>
    <w:p>
      <w:pPr>
        <w:pStyle w:val="TOC8"/>
        <w:rPr>
          <w:rFonts w:asciiTheme="minorHAnsi" w:eastAsiaTheme="minorEastAsia" w:hAnsiTheme="minorHAnsi" w:cstheme="minorBidi"/>
          <w:szCs w:val="22"/>
        </w:rPr>
      </w:pPr>
      <w:r>
        <w:t>12.</w:t>
      </w:r>
      <w:r>
        <w:tab/>
        <w:t>Exmouth</w:t>
      </w:r>
      <w:r>
        <w:tab/>
      </w:r>
      <w:r>
        <w:fldChar w:fldCharType="begin"/>
      </w:r>
      <w:r>
        <w:instrText xml:space="preserve"> PAGEREF _Toc443638820 \h </w:instrText>
      </w:r>
      <w:r>
        <w:fldChar w:fldCharType="separate"/>
      </w:r>
      <w:r>
        <w:t>66</w:t>
      </w:r>
      <w:r>
        <w:fldChar w:fldCharType="end"/>
      </w:r>
    </w:p>
    <w:p>
      <w:pPr>
        <w:pStyle w:val="TOC8"/>
        <w:rPr>
          <w:rFonts w:asciiTheme="minorHAnsi" w:eastAsiaTheme="minorEastAsia" w:hAnsiTheme="minorHAnsi" w:cstheme="minorBidi"/>
          <w:szCs w:val="22"/>
        </w:rPr>
      </w:pPr>
      <w:r>
        <w:t>13.</w:t>
      </w:r>
      <w:r>
        <w:tab/>
        <w:t>Fremantle Fishing Boat Harbour</w:t>
      </w:r>
      <w:r>
        <w:tab/>
      </w:r>
      <w:r>
        <w:fldChar w:fldCharType="begin"/>
      </w:r>
      <w:r>
        <w:instrText xml:space="preserve"> PAGEREF _Toc443638821 \h </w:instrText>
      </w:r>
      <w:r>
        <w:fldChar w:fldCharType="separate"/>
      </w:r>
      <w:r>
        <w:t>69</w:t>
      </w:r>
      <w:r>
        <w:fldChar w:fldCharType="end"/>
      </w:r>
    </w:p>
    <w:p>
      <w:pPr>
        <w:pStyle w:val="TOC8"/>
        <w:rPr>
          <w:rFonts w:asciiTheme="minorHAnsi" w:eastAsiaTheme="minorEastAsia" w:hAnsiTheme="minorHAnsi" w:cstheme="minorBidi"/>
          <w:szCs w:val="22"/>
        </w:rPr>
      </w:pPr>
      <w:r>
        <w:t>14.</w:t>
      </w:r>
      <w:r>
        <w:tab/>
        <w:t>Geraldton, Batavia Coast Boat Harbour</w:t>
      </w:r>
      <w:r>
        <w:tab/>
      </w:r>
      <w:r>
        <w:fldChar w:fldCharType="begin"/>
      </w:r>
      <w:r>
        <w:instrText xml:space="preserve"> PAGEREF _Toc443638822 \h </w:instrText>
      </w:r>
      <w:r>
        <w:fldChar w:fldCharType="separate"/>
      </w:r>
      <w:r>
        <w:t>71</w:t>
      </w:r>
      <w:r>
        <w:fldChar w:fldCharType="end"/>
      </w:r>
    </w:p>
    <w:p>
      <w:pPr>
        <w:pStyle w:val="TOC8"/>
        <w:rPr>
          <w:rFonts w:asciiTheme="minorHAnsi" w:eastAsiaTheme="minorEastAsia" w:hAnsiTheme="minorHAnsi" w:cstheme="minorBidi"/>
          <w:szCs w:val="22"/>
        </w:rPr>
      </w:pPr>
      <w:r>
        <w:t>15.</w:t>
      </w:r>
      <w:r>
        <w:tab/>
        <w:t>Green Head</w:t>
      </w:r>
      <w:r>
        <w:tab/>
      </w:r>
      <w:r>
        <w:fldChar w:fldCharType="begin"/>
      </w:r>
      <w:r>
        <w:instrText xml:space="preserve"> PAGEREF _Toc443638823 \h </w:instrText>
      </w:r>
      <w:r>
        <w:fldChar w:fldCharType="separate"/>
      </w:r>
      <w:r>
        <w:t>71</w:t>
      </w:r>
      <w:r>
        <w:fldChar w:fldCharType="end"/>
      </w:r>
    </w:p>
    <w:p>
      <w:pPr>
        <w:pStyle w:val="TOC8"/>
        <w:rPr>
          <w:rFonts w:asciiTheme="minorHAnsi" w:eastAsiaTheme="minorEastAsia" w:hAnsiTheme="minorHAnsi" w:cstheme="minorBidi"/>
          <w:szCs w:val="22"/>
        </w:rPr>
      </w:pPr>
      <w:r>
        <w:t>16.</w:t>
      </w:r>
      <w:r>
        <w:tab/>
        <w:t>Hopetoun</w:t>
      </w:r>
      <w:r>
        <w:tab/>
      </w:r>
      <w:r>
        <w:fldChar w:fldCharType="begin"/>
      </w:r>
      <w:r>
        <w:instrText xml:space="preserve"> PAGEREF _Toc443638824 \h </w:instrText>
      </w:r>
      <w:r>
        <w:fldChar w:fldCharType="separate"/>
      </w:r>
      <w:r>
        <w:t>72</w:t>
      </w:r>
      <w:r>
        <w:fldChar w:fldCharType="end"/>
      </w:r>
    </w:p>
    <w:p>
      <w:pPr>
        <w:pStyle w:val="TOC8"/>
        <w:rPr>
          <w:rFonts w:asciiTheme="minorHAnsi" w:eastAsiaTheme="minorEastAsia" w:hAnsiTheme="minorHAnsi" w:cstheme="minorBidi"/>
          <w:szCs w:val="22"/>
        </w:rPr>
      </w:pPr>
      <w:r>
        <w:t>17.</w:t>
      </w:r>
      <w:r>
        <w:tab/>
        <w:t>Jurien Boat Harbour</w:t>
      </w:r>
      <w:r>
        <w:tab/>
      </w:r>
      <w:r>
        <w:fldChar w:fldCharType="begin"/>
      </w:r>
      <w:r>
        <w:instrText xml:space="preserve"> PAGEREF _Toc443638825 \h </w:instrText>
      </w:r>
      <w:r>
        <w:fldChar w:fldCharType="separate"/>
      </w:r>
      <w:r>
        <w:t>73</w:t>
      </w:r>
      <w:r>
        <w:fldChar w:fldCharType="end"/>
      </w:r>
    </w:p>
    <w:p>
      <w:pPr>
        <w:pStyle w:val="TOC8"/>
        <w:rPr>
          <w:rFonts w:asciiTheme="minorHAnsi" w:eastAsiaTheme="minorEastAsia" w:hAnsiTheme="minorHAnsi" w:cstheme="minorBidi"/>
          <w:szCs w:val="22"/>
        </w:rPr>
      </w:pPr>
      <w:r>
        <w:t>18.</w:t>
      </w:r>
      <w:r>
        <w:tab/>
        <w:t>Kalbarri Boat Harbour</w:t>
      </w:r>
      <w:r>
        <w:tab/>
      </w:r>
      <w:r>
        <w:fldChar w:fldCharType="begin"/>
      </w:r>
      <w:r>
        <w:instrText xml:space="preserve"> PAGEREF _Toc443638826 \h </w:instrText>
      </w:r>
      <w:r>
        <w:fldChar w:fldCharType="separate"/>
      </w:r>
      <w:r>
        <w:t>73</w:t>
      </w:r>
      <w:r>
        <w:fldChar w:fldCharType="end"/>
      </w:r>
    </w:p>
    <w:p>
      <w:pPr>
        <w:pStyle w:val="TOC8"/>
        <w:rPr>
          <w:rFonts w:asciiTheme="minorHAnsi" w:eastAsiaTheme="minorEastAsia" w:hAnsiTheme="minorHAnsi" w:cstheme="minorBidi"/>
          <w:szCs w:val="22"/>
        </w:rPr>
      </w:pPr>
      <w:r>
        <w:t>19.</w:t>
      </w:r>
      <w:r>
        <w:tab/>
        <w:t>Lancelin</w:t>
      </w:r>
      <w:r>
        <w:tab/>
      </w:r>
      <w:r>
        <w:fldChar w:fldCharType="begin"/>
      </w:r>
      <w:r>
        <w:instrText xml:space="preserve"> PAGEREF _Toc443638827 \h </w:instrText>
      </w:r>
      <w:r>
        <w:fldChar w:fldCharType="separate"/>
      </w:r>
      <w:r>
        <w:t>74</w:t>
      </w:r>
      <w:r>
        <w:fldChar w:fldCharType="end"/>
      </w:r>
    </w:p>
    <w:p>
      <w:pPr>
        <w:pStyle w:val="TOC8"/>
        <w:rPr>
          <w:rFonts w:asciiTheme="minorHAnsi" w:eastAsiaTheme="minorEastAsia" w:hAnsiTheme="minorHAnsi" w:cstheme="minorBidi"/>
          <w:szCs w:val="22"/>
        </w:rPr>
      </w:pPr>
      <w:r>
        <w:t>20.</w:t>
      </w:r>
      <w:r>
        <w:tab/>
        <w:t>Leeman</w:t>
      </w:r>
      <w:r>
        <w:tab/>
      </w:r>
      <w:r>
        <w:fldChar w:fldCharType="begin"/>
      </w:r>
      <w:r>
        <w:instrText xml:space="preserve"> PAGEREF _Toc443638828 \h </w:instrText>
      </w:r>
      <w:r>
        <w:fldChar w:fldCharType="separate"/>
      </w:r>
      <w:r>
        <w:t>75</w:t>
      </w:r>
      <w:r>
        <w:fldChar w:fldCharType="end"/>
      </w:r>
    </w:p>
    <w:p>
      <w:pPr>
        <w:pStyle w:val="TOC8"/>
        <w:rPr>
          <w:rFonts w:asciiTheme="minorHAnsi" w:eastAsiaTheme="minorEastAsia" w:hAnsiTheme="minorHAnsi" w:cstheme="minorBidi"/>
          <w:szCs w:val="22"/>
        </w:rPr>
      </w:pPr>
      <w:r>
        <w:t>21.</w:t>
      </w:r>
      <w:r>
        <w:tab/>
        <w:t>Onslow, Beadon Creek Boat Harbour</w:t>
      </w:r>
      <w:r>
        <w:tab/>
      </w:r>
      <w:r>
        <w:fldChar w:fldCharType="begin"/>
      </w:r>
      <w:r>
        <w:instrText xml:space="preserve"> PAGEREF _Toc443638829 \h </w:instrText>
      </w:r>
      <w:r>
        <w:fldChar w:fldCharType="separate"/>
      </w:r>
      <w:r>
        <w:t>76</w:t>
      </w:r>
      <w:r>
        <w:fldChar w:fldCharType="end"/>
      </w:r>
    </w:p>
    <w:p>
      <w:pPr>
        <w:pStyle w:val="TOC8"/>
        <w:rPr>
          <w:rFonts w:asciiTheme="minorHAnsi" w:eastAsiaTheme="minorEastAsia" w:hAnsiTheme="minorHAnsi" w:cstheme="minorBidi"/>
          <w:szCs w:val="22"/>
        </w:rPr>
      </w:pPr>
      <w:r>
        <w:t>22.</w:t>
      </w:r>
      <w:r>
        <w:tab/>
        <w:t>Point Samson, Johns Creek Boat Harbour</w:t>
      </w:r>
      <w:r>
        <w:tab/>
      </w:r>
      <w:r>
        <w:fldChar w:fldCharType="begin"/>
      </w:r>
      <w:r>
        <w:instrText xml:space="preserve"> PAGEREF _Toc443638830 \h </w:instrText>
      </w:r>
      <w:r>
        <w:fldChar w:fldCharType="separate"/>
      </w:r>
      <w:r>
        <w:t>77</w:t>
      </w:r>
      <w:r>
        <w:fldChar w:fldCharType="end"/>
      </w:r>
    </w:p>
    <w:p>
      <w:pPr>
        <w:pStyle w:val="TOC8"/>
        <w:rPr>
          <w:rFonts w:asciiTheme="minorHAnsi" w:eastAsiaTheme="minorEastAsia" w:hAnsiTheme="minorHAnsi" w:cstheme="minorBidi"/>
          <w:szCs w:val="22"/>
        </w:rPr>
      </w:pPr>
      <w:r>
        <w:t>23.</w:t>
      </w:r>
      <w:r>
        <w:tab/>
        <w:t>Port Denison</w:t>
      </w:r>
      <w:r>
        <w:tab/>
      </w:r>
      <w:r>
        <w:fldChar w:fldCharType="begin"/>
      </w:r>
      <w:r>
        <w:instrText xml:space="preserve"> PAGEREF _Toc443638831 \h </w:instrText>
      </w:r>
      <w:r>
        <w:fldChar w:fldCharType="separate"/>
      </w:r>
      <w:r>
        <w:t>80</w:t>
      </w:r>
      <w:r>
        <w:fldChar w:fldCharType="end"/>
      </w:r>
    </w:p>
    <w:p>
      <w:pPr>
        <w:pStyle w:val="TOC8"/>
        <w:rPr>
          <w:rFonts w:asciiTheme="minorHAnsi" w:eastAsiaTheme="minorEastAsia" w:hAnsiTheme="minorHAnsi" w:cstheme="minorBidi"/>
          <w:szCs w:val="22"/>
        </w:rPr>
      </w:pPr>
      <w:r>
        <w:t>24.</w:t>
      </w:r>
      <w:r>
        <w:tab/>
        <w:t>Port Gregory</w:t>
      </w:r>
      <w:r>
        <w:tab/>
      </w:r>
      <w:r>
        <w:fldChar w:fldCharType="begin"/>
      </w:r>
      <w:r>
        <w:instrText xml:space="preserve"> PAGEREF _Toc443638832 \h </w:instrText>
      </w:r>
      <w:r>
        <w:fldChar w:fldCharType="separate"/>
      </w:r>
      <w:r>
        <w:t>81</w:t>
      </w:r>
      <w:r>
        <w:fldChar w:fldCharType="end"/>
      </w:r>
    </w:p>
    <w:p>
      <w:pPr>
        <w:pStyle w:val="TOC8"/>
        <w:rPr>
          <w:rFonts w:asciiTheme="minorHAnsi" w:eastAsiaTheme="minorEastAsia" w:hAnsiTheme="minorHAnsi" w:cstheme="minorBidi"/>
          <w:szCs w:val="22"/>
        </w:rPr>
      </w:pPr>
      <w:r>
        <w:t>25A.</w:t>
      </w:r>
      <w:r>
        <w:tab/>
        <w:t>Two Rocks Marina</w:t>
      </w:r>
      <w:r>
        <w:tab/>
      </w:r>
      <w:r>
        <w:fldChar w:fldCharType="begin"/>
      </w:r>
      <w:r>
        <w:instrText xml:space="preserve"> PAGEREF _Toc443638833 \h </w:instrText>
      </w:r>
      <w:r>
        <w:fldChar w:fldCharType="separate"/>
      </w:r>
      <w:r>
        <w:t>82</w:t>
      </w:r>
      <w:r>
        <w:fldChar w:fldCharType="end"/>
      </w:r>
    </w:p>
    <w:p>
      <w:pPr>
        <w:pStyle w:val="TOC8"/>
        <w:rPr>
          <w:rFonts w:asciiTheme="minorHAnsi" w:eastAsiaTheme="minorEastAsia" w:hAnsiTheme="minorHAnsi" w:cstheme="minorBidi"/>
          <w:szCs w:val="22"/>
        </w:rPr>
      </w:pPr>
      <w:r>
        <w:t>25.</w:t>
      </w:r>
      <w:r>
        <w:tab/>
        <w:t>Port of Wyndham</w:t>
      </w:r>
      <w:r>
        <w:tab/>
      </w:r>
      <w:r>
        <w:fldChar w:fldCharType="begin"/>
      </w:r>
      <w:r>
        <w:instrText xml:space="preserve"> PAGEREF _Toc443638834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State</w:t>
      </w:r>
      <w:r>
        <w:noBreakHyphen/>
        <w:t>wide charges</w:t>
      </w:r>
    </w:p>
    <w:p>
      <w:pPr>
        <w:pStyle w:val="TOC8"/>
        <w:rPr>
          <w:rFonts w:asciiTheme="minorHAnsi" w:eastAsiaTheme="minorEastAsia" w:hAnsiTheme="minorHAnsi" w:cstheme="minorBidi"/>
          <w:szCs w:val="22"/>
        </w:rPr>
      </w:pPr>
      <w:r>
        <w:t>26.</w:t>
      </w:r>
      <w:r>
        <w:tab/>
        <w:t>Living on a vessel</w:t>
      </w:r>
      <w:r>
        <w:tab/>
      </w:r>
      <w:r>
        <w:fldChar w:fldCharType="begin"/>
      </w:r>
      <w:r>
        <w:instrText xml:space="preserve"> PAGEREF _Toc443638836 \h </w:instrText>
      </w:r>
      <w:r>
        <w:fldChar w:fldCharType="separate"/>
      </w:r>
      <w:r>
        <w:t>87</w:t>
      </w:r>
      <w:r>
        <w:fldChar w:fldCharType="end"/>
      </w:r>
    </w:p>
    <w:p>
      <w:pPr>
        <w:pStyle w:val="TOC8"/>
        <w:rPr>
          <w:rFonts w:asciiTheme="minorHAnsi" w:eastAsiaTheme="minorEastAsia" w:hAnsiTheme="minorHAnsi" w:cstheme="minorBidi"/>
          <w:szCs w:val="22"/>
        </w:rPr>
      </w:pPr>
      <w:r>
        <w:t>27.</w:t>
      </w:r>
      <w:r>
        <w:tab/>
        <w:t>Electricity supply</w:t>
      </w:r>
      <w:r>
        <w:tab/>
      </w:r>
      <w:r>
        <w:fldChar w:fldCharType="begin"/>
      </w:r>
      <w:r>
        <w:instrText xml:space="preserve"> PAGEREF _Toc443638837 \h </w:instrText>
      </w:r>
      <w:r>
        <w:fldChar w:fldCharType="separate"/>
      </w:r>
      <w:r>
        <w:t>88</w:t>
      </w:r>
      <w:r>
        <w:fldChar w:fldCharType="end"/>
      </w:r>
    </w:p>
    <w:p>
      <w:pPr>
        <w:pStyle w:val="TOC8"/>
        <w:rPr>
          <w:rFonts w:asciiTheme="minorHAnsi" w:eastAsiaTheme="minorEastAsia" w:hAnsiTheme="minorHAnsi" w:cstheme="minorBidi"/>
          <w:szCs w:val="22"/>
        </w:rPr>
      </w:pPr>
      <w:r>
        <w:t>28.</w:t>
      </w:r>
      <w:r>
        <w:tab/>
        <w:t>Water supply</w:t>
      </w:r>
      <w:r>
        <w:tab/>
      </w:r>
      <w:r>
        <w:fldChar w:fldCharType="begin"/>
      </w:r>
      <w:r>
        <w:instrText xml:space="preserve"> PAGEREF _Toc443638838 \h </w:instrText>
      </w:r>
      <w:r>
        <w:fldChar w:fldCharType="separate"/>
      </w:r>
      <w:r>
        <w:t>88</w:t>
      </w:r>
      <w:r>
        <w:fldChar w:fldCharType="end"/>
      </w:r>
    </w:p>
    <w:p>
      <w:pPr>
        <w:pStyle w:val="TOC8"/>
        <w:rPr>
          <w:rFonts w:asciiTheme="minorHAnsi" w:eastAsiaTheme="minorEastAsia" w:hAnsiTheme="minorHAnsi" w:cstheme="minorBidi"/>
          <w:szCs w:val="22"/>
        </w:rPr>
      </w:pPr>
      <w:r>
        <w:t>29.</w:t>
      </w:r>
      <w:r>
        <w:tab/>
        <w:t>Rubbish removal (r. 53A)</w:t>
      </w:r>
      <w:r>
        <w:tab/>
      </w:r>
      <w:r>
        <w:fldChar w:fldCharType="begin"/>
      </w:r>
      <w:r>
        <w:instrText xml:space="preserve"> PAGEREF _Toc443638839 \h </w:instrText>
      </w:r>
      <w:r>
        <w:fldChar w:fldCharType="separate"/>
      </w:r>
      <w:r>
        <w:t>88</w:t>
      </w:r>
      <w:r>
        <w:fldChar w:fldCharType="end"/>
      </w:r>
    </w:p>
    <w:p>
      <w:pPr>
        <w:pStyle w:val="TOC8"/>
        <w:rPr>
          <w:rFonts w:asciiTheme="minorHAnsi" w:eastAsiaTheme="minorEastAsia" w:hAnsiTheme="minorHAnsi" w:cstheme="minorBidi"/>
          <w:szCs w:val="22"/>
        </w:rPr>
      </w:pPr>
      <w:r>
        <w:t>30.</w:t>
      </w:r>
      <w:r>
        <w:tab/>
        <w:t>Passengers and cargo</w:t>
      </w:r>
      <w:r>
        <w:tab/>
      </w:r>
      <w:r>
        <w:fldChar w:fldCharType="begin"/>
      </w:r>
      <w:r>
        <w:instrText xml:space="preserve"> PAGEREF _Toc443638840 \h </w:instrText>
      </w:r>
      <w:r>
        <w:fldChar w:fldCharType="separate"/>
      </w:r>
      <w:r>
        <w:t>89</w:t>
      </w:r>
      <w:r>
        <w:fldChar w:fldCharType="end"/>
      </w:r>
    </w:p>
    <w:p>
      <w:pPr>
        <w:pStyle w:val="TOC8"/>
        <w:rPr>
          <w:rFonts w:asciiTheme="minorHAnsi" w:eastAsiaTheme="minorEastAsia" w:hAnsiTheme="minorHAnsi" w:cstheme="minorBidi"/>
          <w:szCs w:val="22"/>
        </w:rPr>
      </w:pPr>
      <w:r>
        <w:t>31.</w:t>
      </w:r>
      <w:r>
        <w:tab/>
        <w:t>Slip services (r. 96)</w:t>
      </w:r>
      <w:r>
        <w:tab/>
      </w:r>
      <w:r>
        <w:fldChar w:fldCharType="begin"/>
      </w:r>
      <w:r>
        <w:instrText xml:space="preserve"> PAGEREF _Toc443638841 \h </w:instrText>
      </w:r>
      <w:r>
        <w:fldChar w:fldCharType="separate"/>
      </w:r>
      <w:r>
        <w:t>90</w:t>
      </w:r>
      <w:r>
        <w:fldChar w:fldCharType="end"/>
      </w:r>
    </w:p>
    <w:p>
      <w:pPr>
        <w:pStyle w:val="TOC8"/>
        <w:rPr>
          <w:rFonts w:asciiTheme="minorHAnsi" w:eastAsiaTheme="minorEastAsia" w:hAnsiTheme="minorHAnsi" w:cstheme="minorBidi"/>
          <w:szCs w:val="22"/>
        </w:rPr>
      </w:pPr>
      <w:r>
        <w:t>32.</w:t>
      </w:r>
      <w:r>
        <w:tab/>
        <w:t>Floating dinghy pens</w:t>
      </w:r>
      <w:r>
        <w:tab/>
      </w:r>
      <w:r>
        <w:fldChar w:fldCharType="begin"/>
      </w:r>
      <w:r>
        <w:instrText xml:space="preserve"> PAGEREF _Toc443638842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1A — Fuel oil wharfage</w:t>
      </w:r>
    </w:p>
    <w:p>
      <w:pPr>
        <w:pStyle w:val="TOC8"/>
        <w:rPr>
          <w:rFonts w:asciiTheme="minorHAnsi" w:eastAsiaTheme="minorEastAsia" w:hAnsiTheme="minorHAnsi" w:cstheme="minorBidi"/>
          <w:szCs w:val="22"/>
        </w:rPr>
      </w:pPr>
      <w:r>
        <w:t>1.</w:t>
      </w:r>
      <w:r>
        <w:tab/>
        <w:t>Wharfage for fuel (r. 11B(2))</w:t>
      </w:r>
      <w:r>
        <w:tab/>
      </w:r>
      <w:r>
        <w:fldChar w:fldCharType="begin"/>
      </w:r>
      <w:r>
        <w:instrText xml:space="preserve"> PAGEREF _Toc443638844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2 — Port of Perth charges</w:t>
      </w:r>
    </w:p>
    <w:p>
      <w:pPr>
        <w:pStyle w:val="TOC4"/>
        <w:tabs>
          <w:tab w:val="right" w:leader="dot" w:pos="7077"/>
        </w:tabs>
        <w:rPr>
          <w:rFonts w:asciiTheme="minorHAnsi" w:eastAsiaTheme="minorEastAsia" w:hAnsiTheme="minorHAnsi" w:cstheme="minorBidi"/>
          <w:b w:val="0"/>
          <w:szCs w:val="22"/>
        </w:rPr>
      </w:pPr>
      <w:r>
        <w:t>Division 1A</w:t>
      </w:r>
      <w:r>
        <w:rPr>
          <w:b w:val="0"/>
        </w:rPr>
        <w:t> — </w:t>
      </w:r>
      <w:r>
        <w:t>Application and Standard rates</w:t>
      </w:r>
    </w:p>
    <w:p>
      <w:pPr>
        <w:pStyle w:val="TOC8"/>
        <w:rPr>
          <w:rFonts w:asciiTheme="minorHAnsi" w:eastAsiaTheme="minorEastAsia" w:hAnsiTheme="minorHAnsi" w:cstheme="minorBidi"/>
          <w:szCs w:val="22"/>
        </w:rPr>
      </w:pPr>
      <w:r>
        <w:t>1A.</w:t>
      </w:r>
      <w:r>
        <w:tab/>
        <w:t>Application of this Schedule</w:t>
      </w:r>
      <w:r>
        <w:tab/>
      </w:r>
      <w:r>
        <w:fldChar w:fldCharType="begin"/>
      </w:r>
      <w:r>
        <w:instrText xml:space="preserve"> PAGEREF _Toc443638847 \h </w:instrText>
      </w:r>
      <w:r>
        <w:fldChar w:fldCharType="separate"/>
      </w:r>
      <w:r>
        <w:t>94</w:t>
      </w:r>
      <w:r>
        <w:fldChar w:fldCharType="end"/>
      </w:r>
    </w:p>
    <w:p>
      <w:pPr>
        <w:pStyle w:val="TOC8"/>
        <w:rPr>
          <w:rFonts w:asciiTheme="minorHAnsi" w:eastAsiaTheme="minorEastAsia" w:hAnsiTheme="minorHAnsi" w:cstheme="minorBidi"/>
          <w:szCs w:val="22"/>
        </w:rPr>
      </w:pPr>
      <w:r>
        <w:t>1B.</w:t>
      </w:r>
      <w:r>
        <w:tab/>
        <w:t>Standard rates for this Schedule</w:t>
      </w:r>
      <w:r>
        <w:tab/>
      </w:r>
      <w:r>
        <w:fldChar w:fldCharType="begin"/>
      </w:r>
      <w:r>
        <w:instrText xml:space="preserve"> PAGEREF _Toc443638848 \h </w:instrText>
      </w:r>
      <w:r>
        <w:fldChar w:fldCharType="separate"/>
      </w:r>
      <w:r>
        <w:t>94</w:t>
      </w:r>
      <w:r>
        <w:fldChar w:fldCharType="end"/>
      </w:r>
    </w:p>
    <w:p>
      <w:pPr>
        <w:pStyle w:val="TOC8"/>
        <w:rPr>
          <w:rFonts w:asciiTheme="minorHAnsi" w:eastAsiaTheme="minorEastAsia" w:hAnsiTheme="minorHAnsi" w:cstheme="minorBidi"/>
          <w:szCs w:val="22"/>
        </w:rPr>
      </w:pPr>
      <w:r>
        <w:t>1C.</w:t>
      </w:r>
      <w:r>
        <w:tab/>
        <w:t>Transferability of annual payments</w:t>
      </w:r>
      <w:r>
        <w:tab/>
      </w:r>
      <w:r>
        <w:fldChar w:fldCharType="begin"/>
      </w:r>
      <w:r>
        <w:instrText xml:space="preserve"> PAGEREF _Toc443638849 \h </w:instrText>
      </w:r>
      <w:r>
        <w:fldChar w:fldCharType="separate"/>
      </w:r>
      <w:r>
        <w:t>94</w:t>
      </w:r>
      <w:r>
        <w:fldChar w:fldCharType="end"/>
      </w:r>
    </w:p>
    <w:p>
      <w:pPr>
        <w:pStyle w:val="TOC8"/>
        <w:rPr>
          <w:rFonts w:asciiTheme="minorHAnsi" w:eastAsiaTheme="minorEastAsia" w:hAnsiTheme="minorHAnsi" w:cstheme="minorBidi"/>
          <w:szCs w:val="22"/>
        </w:rPr>
      </w:pPr>
      <w:r>
        <w:t>1D.</w:t>
      </w:r>
      <w:r>
        <w:tab/>
        <w:t>Service wharf or jetty entitlements</w:t>
      </w:r>
      <w:r>
        <w:tab/>
      </w:r>
      <w:r>
        <w:fldChar w:fldCharType="begin"/>
      </w:r>
      <w:r>
        <w:instrText xml:space="preserve"> PAGEREF _Toc443638850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1</w:t>
      </w:r>
      <w:r>
        <w:rPr>
          <w:b w:val="0"/>
        </w:rPr>
        <w:t> — </w:t>
      </w:r>
      <w:r>
        <w:t>Specific charges for Port of Perth jetties</w:t>
      </w:r>
    </w:p>
    <w:p>
      <w:pPr>
        <w:pStyle w:val="TOC8"/>
        <w:rPr>
          <w:rFonts w:asciiTheme="minorHAnsi" w:eastAsiaTheme="minorEastAsia" w:hAnsiTheme="minorHAnsi" w:cstheme="minorBidi"/>
          <w:szCs w:val="22"/>
        </w:rPr>
      </w:pPr>
      <w:r>
        <w:t>1.</w:t>
      </w:r>
      <w:r>
        <w:tab/>
        <w:t>Barrack Street and Mends Street jetties</w:t>
      </w:r>
      <w:r>
        <w:tab/>
      </w:r>
      <w:r>
        <w:fldChar w:fldCharType="begin"/>
      </w:r>
      <w:r>
        <w:instrText xml:space="preserve"> PAGEREF _Toc443638852 \h </w:instrText>
      </w:r>
      <w:r>
        <w:fldChar w:fldCharType="separate"/>
      </w:r>
      <w:r>
        <w:t>95</w:t>
      </w:r>
      <w:r>
        <w:fldChar w:fldCharType="end"/>
      </w:r>
    </w:p>
    <w:p>
      <w:pPr>
        <w:pStyle w:val="TOC8"/>
        <w:rPr>
          <w:rFonts w:asciiTheme="minorHAnsi" w:eastAsiaTheme="minorEastAsia" w:hAnsiTheme="minorHAnsi" w:cstheme="minorBidi"/>
          <w:szCs w:val="22"/>
        </w:rPr>
      </w:pPr>
      <w:r>
        <w:t>2.</w:t>
      </w:r>
      <w:r>
        <w:tab/>
        <w:t>Other jetties in Swan and Canning Rivers</w:t>
      </w:r>
      <w:r>
        <w:tab/>
      </w:r>
      <w:r>
        <w:fldChar w:fldCharType="begin"/>
      </w:r>
      <w:r>
        <w:instrText xml:space="preserve"> PAGEREF _Toc443638853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Charges for boat pens</w:t>
      </w:r>
    </w:p>
    <w:p>
      <w:pPr>
        <w:pStyle w:val="TOC8"/>
        <w:rPr>
          <w:rFonts w:asciiTheme="minorHAnsi" w:eastAsiaTheme="minorEastAsia" w:hAnsiTheme="minorHAnsi" w:cstheme="minorBidi"/>
          <w:szCs w:val="22"/>
        </w:rPr>
      </w:pPr>
      <w:r>
        <w:t>3.</w:t>
      </w:r>
      <w:r>
        <w:tab/>
        <w:t>Fremantle, Challenger Boat Harbour</w:t>
      </w:r>
      <w:r>
        <w:tab/>
      </w:r>
      <w:r>
        <w:fldChar w:fldCharType="begin"/>
      </w:r>
      <w:r>
        <w:instrText xml:space="preserve"> PAGEREF _Toc443638855 \h </w:instrText>
      </w:r>
      <w:r>
        <w:fldChar w:fldCharType="separate"/>
      </w:r>
      <w:r>
        <w:t>96</w:t>
      </w:r>
      <w:r>
        <w:fldChar w:fldCharType="end"/>
      </w:r>
    </w:p>
    <w:p>
      <w:pPr>
        <w:pStyle w:val="TOC8"/>
        <w:rPr>
          <w:rFonts w:asciiTheme="minorHAnsi" w:eastAsiaTheme="minorEastAsia" w:hAnsiTheme="minorHAnsi" w:cstheme="minorBidi"/>
          <w:szCs w:val="22"/>
        </w:rPr>
      </w:pPr>
      <w:r>
        <w:t>4.</w:t>
      </w:r>
      <w:r>
        <w:tab/>
        <w:t>Hillarys Boat Harbour</w:t>
      </w:r>
      <w:r>
        <w:tab/>
      </w:r>
      <w:r>
        <w:fldChar w:fldCharType="begin"/>
      </w:r>
      <w:r>
        <w:instrText xml:space="preserve"> PAGEREF _Toc443638856 \h </w:instrText>
      </w:r>
      <w:r>
        <w:fldChar w:fldCharType="separate"/>
      </w:r>
      <w:r>
        <w:t>97</w:t>
      </w:r>
      <w:r>
        <w:fldChar w:fldCharType="end"/>
      </w:r>
    </w:p>
    <w:p>
      <w:pPr>
        <w:pStyle w:val="TOC8"/>
        <w:rPr>
          <w:rFonts w:asciiTheme="minorHAnsi" w:eastAsiaTheme="minorEastAsia" w:hAnsiTheme="minorHAnsi" w:cstheme="minorBidi"/>
          <w:szCs w:val="22"/>
        </w:rPr>
      </w:pPr>
      <w:r>
        <w:t>5.</w:t>
      </w:r>
      <w:r>
        <w:tab/>
        <w:t>Jervoise Bay</w:t>
      </w:r>
      <w:r>
        <w:tab/>
      </w:r>
      <w:r>
        <w:fldChar w:fldCharType="begin"/>
      </w:r>
      <w:r>
        <w:instrText xml:space="preserve"> PAGEREF _Toc443638857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_Toc443638860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February 2016</w:t>
            </w:r>
          </w:p>
        </w:tc>
      </w:tr>
    </w:tbl>
    <w:p>
      <w:pPr>
        <w:pStyle w:val="WA"/>
        <w:spacing w:before="12"/>
      </w:pPr>
      <w:r>
        <w:t>Western Australia</w:t>
      </w:r>
    </w:p>
    <w:p>
      <w:pPr>
        <w:pStyle w:val="PrincipalActReg"/>
        <w:spacing w:before="120" w:after="600"/>
        <w:rPr>
          <w:snapToGrid w:val="0"/>
        </w:rPr>
      </w:pPr>
      <w:r>
        <w:rPr>
          <w:snapToGrid w:val="0"/>
        </w:rPr>
        <w:t>Jetties Act 1926</w:t>
      </w:r>
    </w:p>
    <w:p>
      <w:pPr>
        <w:pStyle w:val="NameofActReg"/>
        <w:spacing w:before="600" w:after="720"/>
      </w:pPr>
      <w:r>
        <w:t>Jetties Regulations 1940</w:t>
      </w:r>
    </w:p>
    <w:p>
      <w:pPr>
        <w:pStyle w:val="Heading5"/>
        <w:rPr>
          <w:snapToGrid w:val="0"/>
        </w:rPr>
      </w:pPr>
      <w:bookmarkStart w:id="3" w:name="_Toc443638663"/>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 </w:t>
      </w:r>
      <w:r>
        <w:rPr>
          <w:snapToGrid w:val="0"/>
          <w:vertAlign w:val="superscript"/>
        </w:rPr>
        <w:t>1</w:t>
      </w:r>
      <w:r>
        <w:rPr>
          <w:snapToGrid w:val="0"/>
        </w:rPr>
        <w:t>.</w:t>
      </w:r>
    </w:p>
    <w:p>
      <w:pPr>
        <w:pStyle w:val="Footnotesection"/>
      </w:pPr>
      <w:r>
        <w:tab/>
        <w:t>[Regulation 1 amended in Gazette 24 Aug 2004 p. 3659.]</w:t>
      </w:r>
    </w:p>
    <w:p>
      <w:pPr>
        <w:pStyle w:val="Heading5"/>
      </w:pPr>
      <w:bookmarkStart w:id="4" w:name="_Toc443638664"/>
      <w:r>
        <w:rPr>
          <w:rStyle w:val="CharSectno"/>
        </w:rPr>
        <w:t>2</w:t>
      </w:r>
      <w:r>
        <w:t>.</w:t>
      </w:r>
      <w:r>
        <w:tab/>
        <w:t>Liability for dues and charges</w:t>
      </w:r>
      <w:bookmarkEnd w:id="4"/>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in Gazette 14 Jun 2002 p. 2799; amended in Gazette 25 Jul 2014 p. 2607.]</w:t>
      </w:r>
    </w:p>
    <w:p>
      <w:pPr>
        <w:pStyle w:val="Heading5"/>
        <w:rPr>
          <w:snapToGrid w:val="0"/>
        </w:rPr>
      </w:pPr>
      <w:bookmarkStart w:id="5" w:name="_Toc443638665"/>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t>
      </w:r>
      <w:smartTag w:uri="urn:schemas-microsoft-com:office:smarttags" w:element="place">
        <w:smartTag w:uri="urn:schemas-microsoft-com:office:smarttags" w:element="State">
          <w:r>
            <w:rPr>
              <w:i/>
            </w:rPr>
            <w:t>Western Australia</w:t>
          </w:r>
        </w:smartTag>
      </w:smartTag>
      <w:r>
        <w:rPr>
          <w:i/>
        </w:rPr>
        <w:t>)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a Schedule —</w:t>
      </w:r>
    </w:p>
    <w:p>
      <w:pPr>
        <w:pStyle w:val="Indenta"/>
      </w:pPr>
      <w:r>
        <w:tab/>
        <w:t>(a)</w:t>
      </w:r>
      <w:r>
        <w:tab/>
        <w:t>an amount payable per day is payable for any part of a day;</w:t>
      </w:r>
    </w:p>
    <w:p>
      <w:pPr>
        <w:pStyle w:val="Indenta"/>
      </w:pPr>
      <w:r>
        <w:tab/>
        <w:t>(b)</w:t>
      </w:r>
      <w:r>
        <w:tab/>
        <w:t xml:space="preserve">the length of a vessel is its overall length or, if it has a valid certificate of survey under the </w:t>
      </w:r>
      <w:r>
        <w:rPr>
          <w:i/>
        </w:rPr>
        <w:t>Western Australian Marine Act 1982</w:t>
      </w:r>
      <w:r>
        <w:t>, its measured length, measured to 2 decimal places;</w:t>
      </w:r>
    </w:p>
    <w:p>
      <w:pPr>
        <w:pStyle w:val="Indenta"/>
      </w:pPr>
      <w:r>
        <w:tab/>
        <w:t>(c)</w:t>
      </w:r>
      <w:r>
        <w:tab/>
        <w:t xml:space="preserve">the chargeable length of a pen is — </w:t>
      </w:r>
    </w:p>
    <w:p>
      <w:pPr>
        <w:pStyle w:val="Indenti"/>
      </w:pPr>
      <w:r>
        <w:tab/>
        <w:t>(i)</w:t>
      </w:r>
      <w:r>
        <w:tab/>
        <w:t>unless subparagraph (ii) applies, its chargeable length as determined by the Department and set out on its website at the time the charge is calculated; or</w:t>
      </w:r>
    </w:p>
    <w:p>
      <w:pPr>
        <w:pStyle w:val="Indenti"/>
      </w:pPr>
      <w:r>
        <w:tab/>
        <w:t>(ii)</w:t>
      </w:r>
      <w:r>
        <w:tab/>
        <w:t>if a vessel allocated a pen that is longer than it needs to be due to the unavailability of a suitable</w:t>
      </w:r>
      <w:r>
        <w:noBreakHyphen/>
        <w:t>sized pen for the vessel at the place where the vessel is berthed — the chargeable length of a suitable</w:t>
      </w:r>
      <w:r>
        <w:noBreakHyphen/>
        <w:t>sized pen.</w:t>
      </w:r>
    </w:p>
    <w:p>
      <w:pPr>
        <w:pStyle w:val="Subsection"/>
        <w:keepLines/>
      </w:pPr>
      <w:r>
        <w:tab/>
        <w:t>(4)</w:t>
      </w:r>
      <w:r>
        <w:tab/>
        <w:t>Subject to subregulation (5A), a reference in a Schedule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10%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a Schedule.</w:t>
      </w:r>
    </w:p>
    <w:p>
      <w:pPr>
        <w:pStyle w:val="Subsection"/>
      </w:pPr>
      <w:r>
        <w:tab/>
        <w:t>(5)</w:t>
      </w:r>
      <w:r>
        <w:tab/>
        <w:t xml:space="preserve">A reference in subregulation (4) or a Schedule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in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w:t>
      </w:r>
    </w:p>
    <w:p>
      <w:pPr>
        <w:pStyle w:val="Heading2"/>
      </w:pPr>
      <w:bookmarkStart w:id="6" w:name="_Toc440456973"/>
      <w:bookmarkStart w:id="7" w:name="_Toc443638666"/>
      <w:r>
        <w:rPr>
          <w:rStyle w:val="CharPartNo"/>
        </w:rPr>
        <w:t>Part 1</w:t>
      </w:r>
      <w:r>
        <w:t> — </w:t>
      </w:r>
      <w:r>
        <w:rPr>
          <w:rStyle w:val="CharPartText"/>
        </w:rPr>
        <w:t>Regulations applying to jetties controlled by the Department</w:t>
      </w:r>
      <w:bookmarkEnd w:id="6"/>
      <w:bookmarkEnd w:id="7"/>
      <w:r>
        <w:rPr>
          <w:rStyle w:val="CharPartText"/>
        </w:rPr>
        <w:t xml:space="preserve"> </w:t>
      </w:r>
    </w:p>
    <w:p>
      <w:pPr>
        <w:pStyle w:val="Footnoteheading"/>
      </w:pPr>
      <w:r>
        <w:tab/>
        <w:t xml:space="preserve">[Heading inserted in Gazette 19 May 1989 p. 1494.] </w:t>
      </w:r>
    </w:p>
    <w:p>
      <w:pPr>
        <w:pStyle w:val="Heading3"/>
        <w:rPr>
          <w:snapToGrid w:val="0"/>
        </w:rPr>
      </w:pPr>
      <w:bookmarkStart w:id="8" w:name="_Toc440456974"/>
      <w:bookmarkStart w:id="9" w:name="_Toc443638667"/>
      <w:r>
        <w:rPr>
          <w:rStyle w:val="CharDivNo"/>
        </w:rPr>
        <w:t>Division 1</w:t>
      </w:r>
      <w:r>
        <w:rPr>
          <w:snapToGrid w:val="0"/>
        </w:rPr>
        <w:t> — </w:t>
      </w:r>
      <w:r>
        <w:rPr>
          <w:rStyle w:val="CharDivText"/>
        </w:rPr>
        <w:t>Application of this Part</w:t>
      </w:r>
      <w:bookmarkEnd w:id="8"/>
      <w:bookmarkEnd w:id="9"/>
      <w:r>
        <w:rPr>
          <w:rStyle w:val="CharDivText"/>
        </w:rPr>
        <w:t xml:space="preserve"> </w:t>
      </w:r>
    </w:p>
    <w:p>
      <w:pPr>
        <w:pStyle w:val="Footnoteheading"/>
      </w:pPr>
      <w:r>
        <w:tab/>
        <w:t xml:space="preserve">[Heading inserted in Gazette 19 May 1989 p. 1494.] </w:t>
      </w:r>
    </w:p>
    <w:p>
      <w:pPr>
        <w:pStyle w:val="Heading5"/>
        <w:rPr>
          <w:snapToGrid w:val="0"/>
        </w:rPr>
      </w:pPr>
      <w:bookmarkStart w:id="10" w:name="_Toc443638668"/>
      <w:r>
        <w:rPr>
          <w:rStyle w:val="CharSectno"/>
        </w:rPr>
        <w:t>3A</w:t>
      </w:r>
      <w:r>
        <w:rPr>
          <w:snapToGrid w:val="0"/>
        </w:rPr>
        <w:t>.</w:t>
      </w:r>
      <w:r>
        <w:rPr>
          <w:snapToGrid w:val="0"/>
        </w:rPr>
        <w:tab/>
        <w:t>Application</w:t>
      </w:r>
      <w:bookmarkEnd w:id="10"/>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in Gazette 19 May 1989 p. 1494.] </w:t>
      </w:r>
    </w:p>
    <w:p>
      <w:pPr>
        <w:pStyle w:val="Heading3"/>
        <w:rPr>
          <w:snapToGrid w:val="0"/>
        </w:rPr>
      </w:pPr>
      <w:bookmarkStart w:id="11" w:name="_Toc440456976"/>
      <w:bookmarkStart w:id="12" w:name="_Toc443638669"/>
      <w:r>
        <w:rPr>
          <w:rStyle w:val="CharDivNo"/>
        </w:rPr>
        <w:t>Division 2</w:t>
      </w:r>
      <w:r>
        <w:rPr>
          <w:snapToGrid w:val="0"/>
        </w:rPr>
        <w:t> — </w:t>
      </w:r>
      <w:r>
        <w:rPr>
          <w:rStyle w:val="CharDivText"/>
        </w:rPr>
        <w:t>Arrival and movement of vessels</w:t>
      </w:r>
      <w:bookmarkEnd w:id="11"/>
      <w:bookmarkEnd w:id="12"/>
      <w:r>
        <w:rPr>
          <w:rStyle w:val="CharDivText"/>
        </w:rPr>
        <w:t xml:space="preserve"> </w:t>
      </w:r>
    </w:p>
    <w:p>
      <w:pPr>
        <w:pStyle w:val="Footnoteheading"/>
      </w:pPr>
      <w:r>
        <w:tab/>
        <w:t xml:space="preserve">[Heading inserted in Gazette 19 May 1989 p. 1494.] </w:t>
      </w:r>
    </w:p>
    <w:p>
      <w:pPr>
        <w:pStyle w:val="Heading5"/>
        <w:rPr>
          <w:snapToGrid w:val="0"/>
        </w:rPr>
      </w:pPr>
      <w:bookmarkStart w:id="13" w:name="_Toc443638670"/>
      <w:r>
        <w:rPr>
          <w:rStyle w:val="CharSectno"/>
        </w:rPr>
        <w:t>4</w:t>
      </w:r>
      <w:r>
        <w:rPr>
          <w:snapToGrid w:val="0"/>
        </w:rPr>
        <w:t>.</w:t>
      </w:r>
      <w:r>
        <w:rPr>
          <w:snapToGrid w:val="0"/>
        </w:rPr>
        <w:tab/>
        <w:t>Master or agent to report arrival</w:t>
      </w:r>
      <w:bookmarkEnd w:id="13"/>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in Gazette 19 May 1989 p. 1494; 25 Jul 2014 p. 2610.] </w:t>
      </w:r>
    </w:p>
    <w:p>
      <w:pPr>
        <w:pStyle w:val="Heading5"/>
        <w:rPr>
          <w:snapToGrid w:val="0"/>
        </w:rPr>
      </w:pPr>
      <w:bookmarkStart w:id="14" w:name="_Toc443638671"/>
      <w:r>
        <w:rPr>
          <w:rStyle w:val="CharSectno"/>
        </w:rPr>
        <w:t>5</w:t>
      </w:r>
      <w:r>
        <w:rPr>
          <w:snapToGrid w:val="0"/>
        </w:rPr>
        <w:t>.</w:t>
      </w:r>
      <w:r>
        <w:rPr>
          <w:snapToGrid w:val="0"/>
        </w:rPr>
        <w:tab/>
        <w:t>Vessels to change berths</w:t>
      </w:r>
      <w:bookmarkEnd w:id="14"/>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in Gazette 19 May 1989 p. 1494.] </w:t>
      </w:r>
    </w:p>
    <w:p>
      <w:pPr>
        <w:pStyle w:val="Heading3"/>
        <w:keepLines/>
        <w:rPr>
          <w:snapToGrid w:val="0"/>
        </w:rPr>
      </w:pPr>
      <w:bookmarkStart w:id="15" w:name="_Toc440456979"/>
      <w:bookmarkStart w:id="16" w:name="_Toc443638672"/>
      <w:r>
        <w:rPr>
          <w:rStyle w:val="CharDivNo"/>
        </w:rPr>
        <w:t>Division 3</w:t>
      </w:r>
      <w:r>
        <w:rPr>
          <w:snapToGrid w:val="0"/>
        </w:rPr>
        <w:t> — </w:t>
      </w:r>
      <w:r>
        <w:rPr>
          <w:rStyle w:val="CharDivText"/>
        </w:rPr>
        <w:t>Berthing dues</w:t>
      </w:r>
      <w:bookmarkEnd w:id="15"/>
      <w:bookmarkEnd w:id="16"/>
      <w:r>
        <w:rPr>
          <w:rStyle w:val="CharDivText"/>
        </w:rPr>
        <w:t xml:space="preserve"> </w:t>
      </w:r>
    </w:p>
    <w:p>
      <w:pPr>
        <w:pStyle w:val="Footnoteheading"/>
        <w:keepNext/>
        <w:keepLines/>
      </w:pPr>
      <w:r>
        <w:tab/>
        <w:t xml:space="preserve">[Heading inserted in Gazette 19 May 1989 p. 1494.] </w:t>
      </w:r>
    </w:p>
    <w:p>
      <w:pPr>
        <w:pStyle w:val="Heading5"/>
      </w:pPr>
      <w:bookmarkStart w:id="17" w:name="_Toc443638673"/>
      <w:r>
        <w:rPr>
          <w:rStyle w:val="CharSectno"/>
        </w:rPr>
        <w:t>6</w:t>
      </w:r>
      <w:r>
        <w:t>.</w:t>
      </w:r>
      <w:r>
        <w:tab/>
        <w:t>Berthing dues</w:t>
      </w:r>
      <w:bookmarkEnd w:id="17"/>
    </w:p>
    <w:p>
      <w:pPr>
        <w:pStyle w:val="Subsection"/>
      </w:pPr>
      <w:r>
        <w:tab/>
        <w:t>(1)</w:t>
      </w:r>
      <w:r>
        <w:tab/>
        <w:t xml:space="preserve">In this regulation — </w:t>
      </w:r>
    </w:p>
    <w:p>
      <w:pPr>
        <w:pStyle w:val="Defstart"/>
      </w:pPr>
      <w:r>
        <w:tab/>
      </w:r>
      <w:r>
        <w:rPr>
          <w:rStyle w:val="CharDefText"/>
        </w:rPr>
        <w:t>berthing due</w:t>
      </w:r>
      <w:r>
        <w:t xml:space="preserve"> means a berthing due prescribed in a Schedule;</w:t>
      </w:r>
    </w:p>
    <w:p>
      <w:pPr>
        <w:pStyle w:val="Defstart"/>
      </w:pPr>
      <w:r>
        <w:tab/>
      </w:r>
      <w:r>
        <w:rPr>
          <w:rStyle w:val="CharDefText"/>
        </w:rPr>
        <w:t>catamaran pen</w:t>
      </w:r>
      <w:r>
        <w:t xml:space="preserve"> means a pen designed for a catamaran.</w:t>
      </w:r>
    </w:p>
    <w:p>
      <w:pPr>
        <w:pStyle w:val="Subsection"/>
      </w:pPr>
      <w:r>
        <w:tab/>
        <w:t>(2)</w:t>
      </w:r>
      <w:r>
        <w:tab/>
        <w:t>A berthing due prescribed in a Schedule is payable in respect of a vessel using a pen (except a catamaran pen), alongside berth or other jetty at a place specified in that Schedule.</w:t>
      </w:r>
    </w:p>
    <w:p>
      <w:pPr>
        <w:pStyle w:val="Subsection"/>
      </w:pPr>
      <w:r>
        <w:tab/>
        <w:t>(3)</w:t>
      </w:r>
      <w:r>
        <w:tab/>
        <w:t xml:space="preserve">The berthing due payable in respect of a catamaran pen at a place is calculated in accordance with the following formula — </w:t>
      </w:r>
    </w:p>
    <w:p>
      <w:pPr>
        <w:pStyle w:val="Subsection"/>
      </w:pPr>
      <w:r>
        <w:tab/>
      </w:r>
      <w:r>
        <w:tab/>
        <w:t>P × 1.5</w:t>
      </w:r>
    </w:p>
    <w:p>
      <w:pPr>
        <w:pStyle w:val="Subsection"/>
      </w:pPr>
      <w:r>
        <w:tab/>
      </w:r>
      <w:r>
        <w:tab/>
        <w:t xml:space="preserve">where — </w:t>
      </w:r>
    </w:p>
    <w:p>
      <w:pPr>
        <w:pStyle w:val="Subsection"/>
        <w:ind w:left="1440" w:hanging="1440"/>
      </w:pPr>
      <w:r>
        <w:tab/>
      </w:r>
      <w:r>
        <w:tab/>
        <w:t>P</w:t>
      </w:r>
      <w:r>
        <w:tab/>
        <w:t>is the berthing due for a pen (except a catamaran pen) at that place.</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in Gazette 25 Jul 2014 p. 2610-11; amended in Gazette 22 Jul 2015 p. 2952.]</w:t>
      </w:r>
    </w:p>
    <w:p>
      <w:pPr>
        <w:pStyle w:val="Heading5"/>
        <w:spacing w:before="240"/>
      </w:pPr>
      <w:bookmarkStart w:id="18" w:name="_Toc443638674"/>
      <w:r>
        <w:rPr>
          <w:rStyle w:val="CharSectno"/>
        </w:rPr>
        <w:t>6A</w:t>
      </w:r>
      <w:r>
        <w:t>.</w:t>
      </w:r>
      <w:r>
        <w:tab/>
        <w:t>Requirement to pay berthing dues</w:t>
      </w:r>
      <w:bookmarkEnd w:id="18"/>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in Gazette 7 Dec 2007 p. 5984; amended in Gazette 25 Jul 2014 p. 2611; 22 Jul 2015 p. 2952.]</w:t>
      </w:r>
    </w:p>
    <w:p>
      <w:pPr>
        <w:pStyle w:val="Heading5"/>
        <w:rPr>
          <w:snapToGrid w:val="0"/>
        </w:rPr>
      </w:pPr>
      <w:bookmarkStart w:id="19" w:name="_Toc443638675"/>
      <w:r>
        <w:rPr>
          <w:rStyle w:val="CharSectno"/>
        </w:rPr>
        <w:t>7</w:t>
      </w:r>
      <w:r>
        <w:rPr>
          <w:snapToGrid w:val="0"/>
        </w:rPr>
        <w:t>.</w:t>
      </w:r>
      <w:r>
        <w:rPr>
          <w:snapToGrid w:val="0"/>
        </w:rPr>
        <w:tab/>
        <w:t>Computation of berthing dues</w:t>
      </w:r>
      <w:bookmarkEnd w:id="1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in Gazette 15 Jun 1973 p. 2237; amended in Gazette 19 May 1989 p. 1494.] </w:t>
      </w:r>
    </w:p>
    <w:p>
      <w:pPr>
        <w:pStyle w:val="Heading5"/>
        <w:spacing w:before="240"/>
        <w:rPr>
          <w:snapToGrid w:val="0"/>
        </w:rPr>
      </w:pPr>
      <w:bookmarkStart w:id="20" w:name="_Toc443638676"/>
      <w:r>
        <w:rPr>
          <w:rStyle w:val="CharSectno"/>
        </w:rPr>
        <w:t>8</w:t>
      </w:r>
      <w:r>
        <w:rPr>
          <w:snapToGrid w:val="0"/>
        </w:rPr>
        <w:t>.</w:t>
      </w:r>
      <w:r>
        <w:rPr>
          <w:snapToGrid w:val="0"/>
        </w:rPr>
        <w:tab/>
        <w:t>Inwards manifests</w:t>
      </w:r>
      <w:bookmarkEnd w:id="20"/>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in Gazette 19 May 1989 p. 1494.] </w:t>
      </w:r>
    </w:p>
    <w:p>
      <w:pPr>
        <w:pStyle w:val="Heading5"/>
        <w:spacing w:before="240"/>
        <w:rPr>
          <w:snapToGrid w:val="0"/>
        </w:rPr>
      </w:pPr>
      <w:bookmarkStart w:id="21" w:name="_Toc443638677"/>
      <w:r>
        <w:rPr>
          <w:rStyle w:val="CharSectno"/>
        </w:rPr>
        <w:t>9</w:t>
      </w:r>
      <w:r>
        <w:rPr>
          <w:snapToGrid w:val="0"/>
        </w:rPr>
        <w:t>.</w:t>
      </w:r>
      <w:r>
        <w:rPr>
          <w:snapToGrid w:val="0"/>
        </w:rPr>
        <w:tab/>
        <w:t>Outwards manifests</w:t>
      </w:r>
      <w:bookmarkEnd w:id="21"/>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in Gazette 19 May 1989 p. 1494.] </w:t>
      </w:r>
    </w:p>
    <w:p>
      <w:pPr>
        <w:pStyle w:val="Heading3"/>
        <w:keepLines/>
        <w:rPr>
          <w:snapToGrid w:val="0"/>
        </w:rPr>
      </w:pPr>
      <w:bookmarkStart w:id="22" w:name="_Toc440456985"/>
      <w:bookmarkStart w:id="23" w:name="_Toc443638678"/>
      <w:r>
        <w:rPr>
          <w:rStyle w:val="CharDivNo"/>
        </w:rPr>
        <w:t>Division 4</w:t>
      </w:r>
      <w:r>
        <w:rPr>
          <w:snapToGrid w:val="0"/>
        </w:rPr>
        <w:t> — </w:t>
      </w:r>
      <w:r>
        <w:rPr>
          <w:rStyle w:val="CharDivText"/>
        </w:rPr>
        <w:t>Wharfage dues, handling and haulage charges</w:t>
      </w:r>
      <w:bookmarkEnd w:id="22"/>
      <w:bookmarkEnd w:id="23"/>
      <w:r>
        <w:rPr>
          <w:rStyle w:val="CharDivText"/>
        </w:rPr>
        <w:t xml:space="preserve"> </w:t>
      </w:r>
    </w:p>
    <w:p>
      <w:pPr>
        <w:pStyle w:val="Footnoteheading"/>
        <w:keepNext/>
        <w:keepLines/>
        <w:rPr>
          <w:snapToGrid w:val="0"/>
        </w:rPr>
      </w:pPr>
      <w:r>
        <w:rPr>
          <w:snapToGrid w:val="0"/>
        </w:rPr>
        <w:tab/>
        <w:t xml:space="preserve">[Heading inserted in Gazette 19 May 1989 p. 1494.] </w:t>
      </w:r>
    </w:p>
    <w:p>
      <w:pPr>
        <w:pStyle w:val="Ednotesection"/>
      </w:pPr>
      <w:r>
        <w:t>[</w:t>
      </w:r>
      <w:r>
        <w:rPr>
          <w:b/>
        </w:rPr>
        <w:t>10.</w:t>
      </w:r>
      <w:r>
        <w:tab/>
        <w:t>Disallowed (see Gazette 6 Sep 1940 p. 1622).]</w:t>
      </w:r>
    </w:p>
    <w:p>
      <w:pPr>
        <w:pStyle w:val="Heading5"/>
        <w:spacing w:before="180"/>
        <w:rPr>
          <w:snapToGrid w:val="0"/>
        </w:rPr>
      </w:pPr>
      <w:bookmarkStart w:id="24" w:name="_Toc443638679"/>
      <w:r>
        <w:rPr>
          <w:rStyle w:val="CharSectno"/>
        </w:rPr>
        <w:t>10A</w:t>
      </w:r>
      <w:r>
        <w:rPr>
          <w:snapToGrid w:val="0"/>
        </w:rPr>
        <w:t>.</w:t>
      </w:r>
      <w:r>
        <w:rPr>
          <w:snapToGrid w:val="0"/>
        </w:rPr>
        <w:tab/>
        <w:t>Payment of dues and charges</w:t>
      </w:r>
      <w:bookmarkEnd w:id="24"/>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in Gazette 12 Jul 1957 p. 2269; amended in Gazette 19 May 1989 p. 1495; 24 Jun 2005 p. 2816; 22 Jul 2015 p. 2953.] </w:t>
      </w:r>
    </w:p>
    <w:p>
      <w:pPr>
        <w:pStyle w:val="Ednotesection"/>
        <w:spacing w:before="180"/>
      </w:pPr>
      <w:r>
        <w:t>[</w:t>
      </w:r>
      <w:r>
        <w:rPr>
          <w:b/>
        </w:rPr>
        <w:t>10B.</w:t>
      </w:r>
      <w:r>
        <w:tab/>
        <w:t xml:space="preserve">Deleted in Gazette 30 Jun 1995 p. 2699.] </w:t>
      </w:r>
    </w:p>
    <w:p>
      <w:pPr>
        <w:pStyle w:val="Ednotesection"/>
        <w:spacing w:before="180"/>
      </w:pPr>
      <w:r>
        <w:t>[</w:t>
      </w:r>
      <w:r>
        <w:rPr>
          <w:b/>
        </w:rPr>
        <w:t>10C.</w:t>
      </w:r>
      <w:r>
        <w:tab/>
        <w:t xml:space="preserve">Deleted in Gazette 24 Nov 1972 p. 4487.] </w:t>
      </w:r>
    </w:p>
    <w:p>
      <w:pPr>
        <w:pStyle w:val="Heading5"/>
        <w:spacing w:before="180"/>
        <w:rPr>
          <w:snapToGrid w:val="0"/>
        </w:rPr>
      </w:pPr>
      <w:bookmarkStart w:id="25" w:name="_Toc443638680"/>
      <w:r>
        <w:rPr>
          <w:rStyle w:val="CharSectno"/>
        </w:rPr>
        <w:t>11</w:t>
      </w:r>
      <w:r>
        <w:rPr>
          <w:snapToGrid w:val="0"/>
        </w:rPr>
        <w:t>.</w:t>
      </w:r>
      <w:r>
        <w:rPr>
          <w:snapToGrid w:val="0"/>
        </w:rPr>
        <w:tab/>
        <w:t>Charges for transhipment cargo</w:t>
      </w:r>
      <w:bookmarkEnd w:id="25"/>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in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in Gazette 24 Nov 1972 p. 4487.] </w:t>
      </w:r>
    </w:p>
    <w:p>
      <w:pPr>
        <w:pStyle w:val="Heading5"/>
        <w:rPr>
          <w:snapToGrid w:val="0"/>
        </w:rPr>
      </w:pPr>
      <w:bookmarkStart w:id="26" w:name="_Toc443638681"/>
      <w:r>
        <w:rPr>
          <w:rStyle w:val="CharSectno"/>
        </w:rPr>
        <w:t>11B</w:t>
      </w:r>
      <w:r>
        <w:rPr>
          <w:snapToGrid w:val="0"/>
        </w:rPr>
        <w:t>.</w:t>
      </w:r>
      <w:r>
        <w:rPr>
          <w:snapToGrid w:val="0"/>
        </w:rPr>
        <w:tab/>
        <w:t>Charges on vessels’ stores, including fuel oil</w:t>
      </w:r>
      <w:bookmarkEnd w:id="26"/>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1A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in Gazette 17 Mar 1960 p. 778; renumbered as regulation 11B in the reprint published in the Gazette 10 Dec 1974 p. 5291</w:t>
      </w:r>
      <w:r>
        <w:noBreakHyphen/>
        <w:t xml:space="preserve">318; amended in Gazette 24 Nov 1972 p. 4487; 15 Jun 1973 p. 2237; 19 May 1989 p. 1495; 30 Jun 1992 p. 2892; 29 Jun 1993 p. 3192; 30 Jun 1995 p. 2699; 20 Jun 2000 p. 3044; 24 Jun 2005 p. 2816-17; 22 Jun 2007 p. 2908.] </w:t>
      </w:r>
    </w:p>
    <w:p>
      <w:pPr>
        <w:pStyle w:val="Heading5"/>
        <w:rPr>
          <w:snapToGrid w:val="0"/>
        </w:rPr>
      </w:pPr>
      <w:bookmarkStart w:id="27" w:name="_Toc443638682"/>
      <w:r>
        <w:rPr>
          <w:rStyle w:val="CharSectno"/>
        </w:rPr>
        <w:t>12</w:t>
      </w:r>
      <w:r>
        <w:rPr>
          <w:snapToGrid w:val="0"/>
        </w:rPr>
        <w:t>.</w:t>
      </w:r>
      <w:r>
        <w:rPr>
          <w:snapToGrid w:val="0"/>
        </w:rPr>
        <w:tab/>
        <w:t>Charges to be paid before delivery of cargo</w:t>
      </w:r>
      <w:bookmarkEnd w:id="27"/>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in Gazette 19 May 1989 p. 1495.] </w:t>
      </w:r>
    </w:p>
    <w:p>
      <w:pPr>
        <w:pStyle w:val="Heading5"/>
        <w:rPr>
          <w:snapToGrid w:val="0"/>
        </w:rPr>
      </w:pPr>
      <w:bookmarkStart w:id="28" w:name="_Toc443638683"/>
      <w:r>
        <w:rPr>
          <w:rStyle w:val="CharSectno"/>
        </w:rPr>
        <w:t>13</w:t>
      </w:r>
      <w:r>
        <w:rPr>
          <w:snapToGrid w:val="0"/>
        </w:rPr>
        <w:t>.</w:t>
      </w:r>
      <w:r>
        <w:rPr>
          <w:snapToGrid w:val="0"/>
        </w:rPr>
        <w:tab/>
        <w:t>Extra charges</w:t>
      </w:r>
      <w:bookmarkEnd w:id="28"/>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in Gazette 15 Jun 1973 p. 2237; 19 May 1989 p. 1495.] </w:t>
      </w:r>
    </w:p>
    <w:p>
      <w:pPr>
        <w:pStyle w:val="Ednotesection"/>
      </w:pPr>
      <w:r>
        <w:t>[</w:t>
      </w:r>
      <w:r>
        <w:rPr>
          <w:b/>
        </w:rPr>
        <w:t>13A.</w:t>
      </w:r>
      <w:r>
        <w:tab/>
        <w:t xml:space="preserve">Deleted in Gazette 30 Jun 1995 p. 2699.] </w:t>
      </w:r>
    </w:p>
    <w:p>
      <w:pPr>
        <w:pStyle w:val="Heading3"/>
        <w:rPr>
          <w:snapToGrid w:val="0"/>
        </w:rPr>
      </w:pPr>
      <w:bookmarkStart w:id="29" w:name="_Toc440456991"/>
      <w:bookmarkStart w:id="30" w:name="_Toc443638684"/>
      <w:r>
        <w:rPr>
          <w:rStyle w:val="CharDivNo"/>
        </w:rPr>
        <w:t>Division 5</w:t>
      </w:r>
      <w:r>
        <w:rPr>
          <w:snapToGrid w:val="0"/>
        </w:rPr>
        <w:t> — </w:t>
      </w:r>
      <w:r>
        <w:rPr>
          <w:rStyle w:val="CharDivText"/>
        </w:rPr>
        <w:t>Handling of cargo</w:t>
      </w:r>
      <w:bookmarkEnd w:id="29"/>
      <w:bookmarkEnd w:id="30"/>
      <w:r>
        <w:rPr>
          <w:rStyle w:val="CharDivText"/>
        </w:rPr>
        <w:t xml:space="preserve"> </w:t>
      </w:r>
    </w:p>
    <w:p>
      <w:pPr>
        <w:pStyle w:val="Footnoteheading"/>
        <w:keepNext/>
      </w:pPr>
      <w:r>
        <w:tab/>
        <w:t xml:space="preserve">[Heading inserted in Gazette 19 May 1989 p. 1494.] </w:t>
      </w:r>
    </w:p>
    <w:p>
      <w:pPr>
        <w:pStyle w:val="Heading5"/>
        <w:keepNext w:val="0"/>
        <w:keepLines w:val="0"/>
        <w:rPr>
          <w:snapToGrid w:val="0"/>
        </w:rPr>
      </w:pPr>
      <w:bookmarkStart w:id="31" w:name="_Toc443638685"/>
      <w:r>
        <w:rPr>
          <w:rStyle w:val="CharSectno"/>
        </w:rPr>
        <w:t>14</w:t>
      </w:r>
      <w:r>
        <w:rPr>
          <w:snapToGrid w:val="0"/>
        </w:rPr>
        <w:t>.</w:t>
      </w:r>
      <w:r>
        <w:rPr>
          <w:snapToGrid w:val="0"/>
        </w:rPr>
        <w:tab/>
        <w:t>Cargo not to be placed on jetties or premises without authority</w:t>
      </w:r>
      <w:bookmarkEnd w:id="31"/>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in Gazette 3 Nov 1950 p. 2461; 19 May 1989 p. 1495.] </w:t>
      </w:r>
    </w:p>
    <w:p>
      <w:pPr>
        <w:pStyle w:val="Heading5"/>
        <w:spacing w:before="180"/>
        <w:rPr>
          <w:snapToGrid w:val="0"/>
        </w:rPr>
      </w:pPr>
      <w:bookmarkStart w:id="32" w:name="_Toc443638686"/>
      <w:r>
        <w:rPr>
          <w:rStyle w:val="CharSectno"/>
        </w:rPr>
        <w:t>15</w:t>
      </w:r>
      <w:r>
        <w:rPr>
          <w:snapToGrid w:val="0"/>
        </w:rPr>
        <w:t>.</w:t>
      </w:r>
      <w:r>
        <w:rPr>
          <w:snapToGrid w:val="0"/>
        </w:rPr>
        <w:tab/>
        <w:t>Discharging of cargo may be stopped</w:t>
      </w:r>
      <w:bookmarkEnd w:id="32"/>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in Gazette 19 May 1989 p. 1495.] </w:t>
      </w:r>
    </w:p>
    <w:p>
      <w:pPr>
        <w:pStyle w:val="Heading5"/>
        <w:keepNext w:val="0"/>
        <w:keepLines w:val="0"/>
        <w:spacing w:before="180"/>
        <w:rPr>
          <w:snapToGrid w:val="0"/>
        </w:rPr>
      </w:pPr>
      <w:bookmarkStart w:id="33" w:name="_Toc443638687"/>
      <w:r>
        <w:rPr>
          <w:rStyle w:val="CharSectno"/>
        </w:rPr>
        <w:t>16</w:t>
      </w:r>
      <w:r>
        <w:rPr>
          <w:snapToGrid w:val="0"/>
        </w:rPr>
        <w:t>.</w:t>
      </w:r>
      <w:r>
        <w:rPr>
          <w:snapToGrid w:val="0"/>
        </w:rPr>
        <w:tab/>
        <w:t>Goods not to be shifted without authority</w:t>
      </w:r>
      <w:bookmarkEnd w:id="33"/>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in Gazette 19 May 1989 p. 1495.] </w:t>
      </w:r>
    </w:p>
    <w:p>
      <w:pPr>
        <w:pStyle w:val="Heading5"/>
        <w:keepLines w:val="0"/>
        <w:spacing w:before="180"/>
        <w:rPr>
          <w:snapToGrid w:val="0"/>
        </w:rPr>
      </w:pPr>
      <w:bookmarkStart w:id="34" w:name="_Toc443638688"/>
      <w:r>
        <w:rPr>
          <w:rStyle w:val="CharSectno"/>
        </w:rPr>
        <w:t>17</w:t>
      </w:r>
      <w:r>
        <w:rPr>
          <w:snapToGrid w:val="0"/>
        </w:rPr>
        <w:t>.</w:t>
      </w:r>
      <w:r>
        <w:rPr>
          <w:snapToGrid w:val="0"/>
        </w:rPr>
        <w:tab/>
        <w:t>Bulk cargo not to be deposited without authority</w:t>
      </w:r>
      <w:bookmarkEnd w:id="34"/>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in Gazette 19 May 1989 p. 1495.] </w:t>
      </w:r>
    </w:p>
    <w:p>
      <w:pPr>
        <w:pStyle w:val="Heading5"/>
        <w:spacing w:before="180"/>
        <w:rPr>
          <w:snapToGrid w:val="0"/>
        </w:rPr>
      </w:pPr>
      <w:bookmarkStart w:id="35" w:name="_Toc443638689"/>
      <w:r>
        <w:rPr>
          <w:rStyle w:val="CharSectno"/>
        </w:rPr>
        <w:t>18</w:t>
      </w:r>
      <w:r>
        <w:rPr>
          <w:snapToGrid w:val="0"/>
        </w:rPr>
        <w:t>.</w:t>
      </w:r>
      <w:r>
        <w:rPr>
          <w:snapToGrid w:val="0"/>
        </w:rPr>
        <w:tab/>
        <w:t>Outward cargo advice notes</w:t>
      </w:r>
      <w:bookmarkEnd w:id="35"/>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in Gazette 19 May 1989 p. 1495.] </w:t>
      </w:r>
    </w:p>
    <w:p>
      <w:pPr>
        <w:pStyle w:val="Heading5"/>
        <w:spacing w:before="180"/>
        <w:rPr>
          <w:snapToGrid w:val="0"/>
        </w:rPr>
      </w:pPr>
      <w:bookmarkStart w:id="36" w:name="_Toc443638690"/>
      <w:r>
        <w:rPr>
          <w:rStyle w:val="CharSectno"/>
        </w:rPr>
        <w:t>19</w:t>
      </w:r>
      <w:r>
        <w:rPr>
          <w:snapToGrid w:val="0"/>
        </w:rPr>
        <w:t>.</w:t>
      </w:r>
      <w:r>
        <w:rPr>
          <w:snapToGrid w:val="0"/>
        </w:rPr>
        <w:tab/>
        <w:t>Outward cargo</w:t>
      </w:r>
      <w:bookmarkEnd w:id="36"/>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in Gazette 19 Jul 1956 p. 1781; 19 May 1989 p. 1495.] </w:t>
      </w:r>
    </w:p>
    <w:p>
      <w:pPr>
        <w:pStyle w:val="Heading5"/>
        <w:spacing w:before="180"/>
        <w:rPr>
          <w:snapToGrid w:val="0"/>
        </w:rPr>
      </w:pPr>
      <w:bookmarkStart w:id="37" w:name="_Toc443638691"/>
      <w:r>
        <w:rPr>
          <w:rStyle w:val="CharSectno"/>
        </w:rPr>
        <w:t>20</w:t>
      </w:r>
      <w:r>
        <w:rPr>
          <w:snapToGrid w:val="0"/>
        </w:rPr>
        <w:t>.</w:t>
      </w:r>
      <w:r>
        <w:rPr>
          <w:snapToGrid w:val="0"/>
        </w:rPr>
        <w:tab/>
        <w:t>Dangerous cargo not to be shipped without permission</w:t>
      </w:r>
      <w:bookmarkEnd w:id="37"/>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in Gazette 19 May 1989 p. 1495.] </w:t>
      </w:r>
    </w:p>
    <w:p>
      <w:pPr>
        <w:pStyle w:val="Heading5"/>
        <w:spacing w:before="180"/>
        <w:rPr>
          <w:snapToGrid w:val="0"/>
        </w:rPr>
      </w:pPr>
      <w:bookmarkStart w:id="38" w:name="_Toc443638692"/>
      <w:r>
        <w:rPr>
          <w:rStyle w:val="CharSectno"/>
        </w:rPr>
        <w:t>21</w:t>
      </w:r>
      <w:r>
        <w:rPr>
          <w:snapToGrid w:val="0"/>
        </w:rPr>
        <w:t>.</w:t>
      </w:r>
      <w:r>
        <w:rPr>
          <w:snapToGrid w:val="0"/>
        </w:rPr>
        <w:tab/>
        <w:t>Dangerous cargo may be refused or examined</w:t>
      </w:r>
      <w:bookmarkEnd w:id="38"/>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in Gazette 19 May 1989 p. 1495.] </w:t>
      </w:r>
    </w:p>
    <w:p>
      <w:pPr>
        <w:pStyle w:val="Heading5"/>
        <w:spacing w:before="180"/>
        <w:rPr>
          <w:snapToGrid w:val="0"/>
        </w:rPr>
      </w:pPr>
      <w:bookmarkStart w:id="39" w:name="_Toc443638693"/>
      <w:r>
        <w:rPr>
          <w:rStyle w:val="CharSectno"/>
        </w:rPr>
        <w:t>22</w:t>
      </w:r>
      <w:r>
        <w:rPr>
          <w:snapToGrid w:val="0"/>
        </w:rPr>
        <w:t>.</w:t>
      </w:r>
      <w:r>
        <w:rPr>
          <w:snapToGrid w:val="0"/>
        </w:rPr>
        <w:tab/>
        <w:t>Marking of heavy packages</w:t>
      </w:r>
      <w:bookmarkEnd w:id="3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in Gazette 15 Jun 1973 p. 2237; 19 May 1989 p. 1495.] </w:t>
      </w:r>
    </w:p>
    <w:p>
      <w:pPr>
        <w:pStyle w:val="Heading5"/>
        <w:rPr>
          <w:snapToGrid w:val="0"/>
        </w:rPr>
      </w:pPr>
      <w:bookmarkStart w:id="40" w:name="_Toc443638694"/>
      <w:r>
        <w:rPr>
          <w:rStyle w:val="CharSectno"/>
        </w:rPr>
        <w:t>23</w:t>
      </w:r>
      <w:r>
        <w:rPr>
          <w:snapToGrid w:val="0"/>
        </w:rPr>
        <w:t>.</w:t>
      </w:r>
      <w:r>
        <w:rPr>
          <w:snapToGrid w:val="0"/>
        </w:rPr>
        <w:tab/>
        <w:t>False statements</w:t>
      </w:r>
      <w:bookmarkEnd w:id="40"/>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in Gazette 19 May 1989 p. 1495.] </w:t>
      </w:r>
    </w:p>
    <w:p>
      <w:pPr>
        <w:pStyle w:val="Heading3"/>
        <w:rPr>
          <w:snapToGrid w:val="0"/>
        </w:rPr>
      </w:pPr>
      <w:bookmarkStart w:id="41" w:name="_Toc440457002"/>
      <w:bookmarkStart w:id="42" w:name="_Toc443638695"/>
      <w:r>
        <w:rPr>
          <w:rStyle w:val="CharDivNo"/>
        </w:rPr>
        <w:t>Division 6</w:t>
      </w:r>
      <w:r>
        <w:rPr>
          <w:snapToGrid w:val="0"/>
        </w:rPr>
        <w:t> — </w:t>
      </w:r>
      <w:r>
        <w:rPr>
          <w:rStyle w:val="CharDivText"/>
        </w:rPr>
        <w:t>Receipt, delivery and storage of cargo</w:t>
      </w:r>
      <w:bookmarkEnd w:id="41"/>
      <w:bookmarkEnd w:id="42"/>
      <w:r>
        <w:rPr>
          <w:rStyle w:val="CharDivText"/>
        </w:rPr>
        <w:t xml:space="preserve"> </w:t>
      </w:r>
    </w:p>
    <w:p>
      <w:pPr>
        <w:pStyle w:val="Footnoteheading"/>
      </w:pPr>
      <w:r>
        <w:tab/>
        <w:t xml:space="preserve">[Heading inserted in Gazette 19 May 1989 p. 1494.] </w:t>
      </w:r>
    </w:p>
    <w:p>
      <w:pPr>
        <w:pStyle w:val="Heading5"/>
        <w:spacing w:before="160"/>
        <w:rPr>
          <w:snapToGrid w:val="0"/>
        </w:rPr>
      </w:pPr>
      <w:bookmarkStart w:id="43" w:name="_Toc443638696"/>
      <w:r>
        <w:rPr>
          <w:rStyle w:val="CharSectno"/>
        </w:rPr>
        <w:t>24</w:t>
      </w:r>
      <w:r>
        <w:rPr>
          <w:snapToGrid w:val="0"/>
        </w:rPr>
        <w:t>.</w:t>
      </w:r>
      <w:r>
        <w:rPr>
          <w:snapToGrid w:val="0"/>
        </w:rPr>
        <w:tab/>
        <w:t>Removal of cargo</w:t>
      </w:r>
      <w:bookmarkEnd w:id="43"/>
      <w:r>
        <w:rPr>
          <w:snapToGrid w:val="0"/>
        </w:rPr>
        <w:t xml:space="preserve"> </w:t>
      </w:r>
    </w:p>
    <w:p>
      <w:pPr>
        <w:pStyle w:val="Subsection"/>
        <w:rPr>
          <w:snapToGrid w:val="0"/>
        </w:rPr>
      </w:pPr>
      <w:r>
        <w:rPr>
          <w:snapToGrid w:val="0"/>
        </w:rPr>
        <w:tab/>
        <w:t>(1)</w:t>
      </w:r>
      <w:r>
        <w:rPr>
          <w:snapToGrid w:val="0"/>
        </w:rPr>
        <w:tab/>
        <w:t>The officer in charge shall, as early as possible, remove all cargo landed on a jetty to the goods shed, or other convenient place.</w:t>
      </w:r>
    </w:p>
    <w:p>
      <w:pPr>
        <w:pStyle w:val="Subsection"/>
        <w:keepNext/>
        <w:keepLines/>
        <w:rPr>
          <w:snapToGrid w:val="0"/>
        </w:rPr>
      </w:pPr>
      <w:r>
        <w:rPr>
          <w:snapToGrid w:val="0"/>
        </w:rPr>
        <w:tab/>
        <w:t>(2)</w:t>
      </w:r>
      <w:r>
        <w:rPr>
          <w:snapToGrid w:val="0"/>
        </w:rPr>
        <w:tab/>
        <w:t>Subject to subregulation (3) a consignee shall take delivery of and remove his cargo from the goods shed or yard within 3 days of the cargo being received into the goods shed or yard unless otherwise directed by the Minister.</w:t>
      </w:r>
    </w:p>
    <w:p>
      <w:pPr>
        <w:pStyle w:val="Subsection"/>
        <w:rPr>
          <w:snapToGrid w:val="0"/>
        </w:rPr>
      </w:pPr>
      <w:r>
        <w:rPr>
          <w:snapToGrid w:val="0"/>
        </w:rPr>
        <w:tab/>
        <w:t>(3)</w:t>
      </w:r>
      <w:r>
        <w:rPr>
          <w:snapToGrid w:val="0"/>
        </w:rPr>
        <w:tab/>
        <w:t xml:space="preserve">Cargo consigned through the ports of </w:t>
      </w:r>
      <w:smartTag w:uri="urn:schemas-microsoft-com:office:smarttags" w:element="place">
        <w:smartTag w:uri="urn:schemas-microsoft-com:office:smarttags" w:element="City">
          <w:r>
            <w:rPr>
              <w:snapToGrid w:val="0"/>
            </w:rPr>
            <w:t>Derby</w:t>
          </w:r>
        </w:smartTag>
      </w:smartTag>
      <w:r>
        <w:rPr>
          <w:snapToGrid w:val="0"/>
        </w:rPr>
        <w:t xml:space="preserve"> and Wyndham for delivery to stations or other isolated consignees outside those townsites, shall take delivery of and remove their cargo from the goods shed or yard within 7 days of it being received into the goods shed or yard.</w:t>
      </w:r>
    </w:p>
    <w:p>
      <w:pPr>
        <w:pStyle w:val="Footnotesection"/>
      </w:pPr>
      <w:r>
        <w:tab/>
        <w:t xml:space="preserve">[Regulation 24 inserted in Gazette 19 Oct 1973 p. 3818; amended in Gazette 19 May 1989 p. 1495; 20 Jun 2000 p. 3044.] </w:t>
      </w:r>
    </w:p>
    <w:p>
      <w:pPr>
        <w:pStyle w:val="Heading5"/>
        <w:spacing w:before="180"/>
        <w:rPr>
          <w:snapToGrid w:val="0"/>
        </w:rPr>
      </w:pPr>
      <w:bookmarkStart w:id="44" w:name="_Toc443638697"/>
      <w:r>
        <w:rPr>
          <w:rStyle w:val="CharSectno"/>
        </w:rPr>
        <w:t>25</w:t>
      </w:r>
      <w:r>
        <w:rPr>
          <w:snapToGrid w:val="0"/>
        </w:rPr>
        <w:t>.</w:t>
      </w:r>
      <w:r>
        <w:rPr>
          <w:snapToGrid w:val="0"/>
        </w:rPr>
        <w:tab/>
        <w:t>Storage charges</w:t>
      </w:r>
      <w:bookmarkEnd w:id="44"/>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in Gazette 19 Oct 1973 p. 3818; amended in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in Gazette 24 Nov 1972 p. 4487.] </w:t>
      </w:r>
    </w:p>
    <w:p>
      <w:pPr>
        <w:pStyle w:val="Heading5"/>
        <w:pageBreakBefore/>
        <w:spacing w:before="0"/>
        <w:rPr>
          <w:snapToGrid w:val="0"/>
        </w:rPr>
      </w:pPr>
      <w:bookmarkStart w:id="45" w:name="_Toc443638698"/>
      <w:r>
        <w:rPr>
          <w:rStyle w:val="CharSectno"/>
        </w:rPr>
        <w:t>26</w:t>
      </w:r>
      <w:r>
        <w:rPr>
          <w:snapToGrid w:val="0"/>
        </w:rPr>
        <w:t>.</w:t>
      </w:r>
      <w:r>
        <w:rPr>
          <w:snapToGrid w:val="0"/>
        </w:rPr>
        <w:tab/>
        <w:t>Department not bound to find storage accommodation</w:t>
      </w:r>
      <w:bookmarkEnd w:id="45"/>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in Gazette 19 May 1989 p. 1495.] </w:t>
      </w:r>
    </w:p>
    <w:p>
      <w:pPr>
        <w:pStyle w:val="Heading5"/>
        <w:rPr>
          <w:snapToGrid w:val="0"/>
        </w:rPr>
      </w:pPr>
      <w:bookmarkStart w:id="46" w:name="_Toc443638699"/>
      <w:r>
        <w:rPr>
          <w:rStyle w:val="CharSectno"/>
        </w:rPr>
        <w:t>27</w:t>
      </w:r>
      <w:r>
        <w:rPr>
          <w:snapToGrid w:val="0"/>
        </w:rPr>
        <w:t>.</w:t>
      </w:r>
      <w:r>
        <w:rPr>
          <w:snapToGrid w:val="0"/>
        </w:rPr>
        <w:tab/>
        <w:t>Goods may be disposed of</w:t>
      </w:r>
      <w:bookmarkEnd w:id="46"/>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in Gazette 19 May 1989 p. 1495.] </w:t>
      </w:r>
    </w:p>
    <w:p>
      <w:pPr>
        <w:pStyle w:val="Heading5"/>
        <w:spacing w:before="180"/>
        <w:rPr>
          <w:snapToGrid w:val="0"/>
        </w:rPr>
      </w:pPr>
      <w:bookmarkStart w:id="47" w:name="_Toc443638700"/>
      <w:r>
        <w:rPr>
          <w:rStyle w:val="CharSectno"/>
        </w:rPr>
        <w:t>28</w:t>
      </w:r>
      <w:r>
        <w:rPr>
          <w:snapToGrid w:val="0"/>
        </w:rPr>
        <w:t>.</w:t>
      </w:r>
      <w:r>
        <w:rPr>
          <w:snapToGrid w:val="0"/>
        </w:rPr>
        <w:tab/>
        <w:t>Goods to be checked before delivery</w:t>
      </w:r>
      <w:bookmarkEnd w:id="47"/>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in Gazette 19 May 1989 p. 1495.] </w:t>
      </w:r>
    </w:p>
    <w:p>
      <w:pPr>
        <w:pStyle w:val="Heading5"/>
        <w:rPr>
          <w:snapToGrid w:val="0"/>
        </w:rPr>
      </w:pPr>
      <w:bookmarkStart w:id="48" w:name="_Toc443638701"/>
      <w:r>
        <w:rPr>
          <w:rStyle w:val="CharSectno"/>
        </w:rPr>
        <w:t>29</w:t>
      </w:r>
      <w:r>
        <w:rPr>
          <w:snapToGrid w:val="0"/>
        </w:rPr>
        <w:t>.</w:t>
      </w:r>
      <w:r>
        <w:rPr>
          <w:snapToGrid w:val="0"/>
        </w:rPr>
        <w:tab/>
        <w:t>Delay in delivery</w:t>
      </w:r>
      <w:bookmarkEnd w:id="48"/>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in Gazette 19 May 1989 p. 1495.] </w:t>
      </w:r>
    </w:p>
    <w:p>
      <w:pPr>
        <w:pStyle w:val="Heading5"/>
        <w:rPr>
          <w:snapToGrid w:val="0"/>
        </w:rPr>
      </w:pPr>
      <w:bookmarkStart w:id="49" w:name="_Toc443638702"/>
      <w:r>
        <w:rPr>
          <w:rStyle w:val="CharSectno"/>
        </w:rPr>
        <w:t>30</w:t>
      </w:r>
      <w:r>
        <w:rPr>
          <w:snapToGrid w:val="0"/>
        </w:rPr>
        <w:t>.</w:t>
      </w:r>
      <w:r>
        <w:rPr>
          <w:snapToGrid w:val="0"/>
        </w:rPr>
        <w:tab/>
        <w:t>Wrong delivery</w:t>
      </w:r>
      <w:bookmarkEnd w:id="4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in Gazette 19 May 1989 p. 1495.] </w:t>
      </w:r>
    </w:p>
    <w:p>
      <w:pPr>
        <w:pStyle w:val="Heading3"/>
        <w:rPr>
          <w:snapToGrid w:val="0"/>
        </w:rPr>
      </w:pPr>
      <w:bookmarkStart w:id="50" w:name="_Toc440457010"/>
      <w:bookmarkStart w:id="51" w:name="_Toc443638703"/>
      <w:r>
        <w:rPr>
          <w:rStyle w:val="CharDivNo"/>
        </w:rPr>
        <w:t>Division 7</w:t>
      </w:r>
      <w:r>
        <w:rPr>
          <w:snapToGrid w:val="0"/>
        </w:rPr>
        <w:t> — </w:t>
      </w:r>
      <w:r>
        <w:rPr>
          <w:rStyle w:val="CharDivText"/>
        </w:rPr>
        <w:t>Responsibility of Department</w:t>
      </w:r>
      <w:bookmarkEnd w:id="50"/>
      <w:bookmarkEnd w:id="51"/>
      <w:r>
        <w:rPr>
          <w:rStyle w:val="CharDivText"/>
        </w:rPr>
        <w:t xml:space="preserve"> </w:t>
      </w:r>
    </w:p>
    <w:p>
      <w:pPr>
        <w:pStyle w:val="Footnoteheading"/>
      </w:pPr>
      <w:r>
        <w:tab/>
        <w:t xml:space="preserve">[Heading inserted in Gazette of 19 May 1989 p. 1494.] </w:t>
      </w:r>
    </w:p>
    <w:p>
      <w:pPr>
        <w:pStyle w:val="Heading5"/>
        <w:spacing w:before="180"/>
        <w:rPr>
          <w:snapToGrid w:val="0"/>
        </w:rPr>
      </w:pPr>
      <w:bookmarkStart w:id="52" w:name="_Toc443638704"/>
      <w:r>
        <w:rPr>
          <w:rStyle w:val="CharSectno"/>
        </w:rPr>
        <w:t>31</w:t>
      </w:r>
      <w:r>
        <w:rPr>
          <w:snapToGrid w:val="0"/>
        </w:rPr>
        <w:t>.</w:t>
      </w:r>
      <w:r>
        <w:rPr>
          <w:snapToGrid w:val="0"/>
        </w:rPr>
        <w:tab/>
        <w:t>Custody of cargo</w:t>
      </w:r>
      <w:bookmarkEnd w:id="52"/>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in Gazette 19 May 1989 p. 1495.] </w:t>
      </w:r>
    </w:p>
    <w:p>
      <w:pPr>
        <w:pStyle w:val="Heading5"/>
        <w:spacing w:before="180"/>
        <w:rPr>
          <w:snapToGrid w:val="0"/>
        </w:rPr>
      </w:pPr>
      <w:bookmarkStart w:id="53" w:name="_Toc443638705"/>
      <w:r>
        <w:rPr>
          <w:rStyle w:val="CharSectno"/>
        </w:rPr>
        <w:t>32</w:t>
      </w:r>
      <w:r>
        <w:rPr>
          <w:snapToGrid w:val="0"/>
        </w:rPr>
        <w:t>.</w:t>
      </w:r>
      <w:r>
        <w:rPr>
          <w:snapToGrid w:val="0"/>
        </w:rPr>
        <w:tab/>
        <w:t>Goods without receipts</w:t>
      </w:r>
      <w:bookmarkEnd w:id="53"/>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in Gazette 19 May 1989 p. 1495.] </w:t>
      </w:r>
    </w:p>
    <w:p>
      <w:pPr>
        <w:pStyle w:val="Heading5"/>
        <w:spacing w:before="180"/>
        <w:rPr>
          <w:snapToGrid w:val="0"/>
        </w:rPr>
      </w:pPr>
      <w:bookmarkStart w:id="54" w:name="_Toc443638706"/>
      <w:r>
        <w:rPr>
          <w:rStyle w:val="CharSectno"/>
        </w:rPr>
        <w:t>33</w:t>
      </w:r>
      <w:r>
        <w:rPr>
          <w:snapToGrid w:val="0"/>
        </w:rPr>
        <w:t>.</w:t>
      </w:r>
      <w:r>
        <w:rPr>
          <w:snapToGrid w:val="0"/>
        </w:rPr>
        <w:tab/>
        <w:t>Goods stacked on jetties</w:t>
      </w:r>
      <w:bookmarkEnd w:id="54"/>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in Gazette 19 May 1989 p. 1495.] </w:t>
      </w:r>
    </w:p>
    <w:p>
      <w:pPr>
        <w:pStyle w:val="Heading5"/>
        <w:rPr>
          <w:snapToGrid w:val="0"/>
        </w:rPr>
      </w:pPr>
      <w:bookmarkStart w:id="55" w:name="_Toc443638707"/>
      <w:r>
        <w:rPr>
          <w:rStyle w:val="CharSectno"/>
        </w:rPr>
        <w:t>34</w:t>
      </w:r>
      <w:r>
        <w:rPr>
          <w:snapToGrid w:val="0"/>
        </w:rPr>
        <w:t>.</w:t>
      </w:r>
      <w:r>
        <w:rPr>
          <w:snapToGrid w:val="0"/>
        </w:rPr>
        <w:tab/>
        <w:t>Cargo damaged by fire etc.</w:t>
      </w:r>
      <w:bookmarkEnd w:id="55"/>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in Gazette 19 May 1989 p. 1495.] </w:t>
      </w:r>
    </w:p>
    <w:p>
      <w:pPr>
        <w:pStyle w:val="Heading5"/>
        <w:rPr>
          <w:snapToGrid w:val="0"/>
        </w:rPr>
      </w:pPr>
      <w:bookmarkStart w:id="56" w:name="_Toc443638708"/>
      <w:r>
        <w:rPr>
          <w:rStyle w:val="CharSectno"/>
        </w:rPr>
        <w:t>35</w:t>
      </w:r>
      <w:r>
        <w:rPr>
          <w:snapToGrid w:val="0"/>
        </w:rPr>
        <w:t>.</w:t>
      </w:r>
      <w:r>
        <w:rPr>
          <w:snapToGrid w:val="0"/>
        </w:rPr>
        <w:tab/>
        <w:t>Goods insufficiently packed</w:t>
      </w:r>
      <w:bookmarkEnd w:id="56"/>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in Gazette 19 May 1989 p. 1495.] </w:t>
      </w:r>
    </w:p>
    <w:p>
      <w:pPr>
        <w:pStyle w:val="Heading5"/>
        <w:rPr>
          <w:snapToGrid w:val="0"/>
        </w:rPr>
      </w:pPr>
      <w:bookmarkStart w:id="57" w:name="_Toc443638709"/>
      <w:r>
        <w:rPr>
          <w:rStyle w:val="CharSectno"/>
        </w:rPr>
        <w:t>36</w:t>
      </w:r>
      <w:r>
        <w:rPr>
          <w:snapToGrid w:val="0"/>
        </w:rPr>
        <w:t>.</w:t>
      </w:r>
      <w:r>
        <w:rPr>
          <w:snapToGrid w:val="0"/>
        </w:rPr>
        <w:tab/>
        <w:t>Claims in respect of cargo</w:t>
      </w:r>
      <w:bookmarkEnd w:id="57"/>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in Gazette 24 Nov 1972 p. 4487; 19 May 1989 p. 1495.] </w:t>
      </w:r>
    </w:p>
    <w:p>
      <w:pPr>
        <w:pStyle w:val="Heading3"/>
        <w:keepLines/>
        <w:spacing w:before="180"/>
        <w:rPr>
          <w:snapToGrid w:val="0"/>
        </w:rPr>
      </w:pPr>
      <w:bookmarkStart w:id="58" w:name="_Toc440457017"/>
      <w:bookmarkStart w:id="59" w:name="_Toc443638710"/>
      <w:r>
        <w:rPr>
          <w:rStyle w:val="CharDivNo"/>
        </w:rPr>
        <w:t>Division 8</w:t>
      </w:r>
      <w:r>
        <w:rPr>
          <w:snapToGrid w:val="0"/>
        </w:rPr>
        <w:t> — </w:t>
      </w:r>
      <w:r>
        <w:rPr>
          <w:rStyle w:val="CharDivText"/>
        </w:rPr>
        <w:t>Working hours</w:t>
      </w:r>
      <w:bookmarkEnd w:id="58"/>
      <w:bookmarkEnd w:id="59"/>
      <w:r>
        <w:rPr>
          <w:rStyle w:val="CharDivText"/>
        </w:rPr>
        <w:t xml:space="preserve"> </w:t>
      </w:r>
    </w:p>
    <w:p>
      <w:pPr>
        <w:pStyle w:val="Footnoteheading"/>
        <w:keepNext/>
        <w:keepLines/>
      </w:pPr>
      <w:r>
        <w:tab/>
        <w:t xml:space="preserve">[Heading inserted in Gazette 19 May 1989 p. 1494.] </w:t>
      </w:r>
    </w:p>
    <w:p>
      <w:pPr>
        <w:pStyle w:val="Heading5"/>
        <w:spacing w:before="180"/>
        <w:rPr>
          <w:snapToGrid w:val="0"/>
        </w:rPr>
      </w:pPr>
      <w:bookmarkStart w:id="60" w:name="_Toc443638711"/>
      <w:r>
        <w:rPr>
          <w:rStyle w:val="CharSectno"/>
        </w:rPr>
        <w:t>37</w:t>
      </w:r>
      <w:r>
        <w:rPr>
          <w:snapToGrid w:val="0"/>
        </w:rPr>
        <w:t>.</w:t>
      </w:r>
      <w:r>
        <w:rPr>
          <w:snapToGrid w:val="0"/>
        </w:rPr>
        <w:tab/>
        <w:t>Ordinary time</w:t>
      </w:r>
      <w:bookmarkEnd w:id="60"/>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in Gazette 17 Mar 1960 p. 778; 19 May 1989 p. 1495.] </w:t>
      </w:r>
    </w:p>
    <w:p>
      <w:pPr>
        <w:pStyle w:val="Heading5"/>
        <w:spacing w:before="180"/>
        <w:rPr>
          <w:snapToGrid w:val="0"/>
        </w:rPr>
      </w:pPr>
      <w:bookmarkStart w:id="61" w:name="_Toc443638712"/>
      <w:r>
        <w:rPr>
          <w:rStyle w:val="CharSectno"/>
        </w:rPr>
        <w:t>38</w:t>
      </w:r>
      <w:r>
        <w:rPr>
          <w:snapToGrid w:val="0"/>
        </w:rPr>
        <w:t>.</w:t>
      </w:r>
      <w:r>
        <w:rPr>
          <w:snapToGrid w:val="0"/>
        </w:rPr>
        <w:tab/>
        <w:t>Overtime</w:t>
      </w:r>
      <w:bookmarkEnd w:id="61"/>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in Gazette 19 May 1989 p. 1495.] </w:t>
      </w:r>
    </w:p>
    <w:p>
      <w:pPr>
        <w:pStyle w:val="Heading5"/>
        <w:spacing w:before="180"/>
        <w:rPr>
          <w:snapToGrid w:val="0"/>
        </w:rPr>
      </w:pPr>
      <w:bookmarkStart w:id="62" w:name="_Toc443638713"/>
      <w:r>
        <w:rPr>
          <w:rStyle w:val="CharSectno"/>
        </w:rPr>
        <w:t>38A</w:t>
      </w:r>
      <w:r>
        <w:rPr>
          <w:snapToGrid w:val="0"/>
        </w:rPr>
        <w:t>.</w:t>
      </w:r>
      <w:r>
        <w:rPr>
          <w:snapToGrid w:val="0"/>
        </w:rPr>
        <w:tab/>
        <w:t>Wages incurred through ships’ delays to be paid for</w:t>
      </w:r>
      <w:bookmarkEnd w:id="62"/>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in Gazette 12 Jul 1957 p. 2271; amended in Gazette 19 May 1989 p. 1495.] </w:t>
      </w:r>
    </w:p>
    <w:p>
      <w:pPr>
        <w:pStyle w:val="Heading5"/>
        <w:rPr>
          <w:snapToGrid w:val="0"/>
        </w:rPr>
      </w:pPr>
      <w:bookmarkStart w:id="63" w:name="_Toc443638714"/>
      <w:r>
        <w:rPr>
          <w:rStyle w:val="CharSectno"/>
        </w:rPr>
        <w:t>39</w:t>
      </w:r>
      <w:r>
        <w:rPr>
          <w:snapToGrid w:val="0"/>
        </w:rPr>
        <w:t>.</w:t>
      </w:r>
      <w:r>
        <w:rPr>
          <w:snapToGrid w:val="0"/>
        </w:rPr>
        <w:tab/>
        <w:t>Master to give notice of desire to work</w:t>
      </w:r>
      <w:bookmarkEnd w:id="63"/>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in Gazette 19 May 1989 p. 1495.] </w:t>
      </w:r>
    </w:p>
    <w:p>
      <w:pPr>
        <w:pStyle w:val="Heading3"/>
        <w:rPr>
          <w:snapToGrid w:val="0"/>
        </w:rPr>
      </w:pPr>
      <w:bookmarkStart w:id="64" w:name="_Toc440457022"/>
      <w:bookmarkStart w:id="65" w:name="_Toc443638715"/>
      <w:r>
        <w:rPr>
          <w:rStyle w:val="CharDivNo"/>
        </w:rPr>
        <w:t>Division 9</w:t>
      </w:r>
      <w:r>
        <w:rPr>
          <w:snapToGrid w:val="0"/>
        </w:rPr>
        <w:t> — </w:t>
      </w:r>
      <w:r>
        <w:rPr>
          <w:rStyle w:val="CharDivText"/>
        </w:rPr>
        <w:t>Livestock or vehicles on jetties or premises</w:t>
      </w:r>
      <w:bookmarkEnd w:id="64"/>
      <w:bookmarkEnd w:id="65"/>
      <w:r>
        <w:rPr>
          <w:rStyle w:val="CharDivText"/>
        </w:rPr>
        <w:t xml:space="preserve"> </w:t>
      </w:r>
    </w:p>
    <w:p>
      <w:pPr>
        <w:pStyle w:val="Footnoteheading"/>
      </w:pPr>
      <w:r>
        <w:tab/>
        <w:t xml:space="preserve">[Heading inserted in Gazette 19 May 1989 p. 1494.] </w:t>
      </w:r>
    </w:p>
    <w:p>
      <w:pPr>
        <w:pStyle w:val="Heading5"/>
        <w:rPr>
          <w:snapToGrid w:val="0"/>
        </w:rPr>
      </w:pPr>
      <w:bookmarkStart w:id="66" w:name="_Toc443638716"/>
      <w:r>
        <w:rPr>
          <w:rStyle w:val="CharSectno"/>
        </w:rPr>
        <w:t>40</w:t>
      </w:r>
      <w:r>
        <w:rPr>
          <w:snapToGrid w:val="0"/>
        </w:rPr>
        <w:t>.</w:t>
      </w:r>
      <w:r>
        <w:rPr>
          <w:snapToGrid w:val="0"/>
        </w:rPr>
        <w:tab/>
        <w:t>Livestock on jetties or premises</w:t>
      </w:r>
      <w:bookmarkEnd w:id="66"/>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in Gazette 19 May 1989 p. 1495.] </w:t>
      </w:r>
    </w:p>
    <w:p>
      <w:pPr>
        <w:pStyle w:val="Heading5"/>
        <w:rPr>
          <w:snapToGrid w:val="0"/>
        </w:rPr>
      </w:pPr>
      <w:bookmarkStart w:id="67" w:name="_Toc443638717"/>
      <w:r>
        <w:rPr>
          <w:rStyle w:val="CharSectno"/>
        </w:rPr>
        <w:t>41</w:t>
      </w:r>
      <w:r>
        <w:rPr>
          <w:snapToGrid w:val="0"/>
        </w:rPr>
        <w:t>.</w:t>
      </w:r>
      <w:r>
        <w:rPr>
          <w:snapToGrid w:val="0"/>
        </w:rPr>
        <w:tab/>
        <w:t>Riding vehicles etc. on jetties or premises</w:t>
      </w:r>
      <w:bookmarkEnd w:id="67"/>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in Gazette 17 Mar 1960 p. 779; 19 May 1989 p. 1495.] </w:t>
      </w:r>
    </w:p>
    <w:p>
      <w:pPr>
        <w:pStyle w:val="Heading5"/>
        <w:rPr>
          <w:snapToGrid w:val="0"/>
        </w:rPr>
      </w:pPr>
      <w:bookmarkStart w:id="68" w:name="_Toc443638718"/>
      <w:r>
        <w:rPr>
          <w:rStyle w:val="CharSectno"/>
        </w:rPr>
        <w:t>41A</w:t>
      </w:r>
      <w:r>
        <w:rPr>
          <w:snapToGrid w:val="0"/>
        </w:rPr>
        <w:t>.</w:t>
      </w:r>
      <w:r>
        <w:rPr>
          <w:snapToGrid w:val="0"/>
        </w:rPr>
        <w:tab/>
        <w:t>Vehicles not to be parked on jetties</w:t>
      </w:r>
      <w:bookmarkEnd w:id="68"/>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in Gazette 17 Mar 1960 p. 779; amended in Gazette 19 May 1989 p. 1495.] </w:t>
      </w:r>
    </w:p>
    <w:p>
      <w:pPr>
        <w:pStyle w:val="Heading5"/>
        <w:rPr>
          <w:snapToGrid w:val="0"/>
        </w:rPr>
      </w:pPr>
      <w:bookmarkStart w:id="69" w:name="_Toc443638719"/>
      <w:r>
        <w:rPr>
          <w:rStyle w:val="CharSectno"/>
        </w:rPr>
        <w:t>41B</w:t>
      </w:r>
      <w:r>
        <w:rPr>
          <w:snapToGrid w:val="0"/>
        </w:rPr>
        <w:t>.</w:t>
      </w:r>
      <w:r>
        <w:rPr>
          <w:snapToGrid w:val="0"/>
        </w:rPr>
        <w:tab/>
        <w:t>Department not responsible for vehicles on jetties</w:t>
      </w:r>
      <w:bookmarkEnd w:id="69"/>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in Gazette 17 Mar 1960 p. 779; amended in Gazette 19 May 1989 p. 1495.] </w:t>
      </w:r>
    </w:p>
    <w:p>
      <w:pPr>
        <w:pStyle w:val="Heading5"/>
        <w:rPr>
          <w:snapToGrid w:val="0"/>
        </w:rPr>
      </w:pPr>
      <w:bookmarkStart w:id="70" w:name="_Toc443638720"/>
      <w:r>
        <w:rPr>
          <w:rStyle w:val="CharSectno"/>
        </w:rPr>
        <w:t>42</w:t>
      </w:r>
      <w:r>
        <w:rPr>
          <w:snapToGrid w:val="0"/>
        </w:rPr>
        <w:t>.</w:t>
      </w:r>
      <w:r>
        <w:rPr>
          <w:snapToGrid w:val="0"/>
        </w:rPr>
        <w:tab/>
        <w:t>Drivers of vehicles to obey instructions</w:t>
      </w:r>
      <w:bookmarkEnd w:id="70"/>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in Gazette 19 May 1989 p. 1495.] </w:t>
      </w:r>
    </w:p>
    <w:p>
      <w:pPr>
        <w:pStyle w:val="Heading5"/>
      </w:pPr>
      <w:bookmarkStart w:id="71" w:name="_Toc443638721"/>
      <w:r>
        <w:rPr>
          <w:rStyle w:val="CharSectno"/>
        </w:rPr>
        <w:t>42A</w:t>
      </w:r>
      <w:r>
        <w:t>.</w:t>
      </w:r>
      <w:r>
        <w:tab/>
        <w:t>Charges for vehicular use of jetty</w:t>
      </w:r>
      <w:bookmarkEnd w:id="71"/>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in Gazette 22 Jun 2007 p. 2908</w:t>
      </w:r>
      <w:r>
        <w:noBreakHyphen/>
        <w:t>9; amended in Gazette 25 Jul 2014 p. 2611; 22 Jul 2015 p. 2953.]</w:t>
      </w:r>
    </w:p>
    <w:p>
      <w:pPr>
        <w:pStyle w:val="Heading5"/>
        <w:rPr>
          <w:snapToGrid w:val="0"/>
        </w:rPr>
      </w:pPr>
      <w:bookmarkStart w:id="72" w:name="_Toc443638722"/>
      <w:r>
        <w:rPr>
          <w:rStyle w:val="CharSectno"/>
        </w:rPr>
        <w:t>43</w:t>
      </w:r>
      <w:r>
        <w:rPr>
          <w:snapToGrid w:val="0"/>
        </w:rPr>
        <w:t>.</w:t>
      </w:r>
      <w:r>
        <w:rPr>
          <w:snapToGrid w:val="0"/>
        </w:rPr>
        <w:tab/>
        <w:t>Persons not to be on jetties when livestock is being handled</w:t>
      </w:r>
      <w:bookmarkEnd w:id="72"/>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in Gazette 19 May 1989 p. 1495.] </w:t>
      </w:r>
    </w:p>
    <w:p>
      <w:pPr>
        <w:pStyle w:val="Heading3"/>
        <w:keepNext w:val="0"/>
        <w:pageBreakBefore/>
        <w:spacing w:before="0"/>
        <w:rPr>
          <w:snapToGrid w:val="0"/>
        </w:rPr>
      </w:pPr>
      <w:bookmarkStart w:id="73" w:name="_Toc440457030"/>
      <w:bookmarkStart w:id="74" w:name="_Toc443638723"/>
      <w:r>
        <w:rPr>
          <w:rStyle w:val="CharDivNo"/>
        </w:rPr>
        <w:t>Division 10</w:t>
      </w:r>
      <w:r>
        <w:rPr>
          <w:snapToGrid w:val="0"/>
        </w:rPr>
        <w:t> — </w:t>
      </w:r>
      <w:r>
        <w:rPr>
          <w:rStyle w:val="CharDivText"/>
        </w:rPr>
        <w:t>Miscellaneous</w:t>
      </w:r>
      <w:bookmarkEnd w:id="73"/>
      <w:bookmarkEnd w:id="74"/>
      <w:r>
        <w:rPr>
          <w:rStyle w:val="CharDivText"/>
        </w:rPr>
        <w:t xml:space="preserve"> </w:t>
      </w:r>
    </w:p>
    <w:p>
      <w:pPr>
        <w:pStyle w:val="Footnoteheading"/>
        <w:keepNext/>
        <w:keepLines/>
      </w:pPr>
      <w:r>
        <w:tab/>
        <w:t xml:space="preserve">[Heading inserted in Gazette 19 May 1989 p. 1494.] </w:t>
      </w:r>
    </w:p>
    <w:p>
      <w:pPr>
        <w:pStyle w:val="Heading5"/>
        <w:rPr>
          <w:snapToGrid w:val="0"/>
        </w:rPr>
      </w:pPr>
      <w:bookmarkStart w:id="75" w:name="_Toc443638724"/>
      <w:r>
        <w:rPr>
          <w:rStyle w:val="CharSectno"/>
        </w:rPr>
        <w:t>44</w:t>
      </w:r>
      <w:r>
        <w:rPr>
          <w:snapToGrid w:val="0"/>
        </w:rPr>
        <w:t>.</w:t>
      </w:r>
      <w:r>
        <w:rPr>
          <w:snapToGrid w:val="0"/>
        </w:rPr>
        <w:tab/>
        <w:t>Bill posting, defacement and obscenity</w:t>
      </w:r>
      <w:bookmarkEnd w:id="75"/>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in Gazette 19 May 1989 p. 1495.] </w:t>
      </w:r>
    </w:p>
    <w:p>
      <w:pPr>
        <w:pStyle w:val="Heading5"/>
        <w:rPr>
          <w:snapToGrid w:val="0"/>
        </w:rPr>
      </w:pPr>
      <w:bookmarkStart w:id="76" w:name="_Toc443638725"/>
      <w:r>
        <w:rPr>
          <w:rStyle w:val="CharSectno"/>
        </w:rPr>
        <w:t>45</w:t>
      </w:r>
      <w:r>
        <w:rPr>
          <w:snapToGrid w:val="0"/>
        </w:rPr>
        <w:t>.</w:t>
      </w:r>
      <w:r>
        <w:rPr>
          <w:snapToGrid w:val="0"/>
        </w:rPr>
        <w:tab/>
        <w:t>Disorderly persons</w:t>
      </w:r>
      <w:bookmarkEnd w:id="76"/>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in Gazette 19 May 1989 p. 1495.] </w:t>
      </w:r>
    </w:p>
    <w:p>
      <w:pPr>
        <w:pStyle w:val="Heading5"/>
        <w:rPr>
          <w:snapToGrid w:val="0"/>
        </w:rPr>
      </w:pPr>
      <w:bookmarkStart w:id="77" w:name="_Toc443638726"/>
      <w:r>
        <w:rPr>
          <w:rStyle w:val="CharSectno"/>
        </w:rPr>
        <w:t>46</w:t>
      </w:r>
      <w:r>
        <w:rPr>
          <w:snapToGrid w:val="0"/>
        </w:rPr>
        <w:t>.</w:t>
      </w:r>
      <w:r>
        <w:rPr>
          <w:snapToGrid w:val="0"/>
        </w:rPr>
        <w:tab/>
        <w:t>Fires not to be lit</w:t>
      </w:r>
      <w:bookmarkEnd w:id="77"/>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in Gazette 19 May 1989 p. 1495.] </w:t>
      </w:r>
    </w:p>
    <w:p>
      <w:pPr>
        <w:pStyle w:val="Heading5"/>
        <w:rPr>
          <w:snapToGrid w:val="0"/>
        </w:rPr>
      </w:pPr>
      <w:bookmarkStart w:id="78" w:name="_Toc443638727"/>
      <w:r>
        <w:rPr>
          <w:rStyle w:val="CharSectno"/>
        </w:rPr>
        <w:t>47</w:t>
      </w:r>
      <w:r>
        <w:rPr>
          <w:snapToGrid w:val="0"/>
        </w:rPr>
        <w:t>.</w:t>
      </w:r>
      <w:r>
        <w:rPr>
          <w:snapToGrid w:val="0"/>
        </w:rPr>
        <w:tab/>
        <w:t>Gates to be shut</w:t>
      </w:r>
      <w:bookmarkEnd w:id="78"/>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in Gazette 19 May 1989 p. 1495.] </w:t>
      </w:r>
    </w:p>
    <w:p>
      <w:pPr>
        <w:pStyle w:val="Heading5"/>
        <w:rPr>
          <w:snapToGrid w:val="0"/>
        </w:rPr>
      </w:pPr>
      <w:bookmarkStart w:id="79" w:name="_Toc443638728"/>
      <w:r>
        <w:rPr>
          <w:rStyle w:val="CharSectno"/>
        </w:rPr>
        <w:t>48</w:t>
      </w:r>
      <w:r>
        <w:rPr>
          <w:snapToGrid w:val="0"/>
        </w:rPr>
        <w:t>.</w:t>
      </w:r>
      <w:r>
        <w:rPr>
          <w:snapToGrid w:val="0"/>
        </w:rPr>
        <w:tab/>
        <w:t>Interference with lights</w:t>
      </w:r>
      <w:bookmarkEnd w:id="79"/>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in Gazette 19 May 1989 p. 1495.] </w:t>
      </w:r>
    </w:p>
    <w:p>
      <w:pPr>
        <w:pStyle w:val="Heading5"/>
        <w:rPr>
          <w:snapToGrid w:val="0"/>
        </w:rPr>
      </w:pPr>
      <w:bookmarkStart w:id="80" w:name="_Toc443638729"/>
      <w:r>
        <w:rPr>
          <w:rStyle w:val="CharSectno"/>
        </w:rPr>
        <w:t>49</w:t>
      </w:r>
      <w:r>
        <w:rPr>
          <w:snapToGrid w:val="0"/>
        </w:rPr>
        <w:t>.</w:t>
      </w:r>
      <w:r>
        <w:rPr>
          <w:snapToGrid w:val="0"/>
        </w:rPr>
        <w:tab/>
        <w:t>Interference with or damaging property</w:t>
      </w:r>
      <w:bookmarkEnd w:id="80"/>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in Gazette 19 May 1985 p. 1495.] </w:t>
      </w:r>
    </w:p>
    <w:p>
      <w:pPr>
        <w:pStyle w:val="Heading5"/>
        <w:rPr>
          <w:snapToGrid w:val="0"/>
        </w:rPr>
      </w:pPr>
      <w:bookmarkStart w:id="81" w:name="_Toc443638730"/>
      <w:r>
        <w:rPr>
          <w:rStyle w:val="CharSectno"/>
        </w:rPr>
        <w:t>50</w:t>
      </w:r>
      <w:r>
        <w:rPr>
          <w:snapToGrid w:val="0"/>
        </w:rPr>
        <w:t>.</w:t>
      </w:r>
      <w:r>
        <w:rPr>
          <w:snapToGrid w:val="0"/>
        </w:rPr>
        <w:tab/>
        <w:t>Lost property</w:t>
      </w:r>
      <w:bookmarkEnd w:id="8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in Gazette 19 May 1985 p. 1495.] </w:t>
      </w:r>
    </w:p>
    <w:p>
      <w:pPr>
        <w:pStyle w:val="Heading5"/>
        <w:rPr>
          <w:snapToGrid w:val="0"/>
        </w:rPr>
      </w:pPr>
      <w:bookmarkStart w:id="82" w:name="_Toc443638731"/>
      <w:r>
        <w:rPr>
          <w:rStyle w:val="CharSectno"/>
        </w:rPr>
        <w:t>51</w:t>
      </w:r>
      <w:r>
        <w:rPr>
          <w:snapToGrid w:val="0"/>
        </w:rPr>
        <w:t>.</w:t>
      </w:r>
      <w:r>
        <w:rPr>
          <w:snapToGrid w:val="0"/>
        </w:rPr>
        <w:tab/>
        <w:t>Obstruction of officers, or premises</w:t>
      </w:r>
      <w:bookmarkEnd w:id="82"/>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in Gazette 19 May 1989 p. 1495.] </w:t>
      </w:r>
    </w:p>
    <w:p>
      <w:pPr>
        <w:pStyle w:val="Heading5"/>
        <w:spacing w:before="120"/>
        <w:rPr>
          <w:snapToGrid w:val="0"/>
        </w:rPr>
      </w:pPr>
      <w:bookmarkStart w:id="83" w:name="_Toc443638732"/>
      <w:r>
        <w:rPr>
          <w:rStyle w:val="CharSectno"/>
        </w:rPr>
        <w:t>52</w:t>
      </w:r>
      <w:r>
        <w:rPr>
          <w:snapToGrid w:val="0"/>
        </w:rPr>
        <w:t>.</w:t>
      </w:r>
      <w:r>
        <w:rPr>
          <w:snapToGrid w:val="0"/>
        </w:rPr>
        <w:tab/>
        <w:t>Obstruction of or damage to jetties or premises</w:t>
      </w:r>
      <w:bookmarkEnd w:id="83"/>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in Gazette 19 May 1989 p. 1495.] </w:t>
      </w:r>
    </w:p>
    <w:p>
      <w:pPr>
        <w:pStyle w:val="Heading5"/>
        <w:rPr>
          <w:snapToGrid w:val="0"/>
        </w:rPr>
      </w:pPr>
      <w:bookmarkStart w:id="84" w:name="_Toc443638733"/>
      <w:r>
        <w:rPr>
          <w:rStyle w:val="CharSectno"/>
        </w:rPr>
        <w:t>53</w:t>
      </w:r>
      <w:r>
        <w:rPr>
          <w:snapToGrid w:val="0"/>
        </w:rPr>
        <w:t>.</w:t>
      </w:r>
      <w:r>
        <w:rPr>
          <w:snapToGrid w:val="0"/>
        </w:rPr>
        <w:tab/>
        <w:t>Rubbish etc. not to be thrown</w:t>
      </w:r>
      <w:bookmarkEnd w:id="84"/>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in Gazette 19 May 1989 p. 1495.] </w:t>
      </w:r>
    </w:p>
    <w:p>
      <w:pPr>
        <w:pStyle w:val="Heading5"/>
      </w:pPr>
      <w:bookmarkStart w:id="85" w:name="_Toc443638734"/>
      <w:r>
        <w:rPr>
          <w:rStyle w:val="CharSectno"/>
        </w:rPr>
        <w:t>53A</w:t>
      </w:r>
      <w:r>
        <w:t>.</w:t>
      </w:r>
      <w:r>
        <w:tab/>
        <w:t>Charges for rubbish removal</w:t>
      </w:r>
      <w:bookmarkEnd w:id="85"/>
    </w:p>
    <w:p>
      <w:pPr>
        <w:pStyle w:val="Subsection"/>
      </w:pPr>
      <w:r>
        <w:tab/>
      </w:r>
      <w:r>
        <w:tab/>
        <w:t>The charges (if any) payable for removal of rubbish by the Department are as set out in a Schedule.</w:t>
      </w:r>
    </w:p>
    <w:p>
      <w:pPr>
        <w:pStyle w:val="Footnotesection"/>
      </w:pPr>
      <w:r>
        <w:tab/>
        <w:t>[Regulation 53A inserted in Gazette 22 Jun 2007 p. 2909; amended in Gazette 25 Jul 2014 p. 2611; 22 Jul 2015 p. 2954.]</w:t>
      </w:r>
    </w:p>
    <w:p>
      <w:pPr>
        <w:pStyle w:val="Heading5"/>
        <w:rPr>
          <w:snapToGrid w:val="0"/>
        </w:rPr>
      </w:pPr>
      <w:bookmarkStart w:id="86" w:name="_Toc443638735"/>
      <w:r>
        <w:rPr>
          <w:rStyle w:val="CharSectno"/>
        </w:rPr>
        <w:t>54</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articles prohibited</w:t>
      </w:r>
      <w:bookmarkEnd w:id="86"/>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in Gazette 19 May 1989 p. 1495.] </w:t>
      </w:r>
    </w:p>
    <w:p>
      <w:pPr>
        <w:pStyle w:val="Heading5"/>
        <w:rPr>
          <w:snapToGrid w:val="0"/>
        </w:rPr>
      </w:pPr>
      <w:bookmarkStart w:id="87" w:name="_Toc443638736"/>
      <w:r>
        <w:rPr>
          <w:rStyle w:val="CharSectno"/>
        </w:rPr>
        <w:t>55</w:t>
      </w:r>
      <w:r>
        <w:rPr>
          <w:snapToGrid w:val="0"/>
        </w:rPr>
        <w:t>.</w:t>
      </w:r>
      <w:r>
        <w:rPr>
          <w:snapToGrid w:val="0"/>
        </w:rPr>
        <w:tab/>
        <w:t>Smoking and loitering</w:t>
      </w:r>
      <w:bookmarkEnd w:id="87"/>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in Gazette 19 May 1989 p. 1495.] </w:t>
      </w:r>
    </w:p>
    <w:p>
      <w:pPr>
        <w:pStyle w:val="Heading5"/>
        <w:rPr>
          <w:snapToGrid w:val="0"/>
        </w:rPr>
      </w:pPr>
      <w:bookmarkStart w:id="88" w:name="_Toc443638737"/>
      <w:r>
        <w:rPr>
          <w:rStyle w:val="CharSectno"/>
        </w:rPr>
        <w:t>56</w:t>
      </w:r>
      <w:r>
        <w:rPr>
          <w:snapToGrid w:val="0"/>
        </w:rPr>
        <w:t>.</w:t>
      </w:r>
      <w:r>
        <w:rPr>
          <w:snapToGrid w:val="0"/>
        </w:rPr>
        <w:tab/>
        <w:t>Trespassing</w:t>
      </w:r>
      <w:bookmarkEnd w:id="88"/>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in Gazette 19 May 1989 p. 1495.] </w:t>
      </w:r>
    </w:p>
    <w:p>
      <w:pPr>
        <w:pStyle w:val="Ednotesection"/>
      </w:pPr>
      <w:r>
        <w:t>[</w:t>
      </w:r>
      <w:r>
        <w:rPr>
          <w:b/>
        </w:rPr>
        <w:t>57</w:t>
      </w:r>
      <w:r>
        <w:rPr>
          <w:b/>
        </w:rPr>
        <w:noBreakHyphen/>
        <w:t>67.</w:t>
      </w:r>
      <w:r>
        <w:tab/>
        <w:t xml:space="preserve">Deleted in Gazette 24 Nov 1972 p. 4487.] </w:t>
      </w:r>
    </w:p>
    <w:p>
      <w:pPr>
        <w:pStyle w:val="Heading5"/>
        <w:rPr>
          <w:snapToGrid w:val="0"/>
        </w:rPr>
      </w:pPr>
      <w:bookmarkStart w:id="89" w:name="_Toc443638738"/>
      <w:r>
        <w:rPr>
          <w:rStyle w:val="CharSectno"/>
        </w:rPr>
        <w:t>67A</w:t>
      </w:r>
      <w:r>
        <w:rPr>
          <w:snapToGrid w:val="0"/>
        </w:rPr>
        <w:t>.</w:t>
      </w:r>
      <w:r>
        <w:rPr>
          <w:snapToGrid w:val="0"/>
        </w:rPr>
        <w:tab/>
        <w:t>Conditions for construction and installation of pipelines</w:t>
      </w:r>
      <w:bookmarkEnd w:id="89"/>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in Gazette 17 Mar 1960 p. 779; amended in Gazette 28 Sep 1960 p. 2987; 16 Sep 1963 p. 2829; 15 Jun 1973 p. 2237 (erratum 13 Dec 1974 p. 5344); 30 Dec 2004 p. 6953.] </w:t>
      </w:r>
    </w:p>
    <w:p>
      <w:pPr>
        <w:pStyle w:val="Heading5"/>
        <w:spacing w:before="240"/>
        <w:rPr>
          <w:snapToGrid w:val="0"/>
        </w:rPr>
      </w:pPr>
      <w:bookmarkStart w:id="90" w:name="_Toc443638739"/>
      <w:r>
        <w:rPr>
          <w:rStyle w:val="CharSectno"/>
        </w:rPr>
        <w:t>67B</w:t>
      </w:r>
      <w:r>
        <w:rPr>
          <w:snapToGrid w:val="0"/>
        </w:rPr>
        <w:t>.</w:t>
      </w:r>
      <w:r>
        <w:rPr>
          <w:snapToGrid w:val="0"/>
        </w:rPr>
        <w:tab/>
        <w:t>Maintenance and operation of pipelines</w:t>
      </w:r>
      <w:bookmarkEnd w:id="90"/>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in Gazette 17 Mar 1960 p. 780; amended in Gazette 20 Dec 1962 p. 4054; 16 Sep 1963 p. 2829; 15 Jun 1973 p. 2237; 6 Feb 1981 p. 555; 24 Aug 2004 p. 3659.] </w:t>
      </w:r>
    </w:p>
    <w:p>
      <w:pPr>
        <w:pStyle w:val="Ednotesection"/>
      </w:pPr>
      <w:r>
        <w:t>[</w:t>
      </w:r>
      <w:r>
        <w:rPr>
          <w:b/>
        </w:rPr>
        <w:t>67C.</w:t>
      </w:r>
      <w:r>
        <w:tab/>
        <w:t xml:space="preserve">Deleted in Gazette 14 Apr 1966 p. 918.] </w:t>
      </w:r>
    </w:p>
    <w:p>
      <w:pPr>
        <w:pStyle w:val="Heading5"/>
        <w:rPr>
          <w:snapToGrid w:val="0"/>
        </w:rPr>
      </w:pPr>
      <w:bookmarkStart w:id="91" w:name="_Toc443638740"/>
      <w:r>
        <w:rPr>
          <w:rStyle w:val="CharSectno"/>
        </w:rPr>
        <w:t>67D</w:t>
      </w:r>
      <w:r>
        <w:rPr>
          <w:snapToGrid w:val="0"/>
        </w:rPr>
        <w:t>.</w:t>
      </w:r>
      <w:r>
        <w:rPr>
          <w:snapToGrid w:val="0"/>
        </w:rPr>
        <w:tab/>
        <w:t>Penalty for failure to remove or amend pipeline</w:t>
      </w:r>
      <w:bookmarkEnd w:id="91"/>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in Gazette 17 Mar 1960 p. 783; renumbered 67D in Gazette 28 Sep 1960 p. 2988; amended in Gazette 30 Dec 2004 p. 6953.] </w:t>
      </w:r>
    </w:p>
    <w:p>
      <w:pPr>
        <w:pStyle w:val="Heading5"/>
      </w:pPr>
      <w:bookmarkStart w:id="92" w:name="_Toc443638741"/>
      <w:r>
        <w:rPr>
          <w:rStyle w:val="CharSectno"/>
        </w:rPr>
        <w:t>67DA</w:t>
      </w:r>
      <w:r>
        <w:t>.</w:t>
      </w:r>
      <w:r>
        <w:tab/>
        <w:t>Fuelling vessels at service jetties limited</w:t>
      </w:r>
      <w:bookmarkEnd w:id="92"/>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in Gazette 7 Dec 2007 p. 5984; amended in Gazette 25 Jul 2014 p. 2612.]</w:t>
      </w:r>
    </w:p>
    <w:p>
      <w:pPr>
        <w:pStyle w:val="Heading2"/>
      </w:pPr>
      <w:bookmarkStart w:id="93" w:name="_Toc440457049"/>
      <w:bookmarkStart w:id="94" w:name="_Toc443638742"/>
      <w:r>
        <w:rPr>
          <w:rStyle w:val="CharPartNo"/>
        </w:rPr>
        <w:t>Part 2</w:t>
      </w:r>
      <w:r>
        <w:t> — </w:t>
      </w:r>
      <w:r>
        <w:rPr>
          <w:rStyle w:val="CharPartText"/>
        </w:rPr>
        <w:t xml:space="preserve">Regulations applying to jetties within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93"/>
      <w:bookmarkEnd w:id="94"/>
      <w:r>
        <w:rPr>
          <w:rStyle w:val="CharPartText"/>
        </w:rPr>
        <w:t xml:space="preserve"> </w:t>
      </w:r>
    </w:p>
    <w:p>
      <w:pPr>
        <w:pStyle w:val="Footnoteheading"/>
      </w:pPr>
      <w:r>
        <w:tab/>
        <w:t xml:space="preserve">[Heading inserted in Gazette 19 May 1989 p. 1494.] </w:t>
      </w:r>
    </w:p>
    <w:p>
      <w:pPr>
        <w:pStyle w:val="Heading3"/>
        <w:rPr>
          <w:snapToGrid w:val="0"/>
        </w:rPr>
      </w:pPr>
      <w:bookmarkStart w:id="95" w:name="_Toc440457050"/>
      <w:bookmarkStart w:id="96" w:name="_Toc443638743"/>
      <w:r>
        <w:rPr>
          <w:rStyle w:val="CharDivNo"/>
        </w:rPr>
        <w:t>Division 1</w:t>
      </w:r>
      <w:r>
        <w:rPr>
          <w:snapToGrid w:val="0"/>
        </w:rPr>
        <w:t> — </w:t>
      </w:r>
      <w:r>
        <w:rPr>
          <w:rStyle w:val="CharDivText"/>
        </w:rPr>
        <w:t>Application of this Part</w:t>
      </w:r>
      <w:bookmarkEnd w:id="95"/>
      <w:bookmarkEnd w:id="96"/>
      <w:r>
        <w:rPr>
          <w:rStyle w:val="CharDivText"/>
        </w:rPr>
        <w:t xml:space="preserve"> </w:t>
      </w:r>
    </w:p>
    <w:p>
      <w:pPr>
        <w:pStyle w:val="Footnoteheading"/>
      </w:pPr>
      <w:r>
        <w:tab/>
        <w:t xml:space="preserve">[Heading inserted in Gazette 19 May 1989 p. 1494.] </w:t>
      </w:r>
    </w:p>
    <w:p>
      <w:pPr>
        <w:pStyle w:val="Heading5"/>
        <w:rPr>
          <w:snapToGrid w:val="0"/>
        </w:rPr>
      </w:pPr>
      <w:bookmarkStart w:id="97" w:name="_Toc443638744"/>
      <w:r>
        <w:rPr>
          <w:rStyle w:val="CharSectno"/>
        </w:rPr>
        <w:t>67E</w:t>
      </w:r>
      <w:r>
        <w:rPr>
          <w:snapToGrid w:val="0"/>
        </w:rPr>
        <w:t>.</w:t>
      </w:r>
      <w:r>
        <w:rPr>
          <w:snapToGrid w:val="0"/>
        </w:rPr>
        <w:tab/>
        <w:t>Application</w:t>
      </w:r>
      <w:bookmarkEnd w:id="97"/>
      <w:r>
        <w:rPr>
          <w:snapToGrid w:val="0"/>
        </w:rPr>
        <w:t xml:space="preserve"> </w:t>
      </w:r>
    </w:p>
    <w:p>
      <w:pPr>
        <w:pStyle w:val="Subsection"/>
        <w:rPr>
          <w:snapToGrid w:val="0"/>
        </w:rPr>
      </w:pPr>
      <w:r>
        <w:rPr>
          <w:snapToGrid w:val="0"/>
        </w:rPr>
        <w:tab/>
      </w:r>
      <w:r>
        <w:rPr>
          <w:snapToGrid w:val="0"/>
        </w:rPr>
        <w:tab/>
        <w:t xml:space="preserve">This Part applies to all jetties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w:t>
      </w:r>
    </w:p>
    <w:p>
      <w:pPr>
        <w:pStyle w:val="Footnoteheading"/>
      </w:pPr>
      <w:r>
        <w:tab/>
        <w:t xml:space="preserve">[Regulation 67E inserted in Gazette 19 May 1989 p. 1494.] </w:t>
      </w:r>
    </w:p>
    <w:p>
      <w:pPr>
        <w:pStyle w:val="Heading3"/>
        <w:rPr>
          <w:snapToGrid w:val="0"/>
        </w:rPr>
      </w:pPr>
      <w:bookmarkStart w:id="98" w:name="_Toc440457052"/>
      <w:bookmarkStart w:id="99" w:name="_Toc443638745"/>
      <w:r>
        <w:rPr>
          <w:rStyle w:val="CharDivNo"/>
        </w:rPr>
        <w:t>Division 2</w:t>
      </w:r>
      <w:r>
        <w:rPr>
          <w:snapToGrid w:val="0"/>
        </w:rPr>
        <w:t> — </w:t>
      </w:r>
      <w:r>
        <w:rPr>
          <w:rStyle w:val="CharDivText"/>
        </w:rPr>
        <w:t>Management and use of jetties</w:t>
      </w:r>
      <w:bookmarkEnd w:id="98"/>
      <w:bookmarkEnd w:id="99"/>
      <w:r>
        <w:rPr>
          <w:rStyle w:val="CharDivText"/>
        </w:rPr>
        <w:t xml:space="preserve"> </w:t>
      </w:r>
    </w:p>
    <w:p>
      <w:pPr>
        <w:pStyle w:val="Footnoteheading"/>
        <w:rPr>
          <w:snapToGrid w:val="0"/>
        </w:rPr>
      </w:pPr>
      <w:r>
        <w:rPr>
          <w:snapToGrid w:val="0"/>
        </w:rPr>
        <w:tab/>
        <w:t xml:space="preserve">[Heading inserted in Gazette 19 May 1989 p. 1494.] </w:t>
      </w:r>
    </w:p>
    <w:p>
      <w:pPr>
        <w:pStyle w:val="Heading5"/>
        <w:rPr>
          <w:snapToGrid w:val="0"/>
        </w:rPr>
      </w:pPr>
      <w:bookmarkStart w:id="100" w:name="_Toc443638746"/>
      <w:r>
        <w:rPr>
          <w:rStyle w:val="CharSectno"/>
        </w:rPr>
        <w:t>68</w:t>
      </w:r>
      <w:r>
        <w:rPr>
          <w:snapToGrid w:val="0"/>
        </w:rPr>
        <w:t>.</w:t>
      </w:r>
      <w:r>
        <w:rPr>
          <w:snapToGrid w:val="0"/>
        </w:rPr>
        <w:tab/>
        <w:t>Control of jetties</w:t>
      </w:r>
      <w:bookmarkEnd w:id="100"/>
      <w:r>
        <w:rPr>
          <w:snapToGrid w:val="0"/>
        </w:rPr>
        <w:t xml:space="preserve"> </w:t>
      </w:r>
    </w:p>
    <w:p>
      <w:pPr>
        <w:pStyle w:val="Subsection"/>
        <w:rPr>
          <w:snapToGrid w:val="0"/>
        </w:rPr>
      </w:pPr>
      <w:r>
        <w:rPr>
          <w:snapToGrid w:val="0"/>
        </w:rPr>
        <w:tab/>
      </w:r>
      <w:r>
        <w:rPr>
          <w:snapToGrid w:val="0"/>
        </w:rPr>
        <w:tab/>
        <w:t xml:space="preserve">All public jetties in the </w:t>
      </w:r>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r>
        <w:t xml:space="preserve">, except the Main Ferry Jetty at </w:t>
      </w: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w:t>
      </w:r>
      <w:r>
        <w:rPr>
          <w:snapToGrid w:val="0"/>
        </w:rPr>
        <w:t>shall henceforth be under the control of the Department.</w:t>
      </w:r>
    </w:p>
    <w:p>
      <w:pPr>
        <w:pStyle w:val="Footnotesection"/>
      </w:pPr>
      <w:r>
        <w:tab/>
        <w:t xml:space="preserve">[Regulation 68 amended in Gazette 19 May 1989 p. 1495; 27 Jun 2003 p. 2502.] </w:t>
      </w:r>
    </w:p>
    <w:p>
      <w:pPr>
        <w:pStyle w:val="Heading5"/>
        <w:rPr>
          <w:snapToGrid w:val="0"/>
        </w:rPr>
      </w:pPr>
      <w:bookmarkStart w:id="101" w:name="_Toc443638747"/>
      <w:r>
        <w:rPr>
          <w:rStyle w:val="CharSectno"/>
        </w:rPr>
        <w:t>69</w:t>
      </w:r>
      <w:r>
        <w:rPr>
          <w:snapToGrid w:val="0"/>
        </w:rPr>
        <w:t>.</w:t>
      </w:r>
      <w:r>
        <w:rPr>
          <w:snapToGrid w:val="0"/>
        </w:rPr>
        <w:tab/>
        <w:t>Use of jetties</w:t>
      </w:r>
      <w:bookmarkEnd w:id="101"/>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in Gazette 19 May 1989 p. 1495.] </w:t>
      </w:r>
    </w:p>
    <w:p>
      <w:pPr>
        <w:pStyle w:val="Heading5"/>
        <w:keepLines w:val="0"/>
        <w:rPr>
          <w:snapToGrid w:val="0"/>
        </w:rPr>
      </w:pPr>
      <w:bookmarkStart w:id="102" w:name="_Toc443638748"/>
      <w:r>
        <w:rPr>
          <w:rStyle w:val="CharSectno"/>
        </w:rPr>
        <w:t>70</w:t>
      </w:r>
      <w:r>
        <w:rPr>
          <w:snapToGrid w:val="0"/>
        </w:rPr>
        <w:t>.</w:t>
      </w:r>
      <w:r>
        <w:rPr>
          <w:snapToGrid w:val="0"/>
        </w:rPr>
        <w:tab/>
        <w:t>Jetties may be closed</w:t>
      </w:r>
      <w:bookmarkEnd w:id="102"/>
      <w:r>
        <w:rPr>
          <w:snapToGrid w:val="0"/>
        </w:rPr>
        <w:t xml:space="preserve"> </w:t>
      </w:r>
    </w:p>
    <w:p>
      <w:pPr>
        <w:pStyle w:val="Subsection"/>
        <w:rPr>
          <w:snapToGrid w:val="0"/>
        </w:rPr>
      </w:pPr>
      <w:r>
        <w:rPr>
          <w:snapToGrid w:val="0"/>
        </w:rPr>
        <w:tab/>
        <w:t>(a)</w:t>
      </w:r>
      <w:r>
        <w:rPr>
          <w:snapToGrid w:val="0"/>
        </w:rPr>
        <w:tab/>
        <w:t>The Department may at any time temporarily or permanently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or permanently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in Gazette 19 May 1989 p. 1495.] </w:t>
      </w:r>
    </w:p>
    <w:p>
      <w:pPr>
        <w:pStyle w:val="Ednotesection"/>
      </w:pPr>
      <w:r>
        <w:t>[</w:t>
      </w:r>
      <w:r>
        <w:rPr>
          <w:b/>
        </w:rPr>
        <w:t>70A.</w:t>
      </w:r>
      <w:r>
        <w:tab/>
        <w:t>Deleted in Gazette 27 Jun 2003 p. 2502.]</w:t>
      </w:r>
    </w:p>
    <w:p>
      <w:pPr>
        <w:pStyle w:val="Ednotesection"/>
      </w:pPr>
      <w:r>
        <w:t>[</w:t>
      </w:r>
      <w:r>
        <w:rPr>
          <w:b/>
        </w:rPr>
        <w:t>70B.</w:t>
      </w:r>
      <w:r>
        <w:rPr>
          <w:b/>
        </w:rPr>
        <w:tab/>
      </w:r>
      <w:r>
        <w:t>Deleted in Gazette 25 Jun 2004 p. 2270.]</w:t>
      </w:r>
    </w:p>
    <w:p>
      <w:pPr>
        <w:pStyle w:val="Heading3"/>
        <w:rPr>
          <w:snapToGrid w:val="0"/>
        </w:rPr>
      </w:pPr>
      <w:bookmarkStart w:id="103" w:name="_Toc440457056"/>
      <w:bookmarkStart w:id="104" w:name="_Toc443638749"/>
      <w:r>
        <w:rPr>
          <w:rStyle w:val="CharDivNo"/>
        </w:rPr>
        <w:t>Division 3</w:t>
      </w:r>
      <w:r>
        <w:rPr>
          <w:snapToGrid w:val="0"/>
        </w:rPr>
        <w:t> — </w:t>
      </w:r>
      <w:r>
        <w:rPr>
          <w:rStyle w:val="CharDivText"/>
        </w:rPr>
        <w:t>Mooring and berthing of vessels</w:t>
      </w:r>
      <w:bookmarkEnd w:id="103"/>
      <w:bookmarkEnd w:id="104"/>
      <w:r>
        <w:rPr>
          <w:rStyle w:val="CharDivText"/>
        </w:rPr>
        <w:t xml:space="preserve"> </w:t>
      </w:r>
    </w:p>
    <w:p>
      <w:pPr>
        <w:pStyle w:val="Footnoteheading"/>
      </w:pPr>
      <w:r>
        <w:tab/>
        <w:t xml:space="preserve">[Heading inserted in Gazette 19 May 1989 p. 1494.] </w:t>
      </w:r>
    </w:p>
    <w:p>
      <w:pPr>
        <w:pStyle w:val="Heading5"/>
        <w:keepNext w:val="0"/>
        <w:keepLines w:val="0"/>
        <w:rPr>
          <w:snapToGrid w:val="0"/>
        </w:rPr>
      </w:pPr>
      <w:bookmarkStart w:id="105" w:name="_Toc443638750"/>
      <w:r>
        <w:rPr>
          <w:rStyle w:val="CharSectno"/>
        </w:rPr>
        <w:t>71</w:t>
      </w:r>
      <w:r>
        <w:rPr>
          <w:snapToGrid w:val="0"/>
        </w:rPr>
        <w:t>.</w:t>
      </w:r>
      <w:r>
        <w:rPr>
          <w:snapToGrid w:val="0"/>
        </w:rPr>
        <w:tab/>
        <w:t>Permit required to moor etc. alongside jetty or buoy</w:t>
      </w:r>
      <w:bookmarkEnd w:id="105"/>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in Gazette 19 May 1989 p. 1495.] </w:t>
      </w:r>
    </w:p>
    <w:p>
      <w:pPr>
        <w:pStyle w:val="Heading5"/>
        <w:rPr>
          <w:snapToGrid w:val="0"/>
        </w:rPr>
      </w:pPr>
      <w:bookmarkStart w:id="106" w:name="_Toc443638751"/>
      <w:r>
        <w:rPr>
          <w:rStyle w:val="CharSectno"/>
        </w:rPr>
        <w:t>72</w:t>
      </w:r>
      <w:r>
        <w:rPr>
          <w:snapToGrid w:val="0"/>
        </w:rPr>
        <w:t>.</w:t>
      </w:r>
      <w:r>
        <w:rPr>
          <w:snapToGrid w:val="0"/>
        </w:rPr>
        <w:tab/>
        <w:t>Duration of, and charges for, permits</w:t>
      </w:r>
      <w:bookmarkEnd w:id="106"/>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2 </w:t>
      </w:r>
      <w:r>
        <w:rPr>
          <w:snapToGrid w:val="0"/>
        </w:rPr>
        <w:t>has been paid to the Department.</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in Gazette 25 Nov 1983 p. 4669</w:t>
      </w:r>
      <w:r>
        <w:noBreakHyphen/>
        <w:t>70; amended in Gazette 30 Aug 1985 p. 3077; 16 Oct 1987 p. 3893; 29 Jun 1989 p. 1917</w:t>
      </w:r>
      <w:r>
        <w:noBreakHyphen/>
        <w:t xml:space="preserve">18; 1 Aug 1990 p. 3633; 30 Jun 1992 p. 2893; 24 Jun 2005 p. 2817; 25 Jul 2014 p. 2612.] </w:t>
      </w:r>
    </w:p>
    <w:p>
      <w:pPr>
        <w:pStyle w:val="Heading5"/>
        <w:rPr>
          <w:snapToGrid w:val="0"/>
        </w:rPr>
      </w:pPr>
      <w:bookmarkStart w:id="107" w:name="_Toc443638752"/>
      <w:r>
        <w:rPr>
          <w:rStyle w:val="CharSectno"/>
        </w:rPr>
        <w:t>73</w:t>
      </w:r>
      <w:r>
        <w:rPr>
          <w:snapToGrid w:val="0"/>
        </w:rPr>
        <w:t>.</w:t>
      </w:r>
      <w:r>
        <w:rPr>
          <w:snapToGrid w:val="0"/>
        </w:rPr>
        <w:tab/>
        <w:t>Permit for exclusive use of berth</w:t>
      </w:r>
      <w:bookmarkEnd w:id="107"/>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in Gazette 31 Mar 1978 p. 990; amended in Gazette 25 Nov 1983 p. 4670.] </w:t>
      </w:r>
    </w:p>
    <w:p>
      <w:pPr>
        <w:pStyle w:val="Heading5"/>
        <w:rPr>
          <w:snapToGrid w:val="0"/>
        </w:rPr>
      </w:pPr>
      <w:bookmarkStart w:id="108" w:name="_Toc443638753"/>
      <w:r>
        <w:rPr>
          <w:rStyle w:val="CharSectno"/>
        </w:rPr>
        <w:t>74</w:t>
      </w:r>
      <w:r>
        <w:rPr>
          <w:snapToGrid w:val="0"/>
        </w:rPr>
        <w:t>.</w:t>
      </w:r>
      <w:r>
        <w:rPr>
          <w:snapToGrid w:val="0"/>
        </w:rPr>
        <w:tab/>
        <w:t>Manner of mooring vessels</w:t>
      </w:r>
      <w:bookmarkEnd w:id="108"/>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in Gazette 19 May 1989 p. 1495.] </w:t>
      </w:r>
    </w:p>
    <w:p>
      <w:pPr>
        <w:pStyle w:val="Heading5"/>
        <w:rPr>
          <w:snapToGrid w:val="0"/>
        </w:rPr>
      </w:pPr>
      <w:bookmarkStart w:id="109" w:name="_Toc443638754"/>
      <w:r>
        <w:rPr>
          <w:rStyle w:val="CharSectno"/>
        </w:rPr>
        <w:t>75</w:t>
      </w:r>
      <w:r>
        <w:rPr>
          <w:snapToGrid w:val="0"/>
        </w:rPr>
        <w:t>.</w:t>
      </w:r>
      <w:r>
        <w:rPr>
          <w:snapToGrid w:val="0"/>
        </w:rPr>
        <w:tab/>
        <w:t>Vessels not to remain at jetties longer than necessary</w:t>
      </w:r>
      <w:bookmarkEnd w:id="109"/>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in Gazette 19 May 1989 p. 1495.] </w:t>
      </w:r>
    </w:p>
    <w:p>
      <w:pPr>
        <w:pStyle w:val="Heading5"/>
        <w:rPr>
          <w:snapToGrid w:val="0"/>
        </w:rPr>
      </w:pPr>
      <w:bookmarkStart w:id="110" w:name="_Toc443638755"/>
      <w:r>
        <w:rPr>
          <w:rStyle w:val="CharSectno"/>
        </w:rPr>
        <w:t>76</w:t>
      </w:r>
      <w:r>
        <w:rPr>
          <w:snapToGrid w:val="0"/>
        </w:rPr>
        <w:t>.</w:t>
      </w:r>
      <w:r>
        <w:rPr>
          <w:snapToGrid w:val="0"/>
        </w:rPr>
        <w:tab/>
        <w:t>Mooring of rafts and boathouses</w:t>
      </w:r>
      <w:bookmarkEnd w:id="110"/>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in Gazette 15 Jun 1973 p. 2238; 19 May 1989 p. 1495; 24 Aug 2004 p. 3659.] </w:t>
      </w:r>
    </w:p>
    <w:p>
      <w:pPr>
        <w:pStyle w:val="Heading5"/>
        <w:rPr>
          <w:snapToGrid w:val="0"/>
        </w:rPr>
      </w:pPr>
      <w:bookmarkStart w:id="111" w:name="_Toc443638756"/>
      <w:r>
        <w:rPr>
          <w:rStyle w:val="CharSectno"/>
        </w:rPr>
        <w:t>77</w:t>
      </w:r>
      <w:r>
        <w:rPr>
          <w:snapToGrid w:val="0"/>
        </w:rPr>
        <w:t>.</w:t>
      </w:r>
      <w:r>
        <w:rPr>
          <w:snapToGrid w:val="0"/>
        </w:rPr>
        <w:tab/>
        <w:t>Vessels to be in charge of competent person</w:t>
      </w:r>
      <w:bookmarkEnd w:id="111"/>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in Gazette 19 May 1989 p. 1495.]</w:t>
      </w:r>
    </w:p>
    <w:p>
      <w:pPr>
        <w:pStyle w:val="Heading5"/>
        <w:rPr>
          <w:snapToGrid w:val="0"/>
        </w:rPr>
      </w:pPr>
      <w:bookmarkStart w:id="112" w:name="_Toc443638757"/>
      <w:r>
        <w:rPr>
          <w:rStyle w:val="CharSectno"/>
        </w:rPr>
        <w:t>78</w:t>
      </w:r>
      <w:r>
        <w:rPr>
          <w:snapToGrid w:val="0"/>
        </w:rPr>
        <w:t>.</w:t>
      </w:r>
      <w:r>
        <w:rPr>
          <w:snapToGrid w:val="0"/>
        </w:rPr>
        <w:tab/>
        <w:t>Approaching jetties after sunset</w:t>
      </w:r>
      <w:bookmarkEnd w:id="112"/>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in Gazette 19 May 1989 p. 1495.] </w:t>
      </w:r>
    </w:p>
    <w:p>
      <w:pPr>
        <w:pStyle w:val="Heading3"/>
        <w:keepLines/>
        <w:rPr>
          <w:snapToGrid w:val="0"/>
        </w:rPr>
      </w:pPr>
      <w:bookmarkStart w:id="113" w:name="_Toc440457065"/>
      <w:bookmarkStart w:id="114" w:name="_Toc443638758"/>
      <w:r>
        <w:rPr>
          <w:rStyle w:val="CharDivNo"/>
        </w:rPr>
        <w:t>Division 4</w:t>
      </w:r>
      <w:r>
        <w:rPr>
          <w:snapToGrid w:val="0"/>
        </w:rPr>
        <w:t> — </w:t>
      </w:r>
      <w:r>
        <w:rPr>
          <w:rStyle w:val="CharDivText"/>
        </w:rPr>
        <w:t>Loading or discharging cargo</w:t>
      </w:r>
      <w:bookmarkEnd w:id="113"/>
      <w:bookmarkEnd w:id="114"/>
      <w:r>
        <w:rPr>
          <w:rStyle w:val="CharDivText"/>
        </w:rPr>
        <w:t xml:space="preserve"> </w:t>
      </w:r>
    </w:p>
    <w:p>
      <w:pPr>
        <w:pStyle w:val="Footnoteheading"/>
        <w:keepNext/>
        <w:keepLines/>
      </w:pPr>
      <w:r>
        <w:tab/>
        <w:t xml:space="preserve">[Heading inserted in Gazette 19 May 1989 p. 1494.] </w:t>
      </w:r>
    </w:p>
    <w:p>
      <w:pPr>
        <w:pStyle w:val="Ednotesection"/>
        <w:keepNext/>
        <w:keepLines/>
      </w:pPr>
      <w:r>
        <w:t>[</w:t>
      </w:r>
      <w:r>
        <w:rPr>
          <w:b/>
        </w:rPr>
        <w:t>79.</w:t>
      </w:r>
      <w:r>
        <w:tab/>
        <w:t xml:space="preserve">Deleted in Gazette 30 Jun 1992 p. 2893.] </w:t>
      </w:r>
    </w:p>
    <w:p>
      <w:pPr>
        <w:pStyle w:val="Heading5"/>
        <w:rPr>
          <w:snapToGrid w:val="0"/>
        </w:rPr>
      </w:pPr>
      <w:bookmarkStart w:id="115" w:name="_Toc443638759"/>
      <w:r>
        <w:rPr>
          <w:rStyle w:val="CharSectno"/>
        </w:rPr>
        <w:t>80</w:t>
      </w:r>
      <w:r>
        <w:rPr>
          <w:snapToGrid w:val="0"/>
        </w:rPr>
        <w:t>.</w:t>
      </w:r>
      <w:r>
        <w:rPr>
          <w:snapToGrid w:val="0"/>
        </w:rPr>
        <w:tab/>
        <w:t>Vessels loading or discharging</w:t>
      </w:r>
      <w:bookmarkEnd w:id="115"/>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in Gazette 19 May 1989 p. 1495.] </w:t>
      </w:r>
    </w:p>
    <w:p>
      <w:pPr>
        <w:pStyle w:val="Heading5"/>
        <w:rPr>
          <w:snapToGrid w:val="0"/>
        </w:rPr>
      </w:pPr>
      <w:bookmarkStart w:id="116" w:name="_Toc443638760"/>
      <w:r>
        <w:rPr>
          <w:rStyle w:val="CharSectno"/>
        </w:rPr>
        <w:t>81</w:t>
      </w:r>
      <w:r>
        <w:rPr>
          <w:snapToGrid w:val="0"/>
        </w:rPr>
        <w:t>.</w:t>
      </w:r>
      <w:r>
        <w:rPr>
          <w:snapToGrid w:val="0"/>
        </w:rPr>
        <w:tab/>
        <w:t>Cargo to be removed</w:t>
      </w:r>
      <w:bookmarkEnd w:id="116"/>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in Gazette 19 May 1989 p. 1495.] </w:t>
      </w:r>
    </w:p>
    <w:p>
      <w:pPr>
        <w:pStyle w:val="Heading5"/>
        <w:rPr>
          <w:snapToGrid w:val="0"/>
        </w:rPr>
      </w:pPr>
      <w:bookmarkStart w:id="117" w:name="_Toc443638761"/>
      <w:r>
        <w:rPr>
          <w:rStyle w:val="CharSectno"/>
        </w:rPr>
        <w:t>82</w:t>
      </w:r>
      <w:r>
        <w:rPr>
          <w:snapToGrid w:val="0"/>
        </w:rPr>
        <w:t>.</w:t>
      </w:r>
      <w:r>
        <w:rPr>
          <w:snapToGrid w:val="0"/>
        </w:rPr>
        <w:tab/>
        <w:t>Cargo not to remain on jetties overnight</w:t>
      </w:r>
      <w:bookmarkEnd w:id="117"/>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in Gazette 19 May 1989 p. 1495.] </w:t>
      </w:r>
    </w:p>
    <w:p>
      <w:pPr>
        <w:pStyle w:val="Heading5"/>
        <w:rPr>
          <w:snapToGrid w:val="0"/>
        </w:rPr>
      </w:pPr>
      <w:bookmarkStart w:id="118" w:name="_Toc443638762"/>
      <w:r>
        <w:rPr>
          <w:rStyle w:val="CharSectno"/>
        </w:rPr>
        <w:t>83</w:t>
      </w:r>
      <w:r>
        <w:rPr>
          <w:snapToGrid w:val="0"/>
        </w:rPr>
        <w:t>.</w:t>
      </w:r>
      <w:r>
        <w:rPr>
          <w:snapToGrid w:val="0"/>
        </w:rPr>
        <w:tab/>
        <w:t>Explosives not to be handled without permission</w:t>
      </w:r>
      <w:bookmarkEnd w:id="118"/>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in Gazette 19 May 1989 p. 1495.] </w:t>
      </w:r>
    </w:p>
    <w:p>
      <w:pPr>
        <w:pStyle w:val="Heading5"/>
        <w:rPr>
          <w:snapToGrid w:val="0"/>
        </w:rPr>
      </w:pPr>
      <w:bookmarkStart w:id="119" w:name="_Toc443638763"/>
      <w:r>
        <w:rPr>
          <w:rStyle w:val="CharSectno"/>
        </w:rPr>
        <w:t>84</w:t>
      </w:r>
      <w:r>
        <w:rPr>
          <w:snapToGrid w:val="0"/>
        </w:rPr>
        <w:t>.</w:t>
      </w:r>
      <w:r>
        <w:rPr>
          <w:snapToGrid w:val="0"/>
        </w:rPr>
        <w:tab/>
        <w:t>Manner of handling cargo</w:t>
      </w:r>
      <w:bookmarkEnd w:id="119"/>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in Gazette 19 May 1989 p. 1495.] </w:t>
      </w:r>
    </w:p>
    <w:p>
      <w:pPr>
        <w:pStyle w:val="Heading3"/>
        <w:rPr>
          <w:snapToGrid w:val="0"/>
        </w:rPr>
      </w:pPr>
      <w:bookmarkStart w:id="120" w:name="_Toc440457071"/>
      <w:bookmarkStart w:id="121" w:name="_Toc443638764"/>
      <w:r>
        <w:rPr>
          <w:rStyle w:val="CharDivNo"/>
        </w:rPr>
        <w:t>Division 5</w:t>
      </w:r>
      <w:r>
        <w:rPr>
          <w:snapToGrid w:val="0"/>
        </w:rPr>
        <w:t> — </w:t>
      </w:r>
      <w:r>
        <w:rPr>
          <w:rStyle w:val="CharDivText"/>
        </w:rPr>
        <w:t>Navigation of vessels</w:t>
      </w:r>
      <w:bookmarkEnd w:id="120"/>
      <w:bookmarkEnd w:id="121"/>
      <w:r>
        <w:rPr>
          <w:rStyle w:val="CharDivText"/>
        </w:rPr>
        <w:t xml:space="preserve"> </w:t>
      </w:r>
    </w:p>
    <w:p>
      <w:pPr>
        <w:pStyle w:val="Footnoteheading"/>
      </w:pPr>
      <w:r>
        <w:tab/>
        <w:t xml:space="preserve">[Heading inserted in Gazette 19 May 1989 p. 1494.] </w:t>
      </w:r>
    </w:p>
    <w:p>
      <w:pPr>
        <w:pStyle w:val="Heading5"/>
        <w:rPr>
          <w:snapToGrid w:val="0"/>
        </w:rPr>
      </w:pPr>
      <w:bookmarkStart w:id="122" w:name="_Toc443638765"/>
      <w:r>
        <w:rPr>
          <w:rStyle w:val="CharSectno"/>
        </w:rPr>
        <w:t>85</w:t>
      </w:r>
      <w:r>
        <w:rPr>
          <w:snapToGrid w:val="0"/>
        </w:rPr>
        <w:t>.</w:t>
      </w:r>
      <w:r>
        <w:rPr>
          <w:snapToGrid w:val="0"/>
        </w:rPr>
        <w:tab/>
        <w:t>Power vessels approaching jetties</w:t>
      </w:r>
      <w:bookmarkEnd w:id="122"/>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in Gazette 19 May 1989 p. 1494.] </w:t>
      </w:r>
    </w:p>
    <w:p>
      <w:pPr>
        <w:pStyle w:val="Heading3"/>
        <w:rPr>
          <w:snapToGrid w:val="0"/>
        </w:rPr>
      </w:pPr>
      <w:bookmarkStart w:id="123" w:name="_Toc440457073"/>
      <w:bookmarkStart w:id="124" w:name="_Toc443638766"/>
      <w:r>
        <w:rPr>
          <w:rStyle w:val="CharDivNo"/>
        </w:rPr>
        <w:t>Division 6</w:t>
      </w:r>
      <w:r>
        <w:rPr>
          <w:snapToGrid w:val="0"/>
        </w:rPr>
        <w:t> — </w:t>
      </w:r>
      <w:r>
        <w:rPr>
          <w:rStyle w:val="CharDivText"/>
        </w:rPr>
        <w:t>Miscellaneous</w:t>
      </w:r>
      <w:bookmarkEnd w:id="123"/>
      <w:bookmarkEnd w:id="124"/>
      <w:r>
        <w:rPr>
          <w:rStyle w:val="CharDivText"/>
        </w:rPr>
        <w:t xml:space="preserve"> </w:t>
      </w:r>
    </w:p>
    <w:p>
      <w:pPr>
        <w:pStyle w:val="Footnoteheading"/>
      </w:pPr>
      <w:r>
        <w:tab/>
        <w:t xml:space="preserve">[Heading inserted in Gazette 19 May 1989 p. 1494.] </w:t>
      </w:r>
    </w:p>
    <w:p>
      <w:pPr>
        <w:pStyle w:val="Heading5"/>
        <w:rPr>
          <w:snapToGrid w:val="0"/>
        </w:rPr>
      </w:pPr>
      <w:bookmarkStart w:id="125" w:name="_Toc443638767"/>
      <w:r>
        <w:rPr>
          <w:rStyle w:val="CharSectno"/>
        </w:rPr>
        <w:t>86</w:t>
      </w:r>
      <w:r>
        <w:rPr>
          <w:snapToGrid w:val="0"/>
        </w:rPr>
        <w:t>.</w:t>
      </w:r>
      <w:r>
        <w:rPr>
          <w:snapToGrid w:val="0"/>
        </w:rPr>
        <w:tab/>
        <w:t>Bathing from jetties</w:t>
      </w:r>
      <w:bookmarkEnd w:id="125"/>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in Gazette 19 May 1989 p. 1495.] </w:t>
      </w:r>
    </w:p>
    <w:p>
      <w:pPr>
        <w:pStyle w:val="Heading5"/>
        <w:rPr>
          <w:snapToGrid w:val="0"/>
        </w:rPr>
      </w:pPr>
      <w:bookmarkStart w:id="126" w:name="_Toc443638768"/>
      <w:r>
        <w:rPr>
          <w:rStyle w:val="CharSectno"/>
        </w:rPr>
        <w:t>87</w:t>
      </w:r>
      <w:r>
        <w:rPr>
          <w:snapToGrid w:val="0"/>
        </w:rPr>
        <w:t>.</w:t>
      </w:r>
      <w:r>
        <w:rPr>
          <w:snapToGrid w:val="0"/>
        </w:rPr>
        <w:tab/>
        <w:t>Damage to jetties</w:t>
      </w:r>
      <w:bookmarkEnd w:id="126"/>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in Gazette 19 May 1989 p. 1495.] </w:t>
      </w:r>
    </w:p>
    <w:p>
      <w:pPr>
        <w:pStyle w:val="Heading5"/>
        <w:rPr>
          <w:snapToGrid w:val="0"/>
        </w:rPr>
      </w:pPr>
      <w:bookmarkStart w:id="127" w:name="_Toc443638769"/>
      <w:r>
        <w:rPr>
          <w:rStyle w:val="CharSectno"/>
        </w:rPr>
        <w:t>88</w:t>
      </w:r>
      <w:r>
        <w:rPr>
          <w:snapToGrid w:val="0"/>
        </w:rPr>
        <w:t>.</w:t>
      </w:r>
      <w:r>
        <w:rPr>
          <w:snapToGrid w:val="0"/>
        </w:rPr>
        <w:tab/>
        <w:t>Fishing from certain places prohibited</w:t>
      </w:r>
      <w:bookmarkEnd w:id="127"/>
      <w:r>
        <w:rPr>
          <w:snapToGrid w:val="0"/>
        </w:rPr>
        <w:t xml:space="preserve"> </w:t>
      </w:r>
    </w:p>
    <w:p>
      <w:pPr>
        <w:pStyle w:val="Subsection"/>
        <w:rPr>
          <w:snapToGrid w:val="0"/>
        </w:rPr>
      </w:pPr>
      <w:r>
        <w:rPr>
          <w:snapToGrid w:val="0"/>
        </w:rPr>
        <w:tab/>
      </w:r>
      <w:r>
        <w:rPr>
          <w:snapToGrid w:val="0"/>
        </w:rPr>
        <w:tab/>
        <w:t xml:space="preserve">No person shall fish from any portion of the road bridge over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Fremantle, or from the Canning bridge, or from the bridge or embankment across the </w:t>
      </w:r>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r>
        <w:rPr>
          <w:snapToGrid w:val="0"/>
        </w:rPr>
        <w:t xml:space="preserve">, at </w:t>
      </w:r>
      <w:smartTag w:uri="urn:schemas-microsoft-com:office:smarttags" w:element="City">
        <w:r>
          <w:rPr>
            <w:snapToGrid w:val="0"/>
          </w:rPr>
          <w:t>Perth</w:t>
        </w:r>
      </w:smartTag>
      <w:r>
        <w:rPr>
          <w:snapToGrid w:val="0"/>
        </w:rPr>
        <w:t xml:space="preserve">, known as the </w:t>
      </w:r>
      <w:smartTag w:uri="urn:schemas-microsoft-com:office:smarttags" w:element="place">
        <w:smartTag w:uri="urn:schemas-microsoft-com:office:smarttags" w:element="City">
          <w:r>
            <w:rPr>
              <w:snapToGrid w:val="0"/>
            </w:rPr>
            <w:t>Perth</w:t>
          </w:r>
        </w:smartTag>
      </w:smartTag>
      <w:r>
        <w:rPr>
          <w:snapToGrid w:val="0"/>
        </w:rPr>
        <w:t xml:space="preserve"> causeway.</w:t>
      </w:r>
    </w:p>
    <w:p>
      <w:pPr>
        <w:pStyle w:val="Footnotesection"/>
      </w:pPr>
      <w:r>
        <w:tab/>
        <w:t xml:space="preserve">[Regulation 88 amended in Gazette 19 May 1989 p. 1495.] </w:t>
      </w:r>
    </w:p>
    <w:p>
      <w:pPr>
        <w:pStyle w:val="Heading5"/>
        <w:rPr>
          <w:snapToGrid w:val="0"/>
        </w:rPr>
      </w:pPr>
      <w:bookmarkStart w:id="128" w:name="_Toc443638770"/>
      <w:r>
        <w:rPr>
          <w:rStyle w:val="CharSectno"/>
        </w:rPr>
        <w:t>89</w:t>
      </w:r>
      <w:r>
        <w:rPr>
          <w:snapToGrid w:val="0"/>
        </w:rPr>
        <w:t>.</w:t>
      </w:r>
      <w:r>
        <w:rPr>
          <w:snapToGrid w:val="0"/>
        </w:rPr>
        <w:tab/>
        <w:t>Fishing nets on jetties</w:t>
      </w:r>
      <w:bookmarkEnd w:id="128"/>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in Gazette 19 May 1989 p. 1495.] </w:t>
      </w:r>
    </w:p>
    <w:p>
      <w:pPr>
        <w:pStyle w:val="Heading5"/>
        <w:rPr>
          <w:snapToGrid w:val="0"/>
        </w:rPr>
      </w:pPr>
      <w:bookmarkStart w:id="129" w:name="_Toc443638771"/>
      <w:r>
        <w:rPr>
          <w:rStyle w:val="CharSectno"/>
        </w:rPr>
        <w:t>90</w:t>
      </w:r>
      <w:r>
        <w:rPr>
          <w:snapToGrid w:val="0"/>
        </w:rPr>
        <w:t>.</w:t>
      </w:r>
      <w:r>
        <w:rPr>
          <w:snapToGrid w:val="0"/>
        </w:rPr>
        <w:tab/>
        <w:t>Gangways to be provided</w:t>
      </w:r>
      <w:bookmarkEnd w:id="129"/>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in Gazette 15 Jun 1973 p. 2239; 19 May 1989 p. 1495.] </w:t>
      </w:r>
    </w:p>
    <w:p>
      <w:pPr>
        <w:pStyle w:val="Heading5"/>
        <w:rPr>
          <w:snapToGrid w:val="0"/>
        </w:rPr>
      </w:pPr>
      <w:bookmarkStart w:id="130" w:name="_Toc443638772"/>
      <w:r>
        <w:rPr>
          <w:rStyle w:val="CharSectno"/>
        </w:rPr>
        <w:t>91</w:t>
      </w:r>
      <w:r>
        <w:rPr>
          <w:snapToGrid w:val="0"/>
        </w:rPr>
        <w:t>.</w:t>
      </w:r>
      <w:r>
        <w:rPr>
          <w:snapToGrid w:val="0"/>
        </w:rPr>
        <w:tab/>
        <w:t>Interference with jetties or approaches</w:t>
      </w:r>
      <w:bookmarkEnd w:id="130"/>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in Gazette 19 May 1989 p. 1495.] </w:t>
      </w:r>
    </w:p>
    <w:p>
      <w:pPr>
        <w:pStyle w:val="Heading5"/>
        <w:rPr>
          <w:snapToGrid w:val="0"/>
        </w:rPr>
      </w:pPr>
      <w:bookmarkStart w:id="131" w:name="_Toc443638773"/>
      <w:r>
        <w:rPr>
          <w:rStyle w:val="CharSectno"/>
        </w:rPr>
        <w:t>92</w:t>
      </w:r>
      <w:r>
        <w:rPr>
          <w:snapToGrid w:val="0"/>
        </w:rPr>
        <w:t>.</w:t>
      </w:r>
      <w:r>
        <w:rPr>
          <w:snapToGrid w:val="0"/>
        </w:rPr>
        <w:tab/>
        <w:t>Lifebuoys on jetties</w:t>
      </w:r>
      <w:bookmarkEnd w:id="131"/>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in Gazette 19 May 1989 p. 1495.] </w:t>
      </w:r>
    </w:p>
    <w:p>
      <w:pPr>
        <w:pStyle w:val="Heading5"/>
        <w:rPr>
          <w:snapToGrid w:val="0"/>
        </w:rPr>
      </w:pPr>
      <w:bookmarkStart w:id="132" w:name="_Toc443638774"/>
      <w:r>
        <w:rPr>
          <w:rStyle w:val="CharSectno"/>
        </w:rPr>
        <w:t>93</w:t>
      </w:r>
      <w:r>
        <w:rPr>
          <w:snapToGrid w:val="0"/>
        </w:rPr>
        <w:t>.</w:t>
      </w:r>
      <w:r>
        <w:rPr>
          <w:snapToGrid w:val="0"/>
        </w:rPr>
        <w:tab/>
        <w:t>Obstruction of jetties or officers</w:t>
      </w:r>
      <w:bookmarkEnd w:id="132"/>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in Gazette 19 May 1989 p. 1495.] </w:t>
      </w:r>
    </w:p>
    <w:p>
      <w:pPr>
        <w:pStyle w:val="Heading5"/>
        <w:rPr>
          <w:snapToGrid w:val="0"/>
        </w:rPr>
      </w:pPr>
      <w:bookmarkStart w:id="133" w:name="_Toc443638775"/>
      <w:r>
        <w:rPr>
          <w:rStyle w:val="CharSectno"/>
        </w:rPr>
        <w:t>94</w:t>
      </w:r>
      <w:r>
        <w:rPr>
          <w:snapToGrid w:val="0"/>
        </w:rPr>
        <w:t>.</w:t>
      </w:r>
      <w:r>
        <w:rPr>
          <w:snapToGrid w:val="0"/>
        </w:rPr>
        <w:tab/>
        <w:t>Rubbish not to be thrown in river etc.</w:t>
      </w:r>
      <w:bookmarkEnd w:id="133"/>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in Gazette 19 May 1989 p. 1495.] </w:t>
      </w:r>
    </w:p>
    <w:p>
      <w:pPr>
        <w:pStyle w:val="Heading2"/>
      </w:pPr>
      <w:bookmarkStart w:id="134" w:name="_Toc440457083"/>
      <w:bookmarkStart w:id="135" w:name="_Toc443638776"/>
      <w:r>
        <w:rPr>
          <w:rStyle w:val="CharPartNo"/>
        </w:rPr>
        <w:t>Part 2A</w:t>
      </w:r>
      <w:r>
        <w:rPr>
          <w:rStyle w:val="CharDivNo"/>
        </w:rPr>
        <w:t> </w:t>
      </w:r>
      <w:r>
        <w:t>—</w:t>
      </w:r>
      <w:r>
        <w:rPr>
          <w:rStyle w:val="CharDivText"/>
        </w:rPr>
        <w:t> </w:t>
      </w:r>
      <w:r>
        <w:rPr>
          <w:rStyle w:val="CharPartText"/>
        </w:rPr>
        <w:t xml:space="preserve">Mooring and berthing other than in the </w:t>
      </w:r>
      <w:smartTag w:uri="urn:schemas-microsoft-com:office:smarttags" w:element="place">
        <w:smartTag w:uri="urn:schemas-microsoft-com:office:smarttags" w:element="PlaceType">
          <w:r>
            <w:rPr>
              <w:rStyle w:val="CharPartText"/>
            </w:rPr>
            <w:t>Port</w:t>
          </w:r>
        </w:smartTag>
        <w:r>
          <w:rPr>
            <w:rStyle w:val="CharPartText"/>
          </w:rPr>
          <w:t xml:space="preserve"> of </w:t>
        </w:r>
        <w:smartTag w:uri="urn:schemas-microsoft-com:office:smarttags" w:element="PlaceName">
          <w:r>
            <w:rPr>
              <w:rStyle w:val="CharPartText"/>
            </w:rPr>
            <w:t>Perth</w:t>
          </w:r>
        </w:smartTag>
      </w:smartTag>
      <w:bookmarkEnd w:id="134"/>
      <w:bookmarkEnd w:id="135"/>
      <w:r>
        <w:rPr>
          <w:rStyle w:val="CharPartText"/>
        </w:rPr>
        <w:t xml:space="preserve"> </w:t>
      </w:r>
    </w:p>
    <w:p>
      <w:pPr>
        <w:pStyle w:val="Footnoteheading"/>
      </w:pPr>
      <w:r>
        <w:tab/>
        <w:t>[Heading inserted in Gazette 1 Aug 1990 p. 3633</w:t>
      </w:r>
      <w:r>
        <w:noBreakHyphen/>
        <w:t xml:space="preserve">4.] </w:t>
      </w:r>
    </w:p>
    <w:p>
      <w:pPr>
        <w:pStyle w:val="Heading5"/>
      </w:pPr>
      <w:bookmarkStart w:id="136" w:name="_Toc443638777"/>
      <w:r>
        <w:rPr>
          <w:rStyle w:val="CharSectno"/>
        </w:rPr>
        <w:t>94A</w:t>
      </w:r>
      <w:r>
        <w:t>.</w:t>
      </w:r>
      <w:r>
        <w:tab/>
        <w:t>Charges for pen rentals and services</w:t>
      </w:r>
      <w:bookmarkEnd w:id="136"/>
    </w:p>
    <w:p>
      <w:pPr>
        <w:pStyle w:val="Subsection"/>
      </w:pPr>
      <w:r>
        <w:tab/>
      </w:r>
      <w:r>
        <w:tab/>
        <w:t xml:space="preserve">The charges payable for pen rentals and services in particular ports and harbours (other than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r>
        <w:t>) are as set out in Schedule 1.</w:t>
      </w:r>
    </w:p>
    <w:p>
      <w:pPr>
        <w:pStyle w:val="Footnotesection"/>
      </w:pPr>
      <w:r>
        <w:tab/>
        <w:t>[Regulation 94A inserted in Gazette 14 Jun 2002 p. 2800; amended in Gazette 24 Jun 2005 p. 2817; 22 Jun 2007 p. 2909; 25 Jul 2014 p. 2612.]</w:t>
      </w:r>
    </w:p>
    <w:p>
      <w:pPr>
        <w:pStyle w:val="Heading5"/>
        <w:rPr>
          <w:snapToGrid w:val="0"/>
        </w:rPr>
      </w:pPr>
      <w:bookmarkStart w:id="137" w:name="_Toc443638778"/>
      <w:r>
        <w:rPr>
          <w:rStyle w:val="CharSectno"/>
        </w:rPr>
        <w:t>94B</w:t>
      </w:r>
      <w:r>
        <w:rPr>
          <w:snapToGrid w:val="0"/>
        </w:rPr>
        <w:t>.</w:t>
      </w:r>
      <w:r>
        <w:rPr>
          <w:snapToGrid w:val="0"/>
        </w:rPr>
        <w:tab/>
        <w:t>Charges for pile mooring</w:t>
      </w:r>
      <w:bookmarkEnd w:id="137"/>
    </w:p>
    <w:p>
      <w:pPr>
        <w:pStyle w:val="Subsection"/>
        <w:rPr>
          <w:snapToGrid w:val="0"/>
        </w:rPr>
      </w:pPr>
      <w:r>
        <w:rPr>
          <w:snapToGrid w:val="0"/>
        </w:rPr>
        <w:tab/>
      </w:r>
      <w:r>
        <w:rPr>
          <w:snapToGrid w:val="0"/>
        </w:rPr>
        <w:tab/>
        <w:t xml:space="preserve">The </w:t>
      </w:r>
      <w:r>
        <w:t xml:space="preserve">charges </w:t>
      </w:r>
      <w:r>
        <w:rPr>
          <w:snapToGrid w:val="0"/>
        </w:rPr>
        <w:t xml:space="preserve">for pile mooring rental set out in </w:t>
      </w:r>
      <w:r>
        <w:t xml:space="preserve">Schedule 1 </w:t>
      </w:r>
      <w:r>
        <w:rPr>
          <w:snapToGrid w:val="0"/>
        </w:rPr>
        <w:t>are payable in respect to a pile mooring rented by any vessel in any boat harbour or fishing boat harbour in the State, according to the size of that vessel.</w:t>
      </w:r>
    </w:p>
    <w:p>
      <w:pPr>
        <w:pStyle w:val="Footnotesection"/>
      </w:pPr>
      <w:r>
        <w:tab/>
        <w:t>[Regulation 94B inserted in Gazette 1 Aug 1990 p. 3633</w:t>
      </w:r>
      <w:r>
        <w:noBreakHyphen/>
        <w:t xml:space="preserve">4; amended in Gazette 25 Jun 1996 p. 2981; 24 Jun 2005 p. 2817; 22 Jun 2007 p. 2909; 25 Jul 2014 p. 2612.] </w:t>
      </w:r>
    </w:p>
    <w:p>
      <w:pPr>
        <w:pStyle w:val="Heading5"/>
        <w:rPr>
          <w:snapToGrid w:val="0"/>
        </w:rPr>
      </w:pPr>
      <w:bookmarkStart w:id="138" w:name="_Toc443638779"/>
      <w:r>
        <w:rPr>
          <w:rStyle w:val="CharSectno"/>
        </w:rPr>
        <w:t>94C</w:t>
      </w:r>
      <w:r>
        <w:rPr>
          <w:snapToGrid w:val="0"/>
        </w:rPr>
        <w:t>.</w:t>
      </w:r>
      <w:r>
        <w:rPr>
          <w:snapToGrid w:val="0"/>
        </w:rPr>
        <w:tab/>
        <w:t>Dues or charges for berthing or mooring on casual basis</w:t>
      </w:r>
      <w:bookmarkEnd w:id="138"/>
    </w:p>
    <w:p>
      <w:pPr>
        <w:pStyle w:val="Subsection"/>
        <w:rPr>
          <w:snapToGrid w:val="0"/>
        </w:rPr>
      </w:pPr>
      <w:r>
        <w:rPr>
          <w:snapToGrid w:val="0"/>
        </w:rPr>
        <w:tab/>
      </w:r>
      <w:r>
        <w:rPr>
          <w:snapToGrid w:val="0"/>
        </w:rPr>
        <w:tab/>
        <w:t xml:space="preserve">Where no other </w:t>
      </w:r>
      <w:r>
        <w:t xml:space="preserve">due or charge </w:t>
      </w:r>
      <w:r>
        <w:rPr>
          <w:snapToGrid w:val="0"/>
        </w:rPr>
        <w:t xml:space="preserve">is prescribed for berthing or mooring at a wharf or public jetty, the </w:t>
      </w:r>
      <w:r>
        <w:t xml:space="preserve">due or charge </w:t>
      </w:r>
      <w:r>
        <w:rPr>
          <w:snapToGrid w:val="0"/>
        </w:rPr>
        <w:t xml:space="preserve">set out in </w:t>
      </w:r>
      <w:r>
        <w:t xml:space="preserve">Schedule 1 </w:t>
      </w:r>
      <w:r>
        <w:rPr>
          <w:snapToGrid w:val="0"/>
        </w:rPr>
        <w:t>is payable for berthing or mooring on a casual basis at a wharf or public jetty, other than those within the Port of Perth.</w:t>
      </w:r>
    </w:p>
    <w:p>
      <w:pPr>
        <w:pStyle w:val="Footnotesection"/>
      </w:pPr>
      <w:r>
        <w:tab/>
        <w:t xml:space="preserve">[Regulation 94C inserted in Gazette 30 Jun 1992 p. 2893; amended in Gazette 24 Jun 2005 p. 2817; 22 Jun 2007 p. 2909; 25 Jul 2014 p. 2613.] </w:t>
      </w:r>
    </w:p>
    <w:p>
      <w:pPr>
        <w:pStyle w:val="Heading5"/>
      </w:pPr>
      <w:bookmarkStart w:id="139" w:name="_Toc443638780"/>
      <w:r>
        <w:rPr>
          <w:rStyle w:val="CharSectno"/>
        </w:rPr>
        <w:t>94D</w:t>
      </w:r>
      <w:r>
        <w:t>.</w:t>
      </w:r>
      <w:r>
        <w:tab/>
        <w:t>Waiving charges in emergencies</w:t>
      </w:r>
      <w:bookmarkEnd w:id="139"/>
    </w:p>
    <w:p>
      <w:pPr>
        <w:pStyle w:val="Subsection"/>
      </w:pPr>
      <w:r>
        <w:tab/>
      </w:r>
      <w:r>
        <w:tab/>
        <w:t>The chief executive officer of the Department may waive a charge payable under this Division for the use of an alongside berth at a service jetty by a vessel in need of emergency repair.</w:t>
      </w:r>
    </w:p>
    <w:p>
      <w:pPr>
        <w:pStyle w:val="Footnotesection"/>
      </w:pPr>
      <w:r>
        <w:tab/>
        <w:t>[Regulation 94D inserted in Gazette 22 Jun 2007 p. 2910; amended in Gazette 25 Jul 2014 p. 2613.]</w:t>
      </w:r>
    </w:p>
    <w:p>
      <w:pPr>
        <w:pStyle w:val="Heading5"/>
      </w:pPr>
      <w:bookmarkStart w:id="140" w:name="_Toc443638781"/>
      <w:r>
        <w:rPr>
          <w:rStyle w:val="CharSectno"/>
        </w:rPr>
        <w:t>94E</w:t>
      </w:r>
      <w:r>
        <w:t>.</w:t>
      </w:r>
      <w:r>
        <w:tab/>
        <w:t>Controlling short term use</w:t>
      </w:r>
      <w:bookmarkEnd w:id="140"/>
    </w:p>
    <w:p>
      <w:pPr>
        <w:pStyle w:val="Subsection"/>
      </w:pPr>
      <w:r>
        <w:tab/>
      </w:r>
      <w:r>
        <w:tab/>
        <w:t>Where several vessels have applied for short term access to a service wharf or jetty, an officer of the Department may direct that, in particular circumstances, a particular type of vessel, or a specified type of short term use, has precedence.</w:t>
      </w:r>
    </w:p>
    <w:p>
      <w:pPr>
        <w:pStyle w:val="Footnotesection"/>
      </w:pPr>
      <w:r>
        <w:tab/>
        <w:t>[Regulation 94E inserted in Gazette 22 Jul 2015 p. 2954.]</w:t>
      </w:r>
    </w:p>
    <w:p>
      <w:pPr>
        <w:pStyle w:val="Heading2"/>
      </w:pPr>
      <w:bookmarkStart w:id="141" w:name="_Toc440457089"/>
      <w:bookmarkStart w:id="142" w:name="_Toc443638782"/>
      <w:r>
        <w:rPr>
          <w:rStyle w:val="CharPartNo"/>
        </w:rPr>
        <w:t>Part 3</w:t>
      </w:r>
      <w:r>
        <w:t> — </w:t>
      </w:r>
      <w:r>
        <w:rPr>
          <w:rStyle w:val="CharPartText"/>
        </w:rPr>
        <w:t>Special provisions applying at particular ports</w:t>
      </w:r>
      <w:bookmarkEnd w:id="141"/>
      <w:bookmarkEnd w:id="142"/>
      <w:r>
        <w:rPr>
          <w:rStyle w:val="CharPartText"/>
        </w:rPr>
        <w:t xml:space="preserve"> </w:t>
      </w:r>
    </w:p>
    <w:p>
      <w:pPr>
        <w:pStyle w:val="Footnoteheading"/>
      </w:pPr>
      <w:r>
        <w:tab/>
        <w:t xml:space="preserve">[Heading inserted in Gazette 19 May 1989 p. 1494.] </w:t>
      </w:r>
    </w:p>
    <w:p>
      <w:pPr>
        <w:pStyle w:val="Heading3"/>
        <w:rPr>
          <w:snapToGrid w:val="0"/>
        </w:rPr>
      </w:pPr>
      <w:bookmarkStart w:id="143" w:name="_Toc440457090"/>
      <w:bookmarkStart w:id="144" w:name="_Toc443638783"/>
      <w:r>
        <w:rPr>
          <w:rStyle w:val="CharDivNo"/>
        </w:rPr>
        <w:t>Division 1</w:t>
      </w:r>
      <w:r>
        <w:rPr>
          <w:snapToGrid w:val="0"/>
        </w:rPr>
        <w:t> — </w:t>
      </w:r>
      <w:r>
        <w:rPr>
          <w:rStyle w:val="CharDivText"/>
        </w:rPr>
        <w:t>Use of slipways</w:t>
      </w:r>
      <w:bookmarkEnd w:id="143"/>
      <w:bookmarkEnd w:id="144"/>
      <w:r>
        <w:rPr>
          <w:rStyle w:val="CharDivText"/>
        </w:rPr>
        <w:t xml:space="preserve"> </w:t>
      </w:r>
    </w:p>
    <w:p>
      <w:pPr>
        <w:pStyle w:val="Footnoteheading"/>
      </w:pPr>
      <w:r>
        <w:tab/>
        <w:t xml:space="preserve">[Heading inserted in Gazette 19 May 1989 p. 1494.] </w:t>
      </w:r>
    </w:p>
    <w:p>
      <w:pPr>
        <w:pStyle w:val="Heading5"/>
      </w:pPr>
      <w:bookmarkStart w:id="145" w:name="_Toc443638784"/>
      <w:r>
        <w:rPr>
          <w:rStyle w:val="CharSectno"/>
        </w:rPr>
        <w:t>95</w:t>
      </w:r>
      <w:r>
        <w:t>.</w:t>
      </w:r>
      <w:r>
        <w:tab/>
        <w:t>Management and control of departmental slipways</w:t>
      </w:r>
      <w:bookmarkEnd w:id="145"/>
    </w:p>
    <w:p>
      <w:pPr>
        <w:pStyle w:val="Subsection"/>
      </w:pPr>
      <w:r>
        <w:tab/>
        <w:t>(1)</w:t>
      </w:r>
      <w:r>
        <w:tab/>
        <w:t>Part 3 Division 1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in Gazette 20 Jun 2000 p. 3044; amended in Gazette 4 Nov 2014 p. 4204.]</w:t>
      </w:r>
    </w:p>
    <w:p>
      <w:pPr>
        <w:pStyle w:val="Heading5"/>
      </w:pPr>
      <w:bookmarkStart w:id="146" w:name="_Toc443638785"/>
      <w:r>
        <w:rPr>
          <w:rStyle w:val="CharSectno"/>
        </w:rPr>
        <w:t>95A</w:t>
      </w:r>
      <w:r>
        <w:t>.</w:t>
      </w:r>
      <w:r>
        <w:tab/>
        <w:t>Use of slipway</w:t>
      </w:r>
      <w:bookmarkEnd w:id="146"/>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3 Form 3.</w:t>
      </w:r>
    </w:p>
    <w:p>
      <w:pPr>
        <w:pStyle w:val="Footnotesection"/>
      </w:pPr>
      <w:r>
        <w:tab/>
        <w:t>[Regulation 95A inserted in Gazette 4 Nov 2014 p. 4204.]</w:t>
      </w:r>
    </w:p>
    <w:p>
      <w:pPr>
        <w:pStyle w:val="Heading5"/>
        <w:rPr>
          <w:snapToGrid w:val="0"/>
        </w:rPr>
      </w:pPr>
      <w:bookmarkStart w:id="147" w:name="_Toc443638786"/>
      <w:r>
        <w:rPr>
          <w:rStyle w:val="CharSectno"/>
        </w:rPr>
        <w:t>96</w:t>
      </w:r>
      <w:r>
        <w:rPr>
          <w:snapToGrid w:val="0"/>
        </w:rPr>
        <w:t>.</w:t>
      </w:r>
      <w:r>
        <w:rPr>
          <w:snapToGrid w:val="0"/>
        </w:rPr>
        <w:tab/>
        <w:t>Charges for use of slipway</w:t>
      </w:r>
      <w:bookmarkEnd w:id="147"/>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in Gazette 11 Jan 1946 p. 13; amended in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148" w:name="_Toc443638787"/>
      <w:r>
        <w:rPr>
          <w:rStyle w:val="CharSectno"/>
        </w:rPr>
        <w:t>97</w:t>
      </w:r>
      <w:r>
        <w:rPr>
          <w:snapToGrid w:val="0"/>
        </w:rPr>
        <w:t>.</w:t>
      </w:r>
      <w:r>
        <w:rPr>
          <w:snapToGrid w:val="0"/>
        </w:rPr>
        <w:tab/>
        <w:t>Government vessels may take precedence</w:t>
      </w:r>
      <w:bookmarkEnd w:id="148"/>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in Gazette 11 Jan 1946 p. 13; amended in Gazette 19 May 1989 p. 1495.] </w:t>
      </w:r>
    </w:p>
    <w:p>
      <w:pPr>
        <w:pStyle w:val="Heading5"/>
        <w:rPr>
          <w:snapToGrid w:val="0"/>
        </w:rPr>
      </w:pPr>
      <w:bookmarkStart w:id="149" w:name="_Toc443638788"/>
      <w:r>
        <w:rPr>
          <w:rStyle w:val="CharSectno"/>
        </w:rPr>
        <w:t>98</w:t>
      </w:r>
      <w:r>
        <w:rPr>
          <w:snapToGrid w:val="0"/>
        </w:rPr>
        <w:t>.</w:t>
      </w:r>
      <w:r>
        <w:rPr>
          <w:snapToGrid w:val="0"/>
        </w:rPr>
        <w:tab/>
        <w:t>Vessels may forfeit their turn</w:t>
      </w:r>
      <w:bookmarkEnd w:id="149"/>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in Gazette 11 Jan 1946 p. 13; amended in Gazette 19 May 1989 p. 1496.] </w:t>
      </w:r>
    </w:p>
    <w:p>
      <w:pPr>
        <w:pStyle w:val="Heading5"/>
        <w:rPr>
          <w:snapToGrid w:val="0"/>
        </w:rPr>
      </w:pPr>
      <w:bookmarkStart w:id="150" w:name="_Toc443638789"/>
      <w:r>
        <w:rPr>
          <w:rStyle w:val="CharSectno"/>
        </w:rPr>
        <w:t>99</w:t>
      </w:r>
      <w:r>
        <w:rPr>
          <w:snapToGrid w:val="0"/>
        </w:rPr>
        <w:t>.</w:t>
      </w:r>
      <w:r>
        <w:rPr>
          <w:snapToGrid w:val="0"/>
        </w:rPr>
        <w:tab/>
        <w:t>Department will not undertake repairs etc.</w:t>
      </w:r>
      <w:bookmarkEnd w:id="150"/>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in Gazette 11 Jan 1946 p. 13; amended in Gazette 19 May 1989 p. 1496.] </w:t>
      </w:r>
    </w:p>
    <w:p>
      <w:pPr>
        <w:pStyle w:val="Heading5"/>
        <w:rPr>
          <w:snapToGrid w:val="0"/>
        </w:rPr>
      </w:pPr>
      <w:bookmarkStart w:id="151" w:name="_Toc443638790"/>
      <w:r>
        <w:rPr>
          <w:rStyle w:val="CharSectno"/>
        </w:rPr>
        <w:t>100</w:t>
      </w:r>
      <w:r>
        <w:rPr>
          <w:snapToGrid w:val="0"/>
        </w:rPr>
        <w:t>.</w:t>
      </w:r>
      <w:r>
        <w:rPr>
          <w:snapToGrid w:val="0"/>
        </w:rPr>
        <w:tab/>
        <w:t>Department not responsible for damage to vessel when in use of slip</w:t>
      </w:r>
      <w:bookmarkEnd w:id="151"/>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in Gazette 11 Jan 1946 p. 13; amended in Gazette 19 May 1989 p. 1496.] </w:t>
      </w:r>
    </w:p>
    <w:p>
      <w:pPr>
        <w:pStyle w:val="Heading5"/>
        <w:spacing w:before="180"/>
        <w:rPr>
          <w:snapToGrid w:val="0"/>
        </w:rPr>
      </w:pPr>
      <w:bookmarkStart w:id="152" w:name="_Toc443638791"/>
      <w:r>
        <w:rPr>
          <w:rStyle w:val="CharSectno"/>
        </w:rPr>
        <w:t>101</w:t>
      </w:r>
      <w:r>
        <w:rPr>
          <w:snapToGrid w:val="0"/>
        </w:rPr>
        <w:t>.</w:t>
      </w:r>
      <w:r>
        <w:rPr>
          <w:snapToGrid w:val="0"/>
        </w:rPr>
        <w:tab/>
        <w:t>Duties of owner or master using slipway</w:t>
      </w:r>
      <w:bookmarkEnd w:id="152"/>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in Gazette 19 Oct 1973 p. 3819; amended in Gazette 20 Jun 2000 p. 3044; 4 Nov 2014 p. 4205.] </w:t>
      </w:r>
    </w:p>
    <w:p>
      <w:pPr>
        <w:pStyle w:val="Heading5"/>
        <w:spacing w:before="180"/>
        <w:rPr>
          <w:snapToGrid w:val="0"/>
        </w:rPr>
      </w:pPr>
      <w:bookmarkStart w:id="153" w:name="_Toc443638792"/>
      <w:r>
        <w:rPr>
          <w:rStyle w:val="CharSectno"/>
        </w:rPr>
        <w:t>101A</w:t>
      </w:r>
      <w:r>
        <w:rPr>
          <w:snapToGrid w:val="0"/>
        </w:rPr>
        <w:t>.</w:t>
      </w:r>
      <w:r>
        <w:rPr>
          <w:snapToGrid w:val="0"/>
        </w:rPr>
        <w:tab/>
        <w:t>Slipping of more than one vessel at a time</w:t>
      </w:r>
      <w:bookmarkEnd w:id="153"/>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in Gazette 24 Nov 1972 p. 4488; amended in Gazette 19 May 1989 p. 1496; 20 Jun 2000 p. 3044; 4 Nov 2014 p. 4205.] </w:t>
      </w:r>
    </w:p>
    <w:p>
      <w:pPr>
        <w:pStyle w:val="Heading5"/>
        <w:keepNext w:val="0"/>
        <w:keepLines w:val="0"/>
        <w:spacing w:before="180"/>
        <w:rPr>
          <w:snapToGrid w:val="0"/>
        </w:rPr>
      </w:pPr>
      <w:bookmarkStart w:id="154" w:name="_Toc443638793"/>
      <w:r>
        <w:rPr>
          <w:rStyle w:val="CharSectno"/>
        </w:rPr>
        <w:t>101B</w:t>
      </w:r>
      <w:r>
        <w:rPr>
          <w:snapToGrid w:val="0"/>
        </w:rPr>
        <w:t>.</w:t>
      </w:r>
      <w:r>
        <w:rPr>
          <w:snapToGrid w:val="0"/>
        </w:rPr>
        <w:tab/>
        <w:t>Dispute procedure</w:t>
      </w:r>
      <w:bookmarkEnd w:id="154"/>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in Gazette 11 Jan 1946 p. 13; amended in Gazette 19 May 1989 p. 1496.] </w:t>
      </w:r>
    </w:p>
    <w:p>
      <w:pPr>
        <w:pStyle w:val="Ednotesection"/>
        <w:spacing w:before="180"/>
        <w:ind w:left="890" w:hanging="890"/>
      </w:pPr>
      <w:r>
        <w:t>[</w:t>
      </w:r>
      <w:r>
        <w:rPr>
          <w:b/>
        </w:rPr>
        <w:t>102-105.</w:t>
      </w:r>
      <w:r>
        <w:tab/>
        <w:t>Deleted in Gazette 24 Nov 1972 p. 4488.]</w:t>
      </w:r>
    </w:p>
    <w:p>
      <w:pPr>
        <w:pStyle w:val="Heading3"/>
        <w:rPr>
          <w:snapToGrid w:val="0"/>
        </w:rPr>
      </w:pPr>
      <w:bookmarkStart w:id="155" w:name="_Toc440457101"/>
      <w:bookmarkStart w:id="156" w:name="_Toc443638794"/>
      <w:r>
        <w:rPr>
          <w:rStyle w:val="CharDivNo"/>
        </w:rPr>
        <w:t>Division 2</w:t>
      </w:r>
      <w:r>
        <w:rPr>
          <w:snapToGrid w:val="0"/>
        </w:rPr>
        <w:t> — </w:t>
      </w:r>
      <w:r>
        <w:rPr>
          <w:rStyle w:val="CharDivText"/>
        </w:rPr>
        <w:t>Use of mooring springs</w:t>
      </w:r>
      <w:bookmarkEnd w:id="155"/>
      <w:bookmarkEnd w:id="156"/>
      <w:r>
        <w:rPr>
          <w:snapToGrid w:val="0"/>
        </w:rPr>
        <w:t xml:space="preserve"> </w:t>
      </w:r>
    </w:p>
    <w:p>
      <w:pPr>
        <w:pStyle w:val="Footnoteheading"/>
      </w:pPr>
      <w:r>
        <w:tab/>
        <w:t xml:space="preserve">[Heading inserted in Gazette 19 May 1989 p. 1494.] </w:t>
      </w:r>
    </w:p>
    <w:p>
      <w:pPr>
        <w:pStyle w:val="Ednotesection"/>
        <w:spacing w:before="180"/>
      </w:pPr>
      <w:r>
        <w:t>[</w:t>
      </w:r>
      <w:r>
        <w:rPr>
          <w:b/>
        </w:rPr>
        <w:t>105A</w:t>
      </w:r>
      <w:r>
        <w:rPr>
          <w:b/>
        </w:rPr>
        <w:noBreakHyphen/>
        <w:t>105E.</w:t>
      </w:r>
      <w:r>
        <w:tab/>
        <w:t>Deleted in Gazette 30 Jun 1995 p. 2700.]</w:t>
      </w:r>
    </w:p>
    <w:p>
      <w:pPr>
        <w:pStyle w:val="Heading5"/>
        <w:spacing w:before="180"/>
        <w:rPr>
          <w:snapToGrid w:val="0"/>
        </w:rPr>
      </w:pPr>
      <w:bookmarkStart w:id="157" w:name="_Toc443638795"/>
      <w:r>
        <w:rPr>
          <w:rStyle w:val="CharSectno"/>
        </w:rPr>
        <w:t>105F</w:t>
      </w:r>
      <w:r>
        <w:rPr>
          <w:snapToGrid w:val="0"/>
        </w:rPr>
        <w:t>.</w:t>
      </w:r>
      <w:r>
        <w:rPr>
          <w:snapToGrid w:val="0"/>
        </w:rPr>
        <w:tab/>
        <w:t>Approaching bollard or jetty to which mooring spring or rope fastened</w:t>
      </w:r>
      <w:bookmarkEnd w:id="15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in Gazette 3 Jan 1947 p. 7; amended in Gazette 15 Jun 1973 p. 2238.] </w:t>
      </w:r>
    </w:p>
    <w:p>
      <w:pPr>
        <w:pStyle w:val="Ednotesection"/>
        <w:spacing w:before="180"/>
        <w:ind w:left="890" w:hanging="890"/>
      </w:pPr>
      <w:r>
        <w:t>[</w:t>
      </w:r>
      <w:r>
        <w:rPr>
          <w:b/>
        </w:rPr>
        <w:t>105G, 105H, 105HA, 105HB.</w:t>
      </w:r>
      <w:r>
        <w:tab/>
        <w:t>Deleted in Gazette 30 Jun 1995 p. 2700.]</w:t>
      </w:r>
    </w:p>
    <w:p>
      <w:pPr>
        <w:pStyle w:val="Ednotedivision"/>
        <w:spacing w:before="180"/>
      </w:pPr>
      <w:r>
        <w:t>[Division 3 (r. 105HC) deleted in Gazette 30 Jun 1995 p. 2700.]</w:t>
      </w:r>
    </w:p>
    <w:p>
      <w:pPr>
        <w:pStyle w:val="Heading3"/>
        <w:rPr>
          <w:snapToGrid w:val="0"/>
        </w:rPr>
      </w:pPr>
      <w:bookmarkStart w:id="158" w:name="_Toc440457103"/>
      <w:bookmarkStart w:id="159" w:name="_Toc443638796"/>
      <w:r>
        <w:rPr>
          <w:rStyle w:val="CharDivNo"/>
        </w:rPr>
        <w:t>Division 4</w:t>
      </w:r>
      <w:r>
        <w:rPr>
          <w:snapToGrid w:val="0"/>
        </w:rPr>
        <w:t> — </w:t>
      </w:r>
      <w:r>
        <w:rPr>
          <w:rStyle w:val="CharDivText"/>
        </w:rPr>
        <w:t>Use of weighbridges at Wyndham</w:t>
      </w:r>
      <w:bookmarkEnd w:id="158"/>
      <w:bookmarkEnd w:id="159"/>
    </w:p>
    <w:p>
      <w:pPr>
        <w:pStyle w:val="Footnoteheading"/>
      </w:pPr>
      <w:r>
        <w:tab/>
        <w:t xml:space="preserve">[Heading inserted in Gazette 19 May 1989 p. 1494; amended in Gazette 20 Jun 2000 p. 3044.] </w:t>
      </w:r>
    </w:p>
    <w:p>
      <w:pPr>
        <w:pStyle w:val="Heading5"/>
        <w:rPr>
          <w:snapToGrid w:val="0"/>
        </w:rPr>
      </w:pPr>
      <w:bookmarkStart w:id="160" w:name="_Toc443638797"/>
      <w:r>
        <w:rPr>
          <w:rStyle w:val="CharSectno"/>
        </w:rPr>
        <w:t>105I</w:t>
      </w:r>
      <w:r>
        <w:rPr>
          <w:snapToGrid w:val="0"/>
        </w:rPr>
        <w:t>.</w:t>
      </w:r>
      <w:r>
        <w:rPr>
          <w:snapToGrid w:val="0"/>
        </w:rPr>
        <w:tab/>
        <w:t>Weighbridge charges</w:t>
      </w:r>
      <w:bookmarkEnd w:id="160"/>
    </w:p>
    <w:p>
      <w:pPr>
        <w:pStyle w:val="Subsection"/>
        <w:rPr>
          <w:snapToGrid w:val="0"/>
        </w:rPr>
      </w:pPr>
      <w:r>
        <w:rPr>
          <w:snapToGrid w:val="0"/>
        </w:rPr>
        <w:tab/>
        <w:t>(1)</w:t>
      </w:r>
      <w:r>
        <w:rPr>
          <w:snapToGrid w:val="0"/>
        </w:rPr>
        <w:tab/>
        <w:t xml:space="preserve">A person making use of the 50 t weighbridges at Wyndham shall pay the </w:t>
      </w:r>
      <w:r>
        <w:t xml:space="preserve">charge </w:t>
      </w:r>
      <w:r>
        <w:rPr>
          <w:snapToGrid w:val="0"/>
        </w:rPr>
        <w:t xml:space="preserve">set out in </w:t>
      </w:r>
      <w:r>
        <w:t>Schedule 1.</w:t>
      </w:r>
    </w:p>
    <w:p>
      <w:pPr>
        <w:pStyle w:val="Subsection"/>
        <w:rPr>
          <w:snapToGrid w:val="0"/>
        </w:rPr>
      </w:pPr>
      <w:r>
        <w:rPr>
          <w:snapToGrid w:val="0"/>
        </w:rPr>
        <w:tab/>
        <w:t>(2)</w:t>
      </w:r>
      <w:r>
        <w:rPr>
          <w:snapToGrid w:val="0"/>
        </w:rPr>
        <w:tab/>
        <w:t xml:space="preserve">A person making use of the weighbridge outside of normal working hours shall pay the wages of the operator, in addition to the </w:t>
      </w:r>
      <w:r>
        <w:t xml:space="preserve">charges </w:t>
      </w:r>
      <w:r>
        <w:rPr>
          <w:snapToGrid w:val="0"/>
        </w:rPr>
        <w:t>prescribed by subregulation (1).</w:t>
      </w:r>
    </w:p>
    <w:p>
      <w:pPr>
        <w:pStyle w:val="Subsection"/>
        <w:rPr>
          <w:snapToGrid w:val="0"/>
        </w:rPr>
      </w:pPr>
      <w:r>
        <w:rPr>
          <w:snapToGrid w:val="0"/>
        </w:rPr>
        <w:tab/>
        <w:t>(3)</w:t>
      </w:r>
      <w:r>
        <w:rPr>
          <w:snapToGrid w:val="0"/>
        </w:rPr>
        <w:tab/>
        <w:t>Where multi</w:t>
      </w:r>
      <w:r>
        <w:rPr>
          <w:snapToGrid w:val="0"/>
        </w:rPr>
        <w:noBreakHyphen/>
        <w:t>unit vehicles are weighed, under this regulation, each unit shall be weighed separately and a ticket issued for each unit.</w:t>
      </w:r>
    </w:p>
    <w:p>
      <w:pPr>
        <w:pStyle w:val="Footnotesection"/>
      </w:pPr>
      <w:r>
        <w:tab/>
        <w:t xml:space="preserve">[Regulation 105I inserted in Gazette 11 Aug 1964 p. 2880; amended in Gazette 17 Mar 1966 p. 731; 30 Dec 1968 p. 3949; 24 Nov 1972 p. 4488; 15 Jun 1973 p. 2238; 20 Jun 1980 p. 1835; 26 Jun 1981 p. 2410; 9 Jul 1982 p. 2510; 5 Aug 1983 p. 2835; 8 Aug 1986 p. 2828; 16 Oct 1987 p. 3894; 14 Oct 1988 p. 4164; 30 Jun 1989 p. 1918; 1 Aug 1990 p. 3634; 26 Jul 1991 p. 3920; 30 Jun 1992 p. 2893; 29 Jun 1993 p. 3192; 30 Jun 1995 p. 2700; 20 Jun 2000 p. 3045; 24 Jun 2005 p. 2818; 25 Jul 2014 p. 2614.] </w:t>
      </w:r>
    </w:p>
    <w:p>
      <w:pPr>
        <w:pStyle w:val="Ednotedivision"/>
      </w:pPr>
      <w:r>
        <w:t>[Division 5 (r. 105J) deleted in Gazette 30 Jun 1992 p. 2893.]</w:t>
      </w:r>
    </w:p>
    <w:p>
      <w:pPr>
        <w:pStyle w:val="Heading2"/>
      </w:pPr>
      <w:bookmarkStart w:id="161" w:name="_Toc440457105"/>
      <w:bookmarkStart w:id="162" w:name="_Toc443638798"/>
      <w:r>
        <w:rPr>
          <w:rStyle w:val="CharPartNo"/>
        </w:rPr>
        <w:t>Part 4</w:t>
      </w:r>
      <w:r>
        <w:rPr>
          <w:rStyle w:val="CharDivNo"/>
        </w:rPr>
        <w:t> </w:t>
      </w:r>
      <w:r>
        <w:t>—</w:t>
      </w:r>
      <w:r>
        <w:rPr>
          <w:rStyle w:val="CharDivText"/>
        </w:rPr>
        <w:t> </w:t>
      </w:r>
      <w:r>
        <w:rPr>
          <w:rStyle w:val="CharPartText"/>
        </w:rPr>
        <w:t>Breach of regulations and penalties</w:t>
      </w:r>
      <w:bookmarkEnd w:id="161"/>
      <w:bookmarkEnd w:id="162"/>
    </w:p>
    <w:p>
      <w:pPr>
        <w:pStyle w:val="Footnoteheading"/>
      </w:pPr>
      <w:r>
        <w:tab/>
        <w:t xml:space="preserve">[Heading inserted in Gazette 19 May 1989 p. 1494.] </w:t>
      </w:r>
    </w:p>
    <w:p>
      <w:pPr>
        <w:pStyle w:val="Heading5"/>
        <w:rPr>
          <w:snapToGrid w:val="0"/>
        </w:rPr>
      </w:pPr>
      <w:bookmarkStart w:id="163" w:name="_Toc443638799"/>
      <w:r>
        <w:rPr>
          <w:rStyle w:val="CharSectno"/>
        </w:rPr>
        <w:t>106</w:t>
      </w:r>
      <w:r>
        <w:rPr>
          <w:snapToGrid w:val="0"/>
        </w:rPr>
        <w:t>.</w:t>
      </w:r>
      <w:r>
        <w:rPr>
          <w:snapToGrid w:val="0"/>
        </w:rPr>
        <w:tab/>
        <w:t>Powers of officer of Department</w:t>
      </w:r>
      <w:bookmarkEnd w:id="163"/>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in Gazette 19 May 1989 p. 1496.] </w:t>
      </w:r>
    </w:p>
    <w:p>
      <w:pPr>
        <w:pStyle w:val="Heading5"/>
        <w:rPr>
          <w:snapToGrid w:val="0"/>
        </w:rPr>
      </w:pPr>
      <w:bookmarkStart w:id="164" w:name="_Toc443638800"/>
      <w:r>
        <w:rPr>
          <w:rStyle w:val="CharSectno"/>
        </w:rPr>
        <w:t>107</w:t>
      </w:r>
      <w:r>
        <w:rPr>
          <w:snapToGrid w:val="0"/>
        </w:rPr>
        <w:t>.</w:t>
      </w:r>
      <w:r>
        <w:rPr>
          <w:snapToGrid w:val="0"/>
        </w:rPr>
        <w:tab/>
        <w:t>Recovery of expenses incurred by breaches of regulations</w:t>
      </w:r>
      <w:bookmarkEnd w:id="164"/>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in Gazette 19 May 1989 p. 1496.] </w:t>
      </w:r>
    </w:p>
    <w:p>
      <w:pPr>
        <w:pStyle w:val="Heading5"/>
        <w:rPr>
          <w:snapToGrid w:val="0"/>
        </w:rPr>
      </w:pPr>
      <w:bookmarkStart w:id="165" w:name="_Toc443638801"/>
      <w:r>
        <w:rPr>
          <w:rStyle w:val="CharSectno"/>
        </w:rPr>
        <w:t>107A</w:t>
      </w:r>
      <w:r>
        <w:rPr>
          <w:snapToGrid w:val="0"/>
        </w:rPr>
        <w:t>.</w:t>
      </w:r>
      <w:r>
        <w:rPr>
          <w:snapToGrid w:val="0"/>
        </w:rPr>
        <w:tab/>
        <w:t>Police have authority to enforce regulations</w:t>
      </w:r>
      <w:bookmarkEnd w:id="165"/>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in Gazette 17 Mar 1960 p. 784; amended in Gazette 19 May 1989 p. 1496.] </w:t>
      </w:r>
    </w:p>
    <w:p>
      <w:pPr>
        <w:pStyle w:val="Heading5"/>
        <w:rPr>
          <w:snapToGrid w:val="0"/>
        </w:rPr>
      </w:pPr>
      <w:bookmarkStart w:id="166" w:name="_Toc443638802"/>
      <w:r>
        <w:rPr>
          <w:rStyle w:val="CharSectno"/>
        </w:rPr>
        <w:t>108</w:t>
      </w:r>
      <w:r>
        <w:rPr>
          <w:snapToGrid w:val="0"/>
        </w:rPr>
        <w:t>.</w:t>
      </w:r>
      <w:r>
        <w:rPr>
          <w:snapToGrid w:val="0"/>
        </w:rPr>
        <w:tab/>
        <w:t>Penalty for offences</w:t>
      </w:r>
      <w:bookmarkEnd w:id="166"/>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by Act No. 113 of 1965 s. 8(1); amended in Gazette 17 Sep 1976 p. 3463; 19 May 1989 p. 1496.] </w:t>
      </w:r>
    </w:p>
    <w:p>
      <w:pPr>
        <w:sectPr>
          <w:headerReference w:type="even" r:id="rId23"/>
          <w:headerReference w:type="default" r:id="rId24"/>
          <w:footerReference w:type="even" r:id="rId25"/>
          <w:foot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67" w:name="_Toc440457110"/>
      <w:bookmarkStart w:id="168" w:name="_Toc443638803"/>
      <w:r>
        <w:rPr>
          <w:rStyle w:val="CharSchNo"/>
        </w:rPr>
        <w:t>Schedule 1</w:t>
      </w:r>
      <w:r>
        <w:t> — </w:t>
      </w:r>
      <w:r>
        <w:rPr>
          <w:rStyle w:val="CharSchText"/>
        </w:rPr>
        <w:t>Dues and charges generally</w:t>
      </w:r>
      <w:bookmarkEnd w:id="167"/>
      <w:bookmarkEnd w:id="168"/>
    </w:p>
    <w:p>
      <w:pPr>
        <w:pStyle w:val="yShoulderClause"/>
      </w:pPr>
      <w:r>
        <w:t>[r. 6, 10A, 11, 25, 42A, 53A, 94A, 94B, 94C, 96 and 105I]</w:t>
      </w:r>
    </w:p>
    <w:p>
      <w:pPr>
        <w:pStyle w:val="yFootnoteheading"/>
      </w:pPr>
      <w:r>
        <w:tab/>
        <w:t>[Heading inserted in Gazette 22 Jul 2015 p. 2954.]</w:t>
      </w:r>
    </w:p>
    <w:p>
      <w:pPr>
        <w:pStyle w:val="yHeading3"/>
        <w:rPr>
          <w:b w:val="0"/>
        </w:rPr>
      </w:pPr>
      <w:bookmarkStart w:id="169" w:name="_Toc440457111"/>
      <w:bookmarkStart w:id="170" w:name="_Toc443638804"/>
      <w:r>
        <w:rPr>
          <w:rStyle w:val="CharSDivNo"/>
        </w:rPr>
        <w:t>Division 1A</w:t>
      </w:r>
      <w:r>
        <w:rPr>
          <w:b w:val="0"/>
        </w:rPr>
        <w:t> — </w:t>
      </w:r>
      <w:r>
        <w:rPr>
          <w:rStyle w:val="CharSDivText"/>
        </w:rPr>
        <w:t>Standard rates</w:t>
      </w:r>
      <w:bookmarkEnd w:id="169"/>
      <w:bookmarkEnd w:id="170"/>
    </w:p>
    <w:p>
      <w:pPr>
        <w:pStyle w:val="yFootnoteheading"/>
        <w:rPr>
          <w:rStyle w:val="CharSDivNo"/>
        </w:rPr>
      </w:pPr>
      <w:r>
        <w:tab/>
        <w:t>[Heading inserted in Gazette 22 Jul 2015 p. 2954.]</w:t>
      </w:r>
    </w:p>
    <w:p>
      <w:pPr>
        <w:pStyle w:val="yHeading5"/>
      </w:pPr>
      <w:bookmarkStart w:id="171" w:name="_Toc443638805"/>
      <w:r>
        <w:rPr>
          <w:rStyle w:val="CharSClsNo"/>
        </w:rPr>
        <w:t>1A</w:t>
      </w:r>
      <w:r>
        <w:t>.</w:t>
      </w:r>
      <w:r>
        <w:tab/>
        <w:t>Standard rates for this Schedule</w:t>
      </w:r>
      <w:bookmarkEnd w:id="171"/>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 (other than service vessels at certain places).</w:t>
      </w:r>
    </w:p>
    <w:p>
      <w:pPr>
        <w:pStyle w:val="yFootnotesection"/>
      </w:pPr>
      <w:r>
        <w:tab/>
        <w:t>[Clause 1A inserted in Gazette 22 Jul 2015 p. 2954</w:t>
      </w:r>
      <w:r>
        <w:noBreakHyphen/>
        <w:t>5.]</w:t>
      </w:r>
    </w:p>
    <w:p>
      <w:pPr>
        <w:pStyle w:val="yHeading5"/>
      </w:pPr>
      <w:bookmarkStart w:id="172" w:name="_Toc443638806"/>
      <w:r>
        <w:rPr>
          <w:rStyle w:val="CharSClsNo"/>
        </w:rPr>
        <w:t>1B</w:t>
      </w:r>
      <w:r>
        <w:t>.</w:t>
      </w:r>
      <w:r>
        <w:tab/>
        <w:t>Transferability of annual payments</w:t>
      </w:r>
      <w:bookmarkEnd w:id="172"/>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1B inserted in Gazette 22 Jul 2015 p. 2955.]</w:t>
      </w:r>
    </w:p>
    <w:p>
      <w:pPr>
        <w:pStyle w:val="yHeading5"/>
      </w:pPr>
      <w:bookmarkStart w:id="173" w:name="_Toc443638807"/>
      <w:r>
        <w:rPr>
          <w:rStyle w:val="CharSClsNo"/>
        </w:rPr>
        <w:t>1C</w:t>
      </w:r>
      <w:r>
        <w:t>.</w:t>
      </w:r>
      <w:r>
        <w:tab/>
        <w:t>Service wharf or jetty entitlements</w:t>
      </w:r>
      <w:bookmarkEnd w:id="173"/>
    </w:p>
    <w:p>
      <w:pPr>
        <w:pStyle w:val="ySubsection"/>
        <w:spacing w:before="180"/>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1C inserted in Gazette 22 Jul 2015 p. 2955.]</w:t>
      </w:r>
    </w:p>
    <w:p>
      <w:pPr>
        <w:pStyle w:val="yHeading3"/>
      </w:pPr>
      <w:bookmarkStart w:id="174" w:name="_Toc440457115"/>
      <w:bookmarkStart w:id="175" w:name="_Toc443638808"/>
      <w:r>
        <w:rPr>
          <w:rStyle w:val="CharSDivNo"/>
        </w:rPr>
        <w:t>Division 1</w:t>
      </w:r>
      <w:r>
        <w:rPr>
          <w:b w:val="0"/>
        </w:rPr>
        <w:t> — </w:t>
      </w:r>
      <w:r>
        <w:rPr>
          <w:rStyle w:val="CharSDivText"/>
        </w:rPr>
        <w:t>Specified places</w:t>
      </w:r>
      <w:bookmarkEnd w:id="174"/>
      <w:bookmarkEnd w:id="175"/>
    </w:p>
    <w:p>
      <w:pPr>
        <w:pStyle w:val="yFootnoteheading"/>
      </w:pPr>
      <w:r>
        <w:tab/>
        <w:t>[Heading inserted in Gazette 22 Jul 2015 p. 2955.]</w:t>
      </w:r>
    </w:p>
    <w:p>
      <w:pPr>
        <w:pStyle w:val="yHeading5"/>
        <w:spacing w:before="240"/>
      </w:pPr>
      <w:bookmarkStart w:id="176" w:name="_Toc443638809"/>
      <w:r>
        <w:rPr>
          <w:rStyle w:val="CharSClsNo"/>
        </w:rPr>
        <w:t>1</w:t>
      </w:r>
      <w:r>
        <w:t>.</w:t>
      </w:r>
      <w:r>
        <w:tab/>
      </w:r>
      <w:smartTag w:uri="urn:schemas-microsoft-com:office:smarttags" w:element="City">
        <w:r>
          <w:t>Albany</w:t>
        </w:r>
      </w:smartTag>
      <w:r>
        <w:t xml:space="preserve">, </w:t>
      </w:r>
      <w:smartTag w:uri="urn:schemas-microsoft-com:office:smarttags" w:element="City">
        <w:r>
          <w:t>Albany</w:t>
        </w:r>
      </w:smartTag>
      <w:r>
        <w:t xml:space="preserve"> Waterfront </w:t>
      </w:r>
      <w:smartTag w:uri="urn:schemas-microsoft-com:office:smarttags" w:element="place">
        <w:smartTag w:uri="urn:schemas-microsoft-com:office:smarttags" w:element="City">
          <w:r>
            <w:t>Marina</w:t>
          </w:r>
        </w:smartTag>
      </w:smartTag>
      <w:bookmarkEnd w:id="176"/>
    </w:p>
    <w:p>
      <w:pPr>
        <w:pStyle w:val="ySubsection"/>
        <w:spacing w:before="180"/>
      </w:pPr>
      <w:r>
        <w:tab/>
        <w:t>(1)</w:t>
      </w:r>
      <w:r>
        <w:tab/>
        <w:t xml:space="preserve">This clause applies to the Albany Waterfront Marina at </w:t>
      </w:r>
      <w:smartTag w:uri="urn:schemas-microsoft-com:office:smarttags" w:element="place">
        <w:smartTag w:uri="urn:schemas-microsoft-com:office:smarttags" w:element="City">
          <w:r>
            <w:t>Albany</w:t>
          </w:r>
        </w:smartTag>
      </w:smartTag>
      <w:r>
        <w:t>.</w:t>
      </w:r>
    </w:p>
    <w:p>
      <w:pPr>
        <w:pStyle w:val="ySubsection"/>
        <w:spacing w:before="180"/>
      </w:pPr>
      <w:r>
        <w:tab/>
        <w:t>(2)</w:t>
      </w:r>
      <w:r>
        <w:tab/>
        <w:t>The dues and charges to be paid under these regulations are set out in Table 1.1.</w:t>
      </w:r>
    </w:p>
    <w:p>
      <w:pPr>
        <w:pStyle w:val="yTHeadingNAm"/>
        <w:spacing w:before="180" w:after="80"/>
      </w:pPr>
      <w:r>
        <w:t xml:space="preserve">      Table 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Borders>
              <w:top w:val="single" w:sz="4" w:space="0" w:color="auto"/>
            </w:tcBorders>
          </w:tcPr>
          <w:p>
            <w:pPr>
              <w:pStyle w:val="yTableNAm"/>
            </w:pPr>
            <w:r>
              <w:t>1.</w:t>
            </w:r>
          </w:p>
        </w:tc>
        <w:tc>
          <w:tcPr>
            <w:tcW w:w="4146" w:type="dxa"/>
            <w:tcBorders>
              <w:top w:val="single" w:sz="4" w:space="0" w:color="auto"/>
            </w:tcBorders>
          </w:tcPr>
          <w:p>
            <w:pPr>
              <w:pStyle w:val="yTableNAm"/>
            </w:pPr>
            <w:r>
              <w:t>For the use, other than casual daily use, of a pen, an amount calculated per metre of the pen’s length using the annual rate of</w:t>
            </w:r>
          </w:p>
        </w:tc>
        <w:tc>
          <w:tcPr>
            <w:tcW w:w="1276" w:type="dxa"/>
            <w:tcBorders>
              <w:top w:val="single" w:sz="4" w:space="0" w:color="auto"/>
            </w:tcBorders>
          </w:tcPr>
          <w:p>
            <w:pPr>
              <w:pStyle w:val="yTableNAm"/>
              <w:jc w:val="center"/>
            </w:pPr>
            <w:r>
              <w:br/>
            </w:r>
            <w:r>
              <w:br/>
              <w:t>409.26</w:t>
            </w:r>
          </w:p>
        </w:tc>
      </w:tr>
      <w:tr>
        <w:trPr>
          <w:cantSplit/>
        </w:trPr>
        <w:tc>
          <w:tcPr>
            <w:tcW w:w="714"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r>
              <w:br/>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p>
        </w:tc>
        <w:tc>
          <w:tcPr>
            <w:tcW w:w="1276" w:type="dxa"/>
          </w:tcPr>
          <w:p>
            <w:pPr>
              <w:pStyle w:val="yTableNAm"/>
              <w:jc w:val="center"/>
            </w:pPr>
          </w:p>
        </w:tc>
      </w:tr>
      <w:tr>
        <w:trPr>
          <w:cantSplit/>
        </w:trPr>
        <w:tc>
          <w:tcPr>
            <w:tcW w:w="714" w:type="dxa"/>
            <w:tcBorders>
              <w:bottom w:val="single" w:sz="4" w:space="0" w:color="auto"/>
            </w:tcBorders>
          </w:tcPr>
          <w:p>
            <w:pPr>
              <w:pStyle w:val="yTableNAm"/>
              <w:keepNext/>
            </w:pPr>
            <w:r>
              <w:t>4.</w:t>
            </w:r>
          </w:p>
        </w:tc>
        <w:tc>
          <w:tcPr>
            <w:tcW w:w="4146" w:type="dxa"/>
            <w:tcBorders>
              <w:bottom w:val="single" w:sz="4" w:space="0" w:color="auto"/>
            </w:tcBorders>
          </w:tcPr>
          <w:p>
            <w:pPr>
              <w:pStyle w:val="yTableNAm"/>
              <w:keepNext/>
            </w:pPr>
            <w:r>
              <w:t>For the short term use of a service jetty by a vessel, an amount calculated using standard Rate 3</w:t>
            </w:r>
          </w:p>
        </w:tc>
        <w:tc>
          <w:tcPr>
            <w:tcW w:w="1276" w:type="dxa"/>
            <w:tcBorders>
              <w:bottom w:val="single" w:sz="4" w:space="0" w:color="auto"/>
            </w:tcBorders>
          </w:tcPr>
          <w:p>
            <w:pPr>
              <w:pStyle w:val="yTableNAm"/>
              <w:keepNext/>
              <w:jc w:val="center"/>
            </w:pPr>
          </w:p>
        </w:tc>
      </w:tr>
    </w:tbl>
    <w:p>
      <w:pPr>
        <w:pStyle w:val="yFootnotesection"/>
      </w:pPr>
      <w:r>
        <w:tab/>
        <w:t>[Clause 1 inserted in Gazette 22 Jul 2015 p. 2955</w:t>
      </w:r>
      <w:r>
        <w:noBreakHyphen/>
        <w:t>6.]</w:t>
      </w:r>
    </w:p>
    <w:p>
      <w:pPr>
        <w:pStyle w:val="yHeading5"/>
        <w:spacing w:before="240"/>
      </w:pPr>
      <w:bookmarkStart w:id="177" w:name="_Toc443638810"/>
      <w:r>
        <w:rPr>
          <w:rStyle w:val="CharSClsNo"/>
        </w:rPr>
        <w:t>2</w:t>
      </w:r>
      <w:r>
        <w:t>.</w:t>
      </w:r>
      <w:r>
        <w:tab/>
        <w:t xml:space="preserve">Albany, </w:t>
      </w:r>
      <w:smartTag w:uri="urn:schemas-microsoft-com:office:smarttags" w:element="place">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77"/>
    </w:p>
    <w:p>
      <w:pPr>
        <w:pStyle w:val="ySubsection"/>
      </w:pPr>
      <w:r>
        <w:tab/>
        <w:t>(1)</w:t>
      </w:r>
      <w:r>
        <w:tab/>
        <w:t xml:space="preserve">This clause applies to 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at </w:t>
      </w:r>
      <w:smartTag w:uri="urn:schemas-microsoft-com:office:smarttags" w:element="place">
        <w:smartTag w:uri="urn:schemas-microsoft-com:office:smarttags" w:element="City">
          <w:r>
            <w:t>Albany</w:t>
          </w:r>
        </w:smartTag>
      </w:smartTag>
      <w:r>
        <w:t>.</w:t>
      </w:r>
    </w:p>
    <w:p>
      <w:pPr>
        <w:pStyle w:val="ySubsection"/>
      </w:pPr>
      <w:r>
        <w:tab/>
        <w:t>(2)</w:t>
      </w:r>
      <w:r>
        <w:tab/>
        <w:t>The dues and charges to be paid under these regulations are set out in Table 2.1.</w:t>
      </w:r>
    </w:p>
    <w:p>
      <w:pPr>
        <w:pStyle w:val="yTHeadingNAm"/>
        <w:spacing w:after="80"/>
        <w:ind w:left="992"/>
      </w:pPr>
      <w:r>
        <w:t>Table 2.1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208.02</w:t>
            </w:r>
          </w:p>
        </w:tc>
      </w:tr>
      <w:tr>
        <w:trPr>
          <w:cantSplit/>
        </w:trPr>
        <w:tc>
          <w:tcPr>
            <w:tcW w:w="728" w:type="dxa"/>
          </w:tcPr>
          <w:p>
            <w:pPr>
              <w:pStyle w:val="yTableNAm"/>
            </w:pPr>
            <w:r>
              <w:t>2.</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28"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 inserted in Gazette 22 Jul 2015 p. 2956</w:t>
      </w:r>
      <w:r>
        <w:noBreakHyphen/>
        <w:t>7.]</w:t>
      </w:r>
    </w:p>
    <w:p>
      <w:pPr>
        <w:pStyle w:val="yHeading5"/>
      </w:pPr>
      <w:bookmarkStart w:id="178" w:name="_Toc443638811"/>
      <w:r>
        <w:rPr>
          <w:rStyle w:val="CharSClsNo"/>
        </w:rPr>
        <w:t>3</w:t>
      </w:r>
      <w:r>
        <w:t>.</w:t>
      </w:r>
      <w:r>
        <w:tab/>
        <w:t>Augusta Boat Harbour</w:t>
      </w:r>
      <w:bookmarkEnd w:id="178"/>
    </w:p>
    <w:p>
      <w:pPr>
        <w:pStyle w:val="ySubsection"/>
      </w:pPr>
      <w:r>
        <w:tab/>
        <w:t>(1)</w:t>
      </w:r>
      <w:r>
        <w:tab/>
        <w:t>This clause applies to the Augusta Boat Harbour.</w:t>
      </w:r>
    </w:p>
    <w:p>
      <w:pPr>
        <w:pStyle w:val="ySubsection"/>
      </w:pPr>
      <w:r>
        <w:tab/>
        <w:t>(2)</w:t>
      </w:r>
      <w:r>
        <w:tab/>
        <w:t>The dues and charges to be paid under these regulations are set out in Table 3.1.</w:t>
      </w:r>
    </w:p>
    <w:p>
      <w:pPr>
        <w:pStyle w:val="yTHeadingNAm"/>
        <w:spacing w:before="180" w:after="80"/>
        <w:ind w:left="992"/>
      </w:pPr>
      <w:r>
        <w:t>Table 3.1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409.26</w:t>
            </w:r>
          </w:p>
        </w:tc>
      </w:tr>
      <w:tr>
        <w:trPr>
          <w:cantSplit/>
        </w:trPr>
        <w:tc>
          <w:tcPr>
            <w:tcW w:w="700"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409.26</w:t>
            </w:r>
          </w:p>
        </w:tc>
      </w:tr>
      <w:tr>
        <w:trPr>
          <w:cantSplit/>
        </w:trPr>
        <w:tc>
          <w:tcPr>
            <w:tcW w:w="700"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3 inserted in Gazette 22 Jul 2015 p. 2957</w:t>
      </w:r>
      <w:r>
        <w:noBreakHyphen/>
        <w:t>8.]</w:t>
      </w:r>
    </w:p>
    <w:p>
      <w:pPr>
        <w:pStyle w:val="yHeading5"/>
        <w:spacing w:before="240"/>
      </w:pPr>
      <w:bookmarkStart w:id="179" w:name="_Toc443638812"/>
      <w:r>
        <w:rPr>
          <w:rStyle w:val="CharSClsNo"/>
        </w:rPr>
        <w:t>4</w:t>
      </w:r>
      <w:r>
        <w:t>.</w:t>
      </w:r>
      <w:r>
        <w:tab/>
        <w:t>Augusta (Ellis Street) Maritime Facility</w:t>
      </w:r>
      <w:bookmarkEnd w:id="179"/>
    </w:p>
    <w:p>
      <w:pPr>
        <w:pStyle w:val="ySubsection"/>
      </w:pPr>
      <w:r>
        <w:tab/>
        <w:t>(1)</w:t>
      </w:r>
      <w:r>
        <w:tab/>
        <w:t>This clause applies to the Augusta (Ellis Street) Maritime Facility.</w:t>
      </w:r>
    </w:p>
    <w:p>
      <w:pPr>
        <w:pStyle w:val="ySubsection"/>
        <w:pageBreakBefore/>
        <w:spacing w:before="0"/>
      </w:pPr>
      <w:r>
        <w:tab/>
        <w:t>(2)</w:t>
      </w:r>
      <w:r>
        <w:tab/>
        <w:t>The dues and charges to be paid under these regulations are set out in Table 4.1.</w:t>
      </w:r>
    </w:p>
    <w:p>
      <w:pPr>
        <w:pStyle w:val="yTHeadingNAm"/>
        <w:ind w:left="993"/>
      </w:pPr>
      <w:r>
        <w:t>Table 4.1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259.33</w:t>
            </w:r>
          </w:p>
        </w:tc>
      </w:tr>
      <w:tr>
        <w:trPr>
          <w:cantSplit/>
        </w:trPr>
        <w:tc>
          <w:tcPr>
            <w:tcW w:w="700" w:type="dxa"/>
          </w:tcPr>
          <w:p>
            <w:pPr>
              <w:pStyle w:val="yTableNAm"/>
            </w:pPr>
            <w:r>
              <w:t>2.</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4 inserted in Gazette 22 Jul 2015 p. 2958.]</w:t>
      </w:r>
    </w:p>
    <w:p>
      <w:pPr>
        <w:pStyle w:val="yHeading5"/>
      </w:pPr>
      <w:bookmarkStart w:id="180" w:name="_Toc443638813"/>
      <w:r>
        <w:rPr>
          <w:rStyle w:val="CharSClsNo"/>
        </w:rPr>
        <w:t>5</w:t>
      </w:r>
      <w:r>
        <w:t>.</w:t>
      </w:r>
      <w:r>
        <w:tab/>
      </w:r>
      <w:smartTag w:uri="urn:schemas-microsoft-com:office:smarttags" w:element="place">
        <w:smartTag w:uri="urn:schemas-microsoft-com:office:smarttags" w:element="PlaceName">
          <w:r>
            <w:t>Bremer</w:t>
          </w:r>
        </w:smartTag>
        <w:r>
          <w:t xml:space="preserve"> Bay</w:t>
        </w:r>
      </w:smartTag>
      <w:bookmarkEnd w:id="180"/>
    </w:p>
    <w:p>
      <w:pPr>
        <w:pStyle w:val="ySubsection"/>
      </w:pPr>
      <w:r>
        <w:tab/>
        <w:t>(1)</w:t>
      </w:r>
      <w:r>
        <w:tab/>
        <w:t xml:space="preserve">This clause applies to </w:t>
      </w:r>
      <w:smartTag w:uri="urn:schemas-microsoft-com:office:smarttags" w:element="place">
        <w:smartTag w:uri="urn:schemas-microsoft-com:office:smarttags" w:element="PlaceName">
          <w:r>
            <w:t>Bremer</w:t>
          </w:r>
        </w:smartTag>
        <w:r>
          <w:t xml:space="preserve"> </w:t>
        </w:r>
        <w:smartTag w:uri="urn:schemas-microsoft-com:office:smarttags" w:element="PlaceType">
          <w:r>
            <w:t>Bay</w:t>
          </w:r>
        </w:smartTag>
      </w:smartTag>
      <w:r>
        <w:t>.</w:t>
      </w:r>
    </w:p>
    <w:p>
      <w:pPr>
        <w:pStyle w:val="ySubsection"/>
      </w:pPr>
      <w:r>
        <w:tab/>
        <w:t>(2)</w:t>
      </w:r>
      <w:r>
        <w:tab/>
        <w:t>The berthing dues to be paid under these regulations are set out in Table 5.1.</w:t>
      </w:r>
    </w:p>
    <w:p>
      <w:pPr>
        <w:pStyle w:val="yTHeadingNAm"/>
        <w:ind w:left="993"/>
      </w:pPr>
      <w:r>
        <w:t>Table 5.1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86"/>
        <w:gridCol w:w="4174"/>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Pr>
          <w:p>
            <w:pPr>
              <w:pStyle w:val="yTableNAm"/>
            </w:pPr>
            <w:r>
              <w:t>1.</w:t>
            </w:r>
          </w:p>
        </w:tc>
        <w:tc>
          <w:tcPr>
            <w:tcW w:w="4174" w:type="dxa"/>
          </w:tcPr>
          <w:p>
            <w:pPr>
              <w:pStyle w:val="yTableNAm"/>
            </w:pPr>
            <w:r>
              <w:t xml:space="preserve">For the casual daily use of an alongside berth — </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86" w:type="dxa"/>
          </w:tcPr>
          <w:p>
            <w:pPr>
              <w:pStyle w:val="zyTableNAm"/>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86" w:type="dxa"/>
            <w:tcBorders>
              <w:bottom w:val="single" w:sz="4" w:space="0" w:color="auto"/>
            </w:tcBorders>
          </w:tcPr>
          <w:p>
            <w:pPr>
              <w:pStyle w:val="yTableNAm"/>
            </w:pPr>
            <w:r>
              <w:t>2.</w:t>
            </w:r>
          </w:p>
        </w:tc>
        <w:tc>
          <w:tcPr>
            <w:tcW w:w="4174" w:type="dxa"/>
            <w:tcBorders>
              <w:bottom w:val="single" w:sz="4" w:space="0" w:color="auto"/>
            </w:tcBorders>
          </w:tcPr>
          <w:p>
            <w:pPr>
              <w:pStyle w:val="yTableNAm"/>
            </w:pPr>
            <w:r>
              <w:t>For the short term use of a service wharf or jetty by a vessel for which a swing mooring fee has not been paid,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5 inserted in Gazette 22 Jul 2015 p. 2959.]</w:t>
      </w:r>
    </w:p>
    <w:p>
      <w:pPr>
        <w:pStyle w:val="yHeading5"/>
        <w:spacing w:before="180"/>
      </w:pPr>
      <w:bookmarkStart w:id="181" w:name="_Toc443638814"/>
      <w:r>
        <w:rPr>
          <w:rStyle w:val="CharSClsNo"/>
        </w:rPr>
        <w:t>6</w:t>
      </w:r>
      <w:r>
        <w:t>.</w:t>
      </w:r>
      <w:r>
        <w:tab/>
        <w:t xml:space="preserve">Bunbury, </w:t>
      </w:r>
      <w:smartTag w:uri="urn:schemas-microsoft-com:office:smarttags" w:element="PlaceName">
        <w:r>
          <w:t>Casuarina</w:t>
        </w:r>
      </w:smartTag>
      <w:r>
        <w:t xml:space="preserve"> </w:t>
      </w:r>
      <w:smartTag w:uri="urn:schemas-microsoft-com:office:smarttags" w:element="PlaceName">
        <w:r>
          <w:t>Boat</w:t>
        </w:r>
      </w:smartTag>
      <w:r>
        <w:t xml:space="preserve"> Harbour</w:t>
      </w:r>
      <w:bookmarkEnd w:id="181"/>
    </w:p>
    <w:p>
      <w:pPr>
        <w:pStyle w:val="ySubsection"/>
        <w:spacing w:before="120"/>
      </w:pPr>
      <w:r>
        <w:tab/>
        <w:t>(1)</w:t>
      </w:r>
      <w:r>
        <w:tab/>
        <w:t xml:space="preserve">This clause applies to the </w:t>
      </w:r>
      <w:smartTag w:uri="urn:schemas-microsoft-com:office:smarttags" w:element="place">
        <w:smartTag w:uri="urn:schemas-microsoft-com:office:smarttags" w:element="PlaceName">
          <w:r>
            <w:t>Casuarina</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Bunbury.</w:t>
      </w:r>
    </w:p>
    <w:p>
      <w:pPr>
        <w:pStyle w:val="ySubsection"/>
        <w:spacing w:before="120"/>
      </w:pPr>
      <w:r>
        <w:tab/>
        <w:t>(2)</w:t>
      </w:r>
      <w:r>
        <w:tab/>
        <w:t>The dues and charges to be paid under these regulations are set out in Table 6.1.</w:t>
      </w:r>
    </w:p>
    <w:p>
      <w:pPr>
        <w:pStyle w:val="yTHeadingNAm"/>
        <w:spacing w:before="100"/>
        <w:ind w:left="992"/>
      </w:pPr>
      <w:r>
        <w:t>Table 6.1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00"/>
        <w:gridCol w:w="4174"/>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329.37</w:t>
            </w:r>
          </w:p>
        </w:tc>
      </w:tr>
      <w:tr>
        <w:trPr>
          <w:cantSplit/>
        </w:trPr>
        <w:tc>
          <w:tcPr>
            <w:tcW w:w="700"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329.37</w:t>
            </w:r>
          </w:p>
        </w:tc>
      </w:tr>
      <w:tr>
        <w:trPr>
          <w:cantSplit/>
        </w:trPr>
        <w:tc>
          <w:tcPr>
            <w:tcW w:w="700" w:type="dxa"/>
          </w:tcPr>
          <w:p>
            <w:pPr>
              <w:pStyle w:val="yTableNAm"/>
            </w:pPr>
            <w:r>
              <w:t>3.</w:t>
            </w:r>
          </w:p>
        </w:tc>
        <w:tc>
          <w:tcPr>
            <w:tcW w:w="4174"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74"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5.</w:t>
            </w:r>
          </w:p>
        </w:tc>
        <w:tc>
          <w:tcPr>
            <w:tcW w:w="4174"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6 inserted in Gazette 22 Jul 2015 p. 2959</w:t>
      </w:r>
      <w:r>
        <w:noBreakHyphen/>
        <w:t>60.]</w:t>
      </w:r>
    </w:p>
    <w:p>
      <w:pPr>
        <w:pStyle w:val="yHeading5"/>
      </w:pPr>
      <w:bookmarkStart w:id="182" w:name="_Toc443638815"/>
      <w:r>
        <w:rPr>
          <w:rStyle w:val="CharSClsNo"/>
        </w:rPr>
        <w:t>7</w:t>
      </w:r>
      <w:r>
        <w:t>.</w:t>
      </w:r>
      <w:r>
        <w:tab/>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82"/>
    </w:p>
    <w:p>
      <w:pPr>
        <w:pStyle w:val="ySubsection"/>
      </w:pPr>
      <w:r>
        <w:tab/>
        <w:t>(1)</w:t>
      </w:r>
      <w:r>
        <w:tab/>
        <w:t xml:space="preserve">This clause applies to the </w:t>
      </w:r>
      <w:smartTag w:uri="urn:schemas-microsoft-com:office:smarttags" w:element="place">
        <w:smartTag w:uri="urn:schemas-microsoft-com:office:smarttags" w:element="PlaceName">
          <w:r>
            <w:t>Carnarvon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7.1.</w:t>
      </w:r>
    </w:p>
    <w:p>
      <w:pPr>
        <w:pStyle w:val="yTHeadingNAm"/>
        <w:ind w:left="993"/>
      </w:pPr>
      <w:r>
        <w:t>Table 7.1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250.18</w:t>
            </w:r>
          </w:p>
        </w:tc>
      </w:tr>
      <w:tr>
        <w:trPr>
          <w:cantSplit/>
        </w:trPr>
        <w:tc>
          <w:tcPr>
            <w:tcW w:w="700" w:type="dxa"/>
          </w:tcPr>
          <w:p>
            <w:pPr>
              <w:pStyle w:val="yTableNAm"/>
            </w:pPr>
            <w:r>
              <w:t>2.</w:t>
            </w:r>
          </w:p>
        </w:tc>
        <w:tc>
          <w:tcPr>
            <w:tcW w:w="4160"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228.21</w:t>
            </w:r>
          </w:p>
        </w:tc>
      </w:tr>
      <w:tr>
        <w:trPr>
          <w:cantSplit/>
        </w:trPr>
        <w:tc>
          <w:tcPr>
            <w:tcW w:w="700" w:type="dxa"/>
          </w:tcPr>
          <w:p>
            <w:pPr>
              <w:pStyle w:val="yTableNAm"/>
            </w:pPr>
            <w:r>
              <w:t>3.</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4.</w:t>
            </w:r>
          </w:p>
        </w:tc>
        <w:tc>
          <w:tcPr>
            <w:tcW w:w="4160" w:type="dxa"/>
          </w:tcPr>
          <w:p>
            <w:pPr>
              <w:pStyle w:val="yTableNAm"/>
            </w:pPr>
            <w:r>
              <w:t>For the use of the T</w:t>
            </w:r>
            <w:r>
              <w:noBreakHyphen/>
              <w:t>jetty, T</w:t>
            </w:r>
            <w:r>
              <w:noBreakHyphen/>
              <w:t>jetty pen and land</w:t>
            </w:r>
            <w:r>
              <w:noBreakHyphen/>
              <w:t>backed wharf by a commercial vessel, an amount calculated per metre of the vessel’s length using the annual rate of</w:t>
            </w:r>
          </w:p>
        </w:tc>
        <w:tc>
          <w:tcPr>
            <w:tcW w:w="1276" w:type="dxa"/>
          </w:tcPr>
          <w:p>
            <w:pPr>
              <w:pStyle w:val="yTableNAm"/>
              <w:jc w:val="center"/>
            </w:pPr>
            <w:r>
              <w:br/>
            </w:r>
            <w:r>
              <w:br/>
            </w:r>
            <w:r>
              <w:br/>
              <w:t>294.43</w:t>
            </w:r>
          </w:p>
        </w:tc>
      </w:tr>
      <w:tr>
        <w:trPr>
          <w:cantSplit/>
        </w:trPr>
        <w:tc>
          <w:tcPr>
            <w:tcW w:w="700" w:type="dxa"/>
          </w:tcPr>
          <w:p>
            <w:pPr>
              <w:pStyle w:val="yTableNAm"/>
            </w:pPr>
            <w:r>
              <w:t>5.</w:t>
            </w:r>
          </w:p>
        </w:tc>
        <w:tc>
          <w:tcPr>
            <w:tcW w:w="4160" w:type="dxa"/>
          </w:tcPr>
          <w:p>
            <w:pPr>
              <w:pStyle w:val="yTableNAm"/>
            </w:pPr>
            <w:r>
              <w:t>For the casual daily use of the T</w:t>
            </w:r>
            <w:r>
              <w:noBreakHyphen/>
              <w:t>jetty, T</w:t>
            </w:r>
            <w:r>
              <w:noBreakHyphen/>
              <w:t>jetty pen and land</w:t>
            </w:r>
            <w:r>
              <w:noBreakHyphen/>
              <w:t>backed wharf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casual daily use of the snapper jetty, attached partly serviced pen and low level landing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7.</w:t>
            </w:r>
          </w:p>
        </w:tc>
        <w:tc>
          <w:tcPr>
            <w:tcW w:w="4160"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00" w:type="dxa"/>
          </w:tcPr>
          <w:p>
            <w:pPr>
              <w:pStyle w:val="yTableNAm"/>
            </w:pPr>
            <w:r>
              <w:t>8.</w:t>
            </w:r>
          </w:p>
        </w:tc>
        <w:tc>
          <w:tcPr>
            <w:tcW w:w="4160" w:type="dxa"/>
          </w:tcPr>
          <w:p>
            <w:pPr>
              <w:pStyle w:val="yTableNAm"/>
            </w:pPr>
            <w:r>
              <w:t>For the casual daily use of any pen not described in item 6 or 7 by a commercial vessel, an amount calculated using standard Rate 1</w:t>
            </w:r>
          </w:p>
        </w:tc>
        <w:tc>
          <w:tcPr>
            <w:tcW w:w="1276" w:type="dxa"/>
          </w:tcPr>
          <w:p>
            <w:pPr>
              <w:pStyle w:val="yTableNAm"/>
              <w:jc w:val="center"/>
            </w:pPr>
          </w:p>
        </w:tc>
      </w:tr>
      <w:tr>
        <w:trPr>
          <w:cantSplit/>
        </w:trPr>
        <w:tc>
          <w:tcPr>
            <w:tcW w:w="700" w:type="dxa"/>
          </w:tcPr>
          <w:p>
            <w:pPr>
              <w:pStyle w:val="yTableNAm"/>
            </w:pPr>
            <w:r>
              <w:t>9.</w:t>
            </w:r>
          </w:p>
        </w:tc>
        <w:tc>
          <w:tcPr>
            <w:tcW w:w="4160" w:type="dxa"/>
          </w:tcPr>
          <w:p>
            <w:pPr>
              <w:pStyle w:val="yTableNAm"/>
            </w:pPr>
            <w:r>
              <w:t>For the casual daily use of any pen or alongside berth 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10.</w:t>
            </w:r>
          </w:p>
        </w:tc>
        <w:tc>
          <w:tcPr>
            <w:tcW w:w="4160" w:type="dxa"/>
            <w:tcBorders>
              <w:bottom w:val="single" w:sz="4" w:space="0" w:color="auto"/>
            </w:tcBorders>
          </w:tcPr>
          <w:p>
            <w:pPr>
              <w:pStyle w:val="yTableNAm"/>
            </w:pPr>
            <w:r>
              <w:t>For the use of a pile mooring, an amount calculated per metre of the vessel’s length using the annual rate of</w:t>
            </w:r>
          </w:p>
        </w:tc>
        <w:tc>
          <w:tcPr>
            <w:tcW w:w="1276" w:type="dxa"/>
            <w:tcBorders>
              <w:bottom w:val="single" w:sz="4" w:space="0" w:color="auto"/>
            </w:tcBorders>
          </w:tcPr>
          <w:p>
            <w:pPr>
              <w:pStyle w:val="yTableNAm"/>
              <w:jc w:val="center"/>
            </w:pPr>
            <w:r>
              <w:br/>
            </w:r>
            <w:r>
              <w:br/>
              <w:t>139.49</w:t>
            </w:r>
          </w:p>
        </w:tc>
      </w:tr>
    </w:tbl>
    <w:p>
      <w:pPr>
        <w:pStyle w:val="yFootnotesection"/>
      </w:pPr>
      <w:r>
        <w:tab/>
        <w:t>[Clause 7 inserted in Gazette 22 Jul 2015 p. 2960</w:t>
      </w:r>
      <w:r>
        <w:noBreakHyphen/>
        <w:t>1.]</w:t>
      </w:r>
    </w:p>
    <w:p>
      <w:pPr>
        <w:pStyle w:val="yHeading5"/>
      </w:pPr>
      <w:bookmarkStart w:id="183" w:name="_Toc443638816"/>
      <w:r>
        <w:rPr>
          <w:rStyle w:val="CharSClsNo"/>
        </w:rPr>
        <w:t>8</w:t>
      </w:r>
      <w:r>
        <w:t>.</w:t>
      </w:r>
      <w:r>
        <w:tab/>
        <w:t>Cervantes</w:t>
      </w:r>
      <w:bookmarkEnd w:id="183"/>
    </w:p>
    <w:p>
      <w:pPr>
        <w:pStyle w:val="ySubsection"/>
      </w:pPr>
      <w:r>
        <w:tab/>
        <w:t>(1)</w:t>
      </w:r>
      <w:r>
        <w:tab/>
        <w:t>This clause applies to Cervantes.</w:t>
      </w:r>
    </w:p>
    <w:p>
      <w:pPr>
        <w:pStyle w:val="ySubsection"/>
      </w:pPr>
      <w:r>
        <w:tab/>
        <w:t>(2)</w:t>
      </w:r>
      <w:r>
        <w:tab/>
        <w:t>The berthing dues to be paid under these regulations are set out in Table 8.1.</w:t>
      </w:r>
    </w:p>
    <w:p>
      <w:pPr>
        <w:pStyle w:val="yTHeadingNAm"/>
        <w:ind w:left="993"/>
      </w:pPr>
      <w:r>
        <w:t>Table 8.1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keepNext/>
            </w:pPr>
            <w:r>
              <w:rPr>
                <w:b/>
              </w:rPr>
              <w:t>Item</w:t>
            </w:r>
          </w:p>
        </w:tc>
        <w:tc>
          <w:tcPr>
            <w:tcW w:w="4160"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00" w:type="dxa"/>
          </w:tcPr>
          <w:p>
            <w:pPr>
              <w:pStyle w:val="yTableNAm"/>
            </w:pPr>
            <w:r>
              <w:t>1.</w:t>
            </w:r>
          </w:p>
        </w:tc>
        <w:tc>
          <w:tcPr>
            <w:tcW w:w="4160" w:type="dxa"/>
          </w:tcPr>
          <w:p>
            <w:pPr>
              <w:pStyle w:val="yTableNAm"/>
            </w:pPr>
            <w:r>
              <w:t>For the short term use of a service wharf or jetty by a vessel, an amount calculated using standard Rate 3</w:t>
            </w:r>
          </w:p>
        </w:tc>
        <w:tc>
          <w:tcPr>
            <w:tcW w:w="1276" w:type="dxa"/>
            <w:vAlign w:val="bottom"/>
          </w:tcPr>
          <w:p>
            <w:pPr>
              <w:pStyle w:val="yTableNAm"/>
              <w:jc w:val="center"/>
            </w:pPr>
          </w:p>
        </w:tc>
      </w:tr>
      <w:tr>
        <w:trPr>
          <w:cantSplit/>
        </w:trPr>
        <w:tc>
          <w:tcPr>
            <w:tcW w:w="700" w:type="dxa"/>
          </w:tcPr>
          <w:p>
            <w:pPr>
              <w:pStyle w:val="yTableNAm"/>
            </w:pPr>
            <w:r>
              <w:t>2.</w:t>
            </w:r>
          </w:p>
        </w:tc>
        <w:tc>
          <w:tcPr>
            <w:tcW w:w="4160" w:type="dxa"/>
          </w:tcPr>
          <w:p>
            <w:pPr>
              <w:pStyle w:val="yTableNAm"/>
            </w:pPr>
            <w:r>
              <w:t>For the use of an alongside berth by a commercial vessel,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the use of an alongside berth by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8 inserted in Gazette 22 Jul 2015 p. 2961</w:t>
      </w:r>
      <w:r>
        <w:noBreakHyphen/>
        <w:t>2.]</w:t>
      </w:r>
    </w:p>
    <w:p>
      <w:pPr>
        <w:pStyle w:val="yHeading5"/>
      </w:pPr>
      <w:bookmarkStart w:id="184" w:name="_Toc443638817"/>
      <w:r>
        <w:rPr>
          <w:rStyle w:val="CharSClsNo"/>
        </w:rPr>
        <w:t>9</w:t>
      </w:r>
      <w:r>
        <w:t>.</w:t>
      </w:r>
      <w:r>
        <w:tab/>
        <w:t>Coral Bay Maritime Facility</w:t>
      </w:r>
      <w:bookmarkEnd w:id="184"/>
    </w:p>
    <w:p>
      <w:pPr>
        <w:pStyle w:val="ySubsection"/>
      </w:pPr>
      <w:r>
        <w:tab/>
        <w:t>(1)</w:t>
      </w:r>
      <w:r>
        <w:tab/>
        <w:t>This clause applies to the Coral Bay Maritime Facility.</w:t>
      </w:r>
    </w:p>
    <w:p>
      <w:pPr>
        <w:pStyle w:val="ySubsection"/>
      </w:pPr>
      <w:r>
        <w:tab/>
        <w:t>(2)</w:t>
      </w:r>
      <w:r>
        <w:tab/>
        <w:t>The berthing dues to be paid under these regulations are set out in Table 9.1.</w:t>
      </w:r>
    </w:p>
    <w:p>
      <w:pPr>
        <w:pStyle w:val="yTHeadingNAm"/>
        <w:ind w:left="993"/>
      </w:pPr>
      <w:r>
        <w:t>Table 9.1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 xml:space="preserve">For the use by a vessel of an alongside berth — </w:t>
            </w:r>
          </w:p>
        </w:tc>
        <w:tc>
          <w:tcPr>
            <w:tcW w:w="1276" w:type="dxa"/>
          </w:tcPr>
          <w:p>
            <w:pPr>
              <w:pStyle w:val="yTableNAm"/>
              <w:jc w:val="center"/>
            </w:pPr>
            <w:r>
              <w:br/>
            </w:r>
          </w:p>
        </w:tc>
      </w:tr>
      <w:tr>
        <w:trPr>
          <w:cantSplit/>
        </w:trPr>
        <w:tc>
          <w:tcPr>
            <w:tcW w:w="700" w:type="dxa"/>
          </w:tcPr>
          <w:p>
            <w:pPr>
              <w:pStyle w:val="zyTableNAm"/>
            </w:pPr>
          </w:p>
        </w:tc>
        <w:tc>
          <w:tcPr>
            <w:tcW w:w="4160" w:type="dxa"/>
          </w:tcPr>
          <w:p>
            <w:pPr>
              <w:pStyle w:val="yTableNAm"/>
              <w:tabs>
                <w:tab w:val="clear" w:pos="567"/>
              </w:tabs>
              <w:ind w:left="226" w:hanging="226"/>
            </w:pPr>
            <w:r>
              <w:t>•</w:t>
            </w:r>
            <w:r>
              <w:tab/>
              <w:t>for short term use, an amount calculated using standard Rate 3</w:t>
            </w:r>
          </w:p>
        </w:tc>
        <w:tc>
          <w:tcPr>
            <w:tcW w:w="1276" w:type="dxa"/>
            <w:vAlign w:val="bottom"/>
          </w:tcPr>
          <w:p>
            <w:pPr>
              <w:pStyle w:val="yTableNAm"/>
              <w:jc w:val="center"/>
            </w:pPr>
          </w:p>
        </w:tc>
      </w:tr>
      <w:tr>
        <w:trPr>
          <w:cantSplit/>
        </w:trPr>
        <w:tc>
          <w:tcPr>
            <w:tcW w:w="700" w:type="dxa"/>
          </w:tcPr>
          <w:p>
            <w:pPr>
              <w:pStyle w:val="zyTableNAm"/>
            </w:pPr>
          </w:p>
        </w:tc>
        <w:tc>
          <w:tcPr>
            <w:tcW w:w="4160" w:type="dxa"/>
          </w:tcPr>
          <w:p>
            <w:pPr>
              <w:pStyle w:val="yTableNAm"/>
              <w:tabs>
                <w:tab w:val="clear" w:pos="567"/>
              </w:tabs>
              <w:ind w:left="226" w:hanging="226"/>
            </w:pPr>
            <w:r>
              <w:t>•</w:t>
            </w:r>
            <w:r>
              <w:tab/>
              <w:t>for casual daily use, an amount calculated using standard Rate 1</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casual daily use of any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9 inserted in Gazette 22 Jul 2015 p. 2962.]</w:t>
      </w:r>
    </w:p>
    <w:p>
      <w:pPr>
        <w:pStyle w:val="yHeading5"/>
      </w:pPr>
      <w:bookmarkStart w:id="185" w:name="_Toc443638818"/>
      <w:r>
        <w:rPr>
          <w:rStyle w:val="CharSClsNo"/>
        </w:rPr>
        <w:t>10</w:t>
      </w:r>
      <w:r>
        <w:t>.</w:t>
      </w:r>
      <w:r>
        <w:tab/>
        <w:t>Denham Maritime Facility</w:t>
      </w:r>
      <w:bookmarkEnd w:id="185"/>
    </w:p>
    <w:p>
      <w:pPr>
        <w:pStyle w:val="ySubsection"/>
      </w:pPr>
      <w:r>
        <w:tab/>
        <w:t>(1)</w:t>
      </w:r>
      <w:r>
        <w:tab/>
        <w:t>This clause applies to the Denham Maritime Facility.</w:t>
      </w:r>
    </w:p>
    <w:p>
      <w:pPr>
        <w:pStyle w:val="ySubsection"/>
      </w:pPr>
      <w:r>
        <w:tab/>
        <w:t>(2)</w:t>
      </w:r>
      <w:r>
        <w:tab/>
        <w:t>The dues and charges to be paid under these regulations are set out in Table 10.1.</w:t>
      </w:r>
    </w:p>
    <w:p>
      <w:pPr>
        <w:pStyle w:val="yTHeadingNAm"/>
        <w:ind w:left="993"/>
      </w:pPr>
      <w:r>
        <w:t>Table 10.1 (Pen use and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28"/>
        <w:gridCol w:w="4146"/>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46"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273.16</w:t>
            </w:r>
          </w:p>
        </w:tc>
      </w:tr>
      <w:tr>
        <w:trPr>
          <w:cantSplit/>
        </w:trPr>
        <w:tc>
          <w:tcPr>
            <w:tcW w:w="728" w:type="dxa"/>
          </w:tcPr>
          <w:p>
            <w:pPr>
              <w:pStyle w:val="yTableNAm"/>
            </w:pPr>
            <w:r>
              <w:t>2.</w:t>
            </w:r>
          </w:p>
        </w:tc>
        <w:tc>
          <w:tcPr>
            <w:tcW w:w="4146" w:type="dxa"/>
          </w:tcPr>
          <w:p>
            <w:pPr>
              <w:pStyle w:val="yTableNAm"/>
            </w:pPr>
            <w:r>
              <w:t>For the short term use of a service wharf or jetty by a vessel, an amount calculated using standard Rate 3</w:t>
            </w:r>
          </w:p>
        </w:tc>
        <w:tc>
          <w:tcPr>
            <w:tcW w:w="1276" w:type="dxa"/>
          </w:tcPr>
          <w:p>
            <w:pPr>
              <w:pStyle w:val="yTableNAm"/>
              <w:jc w:val="center"/>
            </w:pPr>
          </w:p>
        </w:tc>
      </w:tr>
      <w:tr>
        <w:trPr>
          <w:cantSplit/>
        </w:trPr>
        <w:tc>
          <w:tcPr>
            <w:tcW w:w="728" w:type="dxa"/>
          </w:tcPr>
          <w:p>
            <w:pPr>
              <w:pStyle w:val="yTableNAm"/>
            </w:pPr>
            <w:r>
              <w:t>3.</w:t>
            </w:r>
          </w:p>
        </w:tc>
        <w:tc>
          <w:tcPr>
            <w:tcW w:w="4146"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Footnotesection"/>
      </w:pPr>
      <w:r>
        <w:tab/>
        <w:t>[Clause 10 inserted in Gazette 22 Jul 2015 p. 2962</w:t>
      </w:r>
      <w:r>
        <w:noBreakHyphen/>
        <w:t>3.]</w:t>
      </w:r>
    </w:p>
    <w:p>
      <w:pPr>
        <w:pStyle w:val="yHeading5"/>
      </w:pPr>
      <w:bookmarkStart w:id="186" w:name="_Toc443638819"/>
      <w:r>
        <w:rPr>
          <w:rStyle w:val="CharSClsNo"/>
        </w:rPr>
        <w:t>11</w:t>
      </w:r>
      <w:r>
        <w:t>.</w:t>
      </w:r>
      <w:r>
        <w:tab/>
        <w:t xml:space="preserve">Esperance,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Harbour</w:t>
        </w:r>
      </w:smartTag>
      <w:bookmarkEnd w:id="186"/>
    </w:p>
    <w:p>
      <w:pPr>
        <w:pStyle w:val="ySubsection"/>
      </w:pPr>
      <w:r>
        <w:tab/>
        <w:t>(1)</w:t>
      </w:r>
      <w:r>
        <w:tab/>
        <w:t xml:space="preserve">This clause applies to 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Esperance.</w:t>
      </w:r>
    </w:p>
    <w:p>
      <w:pPr>
        <w:pStyle w:val="ySubsection"/>
      </w:pPr>
      <w:r>
        <w:tab/>
        <w:t>(2)</w:t>
      </w:r>
      <w:r>
        <w:tab/>
        <w:t>The dues and charges to be paid under these regulations are set out in Table 11.1.</w:t>
      </w:r>
    </w:p>
    <w:p>
      <w:pPr>
        <w:pStyle w:val="yTHeadingNAm"/>
        <w:ind w:left="993"/>
      </w:pPr>
      <w:r>
        <w:t>Table 11.1 (Pen use and alongside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with a walkway, an amount calculated per metre of the pen’s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2.</w:t>
            </w:r>
          </w:p>
        </w:tc>
        <w:tc>
          <w:tcPr>
            <w:tcW w:w="4146" w:type="dxa"/>
          </w:tcPr>
          <w:p>
            <w:pPr>
              <w:pStyle w:val="yTableNAm"/>
            </w:pPr>
            <w:r>
              <w:t>For the use, other than casual daily use, of a pen without a walkway, an amount calculated per metre of the pen’s length using the annual rate of</w:t>
            </w:r>
          </w:p>
        </w:tc>
        <w:tc>
          <w:tcPr>
            <w:tcW w:w="1276" w:type="dxa"/>
          </w:tcPr>
          <w:p>
            <w:pPr>
              <w:pStyle w:val="yTableNAm"/>
              <w:jc w:val="center"/>
            </w:pPr>
            <w:r>
              <w:br/>
            </w:r>
            <w:r>
              <w:br/>
            </w:r>
            <w:r>
              <w:br/>
              <w:t>209.78</w:t>
            </w:r>
          </w:p>
        </w:tc>
      </w:tr>
      <w:tr>
        <w:trPr>
          <w:cantSplit/>
        </w:trPr>
        <w:tc>
          <w:tcPr>
            <w:tcW w:w="714" w:type="dxa"/>
          </w:tcPr>
          <w:p>
            <w:pPr>
              <w:pStyle w:val="yTableNAm"/>
            </w:pPr>
            <w:r>
              <w:t>3.</w:t>
            </w:r>
          </w:p>
        </w:tc>
        <w:tc>
          <w:tcPr>
            <w:tcW w:w="4146"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300.18</w:t>
            </w:r>
          </w:p>
        </w:tc>
      </w:tr>
      <w:tr>
        <w:trPr>
          <w:cantSplit/>
        </w:trPr>
        <w:tc>
          <w:tcPr>
            <w:tcW w:w="714" w:type="dxa"/>
          </w:tcPr>
          <w:p>
            <w:pPr>
              <w:pStyle w:val="yTableNAm"/>
            </w:pPr>
            <w:r>
              <w:t>4.</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5.</w:t>
            </w:r>
          </w:p>
        </w:tc>
        <w:tc>
          <w:tcPr>
            <w:tcW w:w="4146" w:type="dxa"/>
          </w:tcPr>
          <w:p>
            <w:pPr>
              <w:pStyle w:val="yTableNAm"/>
            </w:pPr>
            <w:r>
              <w:t>For the short term use of a service wharf or jetty, an amount calculated using standard Rate 3</w:t>
            </w:r>
          </w:p>
        </w:tc>
        <w:tc>
          <w:tcPr>
            <w:tcW w:w="1276" w:type="dxa"/>
            <w:vAlign w:val="bottom"/>
          </w:tcPr>
          <w:p>
            <w:pPr>
              <w:pStyle w:val="yTableNAm"/>
              <w:jc w:val="center"/>
            </w:pPr>
          </w:p>
        </w:tc>
      </w:tr>
      <w:tr>
        <w:trPr>
          <w:cantSplit/>
        </w:trPr>
        <w:tc>
          <w:tcPr>
            <w:tcW w:w="714" w:type="dxa"/>
            <w:tcBorders>
              <w:bottom w:val="single" w:sz="4" w:space="0" w:color="auto"/>
            </w:tcBorders>
          </w:tcPr>
          <w:p>
            <w:pPr>
              <w:pStyle w:val="yTableNAm"/>
            </w:pPr>
            <w:r>
              <w:t>6.</w:t>
            </w:r>
          </w:p>
        </w:tc>
        <w:tc>
          <w:tcPr>
            <w:tcW w:w="4146" w:type="dxa"/>
            <w:tcBorders>
              <w:bottom w:val="single" w:sz="4" w:space="0" w:color="auto"/>
            </w:tcBorders>
          </w:tcPr>
          <w:p>
            <w:pPr>
              <w:pStyle w:val="yTableNAm"/>
            </w:pPr>
            <w:r>
              <w:t>For the use of a jetty or hardstand controlled by the Department to lift a vessel to or from the harbour, an amount per lift of</w:t>
            </w:r>
          </w:p>
        </w:tc>
        <w:tc>
          <w:tcPr>
            <w:tcW w:w="1276" w:type="dxa"/>
            <w:tcBorders>
              <w:bottom w:val="single" w:sz="4" w:space="0" w:color="auto"/>
            </w:tcBorders>
            <w:vAlign w:val="bottom"/>
          </w:tcPr>
          <w:p>
            <w:pPr>
              <w:pStyle w:val="yTableNAm"/>
              <w:jc w:val="center"/>
            </w:pPr>
            <w:r>
              <w:t>255.87</w:t>
            </w:r>
          </w:p>
        </w:tc>
      </w:tr>
    </w:tbl>
    <w:p>
      <w:pPr>
        <w:pStyle w:val="yFootnotesection"/>
      </w:pPr>
      <w:r>
        <w:tab/>
        <w:t>[Clause 11 inserted in Gazette 22 Jul 2015 p. 2963</w:t>
      </w:r>
      <w:r>
        <w:noBreakHyphen/>
        <w:t>4.]</w:t>
      </w:r>
    </w:p>
    <w:p>
      <w:pPr>
        <w:pStyle w:val="yHeading5"/>
      </w:pPr>
      <w:bookmarkStart w:id="187" w:name="_Toc443638820"/>
      <w:r>
        <w:rPr>
          <w:rStyle w:val="CharSClsNo"/>
        </w:rPr>
        <w:t>12</w:t>
      </w:r>
      <w:r>
        <w:t>.</w:t>
      </w:r>
      <w:r>
        <w:tab/>
        <w:t>Exmouth</w:t>
      </w:r>
      <w:bookmarkEnd w:id="187"/>
    </w:p>
    <w:p>
      <w:pPr>
        <w:pStyle w:val="ySubsection"/>
      </w:pPr>
      <w:r>
        <w:tab/>
        <w:t>(1)</w:t>
      </w:r>
      <w:r>
        <w:tab/>
        <w:t>This clause applies to Exmouth.</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12.1.</w:t>
      </w:r>
    </w:p>
    <w:p>
      <w:pPr>
        <w:pStyle w:val="yTHeadingNAm"/>
        <w:ind w:left="993"/>
      </w:pPr>
      <w:r>
        <w:t>Table 12.1 (Pen use, alongside berthing and mooring)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(not in the Pen B system) by a recreational vessel, tourism vessel or fishing vessel, an amount calculated per metre of the pen’s length using the annual rate of</w:t>
            </w:r>
          </w:p>
        </w:tc>
        <w:tc>
          <w:tcPr>
            <w:tcW w:w="1276" w:type="dxa"/>
          </w:tcPr>
          <w:p>
            <w:pPr>
              <w:pStyle w:val="yTableNAm"/>
              <w:jc w:val="center"/>
            </w:pPr>
            <w:r>
              <w:br/>
            </w:r>
            <w:r>
              <w:br/>
            </w:r>
            <w:r>
              <w:br/>
            </w:r>
            <w:r>
              <w:br/>
              <w:t>424.31</w:t>
            </w:r>
          </w:p>
        </w:tc>
      </w:tr>
      <w:tr>
        <w:trPr>
          <w:cantSplit/>
        </w:trPr>
        <w:tc>
          <w:tcPr>
            <w:tcW w:w="714" w:type="dxa"/>
          </w:tcPr>
          <w:p>
            <w:pPr>
              <w:pStyle w:val="yTableNAm"/>
            </w:pPr>
            <w:r>
              <w:t>2.</w:t>
            </w:r>
          </w:p>
        </w:tc>
        <w:tc>
          <w:tcPr>
            <w:tcW w:w="4146" w:type="dxa"/>
          </w:tcPr>
          <w:p>
            <w:pPr>
              <w:pStyle w:val="yTableNAm"/>
            </w:pPr>
            <w:r>
              <w:t>For the use, other than casual daily use, of a pen (not in the Pen B system) by a service vessel, an amount calculated per metre of the pen’s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3.</w:t>
            </w:r>
          </w:p>
        </w:tc>
        <w:tc>
          <w:tcPr>
            <w:tcW w:w="4146" w:type="dxa"/>
          </w:tcPr>
          <w:p>
            <w:pPr>
              <w:pStyle w:val="yTableNAm"/>
            </w:pPr>
            <w:r>
              <w:t>For the use, other than casual daily use, of an alongside berth (not in the Pen B system) by a recreational vessel, tourism vessel or fishing vessel, an amount calculated per metre of the vessel’s length using the annual rate of</w:t>
            </w:r>
          </w:p>
        </w:tc>
        <w:tc>
          <w:tcPr>
            <w:tcW w:w="1276" w:type="dxa"/>
          </w:tcPr>
          <w:p>
            <w:pPr>
              <w:pStyle w:val="yTableNAm"/>
              <w:jc w:val="center"/>
            </w:pPr>
            <w:r>
              <w:br/>
            </w:r>
            <w:r>
              <w:br/>
            </w:r>
            <w:r>
              <w:br/>
            </w:r>
            <w:r>
              <w:br/>
            </w:r>
            <w:r>
              <w:br/>
              <w:t>424.31</w:t>
            </w:r>
          </w:p>
        </w:tc>
      </w:tr>
      <w:tr>
        <w:trPr>
          <w:cantSplit/>
        </w:trPr>
        <w:tc>
          <w:tcPr>
            <w:tcW w:w="714" w:type="dxa"/>
          </w:tcPr>
          <w:p>
            <w:pPr>
              <w:pStyle w:val="yTableNAm"/>
            </w:pPr>
            <w:r>
              <w:t>4.</w:t>
            </w:r>
          </w:p>
        </w:tc>
        <w:tc>
          <w:tcPr>
            <w:tcW w:w="4146" w:type="dxa"/>
          </w:tcPr>
          <w:p>
            <w:pPr>
              <w:pStyle w:val="yTableNAm"/>
            </w:pPr>
            <w:r>
              <w:t>For the use, other than casual daily use, of an alongside berth (not in the Pen B system) by a service vessel, an amount calculated per metre of the vessel’s length using the annual rate of</w:t>
            </w:r>
          </w:p>
        </w:tc>
        <w:tc>
          <w:tcPr>
            <w:tcW w:w="1276" w:type="dxa"/>
          </w:tcPr>
          <w:p>
            <w:pPr>
              <w:pStyle w:val="yTableNAm"/>
              <w:jc w:val="center"/>
            </w:pPr>
            <w:r>
              <w:br/>
            </w:r>
            <w:r>
              <w:br/>
            </w:r>
            <w:r>
              <w:br/>
            </w:r>
            <w:r>
              <w:br/>
              <w:t>563.75</w:t>
            </w:r>
          </w:p>
        </w:tc>
      </w:tr>
      <w:tr>
        <w:trPr>
          <w:cantSplit/>
        </w:trPr>
        <w:tc>
          <w:tcPr>
            <w:tcW w:w="714" w:type="dxa"/>
          </w:tcPr>
          <w:p>
            <w:pPr>
              <w:pStyle w:val="yTableNAm"/>
            </w:pPr>
            <w:r>
              <w:t>5.</w:t>
            </w:r>
          </w:p>
        </w:tc>
        <w:tc>
          <w:tcPr>
            <w:tcW w:w="4146" w:type="dxa"/>
          </w:tcPr>
          <w:p>
            <w:pPr>
              <w:pStyle w:val="yTableNAm"/>
            </w:pPr>
            <w:r>
              <w:t>For the use, other than casual daily use, of a pen (in the Pen B system) no longer than 20 m by a recreational vessel, tourism vessel or fishing vessel, an amount calculated per metre of the pen’s length using the annual rate of</w:t>
            </w:r>
          </w:p>
        </w:tc>
        <w:tc>
          <w:tcPr>
            <w:tcW w:w="1276" w:type="dxa"/>
          </w:tcPr>
          <w:p>
            <w:pPr>
              <w:pStyle w:val="yTableNAm"/>
              <w:jc w:val="center"/>
            </w:pPr>
            <w:r>
              <w:br/>
            </w:r>
            <w:r>
              <w:br/>
            </w:r>
            <w:r>
              <w:br/>
            </w:r>
            <w:r>
              <w:br/>
            </w:r>
            <w:r>
              <w:br/>
              <w:t>600.00</w:t>
            </w:r>
          </w:p>
        </w:tc>
      </w:tr>
      <w:tr>
        <w:trPr>
          <w:cantSplit/>
        </w:trPr>
        <w:tc>
          <w:tcPr>
            <w:tcW w:w="714" w:type="dxa"/>
          </w:tcPr>
          <w:p>
            <w:pPr>
              <w:pStyle w:val="yTableNAm"/>
            </w:pPr>
            <w:r>
              <w:t>6.</w:t>
            </w:r>
          </w:p>
        </w:tc>
        <w:tc>
          <w:tcPr>
            <w:tcW w:w="4146" w:type="dxa"/>
          </w:tcPr>
          <w:p>
            <w:pPr>
              <w:pStyle w:val="yTableNAm"/>
            </w:pPr>
            <w:r>
              <w:t>For the use, other than casual daily use, of a pen (in the Pen B system) no longer than 20 m by a service vessel, an amount calculated per metre of the pen’s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7.</w:t>
            </w:r>
          </w:p>
        </w:tc>
        <w:tc>
          <w:tcPr>
            <w:tcW w:w="4146" w:type="dxa"/>
          </w:tcPr>
          <w:p>
            <w:pPr>
              <w:pStyle w:val="yTableNAm"/>
            </w:pPr>
            <w:r>
              <w:t>For the use, other than casual daily use, of a pen (in the Pen B system) longer than 20 m by a vessel, an amount calculated per metre of the pen’s length using the annual rate of</w:t>
            </w:r>
          </w:p>
        </w:tc>
        <w:tc>
          <w:tcPr>
            <w:tcW w:w="1276" w:type="dxa"/>
          </w:tcPr>
          <w:p>
            <w:pPr>
              <w:pStyle w:val="yTableNAm"/>
              <w:jc w:val="center"/>
            </w:pPr>
            <w:r>
              <w:br/>
            </w:r>
            <w:r>
              <w:br/>
            </w:r>
            <w:r>
              <w:br/>
              <w:t>1 025.00</w:t>
            </w:r>
          </w:p>
        </w:tc>
      </w:tr>
      <w:tr>
        <w:trPr>
          <w:cantSplit/>
        </w:trPr>
        <w:tc>
          <w:tcPr>
            <w:tcW w:w="714" w:type="dxa"/>
          </w:tcPr>
          <w:p>
            <w:pPr>
              <w:pStyle w:val="yTableNAm"/>
            </w:pPr>
            <w:r>
              <w:t>8.</w:t>
            </w:r>
          </w:p>
        </w:tc>
        <w:tc>
          <w:tcPr>
            <w:tcW w:w="4146" w:type="dxa"/>
          </w:tcPr>
          <w:p>
            <w:pPr>
              <w:pStyle w:val="yTableNAm"/>
            </w:pPr>
            <w:r>
              <w:t>For the use, other than casual daily use, of an alongside berth (in the Pen B system) by a recreational vessel, tourism vessel or fishing vessel, an amount calculated per metre of the vessel’s length using the annual rate of</w:t>
            </w:r>
          </w:p>
        </w:tc>
        <w:tc>
          <w:tcPr>
            <w:tcW w:w="1276" w:type="dxa"/>
          </w:tcPr>
          <w:p>
            <w:pPr>
              <w:pStyle w:val="yTableNAm"/>
              <w:jc w:val="center"/>
            </w:pPr>
            <w:r>
              <w:br/>
            </w:r>
            <w:r>
              <w:br/>
            </w:r>
            <w:r>
              <w:br/>
            </w:r>
            <w:r>
              <w:br/>
              <w:t>600.00</w:t>
            </w:r>
          </w:p>
        </w:tc>
      </w:tr>
      <w:tr>
        <w:trPr>
          <w:cantSplit/>
        </w:trPr>
        <w:tc>
          <w:tcPr>
            <w:tcW w:w="714" w:type="dxa"/>
          </w:tcPr>
          <w:p>
            <w:pPr>
              <w:pStyle w:val="yTableNAm"/>
            </w:pPr>
            <w:r>
              <w:t>9.</w:t>
            </w:r>
          </w:p>
        </w:tc>
        <w:tc>
          <w:tcPr>
            <w:tcW w:w="4146" w:type="dxa"/>
          </w:tcPr>
          <w:p>
            <w:pPr>
              <w:pStyle w:val="yTableNAm"/>
            </w:pPr>
            <w:r>
              <w:t>For the use, other than casual daily use, of an alongside berth (in the Pen B system) by a service vessel, an amount calculated per metre of the vessel’s length using the annual rate of</w:t>
            </w:r>
          </w:p>
        </w:tc>
        <w:tc>
          <w:tcPr>
            <w:tcW w:w="1276" w:type="dxa"/>
          </w:tcPr>
          <w:p>
            <w:pPr>
              <w:pStyle w:val="yTableNAm"/>
              <w:jc w:val="center"/>
            </w:pPr>
            <w:r>
              <w:br/>
            </w:r>
            <w:r>
              <w:br/>
            </w:r>
            <w:r>
              <w:br/>
            </w:r>
            <w:r>
              <w:br/>
              <w:t>820.00</w:t>
            </w:r>
          </w:p>
        </w:tc>
      </w:tr>
      <w:tr>
        <w:trPr>
          <w:cantSplit/>
        </w:trPr>
        <w:tc>
          <w:tcPr>
            <w:tcW w:w="714" w:type="dxa"/>
          </w:tcPr>
          <w:p>
            <w:pPr>
              <w:pStyle w:val="yTableNAm"/>
            </w:pPr>
            <w:r>
              <w:t>10.</w:t>
            </w:r>
          </w:p>
        </w:tc>
        <w:tc>
          <w:tcPr>
            <w:tcW w:w="4146" w:type="dxa"/>
          </w:tcPr>
          <w:p>
            <w:pPr>
              <w:pStyle w:val="yTableNAm"/>
            </w:pPr>
            <w:r>
              <w:t>For the use, other than casual daily use, of a piled mooring by a recreational vessel, tourism vessel or fishing vessel, an amount calculated per metre of the vessel’s length using the annual rate of</w:t>
            </w:r>
          </w:p>
        </w:tc>
        <w:tc>
          <w:tcPr>
            <w:tcW w:w="1276" w:type="dxa"/>
          </w:tcPr>
          <w:p>
            <w:pPr>
              <w:pStyle w:val="yTableNAm"/>
              <w:jc w:val="center"/>
            </w:pPr>
            <w:r>
              <w:br/>
            </w:r>
            <w:r>
              <w:br/>
            </w:r>
            <w:r>
              <w:br/>
            </w:r>
            <w:r>
              <w:br/>
              <w:t>343.89</w:t>
            </w:r>
          </w:p>
        </w:tc>
      </w:tr>
      <w:tr>
        <w:trPr>
          <w:cantSplit/>
        </w:trPr>
        <w:tc>
          <w:tcPr>
            <w:tcW w:w="714" w:type="dxa"/>
          </w:tcPr>
          <w:p>
            <w:pPr>
              <w:pStyle w:val="yTableNAm"/>
            </w:pPr>
            <w:r>
              <w:t>11.</w:t>
            </w:r>
          </w:p>
        </w:tc>
        <w:tc>
          <w:tcPr>
            <w:tcW w:w="4146" w:type="dxa"/>
          </w:tcPr>
          <w:p>
            <w:pPr>
              <w:pStyle w:val="yTableNAm"/>
            </w:pPr>
            <w:r>
              <w:t>For the use, other than casual daily use, of a piled mooring by a service vessel, an amount calculated per metre of the vessel’s length using the annual rate of</w:t>
            </w:r>
          </w:p>
        </w:tc>
        <w:tc>
          <w:tcPr>
            <w:tcW w:w="1276" w:type="dxa"/>
          </w:tcPr>
          <w:p>
            <w:pPr>
              <w:pStyle w:val="yTableNAm"/>
              <w:jc w:val="center"/>
            </w:pPr>
            <w:r>
              <w:br/>
            </w:r>
            <w:r>
              <w:br/>
            </w:r>
            <w:r>
              <w:br/>
              <w:t>563.75</w:t>
            </w:r>
          </w:p>
        </w:tc>
      </w:tr>
      <w:tr>
        <w:trPr>
          <w:cantSplit/>
        </w:trPr>
        <w:tc>
          <w:tcPr>
            <w:tcW w:w="714" w:type="dxa"/>
          </w:tcPr>
          <w:p>
            <w:pPr>
              <w:pStyle w:val="yTableNAm"/>
            </w:pPr>
            <w:r>
              <w:t>12.</w:t>
            </w:r>
          </w:p>
        </w:tc>
        <w:tc>
          <w:tcPr>
            <w:tcW w:w="4146" w:type="dxa"/>
          </w:tcPr>
          <w:p>
            <w:pPr>
              <w:pStyle w:val="yTableNAm"/>
            </w:pPr>
            <w:r>
              <w:t>For the casual daily use of a pen, alongside berth or piled mooring by a recreational vessel, an amount calculated using standard Rate 2</w:t>
            </w:r>
          </w:p>
        </w:tc>
        <w:tc>
          <w:tcPr>
            <w:tcW w:w="1276" w:type="dxa"/>
          </w:tcPr>
          <w:p>
            <w:pPr>
              <w:pStyle w:val="yTableNAm"/>
              <w:jc w:val="center"/>
            </w:pPr>
          </w:p>
        </w:tc>
      </w:tr>
      <w:tr>
        <w:trPr>
          <w:cantSplit/>
        </w:trPr>
        <w:tc>
          <w:tcPr>
            <w:tcW w:w="714" w:type="dxa"/>
          </w:tcPr>
          <w:p>
            <w:pPr>
              <w:pStyle w:val="yTableNAm"/>
            </w:pPr>
            <w:r>
              <w:t>13.</w:t>
            </w:r>
          </w:p>
        </w:tc>
        <w:tc>
          <w:tcPr>
            <w:tcW w:w="4146" w:type="dxa"/>
          </w:tcPr>
          <w:p>
            <w:pPr>
              <w:pStyle w:val="yTableNAm"/>
            </w:pPr>
            <w:r>
              <w:t>For the casual daily use of a pen, alongside berth or piled mooring by a tourism vessel or fishing vessel (but not a service vessel), an amount calculated using standard Rate 1</w:t>
            </w:r>
          </w:p>
        </w:tc>
        <w:tc>
          <w:tcPr>
            <w:tcW w:w="1276" w:type="dxa"/>
          </w:tcPr>
          <w:p>
            <w:pPr>
              <w:pStyle w:val="yTableNAm"/>
              <w:jc w:val="center"/>
            </w:pPr>
          </w:p>
        </w:tc>
      </w:tr>
      <w:tr>
        <w:trPr>
          <w:cantSplit/>
        </w:trPr>
        <w:tc>
          <w:tcPr>
            <w:tcW w:w="714" w:type="dxa"/>
          </w:tcPr>
          <w:p>
            <w:pPr>
              <w:pStyle w:val="yTableNAm"/>
            </w:pPr>
            <w:r>
              <w:t>14.</w:t>
            </w:r>
          </w:p>
        </w:tc>
        <w:tc>
          <w:tcPr>
            <w:tcW w:w="4146" w:type="dxa"/>
          </w:tcPr>
          <w:p>
            <w:pPr>
              <w:pStyle w:val="yTableNAm"/>
            </w:pPr>
            <w:r>
              <w:t>For the short term use of an alongside berth on the service wharf by a vessel (other than a service vessel), an amount calculated using standard Rate 3</w:t>
            </w:r>
          </w:p>
        </w:tc>
        <w:tc>
          <w:tcPr>
            <w:tcW w:w="1276" w:type="dxa"/>
          </w:tcPr>
          <w:p>
            <w:pPr>
              <w:pStyle w:val="yTableNAm"/>
              <w:jc w:val="center"/>
            </w:pPr>
          </w:p>
        </w:tc>
      </w:tr>
      <w:tr>
        <w:trPr>
          <w:cantSplit/>
        </w:trPr>
        <w:tc>
          <w:tcPr>
            <w:tcW w:w="714" w:type="dxa"/>
          </w:tcPr>
          <w:p>
            <w:pPr>
              <w:pStyle w:val="yTableNAm"/>
            </w:pPr>
            <w:r>
              <w:t>15.</w:t>
            </w:r>
          </w:p>
        </w:tc>
        <w:tc>
          <w:tcPr>
            <w:tcW w:w="4146" w:type="dxa"/>
          </w:tcPr>
          <w:p>
            <w:pPr>
              <w:pStyle w:val="yTableNAm"/>
            </w:pPr>
            <w:r>
              <w:t>For the casual daily use of a pen, alongside berth other than the service wharf or piled mooring by a service vessel, an amount calculated per metre of the vessel’s length at the daily rate of</w:t>
            </w:r>
          </w:p>
        </w:tc>
        <w:tc>
          <w:tcPr>
            <w:tcW w:w="1276" w:type="dxa"/>
          </w:tcPr>
          <w:p>
            <w:pPr>
              <w:pStyle w:val="yTableNAm"/>
              <w:jc w:val="center"/>
            </w:pPr>
            <w:r>
              <w:br/>
            </w:r>
            <w:r>
              <w:br/>
            </w:r>
            <w:r>
              <w:br/>
            </w:r>
            <w:r>
              <w:br/>
              <w:t>10.89</w:t>
            </w:r>
          </w:p>
        </w:tc>
      </w:tr>
      <w:tr>
        <w:trPr>
          <w:cantSplit/>
        </w:trPr>
        <w:tc>
          <w:tcPr>
            <w:tcW w:w="714" w:type="dxa"/>
          </w:tcPr>
          <w:p>
            <w:pPr>
              <w:pStyle w:val="yTableNAm"/>
            </w:pPr>
            <w:r>
              <w:t>16.</w:t>
            </w:r>
          </w:p>
        </w:tc>
        <w:tc>
          <w:tcPr>
            <w:tcW w:w="4146" w:type="dxa"/>
          </w:tcPr>
          <w:p>
            <w:pPr>
              <w:pStyle w:val="yTableNAm"/>
            </w:pPr>
            <w:r>
              <w:t>For the use of a service wharf, other than while refuelling, by a service vessel, an amount calculated per metre of the vessel’s length at the 12</w:t>
            </w:r>
            <w:r>
              <w:noBreakHyphen/>
              <w:t>hourly rate of</w:t>
            </w:r>
          </w:p>
        </w:tc>
        <w:tc>
          <w:tcPr>
            <w:tcW w:w="1276" w:type="dxa"/>
          </w:tcPr>
          <w:p>
            <w:pPr>
              <w:pStyle w:val="yTableNAm"/>
              <w:jc w:val="center"/>
            </w:pPr>
            <w:r>
              <w:br/>
            </w:r>
            <w:r>
              <w:br/>
            </w:r>
            <w:r>
              <w:br/>
              <w:t>16.81</w:t>
            </w:r>
          </w:p>
        </w:tc>
      </w:tr>
      <w:tr>
        <w:trPr>
          <w:cantSplit/>
        </w:trPr>
        <w:tc>
          <w:tcPr>
            <w:tcW w:w="714" w:type="dxa"/>
            <w:tcBorders>
              <w:bottom w:val="single" w:sz="4" w:space="0" w:color="auto"/>
            </w:tcBorders>
          </w:tcPr>
          <w:p>
            <w:pPr>
              <w:pStyle w:val="yTableNAm"/>
            </w:pPr>
            <w:r>
              <w:t>17.</w:t>
            </w:r>
          </w:p>
        </w:tc>
        <w:tc>
          <w:tcPr>
            <w:tcW w:w="4146"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12 inserted in Gazette 22 Jul 2015 p. 2964</w:t>
      </w:r>
      <w:r>
        <w:noBreakHyphen/>
        <w:t>7.]</w:t>
      </w:r>
    </w:p>
    <w:p>
      <w:pPr>
        <w:pStyle w:val="yHeading5"/>
      </w:pPr>
      <w:bookmarkStart w:id="188" w:name="_Toc443638821"/>
      <w:r>
        <w:rPr>
          <w:rStyle w:val="CharSClsNo"/>
        </w:rPr>
        <w:t>13</w:t>
      </w:r>
      <w:r>
        <w:t>.</w:t>
      </w:r>
      <w:r>
        <w:tab/>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88"/>
    </w:p>
    <w:p>
      <w:pPr>
        <w:pStyle w:val="ySubsection"/>
      </w:pPr>
      <w:r>
        <w:tab/>
        <w:t>(1)</w:t>
      </w:r>
      <w:r>
        <w:tab/>
        <w:t xml:space="preserve">This clause applies to the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13.1.</w:t>
      </w:r>
    </w:p>
    <w:p>
      <w:pPr>
        <w:pStyle w:val="yTHeadingNAm"/>
        <w:ind w:left="993"/>
      </w:pPr>
      <w:r>
        <w:t>Table 13.1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14" w:type="dxa"/>
          </w:tcPr>
          <w:p>
            <w:pPr>
              <w:pStyle w:val="yTableNAm"/>
            </w:pPr>
            <w:r>
              <w:t>1.</w:t>
            </w:r>
          </w:p>
        </w:tc>
        <w:tc>
          <w:tcPr>
            <w:tcW w:w="4146" w:type="dxa"/>
          </w:tcPr>
          <w:p>
            <w:pPr>
              <w:pStyle w:val="yTableNAm"/>
            </w:pPr>
            <w:r>
              <w:t xml:space="preserve">For the use, other than casual daily use, of a pen (not within Jetty 1A and Jetty 2A) with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451.00</w:t>
            </w:r>
          </w:p>
        </w:tc>
      </w:tr>
      <w:tr>
        <w:trPr>
          <w:cantSplit/>
        </w:trPr>
        <w:tc>
          <w:tcPr>
            <w:tcW w:w="714" w:type="dxa"/>
          </w:tcPr>
          <w:p>
            <w:pPr>
              <w:pStyle w:val="yTableNAm"/>
            </w:pPr>
            <w:r>
              <w:t>2.</w:t>
            </w:r>
          </w:p>
        </w:tc>
        <w:tc>
          <w:tcPr>
            <w:tcW w:w="4146" w:type="dxa"/>
          </w:tcPr>
          <w:p>
            <w:pPr>
              <w:pStyle w:val="yTableNAm"/>
            </w:pPr>
            <w:r>
              <w:t xml:space="preserve">For the use, other than casual daily use, of a pen (not within Jetty 1A and Jetty 2A) without a walkway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pen’s length using the annual rate of</w:t>
            </w:r>
          </w:p>
        </w:tc>
        <w:tc>
          <w:tcPr>
            <w:tcW w:w="1276" w:type="dxa"/>
          </w:tcPr>
          <w:p>
            <w:pPr>
              <w:pStyle w:val="yTableNAm"/>
              <w:jc w:val="center"/>
            </w:pPr>
            <w:r>
              <w:br/>
            </w:r>
            <w:r>
              <w:br/>
              <w:t>310.06</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pen’s length using the annual rate of</w:t>
            </w:r>
          </w:p>
        </w:tc>
        <w:tc>
          <w:tcPr>
            <w:tcW w:w="1276" w:type="dxa"/>
          </w:tcPr>
          <w:p>
            <w:pPr>
              <w:pStyle w:val="yTableNAm"/>
              <w:jc w:val="center"/>
            </w:pPr>
            <w:r>
              <w:br/>
            </w:r>
            <w:r>
              <w:br/>
              <w:t>422.81</w:t>
            </w:r>
          </w:p>
        </w:tc>
      </w:tr>
      <w:tr>
        <w:trPr>
          <w:cantSplit/>
        </w:trPr>
        <w:tc>
          <w:tcPr>
            <w:tcW w:w="714" w:type="dxa"/>
          </w:tcPr>
          <w:p>
            <w:pPr>
              <w:pStyle w:val="yTableNAm"/>
            </w:pPr>
            <w:r>
              <w:t>3.</w:t>
            </w:r>
          </w:p>
        </w:tc>
        <w:tc>
          <w:tcPr>
            <w:tcW w:w="4146" w:type="dxa"/>
          </w:tcPr>
          <w:p>
            <w:pPr>
              <w:pStyle w:val="yTableNAm"/>
            </w:pPr>
            <w:r>
              <w:t xml:space="preserve">For the use, other than casual daily use, of an alongside berth (not within Jetty 1A and Jetty 2A)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per metre of the vessel’s length using the annual rate of</w:t>
            </w:r>
          </w:p>
        </w:tc>
        <w:tc>
          <w:tcPr>
            <w:tcW w:w="1276" w:type="dxa"/>
          </w:tcPr>
          <w:p>
            <w:pPr>
              <w:pStyle w:val="yTableNAm"/>
              <w:jc w:val="center"/>
            </w:pPr>
            <w:r>
              <w:br/>
            </w:r>
            <w:r>
              <w:br/>
              <w:t>338.25</w:t>
            </w: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per metre of the vessel’s length using the annual rate of</w:t>
            </w:r>
          </w:p>
        </w:tc>
        <w:tc>
          <w:tcPr>
            <w:tcW w:w="1276" w:type="dxa"/>
          </w:tcPr>
          <w:p>
            <w:pPr>
              <w:pStyle w:val="yTableNAm"/>
              <w:jc w:val="center"/>
            </w:pPr>
            <w:r>
              <w:br/>
            </w:r>
            <w:r>
              <w:br/>
              <w:t>451.00</w:t>
            </w:r>
          </w:p>
        </w:tc>
      </w:tr>
      <w:tr>
        <w:trPr>
          <w:cantSplit/>
        </w:trPr>
        <w:tc>
          <w:tcPr>
            <w:tcW w:w="714" w:type="dxa"/>
          </w:tcPr>
          <w:p>
            <w:pPr>
              <w:pStyle w:val="yTableNAm"/>
            </w:pPr>
            <w:r>
              <w:t>4.</w:t>
            </w:r>
          </w:p>
        </w:tc>
        <w:tc>
          <w:tcPr>
            <w:tcW w:w="4146" w:type="dxa"/>
          </w:tcPr>
          <w:p>
            <w:pPr>
              <w:pStyle w:val="yTableNAm"/>
            </w:pPr>
            <w:r>
              <w:t>For the use, other than casual daily use, of a pen (within Jetty 1A and Jetty 2A) by a vessel, an amount calculated per metre of the pen’s length using the annual rate of</w:t>
            </w:r>
          </w:p>
        </w:tc>
        <w:tc>
          <w:tcPr>
            <w:tcW w:w="1276" w:type="dxa"/>
          </w:tcPr>
          <w:p>
            <w:pPr>
              <w:pStyle w:val="yTableNAm"/>
              <w:jc w:val="center"/>
            </w:pPr>
            <w:r>
              <w:br/>
            </w:r>
            <w:r>
              <w:br/>
            </w:r>
            <w:r>
              <w:br/>
              <w:t>676.50</w:t>
            </w:r>
          </w:p>
        </w:tc>
      </w:tr>
      <w:tr>
        <w:trPr>
          <w:cantSplit/>
        </w:trPr>
        <w:tc>
          <w:tcPr>
            <w:tcW w:w="714" w:type="dxa"/>
          </w:tcPr>
          <w:p>
            <w:pPr>
              <w:pStyle w:val="yTableNAm"/>
            </w:pPr>
            <w:r>
              <w:t>5.</w:t>
            </w:r>
          </w:p>
        </w:tc>
        <w:tc>
          <w:tcPr>
            <w:tcW w:w="4146" w:type="dxa"/>
          </w:tcPr>
          <w:p>
            <w:pPr>
              <w:pStyle w:val="yTableNAm"/>
            </w:pPr>
            <w:r>
              <w:t>For the use, other than casual daily use, of an alongside berth (within Jetty 1A and Jetty 2A) by a vessel, an amount calculated per metre of the vessel’s length using the annual rate of</w:t>
            </w:r>
          </w:p>
        </w:tc>
        <w:tc>
          <w:tcPr>
            <w:tcW w:w="1276" w:type="dxa"/>
          </w:tcPr>
          <w:p>
            <w:pPr>
              <w:pStyle w:val="yTableNAm"/>
              <w:jc w:val="center"/>
            </w:pPr>
            <w:r>
              <w:br/>
            </w:r>
            <w:r>
              <w:br/>
            </w:r>
            <w:r>
              <w:br/>
            </w:r>
            <w:r>
              <w:br/>
              <w:t>676.50</w:t>
            </w:r>
          </w:p>
        </w:tc>
      </w:tr>
      <w:tr>
        <w:trPr>
          <w:cantSplit/>
        </w:trPr>
        <w:tc>
          <w:tcPr>
            <w:tcW w:w="714" w:type="dxa"/>
          </w:tcPr>
          <w:p>
            <w:pPr>
              <w:pStyle w:val="yTableNAm"/>
            </w:pPr>
            <w:r>
              <w:t>6.</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7.</w:t>
            </w:r>
          </w:p>
        </w:tc>
        <w:tc>
          <w:tcPr>
            <w:tcW w:w="4146" w:type="dxa"/>
            <w:tcBorders>
              <w:bottom w:val="single" w:sz="4" w:space="0" w:color="auto"/>
            </w:tcBorders>
          </w:tcPr>
          <w:p>
            <w:pPr>
              <w:pStyle w:val="yTableNAm"/>
            </w:pPr>
            <w:r>
              <w:t>For the short term use of a service wharf or jetty, an amount calculated using standard Rate 3</w:t>
            </w:r>
          </w:p>
        </w:tc>
        <w:tc>
          <w:tcPr>
            <w:tcW w:w="1276" w:type="dxa"/>
            <w:tcBorders>
              <w:bottom w:val="single" w:sz="4" w:space="0" w:color="auto"/>
            </w:tcBorders>
            <w:vAlign w:val="bottom"/>
          </w:tcPr>
          <w:p>
            <w:pPr>
              <w:pStyle w:val="yTableNAm"/>
              <w:jc w:val="center"/>
            </w:pPr>
          </w:p>
        </w:tc>
      </w:tr>
    </w:tbl>
    <w:p>
      <w:pPr>
        <w:pStyle w:val="yFootnotesection"/>
      </w:pPr>
      <w:r>
        <w:tab/>
        <w:t>[Clause 13 inserted in Gazette 22 Jul 2015 p. 2967</w:t>
      </w:r>
      <w:r>
        <w:noBreakHyphen/>
        <w:t>9.]</w:t>
      </w:r>
    </w:p>
    <w:p>
      <w:pPr>
        <w:pStyle w:val="yHeading5"/>
      </w:pPr>
      <w:bookmarkStart w:id="189" w:name="_Toc443638822"/>
      <w:r>
        <w:rPr>
          <w:rStyle w:val="CharSClsNo"/>
        </w:rPr>
        <w:t>14</w:t>
      </w:r>
      <w:r>
        <w:t>.</w:t>
      </w:r>
      <w:r>
        <w:tab/>
        <w:t xml:space="preserve">Geraldton,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89"/>
    </w:p>
    <w:p>
      <w:pPr>
        <w:pStyle w:val="ySubsection"/>
      </w:pPr>
      <w:r>
        <w:tab/>
        <w:t>(1)</w:t>
      </w:r>
      <w:r>
        <w:tab/>
        <w:t xml:space="preserve">This clause applies to the </w:t>
      </w:r>
      <w:smartTag w:uri="urn:schemas-microsoft-com:office:smarttags" w:element="place">
        <w:smartTag w:uri="urn:schemas-microsoft-com:office:smarttags" w:element="PlaceName">
          <w:r>
            <w:t>Batavia</w:t>
          </w:r>
        </w:smartTag>
        <w:r>
          <w:t xml:space="preserve"> </w:t>
        </w:r>
        <w:smartTag w:uri="urn:schemas-microsoft-com:office:smarttags" w:element="PlaceType">
          <w:r>
            <w:t>Coast</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Geraldton.</w:t>
      </w:r>
    </w:p>
    <w:p>
      <w:pPr>
        <w:pStyle w:val="ySubsection"/>
      </w:pPr>
      <w:r>
        <w:tab/>
        <w:t>(2)</w:t>
      </w:r>
      <w:r>
        <w:tab/>
        <w:t>The dues and charges to be paid under these regulations are set out in Table 14.1.</w:t>
      </w:r>
    </w:p>
    <w:p>
      <w:pPr>
        <w:pStyle w:val="yTHeadingNAm"/>
        <w:ind w:left="993"/>
      </w:pPr>
      <w:r>
        <w:t>Table 14.1 (Pen or berth rental)</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14"/>
        <w:gridCol w:w="4146"/>
        <w:gridCol w:w="1276"/>
      </w:tblGrid>
      <w:tr>
        <w:trPr>
          <w:cantSplit/>
          <w:tblHeader/>
        </w:trPr>
        <w:tc>
          <w:tcPr>
            <w:tcW w:w="714" w:type="dxa"/>
            <w:tcBorders>
              <w:top w:val="single" w:sz="4" w:space="0" w:color="auto"/>
              <w:bottom w:val="single" w:sz="4" w:space="0" w:color="auto"/>
            </w:tcBorders>
          </w:tcPr>
          <w:p>
            <w:pPr>
              <w:pStyle w:val="yTableNAm"/>
              <w:keepNext/>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46" w:type="dxa"/>
          </w:tcPr>
          <w:p>
            <w:pPr>
              <w:pStyle w:val="yTableNAm"/>
            </w:pPr>
            <w:r>
              <w:t>For the use, other than casual daily use, of a pen by a vessel, an amount calculated per metre of the pen’s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2.</w:t>
            </w:r>
          </w:p>
        </w:tc>
        <w:tc>
          <w:tcPr>
            <w:tcW w:w="4146" w:type="dxa"/>
          </w:tcPr>
          <w:p>
            <w:pPr>
              <w:pStyle w:val="yTableNAm"/>
            </w:pPr>
            <w:r>
              <w:t>For the use, other than casual daily use, of an alongside berth by a vessel, an amount calculated per metre of the vessel’s length using the annual rate of</w:t>
            </w:r>
          </w:p>
        </w:tc>
        <w:tc>
          <w:tcPr>
            <w:tcW w:w="1276" w:type="dxa"/>
          </w:tcPr>
          <w:p>
            <w:pPr>
              <w:pStyle w:val="yTableNAm"/>
              <w:jc w:val="center"/>
            </w:pPr>
            <w:r>
              <w:br/>
            </w:r>
            <w:r>
              <w:br/>
            </w:r>
            <w:r>
              <w:br/>
              <w:t>540.34</w:t>
            </w:r>
          </w:p>
        </w:tc>
      </w:tr>
      <w:tr>
        <w:trPr>
          <w:cantSplit/>
        </w:trPr>
        <w:tc>
          <w:tcPr>
            <w:tcW w:w="714" w:type="dxa"/>
          </w:tcPr>
          <w:p>
            <w:pPr>
              <w:pStyle w:val="yTableNAm"/>
            </w:pPr>
            <w:r>
              <w:t>3.</w:t>
            </w:r>
          </w:p>
        </w:tc>
        <w:tc>
          <w:tcPr>
            <w:tcW w:w="4146"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46"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4.</w:t>
            </w:r>
          </w:p>
        </w:tc>
        <w:tc>
          <w:tcPr>
            <w:tcW w:w="4146"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14 inserted in Gazette 22 Jul 2015 p. 2969</w:t>
      </w:r>
      <w:r>
        <w:noBreakHyphen/>
        <w:t>70.]</w:t>
      </w:r>
    </w:p>
    <w:p>
      <w:pPr>
        <w:pStyle w:val="yHeading5"/>
      </w:pPr>
      <w:bookmarkStart w:id="190" w:name="_Toc443638823"/>
      <w:r>
        <w:rPr>
          <w:rStyle w:val="CharSClsNo"/>
        </w:rPr>
        <w:t>15</w:t>
      </w:r>
      <w:r>
        <w:t>.</w:t>
      </w:r>
      <w:r>
        <w:tab/>
        <w:t>Green Head</w:t>
      </w:r>
      <w:bookmarkEnd w:id="190"/>
    </w:p>
    <w:p>
      <w:pPr>
        <w:pStyle w:val="ySubsection"/>
      </w:pPr>
      <w:r>
        <w:tab/>
        <w:t>(1)</w:t>
      </w:r>
      <w:r>
        <w:tab/>
        <w:t>This clause applies to Green Head.</w:t>
      </w:r>
    </w:p>
    <w:p>
      <w:pPr>
        <w:pStyle w:val="ySubsection"/>
      </w:pPr>
      <w:r>
        <w:tab/>
        <w:t>(2)</w:t>
      </w:r>
      <w:r>
        <w:tab/>
        <w:t>The berthing dues to be paid under these regulations are set out in Table 15.1.</w:t>
      </w:r>
    </w:p>
    <w:p>
      <w:pPr>
        <w:pStyle w:val="yTHeadingNAm"/>
        <w:ind w:left="993"/>
      </w:pPr>
      <w:r>
        <w:t>Table 15.1 (Alongside berthing)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714"/>
        <w:gridCol w:w="4160"/>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60" w:type="dxa"/>
          </w:tcPr>
          <w:p>
            <w:pPr>
              <w:pStyle w:val="yTableNAm"/>
            </w:pPr>
            <w:r>
              <w:t xml:space="preserve">For the casual daily use of an alongside berth — </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14"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2.</w:t>
            </w:r>
          </w:p>
        </w:tc>
        <w:tc>
          <w:tcPr>
            <w:tcW w:w="4160" w:type="dxa"/>
            <w:tcBorders>
              <w:bottom w:val="single" w:sz="4" w:space="0" w:color="auto"/>
            </w:tcBorders>
          </w:tcPr>
          <w:p>
            <w:pPr>
              <w:pStyle w:val="yTableNAm"/>
            </w:pPr>
            <w:r>
              <w:t>For the short term use of the service wharf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15 inserted in Gazette 22 Jul 2015 p. 2970.]</w:t>
      </w:r>
    </w:p>
    <w:p>
      <w:pPr>
        <w:pStyle w:val="yHeading5"/>
      </w:pPr>
      <w:bookmarkStart w:id="191" w:name="_Toc443638824"/>
      <w:r>
        <w:rPr>
          <w:rStyle w:val="CharSClsNo"/>
        </w:rPr>
        <w:t>16</w:t>
      </w:r>
      <w:r>
        <w:t>.</w:t>
      </w:r>
      <w:r>
        <w:tab/>
        <w:t>Hopetoun</w:t>
      </w:r>
      <w:bookmarkEnd w:id="191"/>
    </w:p>
    <w:p>
      <w:pPr>
        <w:pStyle w:val="ySubsection"/>
      </w:pPr>
      <w:r>
        <w:tab/>
        <w:t>(1)</w:t>
      </w:r>
      <w:r>
        <w:tab/>
        <w:t>This clause applies to Hopetoun.</w:t>
      </w:r>
    </w:p>
    <w:p>
      <w:pPr>
        <w:pStyle w:val="ySubsection"/>
      </w:pPr>
      <w:r>
        <w:tab/>
        <w:t>(2)</w:t>
      </w:r>
      <w:r>
        <w:tab/>
        <w:t>The berthing dues to be paid under these regulations are set out in Table 16.1.</w:t>
      </w:r>
    </w:p>
    <w:p>
      <w:pPr>
        <w:pStyle w:val="yTHeadingNAm"/>
        <w:ind w:left="993"/>
      </w:pPr>
      <w:r>
        <w:t>Table 16.1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14"/>
        <w:gridCol w:w="4174"/>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7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74" w:type="dxa"/>
          </w:tcPr>
          <w:p>
            <w:pPr>
              <w:pStyle w:val="yTableNAm"/>
            </w:pPr>
            <w:r>
              <w:t>For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74"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16 inserted in Gazette 22 Jul 2015 p. 2970</w:t>
      </w:r>
      <w:r>
        <w:noBreakHyphen/>
        <w:t>1.]</w:t>
      </w:r>
    </w:p>
    <w:p>
      <w:pPr>
        <w:pStyle w:val="yHeading5"/>
      </w:pPr>
      <w:bookmarkStart w:id="192" w:name="_Toc443638825"/>
      <w:r>
        <w:rPr>
          <w:rStyle w:val="CharSClsNo"/>
        </w:rPr>
        <w:t>17</w:t>
      </w:r>
      <w:r>
        <w:t>.</w:t>
      </w:r>
      <w:r>
        <w:tab/>
        <w:t>Jurien Boat Harbour</w:t>
      </w:r>
      <w:bookmarkEnd w:id="192"/>
    </w:p>
    <w:p>
      <w:pPr>
        <w:pStyle w:val="ySubsection"/>
      </w:pPr>
      <w:r>
        <w:tab/>
        <w:t>(1)</w:t>
      </w:r>
      <w:r>
        <w:tab/>
        <w:t xml:space="preserve">This clause applies to the </w:t>
      </w:r>
      <w:smartTag w:uri="urn:schemas-microsoft-com:office:smarttags" w:element="place">
        <w:smartTag w:uri="urn:schemas-microsoft-com:office:smarttags" w:element="PlaceName">
          <w:r>
            <w:t>Jurien</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17.1.</w:t>
      </w:r>
    </w:p>
    <w:p>
      <w:pPr>
        <w:pStyle w:val="yTHeadingNAm"/>
        <w:ind w:left="993"/>
      </w:pPr>
      <w:r>
        <w:t>Table 17.1 (Pen use and alongside berthing)</w:t>
      </w:r>
    </w:p>
    <w:tbl>
      <w:tblPr>
        <w:tblW w:w="6164" w:type="dxa"/>
        <w:tblInd w:w="981" w:type="dxa"/>
        <w:tblLayout w:type="fixed"/>
        <w:tblCellMar>
          <w:top w:w="57" w:type="dxa"/>
          <w:left w:w="57" w:type="dxa"/>
          <w:right w:w="57" w:type="dxa"/>
        </w:tblCellMar>
        <w:tblLook w:val="0000" w:firstRow="0" w:lastRow="0" w:firstColumn="0" w:lastColumn="0" w:noHBand="0" w:noVBand="0"/>
      </w:tblPr>
      <w:tblGrid>
        <w:gridCol w:w="728"/>
        <w:gridCol w:w="4160"/>
        <w:gridCol w:w="1276"/>
      </w:tblGrid>
      <w:tr>
        <w:trPr>
          <w:cantSplit/>
          <w:tblHeader/>
        </w:trPr>
        <w:tc>
          <w:tcPr>
            <w:tcW w:w="728"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28" w:type="dxa"/>
          </w:tcPr>
          <w:p>
            <w:pPr>
              <w:pStyle w:val="yTableNAm"/>
            </w:pPr>
            <w:r>
              <w:t>1.</w:t>
            </w:r>
          </w:p>
        </w:tc>
        <w:tc>
          <w:tcPr>
            <w:tcW w:w="4160"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400.26</w:t>
            </w:r>
          </w:p>
        </w:tc>
      </w:tr>
      <w:tr>
        <w:trPr>
          <w:cantSplit/>
        </w:trPr>
        <w:tc>
          <w:tcPr>
            <w:tcW w:w="728" w:type="dxa"/>
          </w:tcPr>
          <w:p>
            <w:pPr>
              <w:pStyle w:val="yTableNAm"/>
            </w:pPr>
            <w:r>
              <w:t>2.</w:t>
            </w:r>
          </w:p>
        </w:tc>
        <w:tc>
          <w:tcPr>
            <w:tcW w:w="4160"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425.38</w:t>
            </w:r>
          </w:p>
        </w:tc>
      </w:tr>
      <w:tr>
        <w:trPr>
          <w:cantSplit/>
        </w:trPr>
        <w:tc>
          <w:tcPr>
            <w:tcW w:w="728" w:type="dxa"/>
          </w:tcPr>
          <w:p>
            <w:pPr>
              <w:pStyle w:val="yTableNAm"/>
            </w:pPr>
            <w:r>
              <w:t>3.</w:t>
            </w:r>
          </w:p>
        </w:tc>
        <w:tc>
          <w:tcPr>
            <w:tcW w:w="4160"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pPr>
          </w:p>
        </w:tc>
        <w:tc>
          <w:tcPr>
            <w:tcW w:w="4160"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60"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17 inserted in Gazette 22 Jul 2015 p. 2971</w:t>
      </w:r>
      <w:r>
        <w:noBreakHyphen/>
        <w:t>2.]</w:t>
      </w:r>
    </w:p>
    <w:p>
      <w:pPr>
        <w:pStyle w:val="yHeading5"/>
      </w:pPr>
      <w:bookmarkStart w:id="193" w:name="_Toc443638826"/>
      <w:r>
        <w:rPr>
          <w:rStyle w:val="CharSClsNo"/>
        </w:rPr>
        <w:t>18</w:t>
      </w:r>
      <w:r>
        <w:t>.</w:t>
      </w:r>
      <w:r>
        <w:tab/>
        <w:t>Kalbarri Boat Harbour</w:t>
      </w:r>
      <w:bookmarkEnd w:id="193"/>
    </w:p>
    <w:p>
      <w:pPr>
        <w:pStyle w:val="ySubsection"/>
      </w:pPr>
      <w:r>
        <w:tab/>
        <w:t>(1)</w:t>
      </w:r>
      <w:r>
        <w:tab/>
        <w:t xml:space="preserve">This clause applies to the </w:t>
      </w:r>
      <w:smartTag w:uri="urn:schemas-microsoft-com:office:smarttags" w:element="place">
        <w:smartTag w:uri="urn:schemas-microsoft-com:office:smarttags" w:element="PlaceName">
          <w:r>
            <w:t>Kalbarri</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dues and charges to be paid under these regulations are set out in Table 18.1.</w:t>
      </w:r>
    </w:p>
    <w:p>
      <w:pPr>
        <w:pStyle w:val="yTHeadingNAm"/>
        <w:ind w:left="993"/>
      </w:pPr>
      <w:r>
        <w:t>Table 18.1 (Pen use and alongside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28"/>
        <w:gridCol w:w="4174"/>
        <w:gridCol w:w="1276"/>
      </w:tblGrid>
      <w:tr>
        <w:trPr>
          <w:cantSplit/>
          <w:tblHeader/>
        </w:trPr>
        <w:tc>
          <w:tcPr>
            <w:tcW w:w="728" w:type="dxa"/>
            <w:tcBorders>
              <w:top w:val="single" w:sz="4" w:space="0" w:color="auto"/>
              <w:bottom w:val="single" w:sz="4" w:space="0" w:color="auto"/>
            </w:tcBorders>
          </w:tcPr>
          <w:p>
            <w:pPr>
              <w:pStyle w:val="yTableNAm"/>
              <w:keepNext/>
            </w:pPr>
            <w:r>
              <w:rPr>
                <w:b/>
              </w:rPr>
              <w:t>Item</w:t>
            </w:r>
          </w:p>
        </w:tc>
        <w:tc>
          <w:tcPr>
            <w:tcW w:w="4174"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w:t>
            </w:r>
          </w:p>
        </w:tc>
      </w:tr>
      <w:tr>
        <w:trPr>
          <w:cantSplit/>
        </w:trPr>
        <w:tc>
          <w:tcPr>
            <w:tcW w:w="728" w:type="dxa"/>
          </w:tcPr>
          <w:p>
            <w:pPr>
              <w:pStyle w:val="yTableNAm"/>
            </w:pPr>
            <w:r>
              <w:t>1.</w:t>
            </w:r>
          </w:p>
        </w:tc>
        <w:tc>
          <w:tcPr>
            <w:tcW w:w="4174" w:type="dxa"/>
          </w:tcPr>
          <w:p>
            <w:pPr>
              <w:pStyle w:val="yTableNAm"/>
            </w:pPr>
            <w:r>
              <w:t>For the use, other than casual daily use, of a pen, an amount calculated per metre of the pen’s length using the annual rate of</w:t>
            </w:r>
          </w:p>
        </w:tc>
        <w:tc>
          <w:tcPr>
            <w:tcW w:w="1276" w:type="dxa"/>
          </w:tcPr>
          <w:p>
            <w:pPr>
              <w:pStyle w:val="yTableNAm"/>
              <w:jc w:val="center"/>
            </w:pPr>
            <w:r>
              <w:br/>
            </w:r>
            <w:r>
              <w:br/>
              <w:t>272.90</w:t>
            </w:r>
          </w:p>
        </w:tc>
      </w:tr>
      <w:tr>
        <w:trPr>
          <w:cantSplit/>
        </w:trPr>
        <w:tc>
          <w:tcPr>
            <w:tcW w:w="728" w:type="dxa"/>
          </w:tcPr>
          <w:p>
            <w:pPr>
              <w:pStyle w:val="yTableNAm"/>
            </w:pPr>
            <w:r>
              <w:t>2.</w:t>
            </w:r>
          </w:p>
        </w:tc>
        <w:tc>
          <w:tcPr>
            <w:tcW w:w="4174" w:type="dxa"/>
          </w:tcPr>
          <w:p>
            <w:pPr>
              <w:pStyle w:val="yTableNAm"/>
            </w:pPr>
            <w:r>
              <w:t>For the use, other than casual daily use, of an alongside berth, an amount calculated per metre of the vessel’s length using the annual rate of</w:t>
            </w:r>
          </w:p>
        </w:tc>
        <w:tc>
          <w:tcPr>
            <w:tcW w:w="1276" w:type="dxa"/>
          </w:tcPr>
          <w:p>
            <w:pPr>
              <w:pStyle w:val="yTableNAm"/>
              <w:jc w:val="center"/>
            </w:pPr>
            <w:r>
              <w:br/>
            </w:r>
            <w:r>
              <w:br/>
            </w:r>
            <w:r>
              <w:br/>
              <w:t>272.90</w:t>
            </w:r>
          </w:p>
        </w:tc>
      </w:tr>
      <w:tr>
        <w:trPr>
          <w:cantSplit/>
        </w:trPr>
        <w:tc>
          <w:tcPr>
            <w:tcW w:w="728" w:type="dxa"/>
          </w:tcPr>
          <w:p>
            <w:pPr>
              <w:pStyle w:val="yTableNAm"/>
            </w:pPr>
            <w:r>
              <w:t>3.</w:t>
            </w:r>
          </w:p>
        </w:tc>
        <w:tc>
          <w:tcPr>
            <w:tcW w:w="4174" w:type="dxa"/>
          </w:tcPr>
          <w:p>
            <w:pPr>
              <w:pStyle w:val="yTableNAm"/>
            </w:pPr>
            <w:r>
              <w:t xml:space="preserve">For the casual daily use of a pen or alongside berth — </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28" w:type="dxa"/>
          </w:tcPr>
          <w:p>
            <w:pPr>
              <w:pStyle w:val="zyTableNAm"/>
              <w:tabs>
                <w:tab w:val="clear" w:pos="567"/>
              </w:tabs>
            </w:pPr>
          </w:p>
        </w:tc>
        <w:tc>
          <w:tcPr>
            <w:tcW w:w="4174"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28" w:type="dxa"/>
            <w:tcBorders>
              <w:bottom w:val="single" w:sz="4" w:space="0" w:color="auto"/>
            </w:tcBorders>
          </w:tcPr>
          <w:p>
            <w:pPr>
              <w:pStyle w:val="yTableNAm"/>
            </w:pPr>
            <w:r>
              <w:t>4.</w:t>
            </w:r>
          </w:p>
        </w:tc>
        <w:tc>
          <w:tcPr>
            <w:tcW w:w="4174"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18 inserted in Gazette 22 Jul 2015 p. 2972.]</w:t>
      </w:r>
    </w:p>
    <w:p>
      <w:pPr>
        <w:pStyle w:val="yHeading5"/>
      </w:pPr>
      <w:bookmarkStart w:id="194" w:name="_Toc443638827"/>
      <w:r>
        <w:rPr>
          <w:rStyle w:val="CharSClsNo"/>
        </w:rPr>
        <w:t>19</w:t>
      </w:r>
      <w:r>
        <w:t>.</w:t>
      </w:r>
      <w:r>
        <w:tab/>
        <w:t>Lancelin</w:t>
      </w:r>
      <w:bookmarkEnd w:id="194"/>
    </w:p>
    <w:p>
      <w:pPr>
        <w:pStyle w:val="ySubsection"/>
      </w:pPr>
      <w:r>
        <w:tab/>
        <w:t>(1)</w:t>
      </w:r>
      <w:r>
        <w:tab/>
        <w:t>This clause applies to Lancelin.</w:t>
      </w:r>
    </w:p>
    <w:p>
      <w:pPr>
        <w:pStyle w:val="ySubsection"/>
      </w:pPr>
      <w:r>
        <w:tab/>
        <w:t>(2)</w:t>
      </w:r>
      <w:r>
        <w:tab/>
        <w:t>The berthing dues to be paid under these regulations are set out in Table 19.1.</w:t>
      </w:r>
    </w:p>
    <w:p>
      <w:pPr>
        <w:pStyle w:val="yTHeadingNAm"/>
        <w:ind w:left="993"/>
      </w:pPr>
      <w:r>
        <w:t>Table 19.1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14"/>
        <w:gridCol w:w="4188"/>
        <w:gridCol w:w="1276"/>
      </w:tblGrid>
      <w:tr>
        <w:trPr>
          <w:cantSplit/>
          <w:tblHeader/>
        </w:trPr>
        <w:tc>
          <w:tcPr>
            <w:tcW w:w="71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14" w:type="dxa"/>
          </w:tcPr>
          <w:p>
            <w:pPr>
              <w:pStyle w:val="yTableNAm"/>
            </w:pPr>
            <w:r>
              <w:t>1.</w:t>
            </w:r>
          </w:p>
        </w:tc>
        <w:tc>
          <w:tcPr>
            <w:tcW w:w="4188"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714" w:type="dxa"/>
          </w:tcPr>
          <w:p>
            <w:pPr>
              <w:pStyle w:val="yTableNAm"/>
            </w:pPr>
            <w:r>
              <w:t>2.</w:t>
            </w:r>
          </w:p>
        </w:tc>
        <w:tc>
          <w:tcPr>
            <w:tcW w:w="4188" w:type="dxa"/>
          </w:tcPr>
          <w:p>
            <w:pPr>
              <w:pStyle w:val="yTableNAm"/>
            </w:pPr>
            <w:r>
              <w:t>For the casual daily use of an alongside berth by a recreational vessel, an amount calculated using standard Rate 2</w:t>
            </w:r>
          </w:p>
        </w:tc>
        <w:tc>
          <w:tcPr>
            <w:tcW w:w="1276" w:type="dxa"/>
          </w:tcPr>
          <w:p>
            <w:pPr>
              <w:pStyle w:val="yTableNAm"/>
              <w:jc w:val="center"/>
            </w:pPr>
          </w:p>
        </w:tc>
      </w:tr>
      <w:tr>
        <w:trPr>
          <w:cantSplit/>
        </w:trPr>
        <w:tc>
          <w:tcPr>
            <w:tcW w:w="714" w:type="dxa"/>
            <w:tcBorders>
              <w:bottom w:val="single" w:sz="4" w:space="0" w:color="auto"/>
            </w:tcBorders>
          </w:tcPr>
          <w:p>
            <w:pPr>
              <w:pStyle w:val="yTableNAm"/>
            </w:pPr>
            <w:r>
              <w:t>3.</w:t>
            </w:r>
          </w:p>
        </w:tc>
        <w:tc>
          <w:tcPr>
            <w:tcW w:w="4188"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19 inserted in Gazette 22 Jul 2015 p. 2973.]</w:t>
      </w:r>
    </w:p>
    <w:p>
      <w:pPr>
        <w:pStyle w:val="yHeading5"/>
      </w:pPr>
      <w:bookmarkStart w:id="195" w:name="_Toc443638828"/>
      <w:r>
        <w:rPr>
          <w:rStyle w:val="CharSClsNo"/>
        </w:rPr>
        <w:t>20</w:t>
      </w:r>
      <w:r>
        <w:t>.</w:t>
      </w:r>
      <w:r>
        <w:tab/>
        <w:t>Leeman</w:t>
      </w:r>
      <w:bookmarkEnd w:id="195"/>
    </w:p>
    <w:p>
      <w:pPr>
        <w:pStyle w:val="ySubsection"/>
      </w:pPr>
      <w:r>
        <w:tab/>
        <w:t>(1)</w:t>
      </w:r>
      <w:r>
        <w:tab/>
        <w:t>This clause applies to Leeman.</w:t>
      </w:r>
    </w:p>
    <w:p>
      <w:pPr>
        <w:pStyle w:val="ySubsection"/>
      </w:pPr>
      <w:r>
        <w:tab/>
        <w:t>(2)</w:t>
      </w:r>
      <w:r>
        <w:tab/>
        <w:t>The berthing dues to be paid under these regulations are set out in Table 20.1.</w:t>
      </w:r>
    </w:p>
    <w:p>
      <w:pPr>
        <w:pStyle w:val="yTHeadingNAm"/>
        <w:ind w:left="993"/>
      </w:pPr>
      <w:r>
        <w:t>Table 20.1 (Berthing)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202" w:type="dxa"/>
          </w:tcPr>
          <w:p>
            <w:pPr>
              <w:pStyle w:val="yTableNAm"/>
            </w:pPr>
            <w:r>
              <w:t xml:space="preserve">For the casual daily use of an alongside berth — </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700" w:type="dxa"/>
          </w:tcPr>
          <w:p>
            <w:pPr>
              <w:pStyle w:val="zyTableNAm"/>
            </w:pPr>
          </w:p>
        </w:tc>
        <w:tc>
          <w:tcPr>
            <w:tcW w:w="4202"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700" w:type="dxa"/>
            <w:tcBorders>
              <w:bottom w:val="single" w:sz="4" w:space="0" w:color="auto"/>
            </w:tcBorders>
          </w:tcPr>
          <w:p>
            <w:pPr>
              <w:pStyle w:val="yTableNAm"/>
            </w:pPr>
            <w:r>
              <w:t>2.</w:t>
            </w:r>
          </w:p>
        </w:tc>
        <w:tc>
          <w:tcPr>
            <w:tcW w:w="4202" w:type="dxa"/>
            <w:tcBorders>
              <w:bottom w:val="single" w:sz="4" w:space="0" w:color="auto"/>
            </w:tcBorders>
          </w:tcPr>
          <w:p>
            <w:pPr>
              <w:pStyle w:val="yTableNAm"/>
            </w:pPr>
            <w:r>
              <w:t>For the short term use of a service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20 inserted in Gazette 22 Jul 2015 p. 2973.]</w:t>
      </w:r>
    </w:p>
    <w:p>
      <w:pPr>
        <w:pStyle w:val="yHeading5"/>
        <w:keepNext w:val="0"/>
        <w:keepLines w:val="0"/>
        <w:pageBreakBefore/>
        <w:spacing w:before="0"/>
      </w:pPr>
      <w:bookmarkStart w:id="196" w:name="_Toc443638829"/>
      <w:r>
        <w:rPr>
          <w:rStyle w:val="CharSClsNo"/>
        </w:rPr>
        <w:t>21</w:t>
      </w:r>
      <w:r>
        <w:t>.</w:t>
      </w:r>
      <w:r>
        <w:tab/>
        <w:t xml:space="preserve">Onslow,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96"/>
    </w:p>
    <w:p>
      <w:pPr>
        <w:pStyle w:val="ySubsection"/>
      </w:pPr>
      <w:r>
        <w:tab/>
        <w:t>(1)</w:t>
      </w:r>
      <w:r>
        <w:tab/>
        <w:t xml:space="preserve">This clause applies to the </w:t>
      </w:r>
      <w:smartTag w:uri="urn:schemas-microsoft-com:office:smarttags" w:element="place">
        <w:smartTag w:uri="urn:schemas-microsoft-com:office:smarttags" w:element="PlaceName">
          <w:r>
            <w:t>Beadon</w:t>
          </w:r>
        </w:smartTag>
        <w:r>
          <w:t xml:space="preserve"> </w:t>
        </w:r>
        <w:smartTag w:uri="urn:schemas-microsoft-com:office:smarttags" w:element="PlaceTyp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Onslow.</w:t>
      </w:r>
    </w:p>
    <w:p>
      <w:pPr>
        <w:pStyle w:val="ySubsection"/>
        <w:keepNext/>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Pr>
      <w:r>
        <w:tab/>
        <w:t>(3)</w:t>
      </w:r>
      <w:r>
        <w:tab/>
        <w:t>The dues and charges to be paid under these regulations are set out in Table 21.1.</w:t>
      </w:r>
    </w:p>
    <w:p>
      <w:pPr>
        <w:pStyle w:val="yTHeadingNAm"/>
        <w:ind w:left="993"/>
      </w:pPr>
      <w:r>
        <w:t>Table 21.1 (Pen use, alongside berthing and mooring)</w:t>
      </w:r>
    </w:p>
    <w:tbl>
      <w:tblPr>
        <w:tblW w:w="6150" w:type="dxa"/>
        <w:tblInd w:w="995" w:type="dxa"/>
        <w:tblLayout w:type="fixed"/>
        <w:tblCellMar>
          <w:top w:w="57" w:type="dxa"/>
          <w:left w:w="57" w:type="dxa"/>
          <w:right w:w="57" w:type="dxa"/>
        </w:tblCellMar>
        <w:tblLook w:val="0000" w:firstRow="0" w:lastRow="0" w:firstColumn="0" w:lastColumn="0" w:noHBand="0" w:noVBand="0"/>
      </w:tblPr>
      <w:tblGrid>
        <w:gridCol w:w="686"/>
        <w:gridCol w:w="4188"/>
        <w:gridCol w:w="1276"/>
      </w:tblGrid>
      <w:tr>
        <w:trPr>
          <w:cantSplit/>
          <w:tblHeader/>
        </w:trPr>
        <w:tc>
          <w:tcPr>
            <w:tcW w:w="686"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86" w:type="dxa"/>
            <w:tcBorders>
              <w:top w:val="single" w:sz="4" w:space="0" w:color="auto"/>
            </w:tcBorders>
          </w:tcPr>
          <w:p>
            <w:pPr>
              <w:pStyle w:val="yTableNAm"/>
            </w:pPr>
            <w:r>
              <w:t>1.</w:t>
            </w:r>
          </w:p>
        </w:tc>
        <w:tc>
          <w:tcPr>
            <w:tcW w:w="4188" w:type="dxa"/>
            <w:tcBorders>
              <w:top w:val="single" w:sz="4" w:space="0" w:color="auto"/>
            </w:tcBorders>
          </w:tcPr>
          <w:p>
            <w:pPr>
              <w:pStyle w:val="yTableNAm"/>
            </w:pPr>
            <w:r>
              <w:t>For the use, other than casual daily use, of a pile mooring by a recreational vessel, fishing vessel or tourism vessel, an amount calculated per metre of the vessel’s length using the annual rate of</w:t>
            </w:r>
          </w:p>
        </w:tc>
        <w:tc>
          <w:tcPr>
            <w:tcW w:w="1276" w:type="dxa"/>
            <w:tcBorders>
              <w:top w:val="single" w:sz="4" w:space="0" w:color="auto"/>
            </w:tcBorders>
          </w:tcPr>
          <w:p>
            <w:pPr>
              <w:pStyle w:val="yTableNAm"/>
              <w:jc w:val="center"/>
            </w:pPr>
            <w:r>
              <w:br/>
            </w:r>
            <w:r>
              <w:br/>
            </w:r>
            <w:r>
              <w:br/>
            </w:r>
            <w:r>
              <w:br/>
              <w:t>334.38</w:t>
            </w:r>
          </w:p>
        </w:tc>
      </w:tr>
      <w:tr>
        <w:trPr>
          <w:cantSplit/>
        </w:trPr>
        <w:tc>
          <w:tcPr>
            <w:tcW w:w="686" w:type="dxa"/>
          </w:tcPr>
          <w:p>
            <w:pPr>
              <w:pStyle w:val="yTableNAm"/>
            </w:pPr>
            <w:r>
              <w:t>2.</w:t>
            </w:r>
          </w:p>
        </w:tc>
        <w:tc>
          <w:tcPr>
            <w:tcW w:w="4188" w:type="dxa"/>
          </w:tcPr>
          <w:p>
            <w:pPr>
              <w:pStyle w:val="yTableNAm"/>
            </w:pPr>
            <w:r>
              <w:t>For the use, other than casual daily use, of a pile mooring by a service vessel, an amount calculated per metre of the vessel’s length using the annual rate of</w:t>
            </w:r>
          </w:p>
        </w:tc>
        <w:tc>
          <w:tcPr>
            <w:tcW w:w="1276" w:type="dxa"/>
          </w:tcPr>
          <w:p>
            <w:pPr>
              <w:pStyle w:val="yTableNAm"/>
              <w:jc w:val="center"/>
            </w:pPr>
            <w:r>
              <w:br/>
            </w:r>
            <w:r>
              <w:br/>
            </w:r>
            <w:r>
              <w:br/>
              <w:t>356.65</w:t>
            </w:r>
          </w:p>
        </w:tc>
      </w:tr>
      <w:tr>
        <w:trPr>
          <w:cantSplit/>
        </w:trPr>
        <w:tc>
          <w:tcPr>
            <w:tcW w:w="686" w:type="dxa"/>
          </w:tcPr>
          <w:p>
            <w:pPr>
              <w:pStyle w:val="yTableNAm"/>
            </w:pPr>
            <w:r>
              <w:t>3.</w:t>
            </w:r>
          </w:p>
        </w:tc>
        <w:tc>
          <w:tcPr>
            <w:tcW w:w="4188" w:type="dxa"/>
          </w:tcPr>
          <w:p>
            <w:pPr>
              <w:pStyle w:val="yTableNAm"/>
            </w:pPr>
            <w:r>
              <w:t>For the casual daily use of an alongside berth or pile mooring, by a tourism vessel or fishing vessel (but not a service vessel), an amount calculated using standard Rate 1</w:t>
            </w:r>
          </w:p>
        </w:tc>
        <w:tc>
          <w:tcPr>
            <w:tcW w:w="1276" w:type="dxa"/>
          </w:tcPr>
          <w:p>
            <w:pPr>
              <w:pStyle w:val="yTableNAm"/>
              <w:jc w:val="center"/>
            </w:pPr>
          </w:p>
        </w:tc>
      </w:tr>
      <w:tr>
        <w:trPr>
          <w:cantSplit/>
        </w:trPr>
        <w:tc>
          <w:tcPr>
            <w:tcW w:w="686" w:type="dxa"/>
          </w:tcPr>
          <w:p>
            <w:pPr>
              <w:pStyle w:val="yTableNAm"/>
            </w:pPr>
            <w:r>
              <w:t>4.</w:t>
            </w:r>
          </w:p>
        </w:tc>
        <w:tc>
          <w:tcPr>
            <w:tcW w:w="4188" w:type="dxa"/>
          </w:tcPr>
          <w:p>
            <w:pPr>
              <w:pStyle w:val="yTableNAm"/>
            </w:pPr>
            <w:r>
              <w:t>For the casual daily use of an alongside berth on a service jetty by a commercial vessel (but not a service vessel), an amount calculated using standard Rate 1</w:t>
            </w:r>
          </w:p>
        </w:tc>
        <w:tc>
          <w:tcPr>
            <w:tcW w:w="1276" w:type="dxa"/>
          </w:tcPr>
          <w:p>
            <w:pPr>
              <w:pStyle w:val="yTableNAm"/>
              <w:jc w:val="center"/>
            </w:pPr>
          </w:p>
        </w:tc>
      </w:tr>
      <w:tr>
        <w:trPr>
          <w:cantSplit/>
        </w:trPr>
        <w:tc>
          <w:tcPr>
            <w:tcW w:w="686" w:type="dxa"/>
          </w:tcPr>
          <w:p>
            <w:pPr>
              <w:pStyle w:val="yTableNAm"/>
            </w:pPr>
            <w:r>
              <w:t>5.</w:t>
            </w:r>
          </w:p>
        </w:tc>
        <w:tc>
          <w:tcPr>
            <w:tcW w:w="4188"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686" w:type="dxa"/>
          </w:tcPr>
          <w:p>
            <w:pPr>
              <w:pStyle w:val="yTableNAm"/>
              <w:keepNext/>
            </w:pPr>
            <w:r>
              <w:t>6.</w:t>
            </w:r>
          </w:p>
        </w:tc>
        <w:tc>
          <w:tcPr>
            <w:tcW w:w="4188" w:type="dxa"/>
          </w:tcPr>
          <w:p>
            <w:pPr>
              <w:pStyle w:val="yTableNAm"/>
              <w:keepNext/>
            </w:pPr>
            <w:r>
              <w:t>For the casual daily use of a pile mooring by a service vessel, an amount calculated per metre of the vessel’s length at the daily rate of</w:t>
            </w:r>
          </w:p>
        </w:tc>
        <w:tc>
          <w:tcPr>
            <w:tcW w:w="1276" w:type="dxa"/>
          </w:tcPr>
          <w:p>
            <w:pPr>
              <w:pStyle w:val="yTableNAm"/>
              <w:keepNext/>
              <w:jc w:val="center"/>
            </w:pPr>
            <w:r>
              <w:br/>
            </w:r>
            <w:r>
              <w:br/>
            </w:r>
            <w:r>
              <w:rPr>
                <w:szCs w:val="24"/>
              </w:rPr>
              <w:br/>
              <w:t>8.90</w:t>
            </w:r>
          </w:p>
        </w:tc>
      </w:tr>
      <w:tr>
        <w:trPr>
          <w:cantSplit/>
        </w:trPr>
        <w:tc>
          <w:tcPr>
            <w:tcW w:w="686" w:type="dxa"/>
          </w:tcPr>
          <w:p>
            <w:pPr>
              <w:pStyle w:val="yTableNAm"/>
            </w:pPr>
            <w:r>
              <w:t>7.</w:t>
            </w:r>
          </w:p>
        </w:tc>
        <w:tc>
          <w:tcPr>
            <w:tcW w:w="4188" w:type="dxa"/>
          </w:tcPr>
          <w:p>
            <w:pPr>
              <w:pStyle w:val="yTableNAm"/>
            </w:pPr>
            <w:r>
              <w:t>For the casual daily use of an alongside berth or pile mooring by a recreational vessel, an amount calculated using standard Rate 2</w:t>
            </w:r>
          </w:p>
        </w:tc>
        <w:tc>
          <w:tcPr>
            <w:tcW w:w="1276" w:type="dxa"/>
          </w:tcPr>
          <w:p>
            <w:pPr>
              <w:pStyle w:val="yTableNAm"/>
              <w:jc w:val="center"/>
            </w:pPr>
          </w:p>
        </w:tc>
      </w:tr>
      <w:tr>
        <w:trPr>
          <w:cantSplit/>
        </w:trPr>
        <w:tc>
          <w:tcPr>
            <w:tcW w:w="686" w:type="dxa"/>
          </w:tcPr>
          <w:p>
            <w:pPr>
              <w:pStyle w:val="yTableNAm"/>
            </w:pPr>
            <w:r>
              <w:t>8.</w:t>
            </w:r>
          </w:p>
        </w:tc>
        <w:tc>
          <w:tcPr>
            <w:tcW w:w="4188" w:type="dxa"/>
          </w:tcPr>
          <w:p>
            <w:pPr>
              <w:pStyle w:val="yTableNAm"/>
            </w:pPr>
            <w:r>
              <w:t>For the use, other than casual daily use, of an alongside berth by a recreational vessel, tourism vessel or fishing vessel, an amount calculated per metre of the vessel’s length at the monthly rate of</w:t>
            </w:r>
          </w:p>
        </w:tc>
        <w:tc>
          <w:tcPr>
            <w:tcW w:w="1276" w:type="dxa"/>
          </w:tcPr>
          <w:p>
            <w:pPr>
              <w:pStyle w:val="yTableNAm"/>
              <w:jc w:val="center"/>
            </w:pPr>
            <w:r>
              <w:br/>
            </w:r>
            <w:r>
              <w:br/>
            </w:r>
            <w:r>
              <w:br/>
            </w:r>
            <w:r>
              <w:br/>
              <w:t>67.07</w:t>
            </w:r>
          </w:p>
        </w:tc>
      </w:tr>
      <w:tr>
        <w:trPr>
          <w:cantSplit/>
        </w:trPr>
        <w:tc>
          <w:tcPr>
            <w:tcW w:w="686" w:type="dxa"/>
          </w:tcPr>
          <w:p>
            <w:pPr>
              <w:pStyle w:val="yTableNAm"/>
            </w:pPr>
            <w:r>
              <w:t>9.</w:t>
            </w:r>
          </w:p>
        </w:tc>
        <w:tc>
          <w:tcPr>
            <w:tcW w:w="4188" w:type="dxa"/>
          </w:tcPr>
          <w:p>
            <w:pPr>
              <w:pStyle w:val="yTableNAm"/>
            </w:pPr>
            <w:r>
              <w:t>For the use, other than casual daily use, of an alongside berth by a recreational vessel, tourism vessel or fishing vessel, an amount calculated per metre of the vessel’s length at the weekly rate of</w:t>
            </w:r>
          </w:p>
        </w:tc>
        <w:tc>
          <w:tcPr>
            <w:tcW w:w="1276" w:type="dxa"/>
          </w:tcPr>
          <w:p>
            <w:pPr>
              <w:pStyle w:val="yTableNAm"/>
              <w:jc w:val="center"/>
            </w:pPr>
            <w:r>
              <w:br/>
            </w:r>
            <w:r>
              <w:br/>
            </w:r>
            <w:r>
              <w:br/>
            </w:r>
            <w:r>
              <w:br/>
              <w:t>20.12</w:t>
            </w:r>
          </w:p>
        </w:tc>
      </w:tr>
      <w:tr>
        <w:trPr>
          <w:cantSplit/>
        </w:trPr>
        <w:tc>
          <w:tcPr>
            <w:tcW w:w="686" w:type="dxa"/>
          </w:tcPr>
          <w:p>
            <w:pPr>
              <w:pStyle w:val="yTableNAm"/>
            </w:pPr>
            <w:r>
              <w:t>10.</w:t>
            </w:r>
          </w:p>
        </w:tc>
        <w:tc>
          <w:tcPr>
            <w:tcW w:w="4188" w:type="dxa"/>
          </w:tcPr>
          <w:p>
            <w:pPr>
              <w:pStyle w:val="yTableNAm"/>
            </w:pPr>
            <w:r>
              <w:t>For the use of the service wharf by a service vessel, an amount calculated per metre of the vessel’s length at the 6</w:t>
            </w:r>
            <w:r>
              <w:noBreakHyphen/>
              <w:t>hourly rate of</w:t>
            </w:r>
          </w:p>
        </w:tc>
        <w:tc>
          <w:tcPr>
            <w:tcW w:w="1276" w:type="dxa"/>
          </w:tcPr>
          <w:p>
            <w:pPr>
              <w:pStyle w:val="yTableNAm"/>
              <w:jc w:val="center"/>
            </w:pPr>
            <w:r>
              <w:br/>
            </w:r>
            <w:r>
              <w:br/>
              <w:t>8.41</w:t>
            </w:r>
          </w:p>
        </w:tc>
      </w:tr>
      <w:tr>
        <w:trPr>
          <w:cantSplit/>
        </w:trPr>
        <w:tc>
          <w:tcPr>
            <w:tcW w:w="686" w:type="dxa"/>
            <w:tcBorders>
              <w:bottom w:val="single" w:sz="4" w:space="0" w:color="auto"/>
            </w:tcBorders>
          </w:tcPr>
          <w:p>
            <w:pPr>
              <w:pStyle w:val="yTableNAm"/>
            </w:pPr>
            <w:r>
              <w:t>11.</w:t>
            </w:r>
          </w:p>
        </w:tc>
        <w:tc>
          <w:tcPr>
            <w:tcW w:w="4188"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Footnotesection"/>
      </w:pPr>
      <w:r>
        <w:tab/>
        <w:t>[Clause 21 inserted in Gazette 22 Jul 2015 p. 2974</w:t>
      </w:r>
      <w:r>
        <w:noBreakHyphen/>
        <w:t>5.]</w:t>
      </w:r>
    </w:p>
    <w:p>
      <w:pPr>
        <w:pStyle w:val="yHeading5"/>
      </w:pPr>
      <w:bookmarkStart w:id="197" w:name="_Toc443638830"/>
      <w:r>
        <w:rPr>
          <w:rStyle w:val="CharSClsNo"/>
        </w:rPr>
        <w:t>22</w:t>
      </w:r>
      <w:r>
        <w:t>.</w:t>
      </w:r>
      <w:r>
        <w:tab/>
        <w:t xml:space="preserve">Point Samson,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197"/>
    </w:p>
    <w:p>
      <w:pPr>
        <w:pStyle w:val="ySubsection"/>
      </w:pPr>
      <w:r>
        <w:tab/>
        <w:t>(1)</w:t>
      </w:r>
      <w:r>
        <w:tab/>
        <w:t xml:space="preserve">This clause applies to the </w:t>
      </w:r>
      <w:smartTag w:uri="urn:schemas-microsoft-com:office:smarttags" w:element="place">
        <w:smartTag w:uri="urn:schemas-microsoft-com:office:smarttags" w:element="PlaceName">
          <w:r>
            <w:t>Johns</w:t>
          </w:r>
        </w:smartTag>
        <w:r>
          <w:t xml:space="preserve"> </w:t>
        </w:r>
        <w:smartTag w:uri="urn:schemas-microsoft-com:office:smarttags" w:element="PlaceName">
          <w:r>
            <w:t>Creek</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Point Samson.</w:t>
      </w:r>
    </w:p>
    <w:p>
      <w:pPr>
        <w:pStyle w:val="ySubsection"/>
      </w:pPr>
      <w:r>
        <w:tab/>
        <w:t>(2)</w:t>
      </w:r>
      <w:r>
        <w:tab/>
        <w:t xml:space="preserve">In this clause a reference to a </w:t>
      </w:r>
      <w:r>
        <w:rPr>
          <w:rStyle w:val="CharDefText"/>
        </w:rPr>
        <w:t>service vessel</w:t>
      </w:r>
      <w:r>
        <w:t xml:space="preserve"> is a reference to any vessel other than a recreational vessel, tourism vessel or fishing vessel.</w:t>
      </w:r>
    </w:p>
    <w:p>
      <w:pPr>
        <w:pStyle w:val="ySubsection"/>
        <w:pageBreakBefore/>
        <w:spacing w:before="0"/>
      </w:pPr>
      <w:r>
        <w:tab/>
        <w:t>(3)</w:t>
      </w:r>
      <w:r>
        <w:tab/>
        <w:t>The dues and charges to be paid under these regulations (other than charges under regulation 96) are set out in Table 22.1.</w:t>
      </w:r>
    </w:p>
    <w:p>
      <w:pPr>
        <w:pStyle w:val="yTHeadingNAm"/>
        <w:ind w:left="993"/>
      </w:pPr>
      <w:r>
        <w:t>Table 22.1 (Pen use and berthing)</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700"/>
        <w:gridCol w:w="4160"/>
        <w:gridCol w:w="1276"/>
      </w:tblGrid>
      <w:tr>
        <w:trPr>
          <w:cantSplit/>
          <w:tblHeader/>
        </w:trPr>
        <w:tc>
          <w:tcPr>
            <w:tcW w:w="700"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700" w:type="dxa"/>
          </w:tcPr>
          <w:p>
            <w:pPr>
              <w:pStyle w:val="yTableNAm"/>
            </w:pPr>
            <w:r>
              <w:t>1.</w:t>
            </w:r>
          </w:p>
        </w:tc>
        <w:tc>
          <w:tcPr>
            <w:tcW w:w="4160" w:type="dxa"/>
          </w:tcPr>
          <w:p>
            <w:pPr>
              <w:pStyle w:val="yTableNAm"/>
            </w:pPr>
            <w:r>
              <w:t>For the use, other than casual daily use, of a berth at a land</w:t>
            </w:r>
            <w:r>
              <w:noBreakHyphen/>
              <w:t>backed wharf or alongside berth by a recreational vessel, tourism vessel or fishing vessel, an amount calculated per metre of the vessel’s length using the annual rate of</w:t>
            </w:r>
          </w:p>
        </w:tc>
        <w:tc>
          <w:tcPr>
            <w:tcW w:w="1276" w:type="dxa"/>
          </w:tcPr>
          <w:p>
            <w:pPr>
              <w:pStyle w:val="yTableNAm"/>
              <w:jc w:val="center"/>
            </w:pPr>
            <w:r>
              <w:br/>
            </w:r>
            <w:r>
              <w:br/>
            </w:r>
            <w:r>
              <w:br/>
            </w:r>
            <w:r>
              <w:br/>
            </w:r>
            <w:r>
              <w:br/>
              <w:t>496.79</w:t>
            </w:r>
          </w:p>
        </w:tc>
      </w:tr>
      <w:tr>
        <w:trPr>
          <w:cantSplit/>
        </w:trPr>
        <w:tc>
          <w:tcPr>
            <w:tcW w:w="700" w:type="dxa"/>
          </w:tcPr>
          <w:p>
            <w:pPr>
              <w:pStyle w:val="yTableNAm"/>
            </w:pPr>
            <w:r>
              <w:t>2.</w:t>
            </w:r>
          </w:p>
        </w:tc>
        <w:tc>
          <w:tcPr>
            <w:tcW w:w="4160" w:type="dxa"/>
          </w:tcPr>
          <w:p>
            <w:pPr>
              <w:pStyle w:val="yTableNAm"/>
            </w:pPr>
            <w:r>
              <w:t>For the use, other than casual daily use, of a berth at a land</w:t>
            </w:r>
            <w:r>
              <w:noBreakHyphen/>
              <w:t>backed wharf or alongside berth by a service vessel, an amount calculated per metre of the vessel’s length using the annual rate of</w:t>
            </w:r>
          </w:p>
        </w:tc>
        <w:tc>
          <w:tcPr>
            <w:tcW w:w="1276" w:type="dxa"/>
          </w:tcPr>
          <w:p>
            <w:pPr>
              <w:pStyle w:val="yTableNAm"/>
              <w:jc w:val="center"/>
            </w:pPr>
            <w:r>
              <w:br/>
            </w:r>
            <w:r>
              <w:br/>
            </w:r>
            <w:r>
              <w:br/>
            </w:r>
            <w:r>
              <w:br/>
              <w:t>1 091.60</w:t>
            </w:r>
          </w:p>
        </w:tc>
      </w:tr>
      <w:tr>
        <w:trPr>
          <w:cantSplit/>
        </w:trPr>
        <w:tc>
          <w:tcPr>
            <w:tcW w:w="700" w:type="dxa"/>
          </w:tcPr>
          <w:p>
            <w:pPr>
              <w:pStyle w:val="yTableNAm"/>
            </w:pPr>
            <w:r>
              <w:t>3.</w:t>
            </w:r>
          </w:p>
        </w:tc>
        <w:tc>
          <w:tcPr>
            <w:tcW w:w="4160" w:type="dxa"/>
          </w:tcPr>
          <w:p>
            <w:pPr>
              <w:pStyle w:val="yTableNAm"/>
            </w:pPr>
            <w:r>
              <w:t>For the casual daily use of a berth at a land</w:t>
            </w:r>
            <w:r>
              <w:noBreakHyphen/>
              <w:t>backed wharf or alongside berth by a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4.</w:t>
            </w:r>
          </w:p>
        </w:tc>
        <w:tc>
          <w:tcPr>
            <w:tcW w:w="4160" w:type="dxa"/>
          </w:tcPr>
          <w:p>
            <w:pPr>
              <w:pStyle w:val="yTableNAm"/>
            </w:pPr>
            <w:r>
              <w:t>For the short term use of a service jetty by a vessel (but not a service vessel), an amount calculated using standard Rate 3</w:t>
            </w:r>
          </w:p>
        </w:tc>
        <w:tc>
          <w:tcPr>
            <w:tcW w:w="1276" w:type="dxa"/>
          </w:tcPr>
          <w:p>
            <w:pPr>
              <w:pStyle w:val="yTableNAm"/>
              <w:jc w:val="center"/>
            </w:pPr>
          </w:p>
        </w:tc>
      </w:tr>
      <w:tr>
        <w:trPr>
          <w:cantSplit/>
        </w:trPr>
        <w:tc>
          <w:tcPr>
            <w:tcW w:w="700" w:type="dxa"/>
          </w:tcPr>
          <w:p>
            <w:pPr>
              <w:pStyle w:val="yTableNAm"/>
            </w:pPr>
            <w:r>
              <w:t>5.</w:t>
            </w:r>
          </w:p>
        </w:tc>
        <w:tc>
          <w:tcPr>
            <w:tcW w:w="4160" w:type="dxa"/>
          </w:tcPr>
          <w:p>
            <w:pPr>
              <w:pStyle w:val="yTableNAm"/>
            </w:pPr>
            <w:r>
              <w:t>For the casual daily use of a berth at a land</w:t>
            </w:r>
            <w:r>
              <w:noBreakHyphen/>
              <w:t>backed wharf or alongside berth by a recreational vessel, an amount calculated using standard Rate 2</w:t>
            </w:r>
          </w:p>
        </w:tc>
        <w:tc>
          <w:tcPr>
            <w:tcW w:w="1276" w:type="dxa"/>
          </w:tcPr>
          <w:p>
            <w:pPr>
              <w:pStyle w:val="yTableNAm"/>
              <w:jc w:val="center"/>
            </w:pPr>
          </w:p>
        </w:tc>
      </w:tr>
      <w:tr>
        <w:trPr>
          <w:cantSplit/>
        </w:trPr>
        <w:tc>
          <w:tcPr>
            <w:tcW w:w="700" w:type="dxa"/>
          </w:tcPr>
          <w:p>
            <w:pPr>
              <w:pStyle w:val="yTableNAm"/>
            </w:pPr>
            <w:r>
              <w:t>6.</w:t>
            </w:r>
          </w:p>
        </w:tc>
        <w:tc>
          <w:tcPr>
            <w:tcW w:w="4160" w:type="dxa"/>
          </w:tcPr>
          <w:p>
            <w:pPr>
              <w:pStyle w:val="yTableNAm"/>
            </w:pPr>
            <w:r>
              <w:t>For the use of a berth at a land</w:t>
            </w:r>
            <w:r>
              <w:noBreakHyphen/>
              <w:t>backed wharf or alongside berth by a service vessel, an amount calculated per metre of the vessel’s length at the 6</w:t>
            </w:r>
            <w:r>
              <w:noBreakHyphen/>
              <w:t>hourly rate of</w:t>
            </w:r>
          </w:p>
        </w:tc>
        <w:tc>
          <w:tcPr>
            <w:tcW w:w="1276" w:type="dxa"/>
          </w:tcPr>
          <w:p>
            <w:pPr>
              <w:pStyle w:val="yTableNAm"/>
              <w:jc w:val="center"/>
            </w:pPr>
            <w:r>
              <w:br/>
            </w:r>
            <w:r>
              <w:br/>
            </w:r>
            <w:r>
              <w:br/>
              <w:t>8.41</w:t>
            </w:r>
          </w:p>
        </w:tc>
      </w:tr>
      <w:tr>
        <w:trPr>
          <w:cantSplit/>
        </w:trPr>
        <w:tc>
          <w:tcPr>
            <w:tcW w:w="700" w:type="dxa"/>
          </w:tcPr>
          <w:p>
            <w:pPr>
              <w:pStyle w:val="yTableNAm"/>
            </w:pPr>
            <w:r>
              <w:t>7.</w:t>
            </w:r>
          </w:p>
        </w:tc>
        <w:tc>
          <w:tcPr>
            <w:tcW w:w="4160" w:type="dxa"/>
          </w:tcPr>
          <w:p>
            <w:pPr>
              <w:pStyle w:val="yTableNAm"/>
            </w:pPr>
            <w:r>
              <w:t>For the use, other than casual daily use, of an alongside berth and mooring within area adjacent to causeway by a recreational vessel, tourism vessel or fishing vessel, an amount calculated per metre of the vessel’s length using the annual rate of</w:t>
            </w:r>
          </w:p>
        </w:tc>
        <w:tc>
          <w:tcPr>
            <w:tcW w:w="1276" w:type="dxa"/>
          </w:tcPr>
          <w:p>
            <w:pPr>
              <w:pStyle w:val="yTableNAm"/>
              <w:jc w:val="center"/>
            </w:pPr>
            <w:r>
              <w:br/>
            </w:r>
            <w:r>
              <w:br/>
            </w:r>
            <w:r>
              <w:br/>
            </w:r>
            <w:r>
              <w:br/>
            </w:r>
            <w:r>
              <w:br/>
              <w:t>397.43</w:t>
            </w:r>
          </w:p>
        </w:tc>
      </w:tr>
      <w:tr>
        <w:trPr>
          <w:cantSplit/>
        </w:trPr>
        <w:tc>
          <w:tcPr>
            <w:tcW w:w="700" w:type="dxa"/>
          </w:tcPr>
          <w:p>
            <w:pPr>
              <w:pStyle w:val="yTableNAm"/>
            </w:pPr>
            <w:r>
              <w:t>8.</w:t>
            </w:r>
          </w:p>
        </w:tc>
        <w:tc>
          <w:tcPr>
            <w:tcW w:w="4160" w:type="dxa"/>
          </w:tcPr>
          <w:p>
            <w:pPr>
              <w:pStyle w:val="yTableNAm"/>
            </w:pPr>
            <w:r>
              <w:t>For the use, other than casual daily use, of an alongside berth and mooring within area adjacent to causeway by a service vessel, an amount calculated per metre of the vessel’s length using the annual rate of</w:t>
            </w:r>
          </w:p>
        </w:tc>
        <w:tc>
          <w:tcPr>
            <w:tcW w:w="1276" w:type="dxa"/>
          </w:tcPr>
          <w:p>
            <w:pPr>
              <w:pStyle w:val="yTableNAm"/>
              <w:jc w:val="center"/>
            </w:pPr>
            <w:r>
              <w:br/>
            </w:r>
            <w:r>
              <w:br/>
            </w:r>
            <w:r>
              <w:br/>
            </w:r>
            <w:r>
              <w:br/>
              <w:t>873.27</w:t>
            </w:r>
          </w:p>
        </w:tc>
      </w:tr>
      <w:tr>
        <w:trPr>
          <w:cantSplit/>
        </w:trPr>
        <w:tc>
          <w:tcPr>
            <w:tcW w:w="700" w:type="dxa"/>
          </w:tcPr>
          <w:p>
            <w:pPr>
              <w:pStyle w:val="yTableNAm"/>
            </w:pPr>
            <w:r>
              <w:t>9.</w:t>
            </w:r>
          </w:p>
        </w:tc>
        <w:tc>
          <w:tcPr>
            <w:tcW w:w="4160" w:type="dxa"/>
          </w:tcPr>
          <w:p>
            <w:pPr>
              <w:pStyle w:val="yTableNAm"/>
            </w:pPr>
            <w:r>
              <w:t>For the casual daily use of an alongside berth and mooring within area adjacent to causeway by a tourism vessel or fishing vessel (but not a service vessel), an amount calculated using standard Rate 1</w:t>
            </w:r>
          </w:p>
        </w:tc>
        <w:tc>
          <w:tcPr>
            <w:tcW w:w="1276" w:type="dxa"/>
          </w:tcPr>
          <w:p>
            <w:pPr>
              <w:pStyle w:val="yTableNAm"/>
              <w:jc w:val="center"/>
            </w:pPr>
          </w:p>
        </w:tc>
      </w:tr>
      <w:tr>
        <w:trPr>
          <w:cantSplit/>
        </w:trPr>
        <w:tc>
          <w:tcPr>
            <w:tcW w:w="700" w:type="dxa"/>
          </w:tcPr>
          <w:p>
            <w:pPr>
              <w:pStyle w:val="yTableNAm"/>
            </w:pPr>
            <w:r>
              <w:t>10.</w:t>
            </w:r>
          </w:p>
        </w:tc>
        <w:tc>
          <w:tcPr>
            <w:tcW w:w="4160" w:type="dxa"/>
          </w:tcPr>
          <w:p>
            <w:pPr>
              <w:pStyle w:val="yTableNAm"/>
            </w:pPr>
            <w:r>
              <w:t>For the use of an alongside berth and mooring within area adjacent to causeway by a service vessel, an amount calculated per metre of the vessel’s length at the 6</w:t>
            </w:r>
            <w:r>
              <w:noBreakHyphen/>
              <w:t>hourly rate of</w:t>
            </w:r>
          </w:p>
        </w:tc>
        <w:tc>
          <w:tcPr>
            <w:tcW w:w="1276" w:type="dxa"/>
          </w:tcPr>
          <w:p>
            <w:pPr>
              <w:pStyle w:val="yTableNAm"/>
              <w:jc w:val="center"/>
            </w:pPr>
            <w:r>
              <w:br/>
            </w:r>
            <w:r>
              <w:br/>
            </w:r>
            <w:r>
              <w:br/>
            </w:r>
            <w:r>
              <w:br/>
              <w:t>6.72</w:t>
            </w:r>
          </w:p>
        </w:tc>
      </w:tr>
      <w:tr>
        <w:trPr>
          <w:cantSplit/>
        </w:trPr>
        <w:tc>
          <w:tcPr>
            <w:tcW w:w="700" w:type="dxa"/>
            <w:tcBorders>
              <w:bottom w:val="single" w:sz="4" w:space="0" w:color="auto"/>
            </w:tcBorders>
          </w:tcPr>
          <w:p>
            <w:pPr>
              <w:pStyle w:val="yTableNAm"/>
            </w:pPr>
            <w:r>
              <w:t>11.</w:t>
            </w:r>
          </w:p>
        </w:tc>
        <w:tc>
          <w:tcPr>
            <w:tcW w:w="4160" w:type="dxa"/>
            <w:tcBorders>
              <w:bottom w:val="single" w:sz="4" w:space="0" w:color="auto"/>
            </w:tcBorders>
          </w:tcPr>
          <w:p>
            <w:pPr>
              <w:pStyle w:val="yTableNAm"/>
            </w:pPr>
            <w:r>
              <w:t>For the use of the service wharf hardstand or appurtenant area for storage or maintenance, an amount calculated per m</w:t>
            </w:r>
            <w:r>
              <w:rPr>
                <w:vertAlign w:val="superscript"/>
              </w:rPr>
              <w:t>2</w:t>
            </w:r>
            <w:r>
              <w:t xml:space="preserve"> at the daily rate of</w:t>
            </w:r>
          </w:p>
        </w:tc>
        <w:tc>
          <w:tcPr>
            <w:tcW w:w="1276" w:type="dxa"/>
            <w:tcBorders>
              <w:bottom w:val="single" w:sz="4" w:space="0" w:color="auto"/>
            </w:tcBorders>
          </w:tcPr>
          <w:p>
            <w:pPr>
              <w:pStyle w:val="yTableNAm"/>
              <w:jc w:val="center"/>
            </w:pPr>
            <w:r>
              <w:br/>
            </w:r>
            <w:r>
              <w:br/>
            </w:r>
            <w:r>
              <w:br/>
              <w:t>1.65</w:t>
            </w:r>
          </w:p>
        </w:tc>
      </w:tr>
    </w:tbl>
    <w:p>
      <w:pPr>
        <w:pStyle w:val="ySubsection"/>
        <w:pageBreakBefore/>
        <w:spacing w:before="0"/>
      </w:pPr>
      <w:r>
        <w:tab/>
        <w:t>(4)</w:t>
      </w:r>
      <w:r>
        <w:tab/>
        <w:t>The charges to be paid under regulation 96 are set out in Table 22.2.</w:t>
      </w:r>
    </w:p>
    <w:p>
      <w:pPr>
        <w:pStyle w:val="yTHeadingNAm"/>
        <w:ind w:left="993"/>
      </w:pPr>
      <w:r>
        <w:t>Table 22.2 (Use of careening pad)</w:t>
      </w:r>
    </w:p>
    <w:tbl>
      <w:tblPr>
        <w:tblW w:w="6136" w:type="dxa"/>
        <w:tblInd w:w="1009" w:type="dxa"/>
        <w:tblLayout w:type="fixed"/>
        <w:tblCellMar>
          <w:top w:w="57" w:type="dxa"/>
          <w:left w:w="57" w:type="dxa"/>
          <w:right w:w="57" w:type="dxa"/>
        </w:tblCellMar>
        <w:tblLook w:val="0000" w:firstRow="0" w:lastRow="0" w:firstColumn="0" w:lastColumn="0" w:noHBand="0" w:noVBand="0"/>
      </w:tblPr>
      <w:tblGrid>
        <w:gridCol w:w="672"/>
        <w:gridCol w:w="4188"/>
        <w:gridCol w:w="1276"/>
      </w:tblGrid>
      <w:tr>
        <w:trPr>
          <w:cantSplit/>
          <w:tblHeader/>
        </w:trPr>
        <w:tc>
          <w:tcPr>
            <w:tcW w:w="672" w:type="dxa"/>
            <w:tcBorders>
              <w:top w:val="single" w:sz="4" w:space="0" w:color="auto"/>
              <w:bottom w:val="single" w:sz="4" w:space="0" w:color="auto"/>
            </w:tcBorders>
          </w:tcPr>
          <w:p>
            <w:pPr>
              <w:pStyle w:val="yTableNAm"/>
              <w:keepNext/>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88" w:type="dxa"/>
          </w:tcPr>
          <w:p>
            <w:pPr>
              <w:pStyle w:val="yTableNAm"/>
            </w:pPr>
            <w:r>
              <w:t xml:space="preserve">For the use of a careening pad by a vessel for which the annual charge in Table 22.1 has been paid, an amount calculated per metre of the vessel’s length at the daily rate of — </w:t>
            </w:r>
          </w:p>
        </w:tc>
        <w:tc>
          <w:tcPr>
            <w:tcW w:w="1276" w:type="dxa"/>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tabs>
                <w:tab w:val="clear" w:pos="567"/>
              </w:tabs>
              <w:ind w:left="368" w:hanging="368"/>
              <w:jc w:val="center"/>
            </w:pPr>
            <w:r>
              <w:rPr>
                <w:szCs w:val="22"/>
              </w:rPr>
              <w:t>165.59</w:t>
            </w: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over 15 m in length</w:t>
            </w:r>
          </w:p>
        </w:tc>
        <w:tc>
          <w:tcPr>
            <w:tcW w:w="1276" w:type="dxa"/>
            <w:vAlign w:val="bottom"/>
          </w:tcPr>
          <w:p>
            <w:pPr>
              <w:pStyle w:val="yTableNAm"/>
              <w:tabs>
                <w:tab w:val="clear" w:pos="567"/>
              </w:tabs>
              <w:ind w:left="368" w:hanging="368"/>
              <w:jc w:val="center"/>
            </w:pPr>
            <w:r>
              <w:rPr>
                <w:szCs w:val="22"/>
              </w:rPr>
              <w:t>235.14</w:t>
            </w:r>
          </w:p>
        </w:tc>
      </w:tr>
      <w:tr>
        <w:trPr>
          <w:cantSplit/>
        </w:trPr>
        <w:tc>
          <w:tcPr>
            <w:tcW w:w="672" w:type="dxa"/>
          </w:tcPr>
          <w:p>
            <w:pPr>
              <w:pStyle w:val="yTableNAm"/>
            </w:pPr>
            <w:r>
              <w:t>2.</w:t>
            </w:r>
          </w:p>
        </w:tc>
        <w:tc>
          <w:tcPr>
            <w:tcW w:w="4188" w:type="dxa"/>
          </w:tcPr>
          <w:p>
            <w:pPr>
              <w:pStyle w:val="yTableNAm"/>
            </w:pPr>
            <w:r>
              <w:t xml:space="preserve">For the use of a careening pad by any other vessel, an amount per day of — </w:t>
            </w:r>
          </w:p>
        </w:tc>
        <w:tc>
          <w:tcPr>
            <w:tcW w:w="1276" w:type="dxa"/>
            <w:vAlign w:val="bottom"/>
          </w:tcPr>
          <w:p>
            <w:pPr>
              <w:pStyle w:val="yTableNAm"/>
              <w:jc w:val="center"/>
            </w:pPr>
          </w:p>
        </w:tc>
      </w:tr>
      <w:tr>
        <w:trPr>
          <w:cantSplit/>
        </w:trPr>
        <w:tc>
          <w:tcPr>
            <w:tcW w:w="672" w:type="dxa"/>
          </w:tcPr>
          <w:p>
            <w:pPr>
              <w:pStyle w:val="zyTableNAm"/>
            </w:pPr>
          </w:p>
        </w:tc>
        <w:tc>
          <w:tcPr>
            <w:tcW w:w="4188" w:type="dxa"/>
          </w:tcPr>
          <w:p>
            <w:pPr>
              <w:pStyle w:val="yTableNAm"/>
              <w:tabs>
                <w:tab w:val="clear" w:pos="567"/>
              </w:tabs>
              <w:ind w:left="226" w:hanging="226"/>
            </w:pPr>
            <w:r>
              <w:t>•</w:t>
            </w:r>
            <w:r>
              <w:tab/>
              <w:t>if the vessel is 15 m or less in length</w:t>
            </w:r>
          </w:p>
        </w:tc>
        <w:tc>
          <w:tcPr>
            <w:tcW w:w="1276" w:type="dxa"/>
            <w:vAlign w:val="bottom"/>
          </w:tcPr>
          <w:p>
            <w:pPr>
              <w:pStyle w:val="yTableNAm"/>
              <w:jc w:val="center"/>
            </w:pPr>
            <w:r>
              <w:rPr>
                <w:szCs w:val="22"/>
              </w:rPr>
              <w:t>198.71</w:t>
            </w:r>
          </w:p>
        </w:tc>
      </w:tr>
      <w:tr>
        <w:trPr>
          <w:cantSplit/>
        </w:trPr>
        <w:tc>
          <w:tcPr>
            <w:tcW w:w="672"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if the vessel is over 15 m in length</w:t>
            </w:r>
          </w:p>
        </w:tc>
        <w:tc>
          <w:tcPr>
            <w:tcW w:w="1276" w:type="dxa"/>
            <w:tcBorders>
              <w:bottom w:val="single" w:sz="4" w:space="0" w:color="auto"/>
            </w:tcBorders>
            <w:vAlign w:val="bottom"/>
          </w:tcPr>
          <w:p>
            <w:pPr>
              <w:pStyle w:val="yTableNAm"/>
              <w:jc w:val="center"/>
            </w:pPr>
            <w:r>
              <w:rPr>
                <w:szCs w:val="22"/>
              </w:rPr>
              <w:t>289.77</w:t>
            </w:r>
          </w:p>
        </w:tc>
      </w:tr>
    </w:tbl>
    <w:p>
      <w:pPr>
        <w:pStyle w:val="yFootnotesection"/>
      </w:pPr>
      <w:r>
        <w:tab/>
        <w:t>[Clause 22 inserted in Gazette 22 Jul 2015 p. 2975</w:t>
      </w:r>
      <w:r>
        <w:noBreakHyphen/>
        <w:t>8.]</w:t>
      </w:r>
    </w:p>
    <w:p>
      <w:pPr>
        <w:pStyle w:val="yHeading5"/>
      </w:pPr>
      <w:bookmarkStart w:id="198" w:name="_Toc443638831"/>
      <w:r>
        <w:rPr>
          <w:rStyle w:val="CharSClsNo"/>
        </w:rPr>
        <w:t>23</w:t>
      </w:r>
      <w:r>
        <w:t>.</w:t>
      </w:r>
      <w:r>
        <w:tab/>
        <w:t xml:space="preserve">Port </w:t>
      </w:r>
      <w:smartTag w:uri="urn:schemas-microsoft-com:office:smarttags" w:element="place">
        <w:smartTag w:uri="urn:schemas-microsoft-com:office:smarttags" w:element="City">
          <w:r>
            <w:t>Denison</w:t>
          </w:r>
        </w:smartTag>
      </w:smartTag>
      <w:bookmarkEnd w:id="198"/>
    </w:p>
    <w:p>
      <w:pPr>
        <w:pStyle w:val="ySubsection"/>
      </w:pPr>
      <w:r>
        <w:tab/>
        <w:t>(1)</w:t>
      </w:r>
      <w:r>
        <w:tab/>
        <w:t>This clause applies to Port Denison.</w:t>
      </w:r>
    </w:p>
    <w:p>
      <w:pPr>
        <w:pStyle w:val="ySubsection"/>
      </w:pPr>
      <w:r>
        <w:tab/>
        <w:t>(2)</w:t>
      </w:r>
      <w:r>
        <w:tab/>
        <w:t>The dues (other than wharfage dues) and charges to be paid under these regulations are set out in Table 23.1.</w:t>
      </w:r>
    </w:p>
    <w:p>
      <w:pPr>
        <w:pStyle w:val="yTHeadingNAm"/>
        <w:ind w:left="993"/>
      </w:pPr>
      <w:r>
        <w:t>Table 23.1 (Pen use and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30"/>
        <w:gridCol w:w="4202"/>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20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02" w:type="dxa"/>
          </w:tcPr>
          <w:p>
            <w:pPr>
              <w:pStyle w:val="yTableNAm"/>
            </w:pPr>
            <w:r>
              <w:t>For the use, other than casual daily use, of a pen, an amount calculated per metre of the pen’s length at the annual rate of</w:t>
            </w:r>
          </w:p>
        </w:tc>
        <w:tc>
          <w:tcPr>
            <w:tcW w:w="1276" w:type="dxa"/>
          </w:tcPr>
          <w:p>
            <w:pPr>
              <w:pStyle w:val="yTableNAm"/>
              <w:jc w:val="center"/>
            </w:pPr>
            <w:r>
              <w:br/>
            </w:r>
            <w:r>
              <w:br/>
              <w:t>133.43</w:t>
            </w:r>
          </w:p>
        </w:tc>
      </w:tr>
      <w:tr>
        <w:trPr>
          <w:cantSplit/>
        </w:trPr>
        <w:tc>
          <w:tcPr>
            <w:tcW w:w="630" w:type="dxa"/>
          </w:tcPr>
          <w:p>
            <w:pPr>
              <w:pStyle w:val="yTableNAm"/>
            </w:pPr>
            <w:r>
              <w:t>2.</w:t>
            </w:r>
          </w:p>
        </w:tc>
        <w:tc>
          <w:tcPr>
            <w:tcW w:w="4202" w:type="dxa"/>
          </w:tcPr>
          <w:p>
            <w:pPr>
              <w:pStyle w:val="yTableNAm"/>
            </w:pPr>
            <w:r>
              <w:t>For the casual daily use of an alongside berth by a commercial vessel, an amount calculated using standard Rate 1</w:t>
            </w:r>
          </w:p>
        </w:tc>
        <w:tc>
          <w:tcPr>
            <w:tcW w:w="1276" w:type="dxa"/>
          </w:tcPr>
          <w:p>
            <w:pPr>
              <w:pStyle w:val="yTableNAm"/>
              <w:jc w:val="center"/>
            </w:pPr>
          </w:p>
        </w:tc>
      </w:tr>
      <w:tr>
        <w:trPr>
          <w:cantSplit/>
        </w:trPr>
        <w:tc>
          <w:tcPr>
            <w:tcW w:w="630" w:type="dxa"/>
          </w:tcPr>
          <w:p>
            <w:pPr>
              <w:pStyle w:val="yTableNAm"/>
            </w:pPr>
            <w:r>
              <w:t>3.</w:t>
            </w:r>
          </w:p>
        </w:tc>
        <w:tc>
          <w:tcPr>
            <w:tcW w:w="4202" w:type="dxa"/>
          </w:tcPr>
          <w:p>
            <w:pPr>
              <w:pStyle w:val="yTableNAm"/>
            </w:pPr>
            <w:r>
              <w:t>For the short term use of a service wharf or jetty by a vessel for which neither a swing mooring fee nor charge in item 1 has been paid, an amount calculated using standard Rate 3</w:t>
            </w:r>
          </w:p>
        </w:tc>
        <w:tc>
          <w:tcPr>
            <w:tcW w:w="1276" w:type="dxa"/>
          </w:tcPr>
          <w:p>
            <w:pPr>
              <w:pStyle w:val="yTableNAm"/>
              <w:jc w:val="center"/>
            </w:pPr>
          </w:p>
        </w:tc>
      </w:tr>
      <w:tr>
        <w:trPr>
          <w:cantSplit/>
        </w:trPr>
        <w:tc>
          <w:tcPr>
            <w:tcW w:w="630" w:type="dxa"/>
            <w:tcBorders>
              <w:bottom w:val="single" w:sz="4" w:space="0" w:color="auto"/>
            </w:tcBorders>
          </w:tcPr>
          <w:p>
            <w:pPr>
              <w:pStyle w:val="yTableNAm"/>
            </w:pPr>
            <w:r>
              <w:t>4.</w:t>
            </w:r>
          </w:p>
        </w:tc>
        <w:tc>
          <w:tcPr>
            <w:tcW w:w="4202" w:type="dxa"/>
            <w:tcBorders>
              <w:bottom w:val="single" w:sz="4" w:space="0" w:color="auto"/>
            </w:tcBorders>
          </w:tcPr>
          <w:p>
            <w:pPr>
              <w:pStyle w:val="yTableNAm"/>
            </w:pPr>
            <w:r>
              <w:t>For the casual daily use of a pen or alongside berth by a recreational vessel, an amount calculated using standard Rate 2</w:t>
            </w:r>
          </w:p>
        </w:tc>
        <w:tc>
          <w:tcPr>
            <w:tcW w:w="1276" w:type="dxa"/>
            <w:tcBorders>
              <w:bottom w:val="single" w:sz="4" w:space="0" w:color="auto"/>
            </w:tcBorders>
          </w:tcPr>
          <w:p>
            <w:pPr>
              <w:pStyle w:val="yTableNAm"/>
              <w:jc w:val="center"/>
            </w:pPr>
          </w:p>
        </w:tc>
      </w:tr>
    </w:tbl>
    <w:p>
      <w:pPr>
        <w:pStyle w:val="ySubsection"/>
      </w:pPr>
      <w:r>
        <w:tab/>
        <w:t>(3)</w:t>
      </w:r>
      <w:r>
        <w:tab/>
        <w:t>The wharfage dues to be paid under these regulations are set out in Table 23.2.</w:t>
      </w:r>
    </w:p>
    <w:p>
      <w:pPr>
        <w:pStyle w:val="yTHeadingNAm"/>
        <w:ind w:left="993"/>
      </w:pPr>
      <w:r>
        <w:t>Table 23.2 (Wharfage)</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Borders>
              <w:top w:val="single" w:sz="4" w:space="0" w:color="auto"/>
              <w:bottom w:val="single" w:sz="4" w:space="0" w:color="auto"/>
            </w:tcBorders>
          </w:tcPr>
          <w:p>
            <w:pPr>
              <w:pStyle w:val="yTableNAm"/>
            </w:pPr>
            <w:r>
              <w:t>1.</w:t>
            </w:r>
          </w:p>
        </w:tc>
        <w:tc>
          <w:tcPr>
            <w:tcW w:w="4188" w:type="dxa"/>
            <w:tcBorders>
              <w:top w:val="single" w:sz="4" w:space="0" w:color="auto"/>
              <w:bottom w:val="single" w:sz="4" w:space="0" w:color="auto"/>
            </w:tcBorders>
          </w:tcPr>
          <w:p>
            <w:pPr>
              <w:pStyle w:val="yTableNAm"/>
            </w:pPr>
            <w:r>
              <w:t>Wharfage for general cargo if loaded from or into a vessel, per vessel, for 12 months (excludes fishing product, fishing equipment and bait)</w:t>
            </w:r>
          </w:p>
        </w:tc>
        <w:tc>
          <w:tcPr>
            <w:tcW w:w="1276" w:type="dxa"/>
            <w:tcBorders>
              <w:top w:val="single" w:sz="4" w:space="0" w:color="auto"/>
              <w:bottom w:val="single" w:sz="4" w:space="0" w:color="auto"/>
            </w:tcBorders>
          </w:tcPr>
          <w:p>
            <w:pPr>
              <w:pStyle w:val="yTableNAm"/>
              <w:jc w:val="center"/>
            </w:pPr>
            <w:r>
              <w:br/>
            </w:r>
            <w:r>
              <w:br/>
            </w:r>
            <w:r>
              <w:br/>
              <w:t>600.38</w:t>
            </w:r>
          </w:p>
        </w:tc>
      </w:tr>
    </w:tbl>
    <w:p>
      <w:pPr>
        <w:pStyle w:val="yFootnotesection"/>
      </w:pPr>
      <w:r>
        <w:tab/>
        <w:t>[Clause 23 inserted in Gazette 22 Jul 2015 p. 2978</w:t>
      </w:r>
      <w:r>
        <w:noBreakHyphen/>
        <w:t>9.]</w:t>
      </w:r>
    </w:p>
    <w:p>
      <w:pPr>
        <w:pStyle w:val="yHeading5"/>
      </w:pPr>
      <w:bookmarkStart w:id="199" w:name="_Toc443638832"/>
      <w:r>
        <w:rPr>
          <w:rStyle w:val="CharSClsNo"/>
        </w:rPr>
        <w:t>24</w:t>
      </w:r>
      <w:r>
        <w:t>.</w:t>
      </w:r>
      <w:r>
        <w:tab/>
        <w:t>Port Gregory</w:t>
      </w:r>
      <w:bookmarkEnd w:id="199"/>
    </w:p>
    <w:p>
      <w:pPr>
        <w:pStyle w:val="ySubsection"/>
      </w:pPr>
      <w:r>
        <w:tab/>
        <w:t>(1)</w:t>
      </w:r>
      <w:r>
        <w:tab/>
        <w:t>This clause applies to Port Gregory.</w:t>
      </w:r>
    </w:p>
    <w:p>
      <w:pPr>
        <w:pStyle w:val="ySubsection"/>
      </w:pPr>
      <w:r>
        <w:tab/>
        <w:t>(2)</w:t>
      </w:r>
      <w:r>
        <w:tab/>
        <w:t>The berthing dues to be paid under these regulations are set out in Table 24.1.</w:t>
      </w:r>
    </w:p>
    <w:p>
      <w:pPr>
        <w:pStyle w:val="yTHeadingNAm"/>
        <w:ind w:left="993"/>
      </w:pPr>
      <w:r>
        <w:t>Table 24.1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44"/>
        <w:gridCol w:w="4188"/>
        <w:gridCol w:w="1276"/>
      </w:tblGrid>
      <w:tr>
        <w:trPr>
          <w:cantSplit/>
          <w:tblHeader/>
        </w:trPr>
        <w:tc>
          <w:tcPr>
            <w:tcW w:w="644"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44" w:type="dxa"/>
          </w:tcPr>
          <w:p>
            <w:pPr>
              <w:pStyle w:val="yTableNAm"/>
            </w:pPr>
            <w:r>
              <w:t>1.</w:t>
            </w:r>
          </w:p>
        </w:tc>
        <w:tc>
          <w:tcPr>
            <w:tcW w:w="4188" w:type="dxa"/>
          </w:tcPr>
          <w:p>
            <w:pPr>
              <w:pStyle w:val="yTableNAm"/>
            </w:pPr>
            <w:r>
              <w:t xml:space="preserve">For the casual daily use of an alongside berth — </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commercial vessel, an amount calculated using standard Rate 1</w:t>
            </w:r>
          </w:p>
        </w:tc>
        <w:tc>
          <w:tcPr>
            <w:tcW w:w="1276" w:type="dxa"/>
          </w:tcPr>
          <w:p>
            <w:pPr>
              <w:pStyle w:val="yTableNAm"/>
              <w:jc w:val="center"/>
            </w:pPr>
          </w:p>
        </w:tc>
      </w:tr>
      <w:tr>
        <w:trPr>
          <w:cantSplit/>
        </w:trPr>
        <w:tc>
          <w:tcPr>
            <w:tcW w:w="644" w:type="dxa"/>
          </w:tcPr>
          <w:p>
            <w:pPr>
              <w:pStyle w:val="zyTableNAm"/>
              <w:tabs>
                <w:tab w:val="clear" w:pos="567"/>
              </w:tabs>
            </w:pPr>
          </w:p>
        </w:tc>
        <w:tc>
          <w:tcPr>
            <w:tcW w:w="4188" w:type="dxa"/>
          </w:tcPr>
          <w:p>
            <w:pPr>
              <w:pStyle w:val="yTableNAm"/>
              <w:tabs>
                <w:tab w:val="clear" w:pos="567"/>
              </w:tabs>
              <w:ind w:left="226" w:hanging="226"/>
            </w:pPr>
            <w:r>
              <w:t>•</w:t>
            </w:r>
            <w:r>
              <w:tab/>
              <w:t>by a recreational vessel, an amount calculated using standard Rate 2</w:t>
            </w:r>
          </w:p>
        </w:tc>
        <w:tc>
          <w:tcPr>
            <w:tcW w:w="1276" w:type="dxa"/>
          </w:tcPr>
          <w:p>
            <w:pPr>
              <w:pStyle w:val="yTableNAm"/>
              <w:jc w:val="center"/>
            </w:pPr>
          </w:p>
        </w:tc>
      </w:tr>
      <w:tr>
        <w:trPr>
          <w:cantSplit/>
        </w:trPr>
        <w:tc>
          <w:tcPr>
            <w:tcW w:w="644" w:type="dxa"/>
            <w:tcBorders>
              <w:bottom w:val="single" w:sz="4" w:space="0" w:color="auto"/>
            </w:tcBorders>
          </w:tcPr>
          <w:p>
            <w:pPr>
              <w:pStyle w:val="yTableNAm"/>
            </w:pPr>
            <w:r>
              <w:t>2.</w:t>
            </w:r>
          </w:p>
        </w:tc>
        <w:tc>
          <w:tcPr>
            <w:tcW w:w="4188"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24 inserted in Gazette 22 Jul 2015 p. 2979</w:t>
      </w:r>
      <w:r>
        <w:noBreakHyphen/>
        <w:t>80.]</w:t>
      </w:r>
    </w:p>
    <w:p>
      <w:pPr>
        <w:pStyle w:val="yHeading5"/>
      </w:pPr>
      <w:bookmarkStart w:id="200" w:name="_Toc443638833"/>
      <w:r>
        <w:rPr>
          <w:rStyle w:val="CharSClsNo"/>
        </w:rPr>
        <w:t>25A</w:t>
      </w:r>
      <w:r>
        <w:t>.</w:t>
      </w:r>
      <w:r>
        <w:tab/>
        <w:t>Two Rocks Marina</w:t>
      </w:r>
      <w:bookmarkEnd w:id="200"/>
    </w:p>
    <w:p>
      <w:pPr>
        <w:pStyle w:val="ySubsection"/>
      </w:pPr>
      <w:r>
        <w:tab/>
        <w:t>(1)</w:t>
      </w:r>
      <w:r>
        <w:tab/>
        <w:t>This clause applies to the Two Rocks Marina.</w:t>
      </w:r>
    </w:p>
    <w:p>
      <w:pPr>
        <w:pStyle w:val="ySubsection"/>
      </w:pPr>
      <w:r>
        <w:tab/>
        <w:t>(2)</w:t>
      </w:r>
      <w:r>
        <w:tab/>
        <w:t>The dues and charges to be paid under these regulations are set out in Table 25A.1.</w:t>
      </w:r>
    </w:p>
    <w:p>
      <w:pPr>
        <w:pStyle w:val="yTHeadingNAm"/>
        <w:ind w:left="993"/>
      </w:pPr>
      <w:r>
        <w:t>Table 25A.1 (Pen use and alongside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4160"/>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60"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60" w:type="dxa"/>
          </w:tcPr>
          <w:p>
            <w:pPr>
              <w:pStyle w:val="yTableNAm"/>
            </w:pPr>
            <w:r>
              <w:t>For the use, other than casual daily use, of a pen (whether it has a walkway or not), an amount calculated per metre of the pen’s length using the annual rate of</w:t>
            </w:r>
          </w:p>
        </w:tc>
        <w:tc>
          <w:tcPr>
            <w:tcW w:w="1276" w:type="dxa"/>
          </w:tcPr>
          <w:p>
            <w:pPr>
              <w:pStyle w:val="yTableNAm"/>
              <w:jc w:val="center"/>
            </w:pPr>
            <w:r>
              <w:br/>
            </w:r>
            <w:r>
              <w:br/>
            </w:r>
            <w:r>
              <w:br/>
              <w:t>406.79</w:t>
            </w:r>
          </w:p>
        </w:tc>
      </w:tr>
      <w:tr>
        <w:trPr>
          <w:cantSplit/>
        </w:trPr>
        <w:tc>
          <w:tcPr>
            <w:tcW w:w="672" w:type="dxa"/>
          </w:tcPr>
          <w:p>
            <w:pPr>
              <w:pStyle w:val="yTableNAm"/>
            </w:pPr>
            <w:r>
              <w:t>2.</w:t>
            </w:r>
          </w:p>
        </w:tc>
        <w:tc>
          <w:tcPr>
            <w:tcW w:w="4160" w:type="dxa"/>
          </w:tcPr>
          <w:p>
            <w:pPr>
              <w:pStyle w:val="yTableNAm"/>
            </w:pPr>
            <w:r>
              <w:t>For the casual daily use of a pen or alongside berth by a commercial vessel, an amount calculated using standard Rate 1</w:t>
            </w:r>
          </w:p>
        </w:tc>
        <w:tc>
          <w:tcPr>
            <w:tcW w:w="1276" w:type="dxa"/>
          </w:tcPr>
          <w:p>
            <w:pPr>
              <w:pStyle w:val="yTableNAm"/>
              <w:jc w:val="center"/>
            </w:pPr>
          </w:p>
        </w:tc>
      </w:tr>
      <w:tr>
        <w:trPr>
          <w:cantSplit/>
        </w:trPr>
        <w:tc>
          <w:tcPr>
            <w:tcW w:w="672" w:type="dxa"/>
          </w:tcPr>
          <w:p>
            <w:pPr>
              <w:pStyle w:val="yTableNAm"/>
            </w:pPr>
            <w:r>
              <w:t>3.</w:t>
            </w:r>
          </w:p>
        </w:tc>
        <w:tc>
          <w:tcPr>
            <w:tcW w:w="4160" w:type="dxa"/>
          </w:tcPr>
          <w:p>
            <w:pPr>
              <w:pStyle w:val="yTableNAm"/>
            </w:pPr>
            <w:r>
              <w:t>For the casual daily use of an alongside berth on the service wharf or service jetty, an amount calculated using standard Rate 1</w:t>
            </w:r>
          </w:p>
        </w:tc>
        <w:tc>
          <w:tcPr>
            <w:tcW w:w="1276" w:type="dxa"/>
          </w:tcPr>
          <w:p>
            <w:pPr>
              <w:pStyle w:val="yTableNAm"/>
              <w:jc w:val="center"/>
            </w:pPr>
          </w:p>
        </w:tc>
      </w:tr>
      <w:tr>
        <w:trPr>
          <w:cantSplit/>
        </w:trPr>
        <w:tc>
          <w:tcPr>
            <w:tcW w:w="672" w:type="dxa"/>
          </w:tcPr>
          <w:p>
            <w:pPr>
              <w:pStyle w:val="yTableNAm"/>
            </w:pPr>
            <w:r>
              <w:t>4.</w:t>
            </w:r>
          </w:p>
        </w:tc>
        <w:tc>
          <w:tcPr>
            <w:tcW w:w="4160" w:type="dxa"/>
          </w:tcPr>
          <w:p>
            <w:pPr>
              <w:pStyle w:val="yTableNAm"/>
            </w:pPr>
            <w:r>
              <w:t>For the casual daily use of a pen or alongside berth by a recreational vessel, an amount calculated using standard Rate 2</w:t>
            </w:r>
          </w:p>
        </w:tc>
        <w:tc>
          <w:tcPr>
            <w:tcW w:w="1276" w:type="dxa"/>
          </w:tcPr>
          <w:p>
            <w:pPr>
              <w:pStyle w:val="yTableNAm"/>
              <w:jc w:val="center"/>
            </w:pPr>
          </w:p>
        </w:tc>
      </w:tr>
      <w:tr>
        <w:trPr>
          <w:cantSplit/>
        </w:trPr>
        <w:tc>
          <w:tcPr>
            <w:tcW w:w="672" w:type="dxa"/>
            <w:tcBorders>
              <w:bottom w:val="single" w:sz="4" w:space="0" w:color="auto"/>
            </w:tcBorders>
          </w:tcPr>
          <w:p>
            <w:pPr>
              <w:pStyle w:val="yTableNAm"/>
            </w:pPr>
            <w:r>
              <w:t>5.</w:t>
            </w:r>
          </w:p>
        </w:tc>
        <w:tc>
          <w:tcPr>
            <w:tcW w:w="4160" w:type="dxa"/>
            <w:tcBorders>
              <w:bottom w:val="single" w:sz="4" w:space="0" w:color="auto"/>
            </w:tcBorders>
          </w:tcPr>
          <w:p>
            <w:pPr>
              <w:pStyle w:val="yTableNAm"/>
            </w:pPr>
            <w:r>
              <w:t>For the short term use of a service wharf or jetty by a vessel, an amount calculated using standard Rate 3</w:t>
            </w:r>
          </w:p>
        </w:tc>
        <w:tc>
          <w:tcPr>
            <w:tcW w:w="1276" w:type="dxa"/>
            <w:tcBorders>
              <w:bottom w:val="single" w:sz="4" w:space="0" w:color="auto"/>
            </w:tcBorders>
          </w:tcPr>
          <w:p>
            <w:pPr>
              <w:pStyle w:val="yTableNAm"/>
              <w:jc w:val="center"/>
            </w:pPr>
          </w:p>
        </w:tc>
      </w:tr>
    </w:tbl>
    <w:p>
      <w:pPr>
        <w:pStyle w:val="yFootnotesection"/>
      </w:pPr>
      <w:r>
        <w:tab/>
        <w:t>[Clause 25A inserted in Gazette 22 Jul 2015 p. 2980.]</w:t>
      </w:r>
    </w:p>
    <w:p>
      <w:pPr>
        <w:pStyle w:val="yHeading5"/>
      </w:pPr>
      <w:bookmarkStart w:id="201" w:name="_Toc443638834"/>
      <w:r>
        <w:rPr>
          <w:rStyle w:val="CharSClsNo"/>
        </w:rPr>
        <w:t>25</w:t>
      </w:r>
      <w:r>
        <w:t>.</w:t>
      </w:r>
      <w:r>
        <w:tab/>
        <w:t>Port of Wyndham</w:t>
      </w:r>
      <w:bookmarkEnd w:id="201"/>
    </w:p>
    <w:p>
      <w:pPr>
        <w:pStyle w:val="ySubsection"/>
      </w:pPr>
      <w:r>
        <w:tab/>
        <w:t>(1)</w:t>
      </w:r>
      <w:r>
        <w:tab/>
        <w:t xml:space="preserve">This clause applies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w:t>
      </w:r>
    </w:p>
    <w:p>
      <w:pPr>
        <w:pStyle w:val="ySubsection"/>
      </w:pPr>
      <w:r>
        <w:tab/>
        <w:t>(2)</w:t>
      </w:r>
      <w:r>
        <w:tab/>
        <w:t>The berthing dues to be paid under these regulations are set out in Table 25.1.</w:t>
      </w:r>
    </w:p>
    <w:p>
      <w:pPr>
        <w:pStyle w:val="yTHeadingNAm"/>
        <w:spacing w:before="180" w:after="80"/>
        <w:ind w:left="992"/>
      </w:pPr>
      <w:r>
        <w:t>Table 25.1 (Berthing)</w:t>
      </w:r>
    </w:p>
    <w:tbl>
      <w:tblPr>
        <w:tblW w:w="6108" w:type="dxa"/>
        <w:tblInd w:w="1037" w:type="dxa"/>
        <w:tblLayout w:type="fixed"/>
        <w:tblCellMar>
          <w:top w:w="57" w:type="dxa"/>
          <w:left w:w="57" w:type="dxa"/>
          <w:right w:w="57" w:type="dxa"/>
        </w:tblCellMar>
        <w:tblLook w:val="0000" w:firstRow="0" w:lastRow="0" w:firstColumn="0" w:lastColumn="0" w:noHBand="0" w:noVBand="0"/>
      </w:tblPr>
      <w:tblGrid>
        <w:gridCol w:w="672"/>
        <w:gridCol w:w="1750"/>
        <w:gridCol w:w="2268"/>
        <w:gridCol w:w="1418"/>
      </w:tblGrid>
      <w:tr>
        <w:trPr>
          <w:cantSplit/>
          <w:tblHeader/>
        </w:trPr>
        <w:tc>
          <w:tcPr>
            <w:tcW w:w="672" w:type="dxa"/>
            <w:tcBorders>
              <w:top w:val="single" w:sz="4" w:space="0" w:color="auto"/>
              <w:bottom w:val="single" w:sz="4" w:space="0" w:color="auto"/>
            </w:tcBorders>
          </w:tcPr>
          <w:p>
            <w:pPr>
              <w:pStyle w:val="yTableNAm"/>
            </w:pPr>
            <w:r>
              <w:rPr>
                <w:b/>
              </w:rPr>
              <w:t>Item</w:t>
            </w:r>
          </w:p>
        </w:tc>
        <w:tc>
          <w:tcPr>
            <w:tcW w:w="1750" w:type="dxa"/>
            <w:tcBorders>
              <w:top w:val="single" w:sz="4" w:space="0" w:color="auto"/>
              <w:bottom w:val="single" w:sz="4" w:space="0" w:color="auto"/>
            </w:tcBorders>
          </w:tcPr>
          <w:p>
            <w:pPr>
              <w:pStyle w:val="yTableNAm"/>
            </w:pPr>
            <w:r>
              <w:rPr>
                <w:b/>
              </w:rPr>
              <w:t>Vessel or cargo</w:t>
            </w:r>
          </w:p>
        </w:tc>
        <w:tc>
          <w:tcPr>
            <w:tcW w:w="2268" w:type="dxa"/>
            <w:tcBorders>
              <w:top w:val="single" w:sz="4" w:space="0" w:color="auto"/>
              <w:bottom w:val="single" w:sz="4" w:space="0" w:color="auto"/>
            </w:tcBorders>
          </w:tcPr>
          <w:p>
            <w:pPr>
              <w:pStyle w:val="yTableNAm"/>
            </w:pPr>
            <w:r>
              <w:rPr>
                <w:b/>
              </w:rPr>
              <w:t>Dues</w:t>
            </w:r>
          </w:p>
        </w:tc>
        <w:tc>
          <w:tcPr>
            <w:tcW w:w="1418" w:type="dxa"/>
            <w:tcBorders>
              <w:top w:val="single" w:sz="4" w:space="0" w:color="auto"/>
              <w:bottom w:val="single" w:sz="4" w:space="0" w:color="auto"/>
            </w:tcBorders>
          </w:tcPr>
          <w:p>
            <w:pPr>
              <w:pStyle w:val="yTableNAm"/>
              <w:jc w:val="center"/>
            </w:pPr>
            <w:r>
              <w:rPr>
                <w:b/>
              </w:rPr>
              <w:t>Minimum per day ($)</w:t>
            </w:r>
          </w:p>
        </w:tc>
      </w:tr>
      <w:tr>
        <w:trPr>
          <w:cantSplit/>
        </w:trPr>
        <w:tc>
          <w:tcPr>
            <w:tcW w:w="672" w:type="dxa"/>
          </w:tcPr>
          <w:p>
            <w:pPr>
              <w:pStyle w:val="yTableNAm"/>
            </w:pPr>
            <w:r>
              <w:t>1.</w:t>
            </w:r>
          </w:p>
        </w:tc>
        <w:tc>
          <w:tcPr>
            <w:tcW w:w="1750" w:type="dxa"/>
          </w:tcPr>
          <w:p>
            <w:pPr>
              <w:pStyle w:val="yTableNAm"/>
            </w:pPr>
            <w:r>
              <w:t>Vessel of 300 gross registered tonnes or over</w:t>
            </w:r>
          </w:p>
        </w:tc>
        <w:tc>
          <w:tcPr>
            <w:tcW w:w="2268" w:type="dxa"/>
          </w:tcPr>
          <w:p>
            <w:pPr>
              <w:pStyle w:val="yTableNAm"/>
            </w:pPr>
            <w:r>
              <w:t>$1.19 per tonne, per cubic metre, or per kilolitre, at option of officer in charge, on all cargo landed or shipped</w:t>
            </w:r>
          </w:p>
        </w:tc>
        <w:tc>
          <w:tcPr>
            <w:tcW w:w="1418" w:type="dxa"/>
          </w:tcPr>
          <w:p>
            <w:pPr>
              <w:pStyle w:val="yTableNAm"/>
              <w:jc w:val="center"/>
            </w:pPr>
            <w:r>
              <w:br/>
            </w:r>
            <w:r>
              <w:br/>
            </w:r>
            <w:r>
              <w:br/>
            </w:r>
            <w:r>
              <w:br/>
              <w:t>178.05</w:t>
            </w:r>
          </w:p>
        </w:tc>
      </w:tr>
      <w:tr>
        <w:trPr>
          <w:cantSplit/>
        </w:trPr>
        <w:tc>
          <w:tcPr>
            <w:tcW w:w="672" w:type="dxa"/>
          </w:tcPr>
          <w:p>
            <w:pPr>
              <w:pStyle w:val="yTableNAm"/>
            </w:pPr>
            <w:r>
              <w:t>2.</w:t>
            </w:r>
          </w:p>
        </w:tc>
        <w:tc>
          <w:tcPr>
            <w:tcW w:w="1750" w:type="dxa"/>
          </w:tcPr>
          <w:p>
            <w:pPr>
              <w:pStyle w:val="yTableNAm"/>
            </w:pPr>
            <w:r>
              <w:t>Vessel under 300 gross registered tonnes</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3.</w:t>
            </w:r>
          </w:p>
        </w:tc>
        <w:tc>
          <w:tcPr>
            <w:tcW w:w="1750" w:type="dxa"/>
          </w:tcPr>
          <w:p>
            <w:pPr>
              <w:pStyle w:val="yTableNAm"/>
            </w:pPr>
            <w:r>
              <w:t>Vessel using berth for purposes other than handling cargo</w:t>
            </w:r>
          </w:p>
        </w:tc>
        <w:tc>
          <w:tcPr>
            <w:tcW w:w="2268" w:type="dxa"/>
          </w:tcPr>
          <w:p>
            <w:pPr>
              <w:pStyle w:val="yTableNAm"/>
            </w:pPr>
            <w:r>
              <w:t>$6.44 per metre of the vessel’s length, per day</w:t>
            </w:r>
          </w:p>
        </w:tc>
        <w:tc>
          <w:tcPr>
            <w:tcW w:w="1418" w:type="dxa"/>
          </w:tcPr>
          <w:p>
            <w:pPr>
              <w:pStyle w:val="yTableNAm"/>
              <w:jc w:val="center"/>
            </w:pPr>
            <w:r>
              <w:br/>
              <w:t>118.65</w:t>
            </w:r>
          </w:p>
        </w:tc>
      </w:tr>
      <w:tr>
        <w:trPr>
          <w:cantSplit/>
        </w:trPr>
        <w:tc>
          <w:tcPr>
            <w:tcW w:w="672" w:type="dxa"/>
          </w:tcPr>
          <w:p>
            <w:pPr>
              <w:pStyle w:val="yTableNAm"/>
            </w:pPr>
            <w:r>
              <w:t>4.</w:t>
            </w:r>
          </w:p>
        </w:tc>
        <w:tc>
          <w:tcPr>
            <w:tcW w:w="1750" w:type="dxa"/>
          </w:tcPr>
          <w:p>
            <w:pPr>
              <w:pStyle w:val="yTableNAm"/>
            </w:pPr>
            <w:r>
              <w:t>Container, empty</w:t>
            </w:r>
          </w:p>
        </w:tc>
        <w:tc>
          <w:tcPr>
            <w:tcW w:w="2268" w:type="dxa"/>
          </w:tcPr>
          <w:p>
            <w:pPr>
              <w:pStyle w:val="yTableNAm"/>
            </w:pPr>
            <w:r>
              <w:t>$9.25 per container</w:t>
            </w:r>
          </w:p>
        </w:tc>
        <w:tc>
          <w:tcPr>
            <w:tcW w:w="1418" w:type="dxa"/>
          </w:tcPr>
          <w:p>
            <w:pPr>
              <w:pStyle w:val="yTableNAm"/>
              <w:jc w:val="center"/>
            </w:pPr>
          </w:p>
        </w:tc>
      </w:tr>
      <w:tr>
        <w:trPr>
          <w:cantSplit/>
        </w:trPr>
        <w:tc>
          <w:tcPr>
            <w:tcW w:w="672" w:type="dxa"/>
            <w:tcBorders>
              <w:bottom w:val="single" w:sz="4" w:space="0" w:color="auto"/>
            </w:tcBorders>
          </w:tcPr>
          <w:p>
            <w:pPr>
              <w:pStyle w:val="yTableNAm"/>
            </w:pPr>
            <w:r>
              <w:t>5.</w:t>
            </w:r>
          </w:p>
        </w:tc>
        <w:tc>
          <w:tcPr>
            <w:tcW w:w="1750" w:type="dxa"/>
            <w:tcBorders>
              <w:bottom w:val="single" w:sz="4" w:space="0" w:color="auto"/>
            </w:tcBorders>
          </w:tcPr>
          <w:p>
            <w:pPr>
              <w:pStyle w:val="yTableNAm"/>
            </w:pPr>
            <w:r>
              <w:t>Container, loaded</w:t>
            </w:r>
          </w:p>
        </w:tc>
        <w:tc>
          <w:tcPr>
            <w:tcW w:w="2268" w:type="dxa"/>
            <w:tcBorders>
              <w:bottom w:val="single" w:sz="4" w:space="0" w:color="auto"/>
            </w:tcBorders>
          </w:tcPr>
          <w:p>
            <w:pPr>
              <w:pStyle w:val="yTableNAm"/>
            </w:pPr>
            <w:r>
              <w:t>$29.74 per container</w:t>
            </w:r>
          </w:p>
        </w:tc>
        <w:tc>
          <w:tcPr>
            <w:tcW w:w="1418" w:type="dxa"/>
            <w:tcBorders>
              <w:bottom w:val="single" w:sz="4" w:space="0" w:color="auto"/>
            </w:tcBorders>
          </w:tcPr>
          <w:p>
            <w:pPr>
              <w:pStyle w:val="yTableNAm"/>
              <w:jc w:val="center"/>
            </w:pPr>
          </w:p>
        </w:tc>
      </w:tr>
    </w:tbl>
    <w:p>
      <w:pPr>
        <w:pStyle w:val="ySubsection"/>
        <w:spacing w:before="240"/>
      </w:pPr>
      <w:r>
        <w:tab/>
        <w:t>(3)</w:t>
      </w:r>
      <w:r>
        <w:tab/>
        <w:t>The wharfage dues to be paid under these regulations are set out in Table 25.2.</w:t>
      </w:r>
    </w:p>
    <w:p>
      <w:pPr>
        <w:pStyle w:val="yTHeadingNAm"/>
        <w:spacing w:before="180" w:after="80"/>
        <w:ind w:left="992"/>
      </w:pPr>
      <w:r>
        <w:t>Table 25.2 (Wharfage)</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673"/>
        <w:gridCol w:w="35"/>
        <w:gridCol w:w="284"/>
        <w:gridCol w:w="3685"/>
        <w:gridCol w:w="1418"/>
      </w:tblGrid>
      <w:tr>
        <w:trPr>
          <w:cantSplit/>
          <w:tblHeader/>
        </w:trPr>
        <w:tc>
          <w:tcPr>
            <w:tcW w:w="673" w:type="dxa"/>
            <w:tcBorders>
              <w:top w:val="single" w:sz="4" w:space="0" w:color="auto"/>
              <w:bottom w:val="single" w:sz="4" w:space="0" w:color="auto"/>
            </w:tcBorders>
          </w:tcPr>
          <w:p>
            <w:pPr>
              <w:pStyle w:val="yTableNAm"/>
            </w:pPr>
            <w:r>
              <w:rPr>
                <w:b/>
              </w:rPr>
              <w:t>Item</w:t>
            </w:r>
          </w:p>
        </w:tc>
        <w:tc>
          <w:tcPr>
            <w:tcW w:w="4004" w:type="dxa"/>
            <w:gridSpan w:val="3"/>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73" w:type="dxa"/>
          </w:tcPr>
          <w:p>
            <w:pPr>
              <w:pStyle w:val="yTableNAm"/>
            </w:pPr>
            <w:r>
              <w:t>1.</w:t>
            </w:r>
          </w:p>
        </w:tc>
        <w:tc>
          <w:tcPr>
            <w:tcW w:w="4004" w:type="dxa"/>
            <w:gridSpan w:val="3"/>
          </w:tcPr>
          <w:p>
            <w:pPr>
              <w:pStyle w:val="yTableNAm"/>
            </w:pPr>
            <w:r>
              <w:t xml:space="preserve">Cargo in 20 feet equivalent unit (TEU) containers —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fertiliser, per TEU</w:t>
            </w:r>
          </w:p>
        </w:tc>
        <w:tc>
          <w:tcPr>
            <w:tcW w:w="1418" w:type="dxa"/>
            <w:vAlign w:val="bottom"/>
          </w:tcPr>
          <w:p>
            <w:pPr>
              <w:pStyle w:val="yTableNAm"/>
              <w:jc w:val="center"/>
            </w:pPr>
            <w:r>
              <w:t>103.22</w:t>
            </w:r>
          </w:p>
        </w:tc>
      </w:tr>
      <w:tr>
        <w:trPr>
          <w:cantSplit/>
        </w:trPr>
        <w:tc>
          <w:tcPr>
            <w:tcW w:w="673" w:type="dxa"/>
          </w:tcPr>
          <w:p>
            <w:pPr>
              <w:pStyle w:val="zyTableNAm"/>
              <w:keepNext/>
            </w:pPr>
          </w:p>
        </w:tc>
        <w:tc>
          <w:tcPr>
            <w:tcW w:w="4004" w:type="dxa"/>
            <w:gridSpan w:val="3"/>
          </w:tcPr>
          <w:p>
            <w:pPr>
              <w:pStyle w:val="yTableNAm"/>
              <w:keepNext/>
              <w:tabs>
                <w:tab w:val="clear" w:pos="567"/>
              </w:tabs>
              <w:ind w:left="226" w:hanging="226"/>
            </w:pPr>
            <w:r>
              <w:t>•</w:t>
            </w:r>
            <w:r>
              <w:tab/>
              <w:t>explosives, per TEU</w:t>
            </w:r>
          </w:p>
        </w:tc>
        <w:tc>
          <w:tcPr>
            <w:tcW w:w="1418" w:type="dxa"/>
            <w:vAlign w:val="bottom"/>
          </w:tcPr>
          <w:p>
            <w:pPr>
              <w:pStyle w:val="yTableNAm"/>
              <w:keepNext/>
              <w:jc w:val="center"/>
            </w:pPr>
            <w:r>
              <w:t>127.70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products of the soil (not otherwise specified), per TEU</w:t>
            </w:r>
          </w:p>
        </w:tc>
        <w:tc>
          <w:tcPr>
            <w:tcW w:w="1418" w:type="dxa"/>
            <w:vAlign w:val="bottom"/>
          </w:tcPr>
          <w:p>
            <w:pPr>
              <w:pStyle w:val="yTableNAm"/>
              <w:jc w:val="center"/>
            </w:pPr>
            <w:r>
              <w:t>64.80</w:t>
            </w: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not otherwise specified in this item, per TEU</w:t>
            </w:r>
          </w:p>
        </w:tc>
        <w:tc>
          <w:tcPr>
            <w:tcW w:w="1418" w:type="dxa"/>
            <w:vAlign w:val="bottom"/>
          </w:tcPr>
          <w:p>
            <w:pPr>
              <w:pStyle w:val="yTableNAm"/>
              <w:jc w:val="center"/>
            </w:pPr>
            <w:r>
              <w:t>204.67</w:t>
            </w:r>
          </w:p>
        </w:tc>
      </w:tr>
      <w:tr>
        <w:trPr>
          <w:cantSplit/>
        </w:trPr>
        <w:tc>
          <w:tcPr>
            <w:tcW w:w="673" w:type="dxa"/>
          </w:tcPr>
          <w:p>
            <w:pPr>
              <w:pStyle w:val="yTableNAm"/>
            </w:pPr>
            <w:r>
              <w:t>2.</w:t>
            </w:r>
          </w:p>
        </w:tc>
        <w:tc>
          <w:tcPr>
            <w:tcW w:w="4004" w:type="dxa"/>
            <w:gridSpan w:val="3"/>
          </w:tcPr>
          <w:p>
            <w:pPr>
              <w:pStyle w:val="yTableNAm"/>
            </w:pPr>
            <w:r>
              <w:t>Empty TEU containers, per TEU</w:t>
            </w:r>
          </w:p>
        </w:tc>
        <w:tc>
          <w:tcPr>
            <w:tcW w:w="1418" w:type="dxa"/>
            <w:vAlign w:val="bottom"/>
          </w:tcPr>
          <w:p>
            <w:pPr>
              <w:pStyle w:val="yTableNAm"/>
              <w:jc w:val="center"/>
            </w:pPr>
            <w:r>
              <w:t>59.48</w:t>
            </w:r>
          </w:p>
        </w:tc>
      </w:tr>
      <w:tr>
        <w:trPr>
          <w:cantSplit/>
        </w:trPr>
        <w:tc>
          <w:tcPr>
            <w:tcW w:w="673" w:type="dxa"/>
          </w:tcPr>
          <w:p>
            <w:pPr>
              <w:pStyle w:val="yTableNAm"/>
            </w:pPr>
            <w:r>
              <w:t>3.</w:t>
            </w:r>
          </w:p>
        </w:tc>
        <w:tc>
          <w:tcPr>
            <w:tcW w:w="4004" w:type="dxa"/>
            <w:gridSpan w:val="3"/>
          </w:tcPr>
          <w:p>
            <w:pPr>
              <w:pStyle w:val="yTableNAm"/>
            </w:pPr>
            <w:r>
              <w:t>Cargo, whether in containers (not TEU containers) or otherwise —</w:t>
            </w:r>
          </w:p>
        </w:tc>
        <w:tc>
          <w:tcPr>
            <w:tcW w:w="1418" w:type="dxa"/>
            <w:vAlign w:val="bottom"/>
          </w:tcPr>
          <w:p>
            <w:pPr>
              <w:pStyle w:val="yTableNAm"/>
              <w:jc w:val="center"/>
            </w:pPr>
          </w:p>
        </w:tc>
      </w:tr>
      <w:tr>
        <w:trPr>
          <w:cantSplit/>
        </w:trPr>
        <w:tc>
          <w:tcPr>
            <w:tcW w:w="673" w:type="dxa"/>
          </w:tcPr>
          <w:p>
            <w:pPr>
              <w:pStyle w:val="zyTableNAm"/>
            </w:pPr>
          </w:p>
        </w:tc>
        <w:tc>
          <w:tcPr>
            <w:tcW w:w="4004" w:type="dxa"/>
            <w:gridSpan w:val="3"/>
          </w:tcPr>
          <w:p>
            <w:pPr>
              <w:pStyle w:val="yTableNAm"/>
              <w:tabs>
                <w:tab w:val="clear" w:pos="567"/>
              </w:tabs>
              <w:ind w:left="226" w:hanging="226"/>
            </w:pPr>
            <w:r>
              <w:t>•</w:t>
            </w:r>
            <w:r>
              <w:tab/>
              <w:t xml:space="preserve">animals, live — </w:t>
            </w:r>
          </w:p>
        </w:tc>
        <w:tc>
          <w:tcPr>
            <w:tcW w:w="1418" w:type="dxa"/>
            <w:vAlign w:val="bottom"/>
          </w:tcPr>
          <w:p>
            <w:pPr>
              <w:pStyle w:val="yTableNAm"/>
              <w:jc w:val="center"/>
            </w:pP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cattle (bullocks, cows, etc.), per head</w:t>
            </w:r>
          </w:p>
        </w:tc>
        <w:tc>
          <w:tcPr>
            <w:tcW w:w="1418" w:type="dxa"/>
            <w:vAlign w:val="bottom"/>
          </w:tcPr>
          <w:p>
            <w:pPr>
              <w:pStyle w:val="yTableNAm"/>
              <w:jc w:val="center"/>
            </w:pPr>
            <w:r>
              <w:t>2.54</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dogs, goats, pigs, sheep, per head</w:t>
            </w:r>
          </w:p>
        </w:tc>
        <w:tc>
          <w:tcPr>
            <w:tcW w:w="1418" w:type="dxa"/>
            <w:vAlign w:val="bottom"/>
          </w:tcPr>
          <w:p>
            <w:pPr>
              <w:pStyle w:val="yTableNAm"/>
              <w:jc w:val="center"/>
            </w:pPr>
            <w:r>
              <w:t>0.52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per kilolitre</w:t>
            </w:r>
          </w:p>
        </w:tc>
        <w:tc>
          <w:tcPr>
            <w:tcW w:w="1418" w:type="dxa"/>
            <w:vAlign w:val="bottom"/>
          </w:tcPr>
          <w:p>
            <w:pPr>
              <w:pStyle w:val="yTableNAm"/>
              <w:jc w:val="center"/>
            </w:pPr>
            <w:r>
              <w:t>10.82</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bulk, by pipeline using road tanker on jetty, per kilolitre</w:t>
            </w:r>
          </w:p>
        </w:tc>
        <w:tc>
          <w:tcPr>
            <w:tcW w:w="1418" w:type="dxa"/>
            <w:vAlign w:val="bottom"/>
          </w:tcPr>
          <w:p>
            <w:pPr>
              <w:pStyle w:val="yTableNAm"/>
              <w:jc w:val="center"/>
            </w:pPr>
            <w:r>
              <w:t>11.28</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containers (not TEU containers), empty, per tonne, per cubic metre</w:t>
            </w:r>
          </w:p>
        </w:tc>
        <w:tc>
          <w:tcPr>
            <w:tcW w:w="1418" w:type="dxa"/>
            <w:vAlign w:val="bottom"/>
          </w:tcPr>
          <w:p>
            <w:pPr>
              <w:pStyle w:val="yTableNAm"/>
              <w:jc w:val="center"/>
            </w:pPr>
            <w:r>
              <w:t>2.54</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explosives, per tonne, per cubic metre</w:t>
            </w:r>
          </w:p>
        </w:tc>
        <w:tc>
          <w:tcPr>
            <w:tcW w:w="1418" w:type="dxa"/>
            <w:vAlign w:val="bottom"/>
          </w:tcPr>
          <w:p>
            <w:pPr>
              <w:pStyle w:val="yTableNAm"/>
              <w:jc w:val="center"/>
            </w:pPr>
            <w:r>
              <w:t>4.39</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fertiliser, per tonne, per cubic metre</w:t>
            </w:r>
          </w:p>
        </w:tc>
        <w:tc>
          <w:tcPr>
            <w:tcW w:w="1418" w:type="dxa"/>
            <w:vAlign w:val="bottom"/>
          </w:tcPr>
          <w:p>
            <w:pPr>
              <w:pStyle w:val="yTableNAm"/>
              <w:jc w:val="center"/>
            </w:pPr>
            <w:r>
              <w:t>3.57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meat, chilled or frozen, per tonne, per cubic metre</w:t>
            </w:r>
          </w:p>
        </w:tc>
        <w:tc>
          <w:tcPr>
            <w:tcW w:w="1418" w:type="dxa"/>
            <w:vAlign w:val="bottom"/>
          </w:tcPr>
          <w:p>
            <w:pPr>
              <w:pStyle w:val="yTableNAm"/>
              <w:jc w:val="center"/>
            </w:pPr>
            <w:r>
              <w:t>4.20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ore, per tonne</w:t>
            </w:r>
          </w:p>
        </w:tc>
        <w:tc>
          <w:tcPr>
            <w:tcW w:w="1418" w:type="dxa"/>
            <w:vAlign w:val="bottom"/>
          </w:tcPr>
          <w:p>
            <w:pPr>
              <w:pStyle w:val="yTableNAm"/>
              <w:jc w:val="center"/>
            </w:pPr>
            <w:r>
              <w:t>3.47</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products of the soil (not otherwise specified), per tonne, per cubic metre</w:t>
            </w:r>
          </w:p>
        </w:tc>
        <w:tc>
          <w:tcPr>
            <w:tcW w:w="1418" w:type="dxa"/>
            <w:vAlign w:val="bottom"/>
          </w:tcPr>
          <w:p>
            <w:pPr>
              <w:pStyle w:val="yTableNAm"/>
              <w:jc w:val="center"/>
            </w:pPr>
            <w:r>
              <w:t>2.39</w:t>
            </w:r>
          </w:p>
        </w:tc>
      </w:tr>
      <w:tr>
        <w:trPr>
          <w:cantSplit/>
        </w:trPr>
        <w:tc>
          <w:tcPr>
            <w:tcW w:w="708" w:type="dxa"/>
            <w:gridSpan w:val="2"/>
          </w:tcPr>
          <w:p>
            <w:pPr>
              <w:pStyle w:val="zyTableNAm"/>
              <w:keepNext/>
              <w:keepLines/>
            </w:pPr>
          </w:p>
        </w:tc>
        <w:tc>
          <w:tcPr>
            <w:tcW w:w="3969" w:type="dxa"/>
            <w:gridSpan w:val="2"/>
          </w:tcPr>
          <w:p>
            <w:pPr>
              <w:pStyle w:val="yTableNAm"/>
              <w:keepNext/>
              <w:keepLines/>
              <w:tabs>
                <w:tab w:val="clear" w:pos="567"/>
              </w:tabs>
              <w:ind w:left="226" w:hanging="226"/>
            </w:pPr>
            <w:r>
              <w:t>•</w:t>
            </w:r>
            <w:r>
              <w:tab/>
              <w:t xml:space="preserve">vehicles — </w:t>
            </w:r>
          </w:p>
        </w:tc>
        <w:tc>
          <w:tcPr>
            <w:tcW w:w="1418" w:type="dxa"/>
            <w:vAlign w:val="bottom"/>
          </w:tcPr>
          <w:p>
            <w:pPr>
              <w:pStyle w:val="yTableNAm"/>
              <w:keepNext/>
              <w:keepLines/>
              <w:jc w:val="center"/>
            </w:pPr>
          </w:p>
        </w:tc>
      </w:tr>
      <w:tr>
        <w:trPr>
          <w:cantSplit/>
        </w:trPr>
        <w:tc>
          <w:tcPr>
            <w:tcW w:w="992" w:type="dxa"/>
            <w:gridSpan w:val="3"/>
          </w:tcPr>
          <w:p>
            <w:pPr>
              <w:pStyle w:val="zyTableNAm"/>
              <w:keepNext/>
              <w:keepLines/>
            </w:pPr>
          </w:p>
        </w:tc>
        <w:tc>
          <w:tcPr>
            <w:tcW w:w="3685" w:type="dxa"/>
          </w:tcPr>
          <w:p>
            <w:pPr>
              <w:pStyle w:val="yTableNAm"/>
              <w:keepNext/>
              <w:keepLines/>
              <w:tabs>
                <w:tab w:val="clear" w:pos="567"/>
              </w:tabs>
              <w:ind w:left="227" w:hanging="227"/>
            </w:pPr>
            <w:r>
              <w:t>•</w:t>
            </w:r>
            <w:r>
              <w:tab/>
              <w:t>commercial vehicles on own wheels, per tonne, per cubic metre</w:t>
            </w:r>
          </w:p>
        </w:tc>
        <w:tc>
          <w:tcPr>
            <w:tcW w:w="1418" w:type="dxa"/>
            <w:vAlign w:val="bottom"/>
          </w:tcPr>
          <w:p>
            <w:pPr>
              <w:pStyle w:val="yTableNAm"/>
              <w:keepNext/>
              <w:keepLines/>
              <w:jc w:val="center"/>
            </w:pPr>
            <w:r>
              <w:t>4.19</w:t>
            </w:r>
          </w:p>
        </w:tc>
      </w:tr>
      <w:tr>
        <w:trPr>
          <w:cantSplit/>
        </w:trPr>
        <w:tc>
          <w:tcPr>
            <w:tcW w:w="992" w:type="dxa"/>
            <w:gridSpan w:val="3"/>
          </w:tcPr>
          <w:p>
            <w:pPr>
              <w:pStyle w:val="zyTableNAm"/>
            </w:pPr>
          </w:p>
        </w:tc>
        <w:tc>
          <w:tcPr>
            <w:tcW w:w="3685" w:type="dxa"/>
          </w:tcPr>
          <w:p>
            <w:pPr>
              <w:pStyle w:val="yTableNAm"/>
              <w:tabs>
                <w:tab w:val="clear" w:pos="567"/>
              </w:tabs>
              <w:ind w:left="227" w:hanging="227"/>
            </w:pPr>
            <w:r>
              <w:t>•</w:t>
            </w:r>
            <w:r>
              <w:tab/>
              <w:t>other vehicles on own wheels, per tonne, per cubic metre</w:t>
            </w:r>
          </w:p>
        </w:tc>
        <w:tc>
          <w:tcPr>
            <w:tcW w:w="1418" w:type="dxa"/>
            <w:vAlign w:val="bottom"/>
          </w:tcPr>
          <w:p>
            <w:pPr>
              <w:pStyle w:val="yTableNAm"/>
              <w:jc w:val="center"/>
            </w:pPr>
            <w:r>
              <w:t>4.00</w:t>
            </w:r>
          </w:p>
        </w:tc>
      </w:tr>
      <w:tr>
        <w:trPr>
          <w:cantSplit/>
        </w:trPr>
        <w:tc>
          <w:tcPr>
            <w:tcW w:w="708" w:type="dxa"/>
            <w:gridSpan w:val="2"/>
          </w:tcPr>
          <w:p>
            <w:pPr>
              <w:pStyle w:val="zyTableNAm"/>
            </w:pPr>
          </w:p>
        </w:tc>
        <w:tc>
          <w:tcPr>
            <w:tcW w:w="3969" w:type="dxa"/>
            <w:gridSpan w:val="2"/>
          </w:tcPr>
          <w:p>
            <w:pPr>
              <w:pStyle w:val="yTableNAm"/>
              <w:tabs>
                <w:tab w:val="clear" w:pos="567"/>
              </w:tabs>
              <w:ind w:left="226" w:hanging="226"/>
            </w:pPr>
            <w:r>
              <w:t>•</w:t>
            </w:r>
            <w:r>
              <w:tab/>
              <w:t>recreational vessel, per metre of the vessel’s length</w:t>
            </w:r>
          </w:p>
        </w:tc>
        <w:tc>
          <w:tcPr>
            <w:tcW w:w="1418" w:type="dxa"/>
            <w:vAlign w:val="bottom"/>
          </w:tcPr>
          <w:p>
            <w:pPr>
              <w:pStyle w:val="yTableNAm"/>
              <w:jc w:val="center"/>
            </w:pPr>
            <w:r>
              <w:t>15.84</w:t>
            </w:r>
          </w:p>
        </w:tc>
      </w:tr>
      <w:tr>
        <w:trPr>
          <w:cantSplit/>
        </w:trPr>
        <w:tc>
          <w:tcPr>
            <w:tcW w:w="708" w:type="dxa"/>
            <w:gridSpan w:val="2"/>
            <w:tcBorders>
              <w:bottom w:val="single" w:sz="4" w:space="0" w:color="auto"/>
            </w:tcBorders>
          </w:tcPr>
          <w:p>
            <w:pPr>
              <w:pStyle w:val="zyTableNAm"/>
            </w:pPr>
          </w:p>
        </w:tc>
        <w:tc>
          <w:tcPr>
            <w:tcW w:w="3969" w:type="dxa"/>
            <w:gridSpan w:val="2"/>
            <w:tcBorders>
              <w:bottom w:val="single" w:sz="4" w:space="0" w:color="auto"/>
            </w:tcBorders>
          </w:tcPr>
          <w:p>
            <w:pPr>
              <w:pStyle w:val="yTableNAm"/>
              <w:tabs>
                <w:tab w:val="clear" w:pos="567"/>
              </w:tabs>
              <w:ind w:left="226" w:hanging="226"/>
            </w:pPr>
            <w:r>
              <w:t>•</w:t>
            </w:r>
            <w:r>
              <w:tab/>
              <w:t>not otherwise specified in this item, per tonne, per cubic metre</w:t>
            </w:r>
          </w:p>
        </w:tc>
        <w:tc>
          <w:tcPr>
            <w:tcW w:w="1418" w:type="dxa"/>
            <w:tcBorders>
              <w:bottom w:val="single" w:sz="4" w:space="0" w:color="auto"/>
            </w:tcBorders>
            <w:vAlign w:val="bottom"/>
          </w:tcPr>
          <w:p>
            <w:pPr>
              <w:pStyle w:val="yTableNAm"/>
              <w:jc w:val="center"/>
            </w:pPr>
            <w:r>
              <w:t>6.91</w:t>
            </w:r>
          </w:p>
        </w:tc>
      </w:tr>
    </w:tbl>
    <w:p>
      <w:pPr>
        <w:pStyle w:val="ySubsection"/>
      </w:pPr>
      <w:r>
        <w:tab/>
        <w:t>(4)</w:t>
      </w:r>
      <w:r>
        <w:tab/>
        <w:t>The dues to be paid under regulation 11 are set out in Table 25.3.</w:t>
      </w:r>
    </w:p>
    <w:p>
      <w:pPr>
        <w:pStyle w:val="yTHeadingNAm"/>
        <w:ind w:left="993"/>
      </w:pPr>
      <w:r>
        <w:t>Table 25.3 (Transhipment)</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Dues</w:t>
            </w:r>
          </w:p>
        </w:tc>
      </w:tr>
      <w:tr>
        <w:trPr>
          <w:cantSplit/>
        </w:trPr>
        <w:tc>
          <w:tcPr>
            <w:tcW w:w="707" w:type="dxa"/>
          </w:tcPr>
          <w:p>
            <w:pPr>
              <w:pStyle w:val="yTableNAm"/>
            </w:pPr>
            <w:r>
              <w:t>1.</w:t>
            </w:r>
          </w:p>
        </w:tc>
        <w:tc>
          <w:tcPr>
            <w:tcW w:w="3969" w:type="dxa"/>
          </w:tcPr>
          <w:p>
            <w:pPr>
              <w:pStyle w:val="yTableNAm"/>
            </w:pPr>
            <w:r>
              <w:t xml:space="preserve">For cargo — </w:t>
            </w:r>
          </w:p>
        </w:tc>
        <w:tc>
          <w:tcPr>
            <w:tcW w:w="1418" w:type="dxa"/>
          </w:tcPr>
          <w:p>
            <w:pPr>
              <w:pStyle w:val="yTableNAm"/>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loaded over the side of a vessel to another vessel</w:t>
            </w:r>
          </w:p>
        </w:tc>
        <w:tc>
          <w:tcPr>
            <w:tcW w:w="1418" w:type="dxa"/>
          </w:tcPr>
          <w:p>
            <w:pPr>
              <w:pStyle w:val="yTableNAm"/>
              <w:jc w:val="center"/>
            </w:pPr>
            <w:r>
              <w:t>50% of wharfage for the cargo</w:t>
            </w:r>
          </w:p>
        </w:tc>
      </w:tr>
      <w:tr>
        <w:trPr>
          <w:cantSplit/>
        </w:trPr>
        <w:tc>
          <w:tcPr>
            <w:tcW w:w="707" w:type="dxa"/>
            <w:tcBorders>
              <w:bottom w:val="single" w:sz="4" w:space="0" w:color="auto"/>
            </w:tcBorders>
          </w:tcPr>
          <w:p>
            <w:pPr>
              <w:pStyle w:val="zyTableNAm"/>
            </w:pPr>
          </w:p>
        </w:tc>
        <w:tc>
          <w:tcPr>
            <w:tcW w:w="3969" w:type="dxa"/>
            <w:tcBorders>
              <w:bottom w:val="single" w:sz="4" w:space="0" w:color="auto"/>
            </w:tcBorders>
          </w:tcPr>
          <w:p>
            <w:pPr>
              <w:pStyle w:val="yTableNAm"/>
              <w:tabs>
                <w:tab w:val="clear" w:pos="567"/>
              </w:tabs>
              <w:ind w:left="226" w:hanging="226"/>
            </w:pPr>
            <w:r>
              <w:t>•</w:t>
            </w:r>
            <w:r>
              <w:tab/>
              <w:t>landed on jetty</w:t>
            </w:r>
          </w:p>
        </w:tc>
        <w:tc>
          <w:tcPr>
            <w:tcW w:w="1418" w:type="dxa"/>
            <w:tcBorders>
              <w:bottom w:val="single" w:sz="4" w:space="0" w:color="auto"/>
            </w:tcBorders>
          </w:tcPr>
          <w:p>
            <w:pPr>
              <w:pStyle w:val="yTableNAm"/>
              <w:jc w:val="center"/>
            </w:pPr>
            <w:r>
              <w:t>100% of wharfage for the cargo</w:t>
            </w:r>
          </w:p>
        </w:tc>
      </w:tr>
    </w:tbl>
    <w:p>
      <w:pPr>
        <w:pStyle w:val="ySubsection"/>
      </w:pPr>
      <w:r>
        <w:tab/>
        <w:t>(5)</w:t>
      </w:r>
      <w:r>
        <w:tab/>
        <w:t>The charges to be paid under regulation 25 for storage are set out in Table 25.4.</w:t>
      </w:r>
    </w:p>
    <w:p>
      <w:pPr>
        <w:pStyle w:val="yTHeadingNAm"/>
        <w:ind w:left="993"/>
      </w:pPr>
      <w:r>
        <w:t>Table 25.4 (Storage)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707"/>
        <w:gridCol w:w="3969"/>
        <w:gridCol w:w="1418"/>
      </w:tblGrid>
      <w:tr>
        <w:trPr>
          <w:cantSplit/>
          <w:tblHeader/>
        </w:trPr>
        <w:tc>
          <w:tcPr>
            <w:tcW w:w="707"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Goods</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707" w:type="dxa"/>
          </w:tcPr>
          <w:p>
            <w:pPr>
              <w:pStyle w:val="yTableNAm"/>
            </w:pPr>
            <w:r>
              <w:t>1.</w:t>
            </w:r>
          </w:p>
        </w:tc>
        <w:tc>
          <w:tcPr>
            <w:tcW w:w="3969" w:type="dxa"/>
          </w:tcPr>
          <w:p>
            <w:pPr>
              <w:pStyle w:val="yTableNAm"/>
            </w:pPr>
            <w:r>
              <w:t>Goods in transit not removed from a goods shed within 3 days after being received, per tonne, per day</w:t>
            </w:r>
          </w:p>
        </w:tc>
        <w:tc>
          <w:tcPr>
            <w:tcW w:w="1418" w:type="dxa"/>
            <w:vAlign w:val="bottom"/>
          </w:tcPr>
          <w:p>
            <w:pPr>
              <w:pStyle w:val="yTableNAm"/>
              <w:jc w:val="center"/>
            </w:pPr>
            <w:r>
              <w:t>0.70</w:t>
            </w:r>
          </w:p>
        </w:tc>
      </w:tr>
      <w:tr>
        <w:trPr>
          <w:cantSplit/>
        </w:trPr>
        <w:tc>
          <w:tcPr>
            <w:tcW w:w="707" w:type="dxa"/>
          </w:tcPr>
          <w:p>
            <w:pPr>
              <w:pStyle w:val="yTableNAm"/>
              <w:keepNext/>
            </w:pPr>
            <w:r>
              <w:t>2.</w:t>
            </w:r>
          </w:p>
        </w:tc>
        <w:tc>
          <w:tcPr>
            <w:tcW w:w="3969" w:type="dxa"/>
          </w:tcPr>
          <w:p>
            <w:pPr>
              <w:pStyle w:val="yTableNAm"/>
              <w:keepNext/>
            </w:pPr>
            <w:r>
              <w:t>Goods being transhipped —</w:t>
            </w:r>
          </w:p>
        </w:tc>
        <w:tc>
          <w:tcPr>
            <w:tcW w:w="1418" w:type="dxa"/>
            <w:vAlign w:val="bottom"/>
          </w:tcPr>
          <w:p>
            <w:pPr>
              <w:pStyle w:val="yTableNAm"/>
              <w:keepNext/>
              <w:jc w:val="center"/>
            </w:pPr>
          </w:p>
        </w:tc>
      </w:tr>
      <w:tr>
        <w:trPr>
          <w:cantSplit/>
        </w:trPr>
        <w:tc>
          <w:tcPr>
            <w:tcW w:w="707" w:type="dxa"/>
          </w:tcPr>
          <w:p>
            <w:pPr>
              <w:pStyle w:val="zyTableNAm"/>
            </w:pPr>
          </w:p>
        </w:tc>
        <w:tc>
          <w:tcPr>
            <w:tcW w:w="3969" w:type="dxa"/>
          </w:tcPr>
          <w:p>
            <w:pPr>
              <w:pStyle w:val="yTableNAm"/>
              <w:tabs>
                <w:tab w:val="clear" w:pos="567"/>
              </w:tabs>
              <w:ind w:left="226" w:hanging="226"/>
            </w:pPr>
            <w:r>
              <w:t>•</w:t>
            </w:r>
            <w:r>
              <w:tab/>
              <w:t>for first 2 weeks, per tonne, per cubic metre, per week</w:t>
            </w:r>
          </w:p>
        </w:tc>
        <w:tc>
          <w:tcPr>
            <w:tcW w:w="1418" w:type="dxa"/>
            <w:vAlign w:val="bottom"/>
          </w:tcPr>
          <w:p>
            <w:pPr>
              <w:pStyle w:val="yTableNAm"/>
              <w:jc w:val="center"/>
            </w:pPr>
            <w:r>
              <w:rPr>
                <w:bCs/>
              </w:rPr>
              <w:t>0.70</w:t>
            </w:r>
          </w:p>
        </w:tc>
      </w:tr>
      <w:tr>
        <w:trPr>
          <w:cantSplit/>
        </w:trPr>
        <w:tc>
          <w:tcPr>
            <w:tcW w:w="707" w:type="dxa"/>
          </w:tcPr>
          <w:p>
            <w:pPr>
              <w:pStyle w:val="zyTableNAm"/>
            </w:pPr>
          </w:p>
        </w:tc>
        <w:tc>
          <w:tcPr>
            <w:tcW w:w="3969" w:type="dxa"/>
          </w:tcPr>
          <w:p>
            <w:pPr>
              <w:pStyle w:val="yTableNAm"/>
              <w:tabs>
                <w:tab w:val="clear" w:pos="567"/>
              </w:tabs>
              <w:ind w:left="226" w:hanging="226"/>
            </w:pPr>
            <w:r>
              <w:t>•</w:t>
            </w:r>
            <w:r>
              <w:tab/>
              <w:t>after the first 2 weeks, per tonne, per cubic metre, per day</w:t>
            </w:r>
          </w:p>
        </w:tc>
        <w:tc>
          <w:tcPr>
            <w:tcW w:w="1418" w:type="dxa"/>
            <w:vAlign w:val="bottom"/>
          </w:tcPr>
          <w:p>
            <w:pPr>
              <w:pStyle w:val="yTableNAm"/>
              <w:jc w:val="center"/>
            </w:pPr>
            <w:r>
              <w:rPr>
                <w:bCs/>
              </w:rPr>
              <w:t>0.70</w:t>
            </w:r>
          </w:p>
        </w:tc>
      </w:tr>
      <w:tr>
        <w:trPr>
          <w:cantSplit/>
        </w:trPr>
        <w:tc>
          <w:tcPr>
            <w:tcW w:w="707" w:type="dxa"/>
            <w:tcBorders>
              <w:bottom w:val="single" w:sz="4" w:space="0" w:color="auto"/>
            </w:tcBorders>
          </w:tcPr>
          <w:p>
            <w:pPr>
              <w:pStyle w:val="yTableNAm"/>
            </w:pPr>
            <w:r>
              <w:t>3.</w:t>
            </w:r>
          </w:p>
        </w:tc>
        <w:tc>
          <w:tcPr>
            <w:tcW w:w="3969" w:type="dxa"/>
            <w:tcBorders>
              <w:bottom w:val="single" w:sz="4" w:space="0" w:color="auto"/>
            </w:tcBorders>
          </w:tcPr>
          <w:p>
            <w:pPr>
              <w:pStyle w:val="yTableNAm"/>
            </w:pPr>
            <w:r>
              <w:t>Goods at container park, Wyndham, per loaded container</w:t>
            </w:r>
          </w:p>
        </w:tc>
        <w:tc>
          <w:tcPr>
            <w:tcW w:w="1418" w:type="dxa"/>
            <w:tcBorders>
              <w:bottom w:val="single" w:sz="4" w:space="0" w:color="auto"/>
            </w:tcBorders>
            <w:vAlign w:val="bottom"/>
          </w:tcPr>
          <w:p>
            <w:pPr>
              <w:pStyle w:val="yTableNAm"/>
              <w:jc w:val="center"/>
            </w:pPr>
            <w:r>
              <w:rPr>
                <w:bCs/>
              </w:rPr>
              <w:t>37.90</w:t>
            </w:r>
          </w:p>
        </w:tc>
      </w:tr>
    </w:tbl>
    <w:p>
      <w:pPr>
        <w:pStyle w:val="ySubsection"/>
      </w:pPr>
      <w:r>
        <w:tab/>
        <w:t>(6)</w:t>
      </w:r>
      <w:r>
        <w:tab/>
        <w:t>The charges to be paid under regulation 96 are set out in Table 25.5.</w:t>
      </w:r>
    </w:p>
    <w:p>
      <w:pPr>
        <w:pStyle w:val="yTHeadingNAm"/>
        <w:ind w:left="993"/>
      </w:pPr>
      <w:r>
        <w:t>Table 25.5 (Slip services)</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93"/>
        <w:gridCol w:w="3969"/>
        <w:gridCol w:w="1418"/>
      </w:tblGrid>
      <w:tr>
        <w:trPr>
          <w:cantSplit/>
          <w:tblHeader/>
        </w:trPr>
        <w:tc>
          <w:tcPr>
            <w:tcW w:w="693" w:type="dxa"/>
            <w:tcBorders>
              <w:top w:val="single" w:sz="4" w:space="0" w:color="auto"/>
              <w:bottom w:val="single" w:sz="4" w:space="0" w:color="auto"/>
            </w:tcBorders>
          </w:tcPr>
          <w:p>
            <w:pPr>
              <w:pStyle w:val="yTableNAm"/>
            </w:pPr>
            <w:r>
              <w:rPr>
                <w:b/>
              </w:rPr>
              <w:t>Item</w:t>
            </w:r>
          </w:p>
        </w:tc>
        <w:tc>
          <w:tcPr>
            <w:tcW w:w="3969"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jc w:val="center"/>
            </w:pPr>
            <w:r>
              <w:rPr>
                <w:b/>
              </w:rPr>
              <w:t>$</w:t>
            </w:r>
          </w:p>
        </w:tc>
      </w:tr>
      <w:tr>
        <w:trPr>
          <w:cantSplit/>
        </w:trPr>
        <w:tc>
          <w:tcPr>
            <w:tcW w:w="693" w:type="dxa"/>
          </w:tcPr>
          <w:p>
            <w:pPr>
              <w:pStyle w:val="yTableNAm"/>
            </w:pPr>
            <w:r>
              <w:t>1.</w:t>
            </w:r>
          </w:p>
        </w:tc>
        <w:tc>
          <w:tcPr>
            <w:tcW w:w="3969" w:type="dxa"/>
          </w:tcPr>
          <w:p>
            <w:pPr>
              <w:pStyle w:val="yTableNAm"/>
            </w:pPr>
            <w:r>
              <w:t xml:space="preserve">Use of slip, per day, for a vessel that is — </w:t>
            </w:r>
          </w:p>
        </w:tc>
        <w:tc>
          <w:tcPr>
            <w:tcW w:w="1418" w:type="dxa"/>
          </w:tcPr>
          <w:p>
            <w:pPr>
              <w:pStyle w:val="yTableNAm"/>
              <w:jc w:val="center"/>
            </w:pPr>
          </w:p>
        </w:tc>
      </w:tr>
      <w:tr>
        <w:trPr>
          <w:cantSplit/>
        </w:trPr>
        <w:tc>
          <w:tcPr>
            <w:tcW w:w="693" w:type="dxa"/>
          </w:tcPr>
          <w:p>
            <w:pPr>
              <w:pStyle w:val="zyTableNAm"/>
            </w:pPr>
          </w:p>
        </w:tc>
        <w:tc>
          <w:tcPr>
            <w:tcW w:w="3969" w:type="dxa"/>
          </w:tcPr>
          <w:p>
            <w:pPr>
              <w:pStyle w:val="yTableNAm"/>
              <w:tabs>
                <w:tab w:val="clear" w:pos="567"/>
              </w:tabs>
              <w:ind w:left="226" w:hanging="226"/>
            </w:pPr>
            <w:r>
              <w:t>•</w:t>
            </w:r>
            <w:r>
              <w:tab/>
              <w:t>not over 15 m long</w:t>
            </w:r>
          </w:p>
        </w:tc>
        <w:tc>
          <w:tcPr>
            <w:tcW w:w="1418" w:type="dxa"/>
            <w:vAlign w:val="bottom"/>
          </w:tcPr>
          <w:p>
            <w:pPr>
              <w:pStyle w:val="yTableNAm"/>
              <w:jc w:val="center"/>
            </w:pPr>
            <w:r>
              <w:rPr>
                <w:szCs w:val="22"/>
              </w:rPr>
              <w:t>145.98</w:t>
            </w:r>
          </w:p>
        </w:tc>
      </w:tr>
      <w:tr>
        <w:trPr>
          <w:cantSplit/>
        </w:trPr>
        <w:tc>
          <w:tcPr>
            <w:tcW w:w="693" w:type="dxa"/>
          </w:tcPr>
          <w:p>
            <w:pPr>
              <w:pStyle w:val="zyTableNAm"/>
            </w:pPr>
          </w:p>
        </w:tc>
        <w:tc>
          <w:tcPr>
            <w:tcW w:w="3969" w:type="dxa"/>
          </w:tcPr>
          <w:p>
            <w:pPr>
              <w:pStyle w:val="yTableNAm"/>
              <w:tabs>
                <w:tab w:val="clear" w:pos="567"/>
              </w:tabs>
              <w:ind w:left="226" w:hanging="226"/>
            </w:pPr>
            <w:r>
              <w:t>•</w:t>
            </w:r>
            <w:r>
              <w:tab/>
              <w:t>over 15 m long</w:t>
            </w:r>
          </w:p>
        </w:tc>
        <w:tc>
          <w:tcPr>
            <w:tcW w:w="1418" w:type="dxa"/>
            <w:vAlign w:val="bottom"/>
          </w:tcPr>
          <w:p>
            <w:pPr>
              <w:pStyle w:val="yTableNAm"/>
              <w:jc w:val="center"/>
            </w:pPr>
            <w:r>
              <w:rPr>
                <w:szCs w:val="22"/>
              </w:rPr>
              <w:t>212.65</w:t>
            </w:r>
          </w:p>
        </w:tc>
      </w:tr>
      <w:tr>
        <w:trPr>
          <w:cantSplit/>
        </w:trPr>
        <w:tc>
          <w:tcPr>
            <w:tcW w:w="693" w:type="dxa"/>
            <w:tcBorders>
              <w:bottom w:val="single" w:sz="4" w:space="0" w:color="auto"/>
            </w:tcBorders>
          </w:tcPr>
          <w:p>
            <w:pPr>
              <w:pStyle w:val="yTableNAm"/>
            </w:pPr>
            <w:r>
              <w:t>2.</w:t>
            </w:r>
          </w:p>
        </w:tc>
        <w:tc>
          <w:tcPr>
            <w:tcW w:w="3969" w:type="dxa"/>
            <w:tcBorders>
              <w:bottom w:val="single" w:sz="4" w:space="0" w:color="auto"/>
            </w:tcBorders>
          </w:tcPr>
          <w:p>
            <w:pPr>
              <w:pStyle w:val="yTableNAm"/>
            </w:pPr>
            <w:r>
              <w:t>Haulage, for each haul up or down</w:t>
            </w:r>
          </w:p>
        </w:tc>
        <w:tc>
          <w:tcPr>
            <w:tcW w:w="1418" w:type="dxa"/>
            <w:tcBorders>
              <w:bottom w:val="single" w:sz="4" w:space="0" w:color="auto"/>
            </w:tcBorders>
            <w:vAlign w:val="bottom"/>
          </w:tcPr>
          <w:p>
            <w:pPr>
              <w:pStyle w:val="yTableNAm"/>
              <w:jc w:val="center"/>
            </w:pPr>
            <w:r>
              <w:rPr>
                <w:szCs w:val="22"/>
              </w:rPr>
              <w:t>178.38</w:t>
            </w:r>
          </w:p>
        </w:tc>
      </w:tr>
    </w:tbl>
    <w:p>
      <w:pPr>
        <w:pStyle w:val="ySubsection"/>
      </w:pPr>
      <w:r>
        <w:tab/>
        <w:t>(7)</w:t>
      </w:r>
      <w:r>
        <w:tab/>
        <w:t>The charges to be paid under regulation 105I are set out in Table 25.6.</w:t>
      </w:r>
    </w:p>
    <w:p>
      <w:pPr>
        <w:pStyle w:val="yTHeadingNAm"/>
        <w:ind w:left="993"/>
      </w:pPr>
      <w:r>
        <w:t>Table 25.6 (Weighbridge use)</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30"/>
        <w:gridCol w:w="4188"/>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88"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88" w:type="dxa"/>
          </w:tcPr>
          <w:p>
            <w:pPr>
              <w:pStyle w:val="yTableNAm"/>
            </w:pPr>
            <w:r>
              <w:t xml:space="preserve">Use of weighbridge — </w:t>
            </w:r>
          </w:p>
        </w:tc>
        <w:tc>
          <w:tcPr>
            <w:tcW w:w="1276" w:type="dxa"/>
          </w:tcPr>
          <w:p>
            <w:pPr>
              <w:pStyle w:val="yTableNAm"/>
              <w:jc w:val="center"/>
            </w:pPr>
          </w:p>
        </w:tc>
      </w:tr>
      <w:tr>
        <w:trPr>
          <w:cantSplit/>
        </w:trPr>
        <w:tc>
          <w:tcPr>
            <w:tcW w:w="630" w:type="dxa"/>
          </w:tcPr>
          <w:p>
            <w:pPr>
              <w:pStyle w:val="zyTableNAm"/>
            </w:pPr>
          </w:p>
        </w:tc>
        <w:tc>
          <w:tcPr>
            <w:tcW w:w="4188" w:type="dxa"/>
          </w:tcPr>
          <w:p>
            <w:pPr>
              <w:pStyle w:val="yTableNAm"/>
              <w:tabs>
                <w:tab w:val="clear" w:pos="567"/>
              </w:tabs>
              <w:ind w:left="226" w:hanging="226"/>
            </w:pPr>
            <w:r>
              <w:t>•</w:t>
            </w:r>
            <w:r>
              <w:tab/>
              <w:t>for not over 10 t</w:t>
            </w:r>
          </w:p>
        </w:tc>
        <w:tc>
          <w:tcPr>
            <w:tcW w:w="1276" w:type="dxa"/>
            <w:vAlign w:val="bottom"/>
          </w:tcPr>
          <w:p>
            <w:pPr>
              <w:pStyle w:val="yTableNAm"/>
              <w:jc w:val="center"/>
            </w:pPr>
            <w:r>
              <w:rPr>
                <w:szCs w:val="22"/>
              </w:rPr>
              <w:t>13.59</w:t>
            </w:r>
          </w:p>
        </w:tc>
      </w:tr>
      <w:tr>
        <w:trPr>
          <w:cantSplit/>
        </w:trPr>
        <w:tc>
          <w:tcPr>
            <w:tcW w:w="630" w:type="dxa"/>
          </w:tcPr>
          <w:p>
            <w:pPr>
              <w:pStyle w:val="zyTableNAm"/>
            </w:pPr>
          </w:p>
        </w:tc>
        <w:tc>
          <w:tcPr>
            <w:tcW w:w="4188" w:type="dxa"/>
          </w:tcPr>
          <w:p>
            <w:pPr>
              <w:pStyle w:val="yTableNAm"/>
              <w:tabs>
                <w:tab w:val="clear" w:pos="567"/>
              </w:tabs>
              <w:ind w:left="226" w:hanging="226"/>
            </w:pPr>
            <w:r>
              <w:t>•</w:t>
            </w:r>
            <w:r>
              <w:tab/>
              <w:t>for over 10 t but not over 30 t</w:t>
            </w:r>
          </w:p>
        </w:tc>
        <w:tc>
          <w:tcPr>
            <w:tcW w:w="1276" w:type="dxa"/>
            <w:vAlign w:val="bottom"/>
          </w:tcPr>
          <w:p>
            <w:pPr>
              <w:pStyle w:val="yTableNAm"/>
              <w:jc w:val="center"/>
            </w:pPr>
            <w:r>
              <w:rPr>
                <w:szCs w:val="22"/>
              </w:rPr>
              <w:t>15.47</w:t>
            </w:r>
          </w:p>
        </w:tc>
      </w:tr>
      <w:tr>
        <w:trPr>
          <w:cantSplit/>
        </w:trPr>
        <w:tc>
          <w:tcPr>
            <w:tcW w:w="630" w:type="dxa"/>
            <w:tcBorders>
              <w:bottom w:val="single" w:sz="4" w:space="0" w:color="auto"/>
            </w:tcBorders>
          </w:tcPr>
          <w:p>
            <w:pPr>
              <w:pStyle w:val="zyTableNAm"/>
            </w:pPr>
          </w:p>
        </w:tc>
        <w:tc>
          <w:tcPr>
            <w:tcW w:w="4188" w:type="dxa"/>
            <w:tcBorders>
              <w:bottom w:val="single" w:sz="4" w:space="0" w:color="auto"/>
            </w:tcBorders>
          </w:tcPr>
          <w:p>
            <w:pPr>
              <w:pStyle w:val="yTableNAm"/>
              <w:tabs>
                <w:tab w:val="clear" w:pos="567"/>
              </w:tabs>
              <w:ind w:left="226" w:hanging="226"/>
            </w:pPr>
            <w:r>
              <w:t>•</w:t>
            </w:r>
            <w:r>
              <w:tab/>
              <w:t>for over 30 t</w:t>
            </w:r>
          </w:p>
        </w:tc>
        <w:tc>
          <w:tcPr>
            <w:tcW w:w="1276" w:type="dxa"/>
            <w:tcBorders>
              <w:bottom w:val="single" w:sz="4" w:space="0" w:color="auto"/>
            </w:tcBorders>
            <w:vAlign w:val="bottom"/>
          </w:tcPr>
          <w:p>
            <w:pPr>
              <w:pStyle w:val="yTableNAm"/>
              <w:jc w:val="center"/>
            </w:pPr>
            <w:r>
              <w:rPr>
                <w:szCs w:val="22"/>
              </w:rPr>
              <w:t>19.31</w:t>
            </w:r>
          </w:p>
        </w:tc>
      </w:tr>
    </w:tbl>
    <w:p>
      <w:pPr>
        <w:pStyle w:val="ySubsection"/>
        <w:keepNext/>
      </w:pPr>
      <w:r>
        <w:tab/>
        <w:t>(8)</w:t>
      </w:r>
      <w:r>
        <w:tab/>
        <w:t>The charge for lighting, per hour or part of an hour, is set out in Table 25.7.</w:t>
      </w:r>
    </w:p>
    <w:p>
      <w:pPr>
        <w:pStyle w:val="yTHeadingNAm"/>
        <w:keepLines/>
        <w:widowControl w:val="0"/>
      </w:pPr>
      <w:r>
        <w:t>Table 25.7 (Lighting)</w:t>
      </w:r>
    </w:p>
    <w:tbl>
      <w:tblPr>
        <w:tblW w:w="6094" w:type="dxa"/>
        <w:tblInd w:w="1051" w:type="dxa"/>
        <w:tblLayout w:type="fixed"/>
        <w:tblCellMar>
          <w:top w:w="57" w:type="dxa"/>
          <w:left w:w="57" w:type="dxa"/>
          <w:right w:w="57" w:type="dxa"/>
        </w:tblCellMar>
        <w:tblLook w:val="0000" w:firstRow="0" w:lastRow="0" w:firstColumn="0" w:lastColumn="0" w:noHBand="0" w:noVBand="0"/>
      </w:tblPr>
      <w:tblGrid>
        <w:gridCol w:w="658"/>
        <w:gridCol w:w="4160"/>
        <w:gridCol w:w="1276"/>
      </w:tblGrid>
      <w:tr>
        <w:trPr>
          <w:cantSplit/>
          <w:tblHeader/>
        </w:trPr>
        <w:tc>
          <w:tcPr>
            <w:tcW w:w="658" w:type="dxa"/>
            <w:tcBorders>
              <w:top w:val="single" w:sz="4" w:space="0" w:color="auto"/>
              <w:bottom w:val="single" w:sz="4" w:space="0" w:color="auto"/>
            </w:tcBorders>
          </w:tcPr>
          <w:p>
            <w:pPr>
              <w:pStyle w:val="yTableNAm"/>
              <w:keepNext/>
              <w:keepLines/>
              <w:widowControl w:val="0"/>
            </w:pPr>
            <w:r>
              <w:rPr>
                <w:b/>
              </w:rPr>
              <w:t>Item</w:t>
            </w:r>
          </w:p>
        </w:tc>
        <w:tc>
          <w:tcPr>
            <w:tcW w:w="4160"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58" w:type="dxa"/>
          </w:tcPr>
          <w:p>
            <w:pPr>
              <w:pStyle w:val="yTableNAm"/>
              <w:keepNext/>
              <w:keepLines/>
              <w:widowControl w:val="0"/>
            </w:pPr>
            <w:r>
              <w:t>1.</w:t>
            </w:r>
          </w:p>
        </w:tc>
        <w:tc>
          <w:tcPr>
            <w:tcW w:w="4160" w:type="dxa"/>
          </w:tcPr>
          <w:p>
            <w:pPr>
              <w:pStyle w:val="yTableNAm"/>
              <w:keepNext/>
              <w:keepLines/>
              <w:widowControl w:val="0"/>
            </w:pPr>
            <w:r>
              <w:t>For jetty, shed and yard</w:t>
            </w:r>
          </w:p>
        </w:tc>
        <w:tc>
          <w:tcPr>
            <w:tcW w:w="1276" w:type="dxa"/>
            <w:vAlign w:val="bottom"/>
          </w:tcPr>
          <w:p>
            <w:pPr>
              <w:pStyle w:val="yTableNAm"/>
              <w:keepNext/>
              <w:keepLines/>
              <w:widowControl w:val="0"/>
              <w:jc w:val="center"/>
            </w:pPr>
            <w:r>
              <w:rPr>
                <w:szCs w:val="22"/>
              </w:rPr>
              <w:t>32.78</w:t>
            </w:r>
          </w:p>
        </w:tc>
      </w:tr>
      <w:tr>
        <w:trPr>
          <w:cantSplit/>
        </w:trPr>
        <w:tc>
          <w:tcPr>
            <w:tcW w:w="658" w:type="dxa"/>
          </w:tcPr>
          <w:p>
            <w:pPr>
              <w:pStyle w:val="yTableNAm"/>
            </w:pPr>
            <w:r>
              <w:t>2.</w:t>
            </w:r>
          </w:p>
        </w:tc>
        <w:tc>
          <w:tcPr>
            <w:tcW w:w="4160" w:type="dxa"/>
          </w:tcPr>
          <w:p>
            <w:pPr>
              <w:pStyle w:val="yTableNAm"/>
            </w:pPr>
            <w:r>
              <w:t>For jetty only</w:t>
            </w:r>
          </w:p>
        </w:tc>
        <w:tc>
          <w:tcPr>
            <w:tcW w:w="1276" w:type="dxa"/>
            <w:vAlign w:val="bottom"/>
          </w:tcPr>
          <w:p>
            <w:pPr>
              <w:pStyle w:val="yTableNAm"/>
              <w:jc w:val="center"/>
            </w:pPr>
            <w:r>
              <w:rPr>
                <w:szCs w:val="22"/>
              </w:rPr>
              <w:t>10.53</w:t>
            </w:r>
          </w:p>
        </w:tc>
      </w:tr>
      <w:tr>
        <w:trPr>
          <w:cantSplit/>
        </w:trPr>
        <w:tc>
          <w:tcPr>
            <w:tcW w:w="658" w:type="dxa"/>
            <w:tcBorders>
              <w:bottom w:val="single" w:sz="4" w:space="0" w:color="auto"/>
            </w:tcBorders>
          </w:tcPr>
          <w:p>
            <w:pPr>
              <w:pStyle w:val="yTableNAm"/>
            </w:pPr>
            <w:r>
              <w:t>3.</w:t>
            </w:r>
          </w:p>
        </w:tc>
        <w:tc>
          <w:tcPr>
            <w:tcW w:w="4160" w:type="dxa"/>
            <w:tcBorders>
              <w:bottom w:val="single" w:sz="4" w:space="0" w:color="auto"/>
            </w:tcBorders>
          </w:tcPr>
          <w:p>
            <w:pPr>
              <w:pStyle w:val="yTableNAm"/>
            </w:pPr>
            <w:r>
              <w:t>For reduced lighting</w:t>
            </w:r>
          </w:p>
        </w:tc>
        <w:tc>
          <w:tcPr>
            <w:tcW w:w="1276" w:type="dxa"/>
            <w:tcBorders>
              <w:bottom w:val="single" w:sz="4" w:space="0" w:color="auto"/>
            </w:tcBorders>
            <w:vAlign w:val="bottom"/>
          </w:tcPr>
          <w:p>
            <w:pPr>
              <w:pStyle w:val="yTableNAm"/>
              <w:jc w:val="center"/>
            </w:pPr>
            <w:r>
              <w:rPr>
                <w:szCs w:val="22"/>
              </w:rPr>
              <w:t>3.47</w:t>
            </w:r>
          </w:p>
        </w:tc>
      </w:tr>
    </w:tbl>
    <w:p>
      <w:pPr>
        <w:pStyle w:val="yFootnotesection"/>
      </w:pPr>
      <w:r>
        <w:tab/>
        <w:t>[Clause 25 inserted in Gazette 22 Jul 2015 p. 2981</w:t>
      </w:r>
      <w:r>
        <w:noBreakHyphen/>
        <w:t>5.]</w:t>
      </w:r>
    </w:p>
    <w:p>
      <w:pPr>
        <w:pStyle w:val="yHeading3"/>
      </w:pPr>
      <w:bookmarkStart w:id="202" w:name="_Toc440457142"/>
      <w:bookmarkStart w:id="203" w:name="_Toc443638835"/>
      <w:r>
        <w:rPr>
          <w:rStyle w:val="CharSDivNo"/>
        </w:rPr>
        <w:t>Division 2</w:t>
      </w:r>
      <w:r>
        <w:rPr>
          <w:b w:val="0"/>
        </w:rPr>
        <w:t> — </w:t>
      </w:r>
      <w:r>
        <w:rPr>
          <w:rStyle w:val="CharSDivText"/>
        </w:rPr>
        <w:t>State</w:t>
      </w:r>
      <w:r>
        <w:rPr>
          <w:rStyle w:val="CharSDivText"/>
        </w:rPr>
        <w:noBreakHyphen/>
        <w:t>wide charges</w:t>
      </w:r>
      <w:bookmarkEnd w:id="202"/>
      <w:bookmarkEnd w:id="203"/>
    </w:p>
    <w:p>
      <w:pPr>
        <w:pStyle w:val="yFootnoteheading"/>
      </w:pPr>
      <w:r>
        <w:tab/>
        <w:t>[Heading inserted in Gazette 22 Jul 2015 p. 2985.]</w:t>
      </w:r>
    </w:p>
    <w:p>
      <w:pPr>
        <w:pStyle w:val="yHeading5"/>
      </w:pPr>
      <w:bookmarkStart w:id="204" w:name="_Toc443638836"/>
      <w:r>
        <w:rPr>
          <w:rStyle w:val="CharSClsNo"/>
        </w:rPr>
        <w:t>26</w:t>
      </w:r>
      <w:r>
        <w:t>.</w:t>
      </w:r>
      <w:r>
        <w:tab/>
        <w:t>Living on a vessel</w:t>
      </w:r>
      <w:bookmarkEnd w:id="204"/>
    </w:p>
    <w:p>
      <w:pPr>
        <w:pStyle w:val="ySubsection"/>
      </w:pPr>
      <w:r>
        <w:tab/>
        <w:t>(1)</w:t>
      </w:r>
      <w:r>
        <w:tab/>
        <w:t xml:space="preserve">In this regulation — </w:t>
      </w:r>
    </w:p>
    <w:p>
      <w:pPr>
        <w:pStyle w:val="yDefstart"/>
      </w:pPr>
      <w:r>
        <w:tab/>
      </w:r>
      <w:r>
        <w:rPr>
          <w:rStyle w:val="CharDefText"/>
        </w:rPr>
        <w:t>enhanced facilities</w:t>
      </w:r>
      <w:r>
        <w:t xml:space="preserve"> </w:t>
      </w:r>
      <w:r>
        <w:rPr>
          <w:szCs w:val="22"/>
        </w:rPr>
        <w:t>means toilet, shower and laundry facilities.</w:t>
      </w:r>
    </w:p>
    <w:p>
      <w:pPr>
        <w:pStyle w:val="ySubsection"/>
      </w:pPr>
      <w:r>
        <w:tab/>
        <w:t>(2)</w:t>
      </w:r>
      <w:r>
        <w:tab/>
        <w:t>The charges relating to living on a vessel in a place are set out in Table 26.1.</w:t>
      </w:r>
    </w:p>
    <w:p>
      <w:pPr>
        <w:pStyle w:val="yTHeadingNAm"/>
        <w:ind w:left="993"/>
      </w:pPr>
      <w:r>
        <w:t>Table 26.1 (Living on a vessel)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58"/>
        <w:gridCol w:w="4146"/>
        <w:gridCol w:w="1276"/>
      </w:tblGrid>
      <w:tr>
        <w:trPr>
          <w:cantSplit/>
          <w:tblHeader/>
        </w:trPr>
        <w:tc>
          <w:tcPr>
            <w:tcW w:w="658"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58" w:type="dxa"/>
          </w:tcPr>
          <w:p>
            <w:pPr>
              <w:pStyle w:val="yTableNAm"/>
            </w:pPr>
            <w:r>
              <w:t>1.</w:t>
            </w:r>
          </w:p>
        </w:tc>
        <w:tc>
          <w:tcPr>
            <w:tcW w:w="4146" w:type="dxa"/>
          </w:tcPr>
          <w:p>
            <w:pPr>
              <w:pStyle w:val="yTableNAm"/>
            </w:pPr>
            <w:r>
              <w:t xml:space="preserve">For living on board a vessel — </w:t>
            </w:r>
          </w:p>
        </w:tc>
        <w:tc>
          <w:tcPr>
            <w:tcW w:w="1276" w:type="dxa"/>
          </w:tcPr>
          <w:p>
            <w:pPr>
              <w:pStyle w:val="yTableNAm"/>
              <w:jc w:val="center"/>
            </w:pPr>
          </w:p>
        </w:tc>
      </w:tr>
      <w:tr>
        <w:trPr>
          <w:cantSplit/>
        </w:trPr>
        <w:tc>
          <w:tcPr>
            <w:tcW w:w="658" w:type="dxa"/>
          </w:tcPr>
          <w:p>
            <w:pPr>
              <w:pStyle w:val="zyTableNAm"/>
            </w:pPr>
          </w:p>
        </w:tc>
        <w:tc>
          <w:tcPr>
            <w:tcW w:w="4146" w:type="dxa"/>
          </w:tcPr>
          <w:p>
            <w:pPr>
              <w:pStyle w:val="yTableNAm"/>
              <w:tabs>
                <w:tab w:val="clear" w:pos="567"/>
              </w:tabs>
              <w:ind w:left="226" w:hanging="226"/>
            </w:pPr>
            <w:r>
              <w:t>•</w:t>
            </w:r>
            <w:r>
              <w:tab/>
              <w:t>without enhanced facilities, an amount calculated at the monthly rate per vessel, of</w:t>
            </w:r>
          </w:p>
        </w:tc>
        <w:tc>
          <w:tcPr>
            <w:tcW w:w="1276" w:type="dxa"/>
          </w:tcPr>
          <w:p>
            <w:pPr>
              <w:pStyle w:val="yTableNAm"/>
              <w:jc w:val="center"/>
            </w:pPr>
            <w:r>
              <w:br/>
            </w:r>
            <w:r>
              <w:br/>
              <w:t>45.16</w:t>
            </w:r>
          </w:p>
        </w:tc>
      </w:tr>
      <w:tr>
        <w:trPr>
          <w:cantSplit/>
        </w:trPr>
        <w:tc>
          <w:tcPr>
            <w:tcW w:w="658" w:type="dxa"/>
            <w:tcBorders>
              <w:bottom w:val="single" w:sz="4" w:space="0" w:color="auto"/>
            </w:tcBorders>
          </w:tcPr>
          <w:p>
            <w:pPr>
              <w:pStyle w:val="zyTableNAm"/>
            </w:pPr>
          </w:p>
        </w:tc>
        <w:tc>
          <w:tcPr>
            <w:tcW w:w="4146" w:type="dxa"/>
            <w:tcBorders>
              <w:bottom w:val="single" w:sz="4" w:space="0" w:color="auto"/>
            </w:tcBorders>
          </w:tcPr>
          <w:p>
            <w:pPr>
              <w:pStyle w:val="yTableNAm"/>
              <w:tabs>
                <w:tab w:val="clear" w:pos="567"/>
              </w:tabs>
              <w:ind w:left="226" w:hanging="226"/>
            </w:pPr>
            <w:r>
              <w:t>•</w:t>
            </w:r>
            <w:r>
              <w:tab/>
              <w:t>with enhanced facilities, an amount calculated at the monthly rate per vessel, of</w:t>
            </w:r>
          </w:p>
        </w:tc>
        <w:tc>
          <w:tcPr>
            <w:tcW w:w="1276" w:type="dxa"/>
            <w:tcBorders>
              <w:bottom w:val="single" w:sz="4" w:space="0" w:color="auto"/>
            </w:tcBorders>
          </w:tcPr>
          <w:p>
            <w:pPr>
              <w:pStyle w:val="yTableNAm"/>
              <w:jc w:val="center"/>
            </w:pPr>
            <w:r>
              <w:br/>
            </w:r>
            <w:r>
              <w:br/>
              <w:t>137.31</w:t>
            </w:r>
          </w:p>
        </w:tc>
      </w:tr>
    </w:tbl>
    <w:p>
      <w:pPr>
        <w:pStyle w:val="yFootnotesection"/>
      </w:pPr>
      <w:r>
        <w:tab/>
        <w:t>[Clause 26 inserted in Gazette 22 Jul 2015 p. 2985.]</w:t>
      </w:r>
    </w:p>
    <w:p>
      <w:pPr>
        <w:pStyle w:val="yHeading5"/>
      </w:pPr>
      <w:bookmarkStart w:id="205" w:name="_Toc443638837"/>
      <w:r>
        <w:rPr>
          <w:rStyle w:val="CharSClsNo"/>
        </w:rPr>
        <w:t>27</w:t>
      </w:r>
      <w:r>
        <w:t>.</w:t>
      </w:r>
      <w:r>
        <w:tab/>
        <w:t>Electricity supply</w:t>
      </w:r>
      <w:bookmarkEnd w:id="205"/>
    </w:p>
    <w:p>
      <w:pPr>
        <w:pStyle w:val="ySubsection"/>
      </w:pPr>
      <w:r>
        <w:tab/>
      </w:r>
      <w:r>
        <w:tab/>
        <w:t>The charges for electricity supply to a vessel in a place are set out in Table 27.1.</w:t>
      </w:r>
    </w:p>
    <w:p>
      <w:pPr>
        <w:pStyle w:val="yTHeadingNAm"/>
        <w:ind w:left="993"/>
      </w:pPr>
      <w:r>
        <w:t>Table 27.1 (Electricity supply)</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electricity supply that is — </w:t>
            </w:r>
          </w:p>
        </w:tc>
        <w:tc>
          <w:tcPr>
            <w:tcW w:w="1276" w:type="dxa"/>
          </w:tcPr>
          <w:p>
            <w:pPr>
              <w:pStyle w:val="yTableNAm"/>
              <w:jc w:val="center"/>
            </w:pPr>
          </w:p>
        </w:tc>
      </w:tr>
      <w:tr>
        <w:trPr>
          <w:cantSplit/>
        </w:trPr>
        <w:tc>
          <w:tcPr>
            <w:tcW w:w="672" w:type="dxa"/>
          </w:tcPr>
          <w:p>
            <w:pPr>
              <w:pStyle w:val="zyTableNAm"/>
              <w:keepNext/>
              <w:keepLines/>
              <w:widowControl w:val="0"/>
              <w:tabs>
                <w:tab w:val="clear" w:pos="567"/>
              </w:tabs>
            </w:pPr>
          </w:p>
        </w:tc>
        <w:tc>
          <w:tcPr>
            <w:tcW w:w="4132" w:type="dxa"/>
          </w:tcPr>
          <w:p>
            <w:pPr>
              <w:pStyle w:val="yTableNAm"/>
              <w:tabs>
                <w:tab w:val="clear" w:pos="567"/>
              </w:tabs>
              <w:ind w:left="226" w:hanging="226"/>
            </w:pPr>
            <w:r>
              <w:t>•</w:t>
            </w:r>
            <w:r>
              <w:tab/>
              <w:t>single phase (metered)</w:t>
            </w:r>
          </w:p>
        </w:tc>
        <w:tc>
          <w:tcPr>
            <w:tcW w:w="1276" w:type="dxa"/>
          </w:tcPr>
          <w:p>
            <w:pPr>
              <w:pStyle w:val="yTableNAm"/>
              <w:jc w:val="center"/>
            </w:pPr>
            <w:r>
              <w:t>cost</w:t>
            </w:r>
          </w:p>
        </w:tc>
      </w:tr>
      <w:tr>
        <w:trPr>
          <w:cantSplit/>
        </w:trPr>
        <w:tc>
          <w:tcPr>
            <w:tcW w:w="672" w:type="dxa"/>
            <w:tcBorders>
              <w:bottom w:val="single" w:sz="4" w:space="0" w:color="auto"/>
            </w:tcBorders>
          </w:tcPr>
          <w:p>
            <w:pPr>
              <w:pStyle w:val="zyTableNAm"/>
              <w:tabs>
                <w:tab w:val="clear" w:pos="567"/>
              </w:tabs>
            </w:pPr>
          </w:p>
        </w:tc>
        <w:tc>
          <w:tcPr>
            <w:tcW w:w="4132" w:type="dxa"/>
            <w:tcBorders>
              <w:bottom w:val="single" w:sz="4" w:space="0" w:color="auto"/>
            </w:tcBorders>
          </w:tcPr>
          <w:p>
            <w:pPr>
              <w:pStyle w:val="yTableNAm"/>
              <w:tabs>
                <w:tab w:val="clear" w:pos="567"/>
              </w:tabs>
              <w:ind w:left="226" w:hanging="226"/>
            </w:pPr>
            <w:r>
              <w:t>•</w:t>
            </w:r>
            <w:r>
              <w:tab/>
              <w:t>3</w:t>
            </w:r>
            <w:r>
              <w:noBreakHyphen/>
              <w:t>phase (whether metered or unmetered)</w:t>
            </w:r>
          </w:p>
        </w:tc>
        <w:tc>
          <w:tcPr>
            <w:tcW w:w="1276" w:type="dxa"/>
            <w:tcBorders>
              <w:bottom w:val="single" w:sz="4" w:space="0" w:color="auto"/>
            </w:tcBorders>
          </w:tcPr>
          <w:p>
            <w:pPr>
              <w:pStyle w:val="yTableNAm"/>
              <w:jc w:val="center"/>
            </w:pPr>
            <w:r>
              <w:t>cost</w:t>
            </w:r>
          </w:p>
        </w:tc>
      </w:tr>
    </w:tbl>
    <w:p>
      <w:pPr>
        <w:pStyle w:val="yFootnotesection"/>
      </w:pPr>
      <w:r>
        <w:tab/>
        <w:t>[Clause 27 inserted in Gazette 22 Jul 2015 p. 2986.]</w:t>
      </w:r>
    </w:p>
    <w:p>
      <w:pPr>
        <w:pStyle w:val="yHeading5"/>
      </w:pPr>
      <w:bookmarkStart w:id="206" w:name="_Toc443638838"/>
      <w:r>
        <w:rPr>
          <w:rStyle w:val="CharSClsNo"/>
        </w:rPr>
        <w:t>28</w:t>
      </w:r>
      <w:r>
        <w:t>.</w:t>
      </w:r>
      <w:r>
        <w:tab/>
        <w:t>Water supply</w:t>
      </w:r>
      <w:bookmarkEnd w:id="206"/>
    </w:p>
    <w:p>
      <w:pPr>
        <w:pStyle w:val="ySubsection"/>
      </w:pPr>
      <w:r>
        <w:tab/>
      </w:r>
      <w:r>
        <w:tab/>
        <w:t>The charges for water supply to a vessel in a place are set out in Table 28.1.</w:t>
      </w:r>
    </w:p>
    <w:p>
      <w:pPr>
        <w:pStyle w:val="yTHeadingNAm"/>
        <w:ind w:left="993"/>
      </w:pPr>
      <w:r>
        <w:t>Table 28.1 (Water supply)</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72"/>
        <w:gridCol w:w="4104"/>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04"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Borders>
              <w:top w:val="single" w:sz="4" w:space="0" w:color="auto"/>
              <w:bottom w:val="single" w:sz="4" w:space="0" w:color="auto"/>
            </w:tcBorders>
          </w:tcPr>
          <w:p>
            <w:pPr>
              <w:pStyle w:val="yTableNAm"/>
            </w:pPr>
            <w:r>
              <w:t>1.</w:t>
            </w:r>
          </w:p>
        </w:tc>
        <w:tc>
          <w:tcPr>
            <w:tcW w:w="4104" w:type="dxa"/>
            <w:tcBorders>
              <w:top w:val="single" w:sz="4" w:space="0" w:color="auto"/>
              <w:bottom w:val="single" w:sz="4" w:space="0" w:color="auto"/>
            </w:tcBorders>
          </w:tcPr>
          <w:p>
            <w:pPr>
              <w:pStyle w:val="yTableNAm"/>
            </w:pPr>
            <w:r>
              <w:t>For water supply (metered)</w:t>
            </w:r>
          </w:p>
        </w:tc>
        <w:tc>
          <w:tcPr>
            <w:tcW w:w="1276" w:type="dxa"/>
            <w:tcBorders>
              <w:top w:val="single" w:sz="4" w:space="0" w:color="auto"/>
              <w:bottom w:val="single" w:sz="4" w:space="0" w:color="auto"/>
            </w:tcBorders>
          </w:tcPr>
          <w:p>
            <w:pPr>
              <w:pStyle w:val="yTableNAm"/>
              <w:jc w:val="center"/>
            </w:pPr>
            <w:r>
              <w:t>cost</w:t>
            </w:r>
          </w:p>
        </w:tc>
      </w:tr>
    </w:tbl>
    <w:p>
      <w:pPr>
        <w:pStyle w:val="yFootnotesection"/>
      </w:pPr>
      <w:r>
        <w:tab/>
        <w:t>[Clause 28 inserted in Gazette 22 Jul 2015 p. 2986.]</w:t>
      </w:r>
    </w:p>
    <w:p>
      <w:pPr>
        <w:pStyle w:val="yHeading5"/>
      </w:pPr>
      <w:bookmarkStart w:id="207" w:name="_Toc443638839"/>
      <w:r>
        <w:rPr>
          <w:rStyle w:val="CharSClsNo"/>
        </w:rPr>
        <w:t>29</w:t>
      </w:r>
      <w:r>
        <w:t>.</w:t>
      </w:r>
      <w:r>
        <w:tab/>
        <w:t>Rubbish removal (r. 53A)</w:t>
      </w:r>
      <w:bookmarkEnd w:id="207"/>
    </w:p>
    <w:p>
      <w:pPr>
        <w:pStyle w:val="ySubsection"/>
      </w:pPr>
      <w:r>
        <w:tab/>
      </w:r>
      <w:r>
        <w:tab/>
        <w:t>The charges to be paid under regulation 53A are set out in Table 29.1.</w:t>
      </w:r>
    </w:p>
    <w:p>
      <w:pPr>
        <w:pStyle w:val="yTHeadingNAm"/>
        <w:ind w:left="993"/>
      </w:pPr>
      <w:r>
        <w:t>Table 29.1 (Rubbish removal)</w:t>
      </w:r>
    </w:p>
    <w:tbl>
      <w:tblPr>
        <w:tblW w:w="6080" w:type="dxa"/>
        <w:tblInd w:w="1065" w:type="dxa"/>
        <w:tblLayout w:type="fixed"/>
        <w:tblCellMar>
          <w:top w:w="57" w:type="dxa"/>
          <w:left w:w="57" w:type="dxa"/>
          <w:right w:w="57" w:type="dxa"/>
        </w:tblCellMar>
        <w:tblLook w:val="0000" w:firstRow="0" w:lastRow="0" w:firstColumn="0" w:lastColumn="0" w:noHBand="0" w:noVBand="0"/>
      </w:tblPr>
      <w:tblGrid>
        <w:gridCol w:w="672"/>
        <w:gridCol w:w="4132"/>
        <w:gridCol w:w="1276"/>
      </w:tblGrid>
      <w:tr>
        <w:trPr>
          <w:cantSplit/>
          <w:tblHeader/>
        </w:trPr>
        <w:tc>
          <w:tcPr>
            <w:tcW w:w="672" w:type="dxa"/>
            <w:tcBorders>
              <w:top w:val="single" w:sz="4" w:space="0" w:color="auto"/>
              <w:bottom w:val="single" w:sz="4" w:space="0" w:color="auto"/>
            </w:tcBorders>
          </w:tcPr>
          <w:p>
            <w:pPr>
              <w:pStyle w:val="yTableNAm"/>
            </w:pPr>
            <w:r>
              <w:rPr>
                <w:b/>
              </w:rPr>
              <w:t>Item</w:t>
            </w:r>
          </w:p>
        </w:tc>
        <w:tc>
          <w:tcPr>
            <w:tcW w:w="4132"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72" w:type="dxa"/>
          </w:tcPr>
          <w:p>
            <w:pPr>
              <w:pStyle w:val="yTableNAm"/>
            </w:pPr>
            <w:r>
              <w:t>1.</w:t>
            </w:r>
          </w:p>
        </w:tc>
        <w:tc>
          <w:tcPr>
            <w:tcW w:w="4132" w:type="dxa"/>
          </w:tcPr>
          <w:p>
            <w:pPr>
              <w:pStyle w:val="yTableNAm"/>
            </w:pPr>
            <w:r>
              <w:t xml:space="preserve">For rubbish removal — </w:t>
            </w:r>
          </w:p>
        </w:tc>
        <w:tc>
          <w:tcPr>
            <w:tcW w:w="1276" w:type="dxa"/>
          </w:tcPr>
          <w:p>
            <w:pPr>
              <w:pStyle w:val="yTableNAm"/>
              <w:jc w:val="center"/>
            </w:pPr>
          </w:p>
        </w:tc>
      </w:tr>
      <w:tr>
        <w:trPr>
          <w:cantSplit/>
        </w:trPr>
        <w:tc>
          <w:tcPr>
            <w:tcW w:w="672" w:type="dxa"/>
          </w:tcPr>
          <w:p>
            <w:pPr>
              <w:pStyle w:val="zyTableNAm"/>
            </w:pPr>
          </w:p>
        </w:tc>
        <w:tc>
          <w:tcPr>
            <w:tcW w:w="4132" w:type="dxa"/>
          </w:tcPr>
          <w:p>
            <w:pPr>
              <w:pStyle w:val="yTableNAm"/>
              <w:tabs>
                <w:tab w:val="clear" w:pos="567"/>
              </w:tabs>
              <w:ind w:left="226" w:hanging="226"/>
            </w:pPr>
            <w:r>
              <w:t>•</w:t>
            </w:r>
            <w:r>
              <w:tab/>
              <w:t>excess quantity, or from a source other than a vessel for which charges for using the harbour have been paid, per half skip supplied and emptied</w:t>
            </w:r>
          </w:p>
        </w:tc>
        <w:tc>
          <w:tcPr>
            <w:tcW w:w="1276" w:type="dxa"/>
          </w:tcPr>
          <w:p>
            <w:pPr>
              <w:pStyle w:val="yTableNAm"/>
              <w:jc w:val="center"/>
            </w:pPr>
            <w:r>
              <w:br/>
            </w:r>
            <w:r>
              <w:br/>
            </w:r>
            <w:r>
              <w:b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from vessels in excess of 150 L</w:t>
            </w:r>
          </w:p>
        </w:tc>
        <w:tc>
          <w:tcPr>
            <w:tcW w:w="1276" w:type="dxa"/>
          </w:tcPr>
          <w:p>
            <w:pPr>
              <w:pStyle w:val="yTableNAm"/>
              <w:jc w:val="center"/>
            </w:pPr>
            <w:r>
              <w:t>cost</w:t>
            </w:r>
          </w:p>
        </w:tc>
      </w:tr>
      <w:tr>
        <w:trPr>
          <w:cantSplit/>
        </w:trPr>
        <w:tc>
          <w:tcPr>
            <w:tcW w:w="672" w:type="dxa"/>
          </w:tcPr>
          <w:p>
            <w:pPr>
              <w:pStyle w:val="zyTableNAm"/>
            </w:pPr>
          </w:p>
        </w:tc>
        <w:tc>
          <w:tcPr>
            <w:tcW w:w="4132" w:type="dxa"/>
          </w:tcPr>
          <w:p>
            <w:pPr>
              <w:pStyle w:val="yTableNAm"/>
              <w:tabs>
                <w:tab w:val="clear" w:pos="567"/>
              </w:tabs>
              <w:ind w:left="226" w:hanging="226"/>
            </w:pPr>
            <w:r>
              <w:t>•</w:t>
            </w:r>
            <w:r>
              <w:tab/>
              <w:t>waste oil drum not removed by owner, per 20 L drum</w:t>
            </w:r>
          </w:p>
        </w:tc>
        <w:tc>
          <w:tcPr>
            <w:tcW w:w="1276" w:type="dxa"/>
          </w:tcPr>
          <w:p>
            <w:pPr>
              <w:pStyle w:val="yTableNAm"/>
              <w:jc w:val="center"/>
            </w:pPr>
            <w:r>
              <w:br/>
              <w:t>cost</w:t>
            </w:r>
          </w:p>
        </w:tc>
      </w:tr>
      <w:tr>
        <w:trPr>
          <w:cantSplit/>
        </w:trPr>
        <w:tc>
          <w:tcPr>
            <w:tcW w:w="672" w:type="dxa"/>
            <w:tcBorders>
              <w:bottom w:val="single" w:sz="4" w:space="0" w:color="auto"/>
            </w:tcBorders>
          </w:tcPr>
          <w:p>
            <w:pPr>
              <w:pStyle w:val="zyTableNAm"/>
            </w:pPr>
          </w:p>
        </w:tc>
        <w:tc>
          <w:tcPr>
            <w:tcW w:w="4132" w:type="dxa"/>
            <w:tcBorders>
              <w:bottom w:val="single" w:sz="4" w:space="0" w:color="auto"/>
            </w:tcBorders>
          </w:tcPr>
          <w:p>
            <w:pPr>
              <w:pStyle w:val="yTableNAm"/>
              <w:tabs>
                <w:tab w:val="clear" w:pos="567"/>
              </w:tabs>
              <w:ind w:left="226" w:hanging="226"/>
            </w:pPr>
            <w:r>
              <w:t>•</w:t>
            </w:r>
            <w:r>
              <w:tab/>
              <w:t>rubbish not put in supplied bins</w:t>
            </w:r>
          </w:p>
        </w:tc>
        <w:tc>
          <w:tcPr>
            <w:tcW w:w="1276" w:type="dxa"/>
            <w:tcBorders>
              <w:bottom w:val="single" w:sz="4" w:space="0" w:color="auto"/>
            </w:tcBorders>
          </w:tcPr>
          <w:p>
            <w:pPr>
              <w:pStyle w:val="yTableNAm"/>
              <w:jc w:val="center"/>
            </w:pPr>
            <w:r>
              <w:t>cost</w:t>
            </w:r>
          </w:p>
        </w:tc>
      </w:tr>
    </w:tbl>
    <w:p>
      <w:pPr>
        <w:pStyle w:val="yFootnotesection"/>
      </w:pPr>
      <w:r>
        <w:tab/>
        <w:t>[Clause 29 inserted in Gazette 22 Jul 2015 p. 2986</w:t>
      </w:r>
      <w:r>
        <w:noBreakHyphen/>
        <w:t>7.]</w:t>
      </w:r>
    </w:p>
    <w:p>
      <w:pPr>
        <w:pStyle w:val="yHeading5"/>
      </w:pPr>
      <w:bookmarkStart w:id="208" w:name="_Toc443638840"/>
      <w:r>
        <w:rPr>
          <w:rStyle w:val="CharSClsNo"/>
        </w:rPr>
        <w:t>30</w:t>
      </w:r>
      <w:r>
        <w:t>.</w:t>
      </w:r>
      <w:r>
        <w:tab/>
        <w:t>Passengers and cargo</w:t>
      </w:r>
      <w:bookmarkEnd w:id="208"/>
    </w:p>
    <w:p>
      <w:pPr>
        <w:pStyle w:val="ySubsection"/>
      </w:pPr>
      <w:r>
        <w:tab/>
      </w:r>
      <w:r>
        <w:tab/>
        <w:t>The charges to be paid for the loading and unloading of passengers and cargo are set out in Table 30.1.</w:t>
      </w:r>
    </w:p>
    <w:p>
      <w:pPr>
        <w:pStyle w:val="yTHeadingNAm"/>
        <w:ind w:left="993"/>
      </w:pPr>
      <w:r>
        <w:t>Table 30.1 (Passengers and cargo)</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pPr>
            <w:r>
              <w:rPr>
                <w:b/>
              </w:rPr>
              <w:t>Item</w:t>
            </w:r>
          </w:p>
        </w:tc>
        <w:tc>
          <w:tcPr>
            <w:tcW w:w="4146"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146" w:type="dxa"/>
          </w:tcPr>
          <w:p>
            <w:pPr>
              <w:pStyle w:val="yTableNAm"/>
            </w:pPr>
            <w:r>
              <w:t xml:space="preserve">For the use of a pen, berth or service jetty by cruise liner transfer vessel to load or unload passengers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an amount calculated per metre of the vessel’s length at the daily rate of</w:t>
            </w:r>
          </w:p>
        </w:tc>
        <w:tc>
          <w:tcPr>
            <w:tcW w:w="1276" w:type="dxa"/>
          </w:tcPr>
          <w:p>
            <w:pPr>
              <w:pStyle w:val="yTableNAm"/>
              <w:jc w:val="center"/>
            </w:pPr>
            <w:r>
              <w:br/>
              <w:t>9.93</w:t>
            </w:r>
          </w:p>
        </w:tc>
      </w:tr>
      <w:tr>
        <w:trPr>
          <w:cantSplit/>
        </w:trPr>
        <w:tc>
          <w:tcPr>
            <w:tcW w:w="630" w:type="dxa"/>
          </w:tcPr>
          <w:p>
            <w:pPr>
              <w:pStyle w:val="zyTableNAm"/>
            </w:pPr>
          </w:p>
        </w:tc>
        <w:tc>
          <w:tcPr>
            <w:tcW w:w="4146" w:type="dxa"/>
          </w:tcPr>
          <w:p>
            <w:pPr>
              <w:pStyle w:val="yTableNAm"/>
              <w:tabs>
                <w:tab w:val="clear" w:pos="567"/>
              </w:tabs>
              <w:ind w:left="226" w:hanging="226"/>
            </w:pPr>
            <w:r>
              <w:t>•</w:t>
            </w:r>
            <w:r>
              <w:tab/>
              <w:t>plus a charge per passenger of</w:t>
            </w:r>
          </w:p>
        </w:tc>
        <w:tc>
          <w:tcPr>
            <w:tcW w:w="1276" w:type="dxa"/>
          </w:tcPr>
          <w:p>
            <w:pPr>
              <w:pStyle w:val="yTableNAm"/>
              <w:jc w:val="center"/>
            </w:pPr>
            <w:r>
              <w:t>4.24</w:t>
            </w:r>
          </w:p>
        </w:tc>
      </w:tr>
      <w:tr>
        <w:trPr>
          <w:cantSplit/>
        </w:trPr>
        <w:tc>
          <w:tcPr>
            <w:tcW w:w="630" w:type="dxa"/>
          </w:tcPr>
          <w:p>
            <w:pPr>
              <w:pStyle w:val="yTableNAm"/>
            </w:pPr>
            <w:r>
              <w:t>2.</w:t>
            </w:r>
          </w:p>
        </w:tc>
        <w:tc>
          <w:tcPr>
            <w:tcW w:w="4146" w:type="dxa"/>
          </w:tcPr>
          <w:p>
            <w:pPr>
              <w:pStyle w:val="yTableNAm"/>
            </w:pPr>
            <w:r>
              <w:t>For the loading or unloading of general cargo from or to a vessel at the service wharf or service jetty, or an appurtenant area if loaded from or to a vessel, an amount calculated per tonne, per cubic metre at the rate of</w:t>
            </w:r>
          </w:p>
        </w:tc>
        <w:tc>
          <w:tcPr>
            <w:tcW w:w="1276" w:type="dxa"/>
          </w:tcPr>
          <w:p>
            <w:pPr>
              <w:pStyle w:val="yTableNAm"/>
              <w:jc w:val="center"/>
            </w:pPr>
            <w:r>
              <w:br/>
            </w:r>
            <w:r>
              <w:br/>
            </w:r>
            <w:r>
              <w:br/>
            </w:r>
            <w:r>
              <w:br/>
              <w:t>6.71</w:t>
            </w:r>
          </w:p>
        </w:tc>
      </w:tr>
      <w:tr>
        <w:trPr>
          <w:cantSplit/>
        </w:trPr>
        <w:tc>
          <w:tcPr>
            <w:tcW w:w="630" w:type="dxa"/>
            <w:tcBorders>
              <w:bottom w:val="single" w:sz="4" w:space="0" w:color="auto"/>
            </w:tcBorders>
          </w:tcPr>
          <w:p>
            <w:pPr>
              <w:pStyle w:val="yTableNAm"/>
            </w:pPr>
            <w:r>
              <w:t>3.</w:t>
            </w:r>
          </w:p>
        </w:tc>
        <w:tc>
          <w:tcPr>
            <w:tcW w:w="4146" w:type="dxa"/>
            <w:tcBorders>
              <w:bottom w:val="single" w:sz="4" w:space="0" w:color="auto"/>
            </w:tcBorders>
          </w:tcPr>
          <w:p>
            <w:pPr>
              <w:pStyle w:val="yTableNAm"/>
            </w:pPr>
            <w:r>
              <w:t>If a vessel is lifted at the service wharf or service jetty, or an appurtenant area, an amount calculated per metre of the vessel’s length at the rate of</w:t>
            </w:r>
          </w:p>
        </w:tc>
        <w:tc>
          <w:tcPr>
            <w:tcW w:w="1276" w:type="dxa"/>
            <w:tcBorders>
              <w:bottom w:val="single" w:sz="4" w:space="0" w:color="auto"/>
            </w:tcBorders>
          </w:tcPr>
          <w:p>
            <w:pPr>
              <w:pStyle w:val="yTableNAm"/>
              <w:jc w:val="center"/>
            </w:pPr>
            <w:r>
              <w:br/>
            </w:r>
            <w:r>
              <w:br/>
            </w:r>
            <w:r>
              <w:br/>
              <w:t>14.78</w:t>
            </w:r>
          </w:p>
        </w:tc>
      </w:tr>
    </w:tbl>
    <w:p>
      <w:pPr>
        <w:pStyle w:val="yFootnotesection"/>
      </w:pPr>
      <w:r>
        <w:tab/>
        <w:t>[Clause 30 inserted in Gazette 22 Jul 2015 p. 2987.]</w:t>
      </w:r>
    </w:p>
    <w:p>
      <w:pPr>
        <w:pStyle w:val="yHeading5"/>
      </w:pPr>
      <w:bookmarkStart w:id="209" w:name="_Toc443638841"/>
      <w:r>
        <w:rPr>
          <w:rStyle w:val="CharSClsNo"/>
        </w:rPr>
        <w:t>31</w:t>
      </w:r>
      <w:r>
        <w:t>.</w:t>
      </w:r>
      <w:r>
        <w:tab/>
        <w:t>Slip services (r. 96)</w:t>
      </w:r>
      <w:bookmarkEnd w:id="209"/>
    </w:p>
    <w:p>
      <w:pPr>
        <w:pStyle w:val="ySubsection"/>
      </w:pPr>
      <w:r>
        <w:tab/>
      </w:r>
      <w:r>
        <w:tab/>
        <w:t>The charges to be paid under regulation 96 for services at a slip controlled and managed by the Department at a place for which no such charges are prescribed in Division 1 are set out in Table 31.1.</w:t>
      </w:r>
    </w:p>
    <w:p>
      <w:pPr>
        <w:pStyle w:val="yTHeadingNAm"/>
        <w:keepLines/>
        <w:widowControl w:val="0"/>
        <w:ind w:left="993"/>
      </w:pPr>
      <w:r>
        <w:t>Table 31.1 (Slip services)</w:t>
      </w:r>
    </w:p>
    <w:tbl>
      <w:tblPr>
        <w:tblW w:w="6052" w:type="dxa"/>
        <w:tblInd w:w="1093" w:type="dxa"/>
        <w:tblLayout w:type="fixed"/>
        <w:tblCellMar>
          <w:top w:w="57" w:type="dxa"/>
          <w:left w:w="57" w:type="dxa"/>
          <w:right w:w="57" w:type="dxa"/>
        </w:tblCellMar>
        <w:tblLook w:val="0000" w:firstRow="0" w:lastRow="0" w:firstColumn="0" w:lastColumn="0" w:noHBand="0" w:noVBand="0"/>
      </w:tblPr>
      <w:tblGrid>
        <w:gridCol w:w="630"/>
        <w:gridCol w:w="4146"/>
        <w:gridCol w:w="1276"/>
      </w:tblGrid>
      <w:tr>
        <w:trPr>
          <w:cantSplit/>
          <w:tblHeader/>
        </w:trPr>
        <w:tc>
          <w:tcPr>
            <w:tcW w:w="630" w:type="dxa"/>
            <w:tcBorders>
              <w:top w:val="single" w:sz="4" w:space="0" w:color="auto"/>
              <w:bottom w:val="single" w:sz="4" w:space="0" w:color="auto"/>
            </w:tcBorders>
          </w:tcPr>
          <w:p>
            <w:pPr>
              <w:pStyle w:val="yTableNAm"/>
              <w:keepNext/>
              <w:keepLines/>
              <w:widowControl w:val="0"/>
            </w:pPr>
            <w:r>
              <w:rPr>
                <w:b/>
              </w:rPr>
              <w:t>Item</w:t>
            </w:r>
          </w:p>
        </w:tc>
        <w:tc>
          <w:tcPr>
            <w:tcW w:w="4146" w:type="dxa"/>
            <w:tcBorders>
              <w:top w:val="single" w:sz="4" w:space="0" w:color="auto"/>
              <w:bottom w:val="single" w:sz="4" w:space="0" w:color="auto"/>
            </w:tcBorders>
          </w:tcPr>
          <w:p>
            <w:pPr>
              <w:pStyle w:val="yTableNAm"/>
              <w:keepNext/>
              <w:keepLines/>
              <w:widowControl w:val="0"/>
            </w:pPr>
            <w:r>
              <w:rPr>
                <w:b/>
              </w:rPr>
              <w:t>Service</w:t>
            </w:r>
          </w:p>
        </w:tc>
        <w:tc>
          <w:tcPr>
            <w:tcW w:w="1276" w:type="dxa"/>
            <w:tcBorders>
              <w:top w:val="single" w:sz="4" w:space="0" w:color="auto"/>
              <w:bottom w:val="single" w:sz="4" w:space="0" w:color="auto"/>
            </w:tcBorders>
          </w:tcPr>
          <w:p>
            <w:pPr>
              <w:pStyle w:val="yTableNAm"/>
              <w:keepNext/>
              <w:keepLines/>
              <w:widowControl w:val="0"/>
              <w:jc w:val="center"/>
            </w:pPr>
            <w:r>
              <w:rPr>
                <w:b/>
              </w:rPr>
              <w:t>$</w:t>
            </w:r>
          </w:p>
        </w:tc>
      </w:tr>
      <w:tr>
        <w:trPr>
          <w:cantSplit/>
        </w:trPr>
        <w:tc>
          <w:tcPr>
            <w:tcW w:w="630" w:type="dxa"/>
          </w:tcPr>
          <w:p>
            <w:pPr>
              <w:pStyle w:val="yTableNAm"/>
              <w:keepNext/>
              <w:keepLines/>
              <w:widowControl w:val="0"/>
            </w:pPr>
            <w:r>
              <w:t>1.</w:t>
            </w:r>
          </w:p>
        </w:tc>
        <w:tc>
          <w:tcPr>
            <w:tcW w:w="4146" w:type="dxa"/>
          </w:tcPr>
          <w:p>
            <w:pPr>
              <w:pStyle w:val="yTableNAm"/>
              <w:keepNext/>
              <w:keepLines/>
              <w:widowControl w:val="0"/>
            </w:pPr>
            <w:r>
              <w:t xml:space="preserve">For the use of a slip — </w:t>
            </w:r>
          </w:p>
        </w:tc>
        <w:tc>
          <w:tcPr>
            <w:tcW w:w="1276" w:type="dxa"/>
          </w:tcPr>
          <w:p>
            <w:pPr>
              <w:pStyle w:val="yTableNAm"/>
              <w:keepNext/>
              <w:keepLines/>
              <w:widowControl w:val="0"/>
              <w:jc w:val="center"/>
            </w:pPr>
          </w:p>
        </w:tc>
      </w:tr>
      <w:tr>
        <w:trPr>
          <w:cantSplit/>
        </w:trPr>
        <w:tc>
          <w:tcPr>
            <w:tcW w:w="630" w:type="dxa"/>
          </w:tcPr>
          <w:p>
            <w:pPr>
              <w:pStyle w:val="zyTableNAm"/>
              <w:keepNext/>
              <w:keepLines/>
              <w:widowControl w:val="0"/>
            </w:pPr>
          </w:p>
        </w:tc>
        <w:tc>
          <w:tcPr>
            <w:tcW w:w="4146" w:type="dxa"/>
          </w:tcPr>
          <w:p>
            <w:pPr>
              <w:pStyle w:val="yTableNAm"/>
              <w:keepNext/>
              <w:keepLines/>
              <w:widowControl w:val="0"/>
              <w:tabs>
                <w:tab w:val="clear" w:pos="567"/>
              </w:tabs>
              <w:ind w:left="226" w:hanging="226"/>
            </w:pPr>
            <w:r>
              <w:t>•</w:t>
            </w:r>
            <w:r>
              <w:tab/>
              <w:t>from 1 April to 31 August, an amount per day of</w:t>
            </w:r>
          </w:p>
        </w:tc>
        <w:tc>
          <w:tcPr>
            <w:tcW w:w="1276" w:type="dxa"/>
          </w:tcPr>
          <w:p>
            <w:pPr>
              <w:pStyle w:val="yTableNAm"/>
              <w:keepNext/>
              <w:keepLines/>
              <w:widowControl w:val="0"/>
              <w:jc w:val="center"/>
            </w:pPr>
            <w:r>
              <w:br/>
              <w:t>70.89</w:t>
            </w:r>
          </w:p>
        </w:tc>
      </w:tr>
      <w:tr>
        <w:trPr>
          <w:cantSplit/>
        </w:trPr>
        <w:tc>
          <w:tcPr>
            <w:tcW w:w="630" w:type="dxa"/>
          </w:tcPr>
          <w:p>
            <w:pPr>
              <w:pStyle w:val="zyTableNAm"/>
            </w:pPr>
          </w:p>
        </w:tc>
        <w:tc>
          <w:tcPr>
            <w:tcW w:w="4146" w:type="dxa"/>
          </w:tcPr>
          <w:p>
            <w:pPr>
              <w:pStyle w:val="yTableNAm"/>
              <w:tabs>
                <w:tab w:val="clear" w:pos="567"/>
              </w:tabs>
              <w:ind w:left="226" w:hanging="226"/>
            </w:pPr>
            <w:r>
              <w:t>•</w:t>
            </w:r>
            <w:r>
              <w:tab/>
              <w:t>from 1 September to 31 March, an amount per day of</w:t>
            </w:r>
          </w:p>
        </w:tc>
        <w:tc>
          <w:tcPr>
            <w:tcW w:w="1276" w:type="dxa"/>
          </w:tcPr>
          <w:p>
            <w:pPr>
              <w:pStyle w:val="yTableNAm"/>
              <w:jc w:val="center"/>
            </w:pPr>
            <w:r>
              <w:br/>
              <w:t>141.81</w:t>
            </w:r>
          </w:p>
        </w:tc>
      </w:tr>
      <w:tr>
        <w:trPr>
          <w:cantSplit/>
        </w:trPr>
        <w:tc>
          <w:tcPr>
            <w:tcW w:w="630" w:type="dxa"/>
          </w:tcPr>
          <w:p>
            <w:pPr>
              <w:pStyle w:val="yTableNAm"/>
            </w:pPr>
            <w:r>
              <w:t>2.</w:t>
            </w:r>
          </w:p>
        </w:tc>
        <w:tc>
          <w:tcPr>
            <w:tcW w:w="4146" w:type="dxa"/>
          </w:tcPr>
          <w:p>
            <w:pPr>
              <w:pStyle w:val="yTableNAm"/>
            </w:pPr>
            <w:r>
              <w:t xml:space="preserve">For haulage up and down slip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if either a swing mooring fee or an annual pen charge have been paid for the relevant vessel, an amount per haulage of</w:t>
            </w:r>
          </w:p>
        </w:tc>
        <w:tc>
          <w:tcPr>
            <w:tcW w:w="1276" w:type="dxa"/>
          </w:tcPr>
          <w:p>
            <w:pPr>
              <w:pStyle w:val="yTableNAm"/>
              <w:jc w:val="center"/>
            </w:pPr>
            <w:r>
              <w:br/>
            </w:r>
            <w:r>
              <w:br/>
              <w:t>241.15</w:t>
            </w:r>
          </w:p>
        </w:tc>
      </w:tr>
      <w:tr>
        <w:trPr>
          <w:cantSplit/>
        </w:trPr>
        <w:tc>
          <w:tcPr>
            <w:tcW w:w="630" w:type="dxa"/>
          </w:tcPr>
          <w:p>
            <w:pPr>
              <w:pStyle w:val="zyTableNAm"/>
            </w:pPr>
          </w:p>
        </w:tc>
        <w:tc>
          <w:tcPr>
            <w:tcW w:w="4146" w:type="dxa"/>
          </w:tcPr>
          <w:p>
            <w:pPr>
              <w:pStyle w:val="yTableNAm"/>
              <w:tabs>
                <w:tab w:val="clear" w:pos="567"/>
              </w:tabs>
              <w:ind w:left="226" w:hanging="226"/>
            </w:pPr>
            <w:r>
              <w:t>•</w:t>
            </w:r>
            <w:r>
              <w:tab/>
              <w:t>in any other case, an amount per haulage of</w:t>
            </w:r>
          </w:p>
        </w:tc>
        <w:tc>
          <w:tcPr>
            <w:tcW w:w="1276" w:type="dxa"/>
          </w:tcPr>
          <w:p>
            <w:pPr>
              <w:pStyle w:val="yTableNAm"/>
              <w:jc w:val="center"/>
            </w:pPr>
            <w:r>
              <w:br/>
              <w:t>288.21</w:t>
            </w:r>
          </w:p>
        </w:tc>
      </w:tr>
      <w:tr>
        <w:trPr>
          <w:cantSplit/>
        </w:trPr>
        <w:tc>
          <w:tcPr>
            <w:tcW w:w="630" w:type="dxa"/>
          </w:tcPr>
          <w:p>
            <w:pPr>
              <w:pStyle w:val="yTableNAm"/>
            </w:pPr>
            <w:r>
              <w:t>3.</w:t>
            </w:r>
          </w:p>
        </w:tc>
        <w:tc>
          <w:tcPr>
            <w:tcW w:w="4146" w:type="dxa"/>
          </w:tcPr>
          <w:p>
            <w:pPr>
              <w:pStyle w:val="yTableNAm"/>
            </w:pPr>
            <w:r>
              <w:t xml:space="preserve">For the use of the Department’s land immediately appurtenant or adjacent to a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30 days, an amount per day of</w:t>
            </w:r>
          </w:p>
        </w:tc>
        <w:tc>
          <w:tcPr>
            <w:tcW w:w="1276" w:type="dxa"/>
          </w:tcPr>
          <w:p>
            <w:pPr>
              <w:pStyle w:val="yTableNAm"/>
              <w:jc w:val="center"/>
            </w:pPr>
            <w:r>
              <w:t>18.91</w:t>
            </w:r>
          </w:p>
        </w:tc>
      </w:tr>
      <w:tr>
        <w:trPr>
          <w:cantSplit/>
        </w:trPr>
        <w:tc>
          <w:tcPr>
            <w:tcW w:w="630" w:type="dxa"/>
          </w:tcPr>
          <w:p>
            <w:pPr>
              <w:pStyle w:val="zyTableNAm"/>
            </w:pPr>
          </w:p>
        </w:tc>
        <w:tc>
          <w:tcPr>
            <w:tcW w:w="4146" w:type="dxa"/>
          </w:tcPr>
          <w:p>
            <w:pPr>
              <w:pStyle w:val="yTableNAm"/>
              <w:tabs>
                <w:tab w:val="clear" w:pos="567"/>
              </w:tabs>
              <w:ind w:left="226" w:hanging="226"/>
            </w:pPr>
            <w:r>
              <w:t>•</w:t>
            </w:r>
            <w:r>
              <w:tab/>
              <w:t>after the first 30 days, an amount per day of</w:t>
            </w:r>
          </w:p>
        </w:tc>
        <w:tc>
          <w:tcPr>
            <w:tcW w:w="1276" w:type="dxa"/>
          </w:tcPr>
          <w:p>
            <w:pPr>
              <w:pStyle w:val="yTableNAm"/>
              <w:jc w:val="center"/>
            </w:pPr>
            <w:r>
              <w:br/>
              <w:t>42.19</w:t>
            </w:r>
          </w:p>
        </w:tc>
      </w:tr>
      <w:tr>
        <w:trPr>
          <w:cantSplit/>
        </w:trPr>
        <w:tc>
          <w:tcPr>
            <w:tcW w:w="630" w:type="dxa"/>
          </w:tcPr>
          <w:p>
            <w:pPr>
              <w:pStyle w:val="yTableNAm"/>
            </w:pPr>
            <w:r>
              <w:t>4.</w:t>
            </w:r>
          </w:p>
        </w:tc>
        <w:tc>
          <w:tcPr>
            <w:tcW w:w="4146" w:type="dxa"/>
          </w:tcPr>
          <w:p>
            <w:pPr>
              <w:pStyle w:val="yTableNAm"/>
            </w:pPr>
            <w:r>
              <w:t xml:space="preserve">For the use of the Department’s land in the harbour appurtenant to but not immediately adjacent to the slip for maintenance or storage — </w:t>
            </w:r>
          </w:p>
        </w:tc>
        <w:tc>
          <w:tcPr>
            <w:tcW w:w="1276" w:type="dxa"/>
          </w:tcPr>
          <w:p>
            <w:pPr>
              <w:pStyle w:val="yTableNAm"/>
              <w:jc w:val="center"/>
            </w:pPr>
          </w:p>
        </w:tc>
      </w:tr>
      <w:tr>
        <w:trPr>
          <w:cantSplit/>
        </w:trPr>
        <w:tc>
          <w:tcPr>
            <w:tcW w:w="630" w:type="dxa"/>
          </w:tcPr>
          <w:p>
            <w:pPr>
              <w:pStyle w:val="zyTableNAm"/>
            </w:pPr>
          </w:p>
        </w:tc>
        <w:tc>
          <w:tcPr>
            <w:tcW w:w="4146" w:type="dxa"/>
          </w:tcPr>
          <w:p>
            <w:pPr>
              <w:pStyle w:val="yTableNAm"/>
              <w:tabs>
                <w:tab w:val="clear" w:pos="567"/>
              </w:tabs>
              <w:ind w:left="226" w:hanging="226"/>
            </w:pPr>
            <w:r>
              <w:t>•</w:t>
            </w:r>
            <w:r>
              <w:tab/>
              <w:t>for the first 90 days, an amount per day of</w:t>
            </w:r>
          </w:p>
        </w:tc>
        <w:tc>
          <w:tcPr>
            <w:tcW w:w="1276" w:type="dxa"/>
          </w:tcPr>
          <w:p>
            <w:pPr>
              <w:pStyle w:val="yTableNAm"/>
              <w:jc w:val="center"/>
            </w:pPr>
            <w:r>
              <w:t>18.91</w:t>
            </w:r>
          </w:p>
        </w:tc>
      </w:tr>
      <w:tr>
        <w:trPr>
          <w:cantSplit/>
        </w:trPr>
        <w:tc>
          <w:tcPr>
            <w:tcW w:w="630" w:type="dxa"/>
            <w:tcBorders>
              <w:bottom w:val="single" w:sz="4" w:space="0" w:color="auto"/>
            </w:tcBorders>
          </w:tcPr>
          <w:p>
            <w:pPr>
              <w:pStyle w:val="zyTableNAm"/>
              <w:keepNext/>
            </w:pPr>
          </w:p>
        </w:tc>
        <w:tc>
          <w:tcPr>
            <w:tcW w:w="4146" w:type="dxa"/>
            <w:tcBorders>
              <w:bottom w:val="single" w:sz="4" w:space="0" w:color="auto"/>
            </w:tcBorders>
          </w:tcPr>
          <w:p>
            <w:pPr>
              <w:pStyle w:val="yTableNAm"/>
              <w:keepNext/>
              <w:tabs>
                <w:tab w:val="clear" w:pos="567"/>
              </w:tabs>
              <w:ind w:left="226" w:hanging="226"/>
            </w:pPr>
            <w:r>
              <w:t>•</w:t>
            </w:r>
            <w:r>
              <w:tab/>
              <w:t>after the first 90 days, an amount per day of</w:t>
            </w:r>
          </w:p>
        </w:tc>
        <w:tc>
          <w:tcPr>
            <w:tcW w:w="1276" w:type="dxa"/>
            <w:tcBorders>
              <w:bottom w:val="single" w:sz="4" w:space="0" w:color="auto"/>
            </w:tcBorders>
          </w:tcPr>
          <w:p>
            <w:pPr>
              <w:pStyle w:val="yTableNAm"/>
              <w:keepNext/>
              <w:jc w:val="center"/>
            </w:pPr>
            <w:r>
              <w:br/>
              <w:t>42.19</w:t>
            </w:r>
          </w:p>
        </w:tc>
      </w:tr>
    </w:tbl>
    <w:p>
      <w:pPr>
        <w:pStyle w:val="yFootnotesection"/>
      </w:pPr>
      <w:r>
        <w:tab/>
        <w:t>[Clause 31 inserted in Gazette 22 Jul 2015 p. 2987</w:t>
      </w:r>
      <w:r>
        <w:noBreakHyphen/>
        <w:t>9.]</w:t>
      </w:r>
    </w:p>
    <w:p>
      <w:pPr>
        <w:pStyle w:val="yHeading5"/>
      </w:pPr>
      <w:bookmarkStart w:id="210" w:name="_Toc443638842"/>
      <w:r>
        <w:rPr>
          <w:rStyle w:val="CharSClsNo"/>
        </w:rPr>
        <w:t>32</w:t>
      </w:r>
      <w:r>
        <w:t>.</w:t>
      </w:r>
      <w:r>
        <w:tab/>
        <w:t>Floating dinghy pens</w:t>
      </w:r>
      <w:bookmarkEnd w:id="210"/>
    </w:p>
    <w:p>
      <w:pPr>
        <w:pStyle w:val="ySubsection"/>
      </w:pPr>
      <w:r>
        <w:tab/>
      </w:r>
      <w:r>
        <w:tab/>
        <w:t>The charges to be paid for the use of floating dinghy pens at a place are $272.89 per year.</w:t>
      </w:r>
    </w:p>
    <w:p>
      <w:pPr>
        <w:pStyle w:val="yFootnotesection"/>
      </w:pPr>
      <w:r>
        <w:tab/>
        <w:t>[Clause 32 inserted in Gazette 22 Jul 2015 p. 2989.]</w:t>
      </w:r>
    </w:p>
    <w:p>
      <w:pPr>
        <w:pStyle w:val="yScheduleHeading"/>
      </w:pPr>
      <w:bookmarkStart w:id="211" w:name="_Toc440457150"/>
      <w:bookmarkStart w:id="212" w:name="_Toc443638843"/>
      <w:r>
        <w:rPr>
          <w:rStyle w:val="CharSchNo"/>
        </w:rPr>
        <w:t>Schedule 1A</w:t>
      </w:r>
      <w:r>
        <w:rPr>
          <w:rStyle w:val="CharSDivNo"/>
        </w:rPr>
        <w:t> </w:t>
      </w:r>
      <w:r>
        <w:t>—</w:t>
      </w:r>
      <w:r>
        <w:rPr>
          <w:rStyle w:val="CharSDivText"/>
        </w:rPr>
        <w:t> </w:t>
      </w:r>
      <w:r>
        <w:rPr>
          <w:rStyle w:val="CharSchText"/>
        </w:rPr>
        <w:t>Fuel oil wharfage</w:t>
      </w:r>
      <w:bookmarkEnd w:id="211"/>
      <w:bookmarkEnd w:id="212"/>
    </w:p>
    <w:p>
      <w:pPr>
        <w:pStyle w:val="yShoulderClause"/>
      </w:pPr>
      <w:r>
        <w:t>[r. 11B(2)]</w:t>
      </w:r>
    </w:p>
    <w:p>
      <w:pPr>
        <w:pStyle w:val="yFootnoteheading"/>
      </w:pPr>
      <w:r>
        <w:tab/>
        <w:t>[Heading inserted in Gazette 22 Jul 2015 p. 2989.]</w:t>
      </w:r>
    </w:p>
    <w:p>
      <w:pPr>
        <w:pStyle w:val="yHeading5"/>
      </w:pPr>
      <w:bookmarkStart w:id="213" w:name="_Toc443638844"/>
      <w:r>
        <w:rPr>
          <w:rStyle w:val="CharSClsNo"/>
        </w:rPr>
        <w:t>1</w:t>
      </w:r>
      <w:r>
        <w:t>.</w:t>
      </w:r>
      <w:r>
        <w:tab/>
        <w:t>Wharfage for fuel (r. 11B(2))</w:t>
      </w:r>
      <w:bookmarkEnd w:id="213"/>
    </w:p>
    <w:p>
      <w:pPr>
        <w:pStyle w:val="ySubsection"/>
      </w:pPr>
      <w:r>
        <w:tab/>
      </w:r>
      <w:r>
        <w:tab/>
        <w:t>The rate to be paid for fuel oil under regulation 11B(2) at a place listed in the Table is set out opposite the place.</w:t>
      </w:r>
    </w:p>
    <w:p>
      <w:pPr>
        <w:pStyle w:val="yTHeadingNAm"/>
        <w:ind w:left="993"/>
      </w:pPr>
      <w:r>
        <w:t>Table (Wharfage for fuel oil)</w:t>
      </w:r>
    </w:p>
    <w:tbl>
      <w:tblPr>
        <w:tblW w:w="6095" w:type="dxa"/>
        <w:tblInd w:w="1050" w:type="dxa"/>
        <w:tblLayout w:type="fixed"/>
        <w:tblCellMar>
          <w:top w:w="57" w:type="dxa"/>
          <w:left w:w="57" w:type="dxa"/>
          <w:right w:w="57" w:type="dxa"/>
        </w:tblCellMar>
        <w:tblLook w:val="0000" w:firstRow="0" w:lastRow="0" w:firstColumn="0" w:lastColumn="0" w:noHBand="0" w:noVBand="0"/>
      </w:tblPr>
      <w:tblGrid>
        <w:gridCol w:w="708"/>
        <w:gridCol w:w="4253"/>
        <w:gridCol w:w="1134"/>
      </w:tblGrid>
      <w:tr>
        <w:trPr>
          <w:cantSplit/>
          <w:tblHeader/>
        </w:trPr>
        <w:tc>
          <w:tcPr>
            <w:tcW w:w="708" w:type="dxa"/>
            <w:tcBorders>
              <w:top w:val="single" w:sz="4" w:space="0" w:color="auto"/>
              <w:bottom w:val="single" w:sz="4" w:space="0" w:color="auto"/>
            </w:tcBorders>
          </w:tcPr>
          <w:p>
            <w:pPr>
              <w:pStyle w:val="yTableNAm"/>
            </w:pPr>
            <w:r>
              <w:rPr>
                <w:b/>
              </w:rPr>
              <w:t>Item</w:t>
            </w:r>
          </w:p>
        </w:tc>
        <w:tc>
          <w:tcPr>
            <w:tcW w:w="4253"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$/L</w:t>
            </w:r>
          </w:p>
        </w:tc>
      </w:tr>
      <w:tr>
        <w:trPr>
          <w:cantSplit/>
        </w:trPr>
        <w:tc>
          <w:tcPr>
            <w:tcW w:w="708" w:type="dxa"/>
          </w:tcPr>
          <w:p>
            <w:pPr>
              <w:pStyle w:val="yTableNAm"/>
            </w:pPr>
            <w:r>
              <w:t>1.</w:t>
            </w:r>
          </w:p>
        </w:tc>
        <w:tc>
          <w:tcPr>
            <w:tcW w:w="4253" w:type="dxa"/>
          </w:tcPr>
          <w:p>
            <w:pPr>
              <w:pStyle w:val="yTableNAm"/>
            </w:pPr>
            <w:r>
              <w:t>Albany, at Albany Waterfront Marina</w:t>
            </w:r>
          </w:p>
        </w:tc>
        <w:tc>
          <w:tcPr>
            <w:tcW w:w="1134" w:type="dxa"/>
          </w:tcPr>
          <w:p>
            <w:pPr>
              <w:pStyle w:val="yTableNAm"/>
              <w:jc w:val="center"/>
            </w:pPr>
            <w:r>
              <w:t>0.055</w:t>
            </w:r>
          </w:p>
        </w:tc>
      </w:tr>
      <w:tr>
        <w:trPr>
          <w:cantSplit/>
        </w:trPr>
        <w:tc>
          <w:tcPr>
            <w:tcW w:w="708" w:type="dxa"/>
          </w:tcPr>
          <w:p>
            <w:pPr>
              <w:pStyle w:val="yTableNAm"/>
            </w:pPr>
            <w:r>
              <w:t>2.</w:t>
            </w:r>
          </w:p>
        </w:tc>
        <w:tc>
          <w:tcPr>
            <w:tcW w:w="4253" w:type="dxa"/>
          </w:tcPr>
          <w:p>
            <w:pPr>
              <w:pStyle w:val="yTableNAm"/>
            </w:pPr>
            <w:r>
              <w:t>Albany, at Emu Point Boat Harbour</w:t>
            </w:r>
          </w:p>
        </w:tc>
        <w:tc>
          <w:tcPr>
            <w:tcW w:w="1134" w:type="dxa"/>
          </w:tcPr>
          <w:p>
            <w:pPr>
              <w:pStyle w:val="yTableNAm"/>
              <w:jc w:val="center"/>
            </w:pPr>
            <w:r>
              <w:t>0.055</w:t>
            </w:r>
          </w:p>
        </w:tc>
      </w:tr>
      <w:tr>
        <w:trPr>
          <w:cantSplit/>
        </w:trPr>
        <w:tc>
          <w:tcPr>
            <w:tcW w:w="708" w:type="dxa"/>
          </w:tcPr>
          <w:p>
            <w:pPr>
              <w:pStyle w:val="yTableNAm"/>
            </w:pPr>
            <w:r>
              <w:t>3.</w:t>
            </w:r>
          </w:p>
        </w:tc>
        <w:tc>
          <w:tcPr>
            <w:tcW w:w="4253" w:type="dxa"/>
          </w:tcPr>
          <w:p>
            <w:pPr>
              <w:pStyle w:val="yTableNAm"/>
            </w:pPr>
            <w:r>
              <w:t>Augusta (Ellis Street) Maritime Facility</w:t>
            </w:r>
          </w:p>
        </w:tc>
        <w:tc>
          <w:tcPr>
            <w:tcW w:w="1134" w:type="dxa"/>
          </w:tcPr>
          <w:p>
            <w:pPr>
              <w:pStyle w:val="yTableNAm"/>
              <w:jc w:val="center"/>
            </w:pPr>
            <w:r>
              <w:t>0.055</w:t>
            </w:r>
          </w:p>
        </w:tc>
      </w:tr>
      <w:tr>
        <w:trPr>
          <w:cantSplit/>
        </w:trPr>
        <w:tc>
          <w:tcPr>
            <w:tcW w:w="708" w:type="dxa"/>
          </w:tcPr>
          <w:p>
            <w:pPr>
              <w:pStyle w:val="yTableNAm"/>
            </w:pPr>
            <w:r>
              <w:t>4.</w:t>
            </w:r>
          </w:p>
        </w:tc>
        <w:tc>
          <w:tcPr>
            <w:tcW w:w="4253" w:type="dxa"/>
          </w:tcPr>
          <w:p>
            <w:pPr>
              <w:pStyle w:val="yTableNAm"/>
            </w:pPr>
            <w:r>
              <w:t>Augusta Boat Harbour</w:t>
            </w:r>
          </w:p>
        </w:tc>
        <w:tc>
          <w:tcPr>
            <w:tcW w:w="1134" w:type="dxa"/>
          </w:tcPr>
          <w:p>
            <w:pPr>
              <w:pStyle w:val="yTableNAm"/>
              <w:jc w:val="center"/>
            </w:pPr>
            <w:r>
              <w:t>0.055</w:t>
            </w:r>
          </w:p>
        </w:tc>
      </w:tr>
      <w:tr>
        <w:trPr>
          <w:cantSplit/>
        </w:trPr>
        <w:tc>
          <w:tcPr>
            <w:tcW w:w="708" w:type="dxa"/>
          </w:tcPr>
          <w:p>
            <w:pPr>
              <w:pStyle w:val="yTableNAm"/>
            </w:pPr>
            <w:r>
              <w:t>5.</w:t>
            </w:r>
          </w:p>
        </w:tc>
        <w:tc>
          <w:tcPr>
            <w:tcW w:w="4253" w:type="dxa"/>
          </w:tcPr>
          <w:p>
            <w:pPr>
              <w:pStyle w:val="yTableNAm"/>
            </w:pPr>
            <w:r>
              <w:t>Barrack Street Jetty</w:t>
            </w:r>
          </w:p>
        </w:tc>
        <w:tc>
          <w:tcPr>
            <w:tcW w:w="1134" w:type="dxa"/>
          </w:tcPr>
          <w:p>
            <w:pPr>
              <w:pStyle w:val="yTableNAm"/>
              <w:jc w:val="center"/>
            </w:pPr>
            <w:r>
              <w:t>0.055</w:t>
            </w:r>
          </w:p>
        </w:tc>
      </w:tr>
      <w:tr>
        <w:trPr>
          <w:cantSplit/>
        </w:trPr>
        <w:tc>
          <w:tcPr>
            <w:tcW w:w="708" w:type="dxa"/>
          </w:tcPr>
          <w:p>
            <w:pPr>
              <w:pStyle w:val="yTableNAm"/>
            </w:pPr>
            <w:r>
              <w:t>6.</w:t>
            </w:r>
          </w:p>
        </w:tc>
        <w:tc>
          <w:tcPr>
            <w:tcW w:w="4253" w:type="dxa"/>
          </w:tcPr>
          <w:p>
            <w:pPr>
              <w:pStyle w:val="yTableNAm"/>
            </w:pPr>
            <w:r>
              <w:t>Bremer Bay</w:t>
            </w:r>
          </w:p>
        </w:tc>
        <w:tc>
          <w:tcPr>
            <w:tcW w:w="1134" w:type="dxa"/>
          </w:tcPr>
          <w:p>
            <w:pPr>
              <w:pStyle w:val="yTableNAm"/>
              <w:jc w:val="center"/>
            </w:pPr>
            <w:r>
              <w:t>0.055</w:t>
            </w:r>
          </w:p>
        </w:tc>
      </w:tr>
      <w:tr>
        <w:trPr>
          <w:cantSplit/>
        </w:trPr>
        <w:tc>
          <w:tcPr>
            <w:tcW w:w="708" w:type="dxa"/>
          </w:tcPr>
          <w:p>
            <w:pPr>
              <w:pStyle w:val="yTableNAm"/>
            </w:pPr>
            <w:r>
              <w:t>7.</w:t>
            </w:r>
          </w:p>
        </w:tc>
        <w:tc>
          <w:tcPr>
            <w:tcW w:w="4253" w:type="dxa"/>
          </w:tcPr>
          <w:p>
            <w:pPr>
              <w:pStyle w:val="yTableNAm"/>
            </w:pPr>
            <w:r>
              <w:t>Bunbury, at Casuarina Boat Harbour</w:t>
            </w:r>
          </w:p>
        </w:tc>
        <w:tc>
          <w:tcPr>
            <w:tcW w:w="1134" w:type="dxa"/>
          </w:tcPr>
          <w:p>
            <w:pPr>
              <w:pStyle w:val="yTableNAm"/>
              <w:jc w:val="center"/>
            </w:pPr>
            <w:r>
              <w:t>0.055</w:t>
            </w:r>
          </w:p>
        </w:tc>
      </w:tr>
      <w:tr>
        <w:trPr>
          <w:cantSplit/>
        </w:trPr>
        <w:tc>
          <w:tcPr>
            <w:tcW w:w="708" w:type="dxa"/>
          </w:tcPr>
          <w:p>
            <w:pPr>
              <w:pStyle w:val="yTableNAm"/>
            </w:pPr>
            <w:r>
              <w:t>8.</w:t>
            </w:r>
          </w:p>
        </w:tc>
        <w:tc>
          <w:tcPr>
            <w:tcW w:w="4253" w:type="dxa"/>
          </w:tcPr>
          <w:p>
            <w:pPr>
              <w:pStyle w:val="yTableNAm"/>
            </w:pPr>
            <w:r>
              <w:t>Carnarvon</w:t>
            </w:r>
          </w:p>
        </w:tc>
        <w:tc>
          <w:tcPr>
            <w:tcW w:w="1134" w:type="dxa"/>
          </w:tcPr>
          <w:p>
            <w:pPr>
              <w:pStyle w:val="yTableNAm"/>
              <w:jc w:val="center"/>
            </w:pPr>
            <w:r>
              <w:t>0.055</w:t>
            </w:r>
          </w:p>
        </w:tc>
      </w:tr>
      <w:tr>
        <w:trPr>
          <w:cantSplit/>
        </w:trPr>
        <w:tc>
          <w:tcPr>
            <w:tcW w:w="708" w:type="dxa"/>
          </w:tcPr>
          <w:p>
            <w:pPr>
              <w:pStyle w:val="yTableNAm"/>
            </w:pPr>
            <w:r>
              <w:t>9.</w:t>
            </w:r>
          </w:p>
        </w:tc>
        <w:tc>
          <w:tcPr>
            <w:tcW w:w="4253" w:type="dxa"/>
          </w:tcPr>
          <w:p>
            <w:pPr>
              <w:pStyle w:val="yTableNAm"/>
            </w:pPr>
            <w:r>
              <w:t>Cervantes</w:t>
            </w:r>
          </w:p>
        </w:tc>
        <w:tc>
          <w:tcPr>
            <w:tcW w:w="1134" w:type="dxa"/>
          </w:tcPr>
          <w:p>
            <w:pPr>
              <w:pStyle w:val="yTableNAm"/>
              <w:jc w:val="center"/>
            </w:pPr>
            <w:r>
              <w:t>0.055</w:t>
            </w:r>
          </w:p>
        </w:tc>
      </w:tr>
      <w:tr>
        <w:trPr>
          <w:cantSplit/>
        </w:trPr>
        <w:tc>
          <w:tcPr>
            <w:tcW w:w="708" w:type="dxa"/>
          </w:tcPr>
          <w:p>
            <w:pPr>
              <w:pStyle w:val="yTableNAm"/>
            </w:pPr>
            <w:r>
              <w:t>10.</w:t>
            </w:r>
          </w:p>
        </w:tc>
        <w:tc>
          <w:tcPr>
            <w:tcW w:w="4253" w:type="dxa"/>
          </w:tcPr>
          <w:p>
            <w:pPr>
              <w:pStyle w:val="yTableNAm"/>
            </w:pPr>
            <w:r>
              <w:t>Denham</w:t>
            </w:r>
          </w:p>
        </w:tc>
        <w:tc>
          <w:tcPr>
            <w:tcW w:w="1134" w:type="dxa"/>
          </w:tcPr>
          <w:p>
            <w:pPr>
              <w:pStyle w:val="yTableNAm"/>
              <w:jc w:val="center"/>
            </w:pPr>
            <w:r>
              <w:t>0.055</w:t>
            </w:r>
          </w:p>
        </w:tc>
      </w:tr>
      <w:tr>
        <w:trPr>
          <w:cantSplit/>
        </w:trPr>
        <w:tc>
          <w:tcPr>
            <w:tcW w:w="708" w:type="dxa"/>
          </w:tcPr>
          <w:p>
            <w:pPr>
              <w:pStyle w:val="yTableNAm"/>
            </w:pPr>
            <w:r>
              <w:t>11.</w:t>
            </w:r>
          </w:p>
        </w:tc>
        <w:tc>
          <w:tcPr>
            <w:tcW w:w="4253" w:type="dxa"/>
          </w:tcPr>
          <w:p>
            <w:pPr>
              <w:pStyle w:val="yTableNAm"/>
            </w:pPr>
            <w:r>
              <w:t>Esperance</w:t>
            </w:r>
          </w:p>
        </w:tc>
        <w:tc>
          <w:tcPr>
            <w:tcW w:w="1134" w:type="dxa"/>
          </w:tcPr>
          <w:p>
            <w:pPr>
              <w:pStyle w:val="yTableNAm"/>
              <w:jc w:val="center"/>
            </w:pPr>
            <w:r>
              <w:t>0.055</w:t>
            </w:r>
          </w:p>
        </w:tc>
      </w:tr>
      <w:tr>
        <w:trPr>
          <w:cantSplit/>
        </w:trPr>
        <w:tc>
          <w:tcPr>
            <w:tcW w:w="708" w:type="dxa"/>
          </w:tcPr>
          <w:p>
            <w:pPr>
              <w:pStyle w:val="yTableNAm"/>
            </w:pPr>
            <w:r>
              <w:t>12.</w:t>
            </w:r>
          </w:p>
        </w:tc>
        <w:tc>
          <w:tcPr>
            <w:tcW w:w="4253" w:type="dxa"/>
          </w:tcPr>
          <w:p>
            <w:pPr>
              <w:pStyle w:val="yTableNAm"/>
            </w:pPr>
            <w:r>
              <w:t>Exmouth</w:t>
            </w:r>
          </w:p>
        </w:tc>
        <w:tc>
          <w:tcPr>
            <w:tcW w:w="1134" w:type="dxa"/>
          </w:tcPr>
          <w:p>
            <w:pPr>
              <w:pStyle w:val="yTableNAm"/>
              <w:jc w:val="center"/>
            </w:pPr>
            <w:r>
              <w:t>0.055</w:t>
            </w:r>
          </w:p>
        </w:tc>
      </w:tr>
      <w:tr>
        <w:trPr>
          <w:cantSplit/>
        </w:trPr>
        <w:tc>
          <w:tcPr>
            <w:tcW w:w="708" w:type="dxa"/>
          </w:tcPr>
          <w:p>
            <w:pPr>
              <w:pStyle w:val="yTableNAm"/>
            </w:pPr>
            <w:r>
              <w:t>13.</w:t>
            </w:r>
          </w:p>
        </w:tc>
        <w:tc>
          <w:tcPr>
            <w:tcW w:w="4253" w:type="dxa"/>
          </w:tcPr>
          <w:p>
            <w:pPr>
              <w:pStyle w:val="yTableNAm"/>
            </w:pPr>
            <w:r>
              <w:t>Fremantle, at Fremantle Fishing Boat Harbour</w:t>
            </w:r>
          </w:p>
        </w:tc>
        <w:tc>
          <w:tcPr>
            <w:tcW w:w="1134" w:type="dxa"/>
          </w:tcPr>
          <w:p>
            <w:pPr>
              <w:pStyle w:val="yTableNAm"/>
              <w:jc w:val="center"/>
            </w:pPr>
            <w:r>
              <w:t>0.055</w:t>
            </w:r>
          </w:p>
        </w:tc>
      </w:tr>
      <w:tr>
        <w:trPr>
          <w:cantSplit/>
        </w:trPr>
        <w:tc>
          <w:tcPr>
            <w:tcW w:w="708" w:type="dxa"/>
          </w:tcPr>
          <w:p>
            <w:pPr>
              <w:pStyle w:val="yTableNAm"/>
            </w:pPr>
            <w:r>
              <w:t>14.</w:t>
            </w:r>
          </w:p>
        </w:tc>
        <w:tc>
          <w:tcPr>
            <w:tcW w:w="4253" w:type="dxa"/>
          </w:tcPr>
          <w:p>
            <w:pPr>
              <w:pStyle w:val="yTableNAm"/>
            </w:pPr>
            <w:r>
              <w:t>Green Head</w:t>
            </w:r>
          </w:p>
        </w:tc>
        <w:tc>
          <w:tcPr>
            <w:tcW w:w="1134" w:type="dxa"/>
          </w:tcPr>
          <w:p>
            <w:pPr>
              <w:pStyle w:val="yTableNAm"/>
              <w:jc w:val="center"/>
            </w:pPr>
            <w:r>
              <w:t>0.055</w:t>
            </w:r>
          </w:p>
        </w:tc>
      </w:tr>
      <w:tr>
        <w:trPr>
          <w:cantSplit/>
        </w:trPr>
        <w:tc>
          <w:tcPr>
            <w:tcW w:w="708" w:type="dxa"/>
          </w:tcPr>
          <w:p>
            <w:pPr>
              <w:pStyle w:val="yTableNAm"/>
            </w:pPr>
            <w:r>
              <w:t>15.</w:t>
            </w:r>
          </w:p>
        </w:tc>
        <w:tc>
          <w:tcPr>
            <w:tcW w:w="4253" w:type="dxa"/>
          </w:tcPr>
          <w:p>
            <w:pPr>
              <w:pStyle w:val="yTableNAm"/>
            </w:pPr>
            <w:r>
              <w:t>Hillarys Boat Harbour</w:t>
            </w:r>
          </w:p>
        </w:tc>
        <w:tc>
          <w:tcPr>
            <w:tcW w:w="1134" w:type="dxa"/>
          </w:tcPr>
          <w:p>
            <w:pPr>
              <w:pStyle w:val="yTableNAm"/>
              <w:jc w:val="center"/>
            </w:pPr>
            <w:r>
              <w:t>0.055</w:t>
            </w:r>
          </w:p>
        </w:tc>
      </w:tr>
      <w:tr>
        <w:trPr>
          <w:cantSplit/>
        </w:trPr>
        <w:tc>
          <w:tcPr>
            <w:tcW w:w="708" w:type="dxa"/>
          </w:tcPr>
          <w:p>
            <w:pPr>
              <w:pStyle w:val="yTableNAm"/>
            </w:pPr>
            <w:r>
              <w:t>16.</w:t>
            </w:r>
          </w:p>
        </w:tc>
        <w:tc>
          <w:tcPr>
            <w:tcW w:w="4253" w:type="dxa"/>
          </w:tcPr>
          <w:p>
            <w:pPr>
              <w:pStyle w:val="yTableNAm"/>
            </w:pPr>
            <w:r>
              <w:t>Hopetoun</w:t>
            </w:r>
          </w:p>
        </w:tc>
        <w:tc>
          <w:tcPr>
            <w:tcW w:w="1134" w:type="dxa"/>
          </w:tcPr>
          <w:p>
            <w:pPr>
              <w:pStyle w:val="yTableNAm"/>
              <w:jc w:val="center"/>
            </w:pPr>
            <w:r>
              <w:t>0.055</w:t>
            </w:r>
          </w:p>
        </w:tc>
      </w:tr>
      <w:tr>
        <w:trPr>
          <w:cantSplit/>
        </w:trPr>
        <w:tc>
          <w:tcPr>
            <w:tcW w:w="708" w:type="dxa"/>
          </w:tcPr>
          <w:p>
            <w:pPr>
              <w:pStyle w:val="yTableNAm"/>
            </w:pPr>
            <w:r>
              <w:t>17.</w:t>
            </w:r>
          </w:p>
        </w:tc>
        <w:tc>
          <w:tcPr>
            <w:tcW w:w="4253" w:type="dxa"/>
          </w:tcPr>
          <w:p>
            <w:pPr>
              <w:pStyle w:val="yTableNAm"/>
            </w:pPr>
            <w:r>
              <w:t>Jurien</w:t>
            </w:r>
          </w:p>
        </w:tc>
        <w:tc>
          <w:tcPr>
            <w:tcW w:w="1134" w:type="dxa"/>
          </w:tcPr>
          <w:p>
            <w:pPr>
              <w:pStyle w:val="yTableNAm"/>
              <w:jc w:val="center"/>
            </w:pPr>
            <w:r>
              <w:t>0.055</w:t>
            </w:r>
          </w:p>
        </w:tc>
      </w:tr>
      <w:tr>
        <w:trPr>
          <w:cantSplit/>
        </w:trPr>
        <w:tc>
          <w:tcPr>
            <w:tcW w:w="708" w:type="dxa"/>
          </w:tcPr>
          <w:p>
            <w:pPr>
              <w:pStyle w:val="yTableNAm"/>
            </w:pPr>
            <w:r>
              <w:t>18.</w:t>
            </w:r>
          </w:p>
        </w:tc>
        <w:tc>
          <w:tcPr>
            <w:tcW w:w="4253" w:type="dxa"/>
          </w:tcPr>
          <w:p>
            <w:pPr>
              <w:pStyle w:val="yTableNAm"/>
            </w:pPr>
            <w:r>
              <w:t>Kalbarri</w:t>
            </w:r>
          </w:p>
        </w:tc>
        <w:tc>
          <w:tcPr>
            <w:tcW w:w="1134" w:type="dxa"/>
          </w:tcPr>
          <w:p>
            <w:pPr>
              <w:pStyle w:val="yTableNAm"/>
              <w:jc w:val="center"/>
            </w:pPr>
            <w:r>
              <w:t>0.055</w:t>
            </w:r>
          </w:p>
        </w:tc>
      </w:tr>
      <w:tr>
        <w:trPr>
          <w:cantSplit/>
        </w:trPr>
        <w:tc>
          <w:tcPr>
            <w:tcW w:w="708" w:type="dxa"/>
          </w:tcPr>
          <w:p>
            <w:pPr>
              <w:pStyle w:val="yTableNAm"/>
            </w:pPr>
            <w:r>
              <w:t>19.</w:t>
            </w:r>
          </w:p>
        </w:tc>
        <w:tc>
          <w:tcPr>
            <w:tcW w:w="4253" w:type="dxa"/>
          </w:tcPr>
          <w:p>
            <w:pPr>
              <w:pStyle w:val="yTableNAm"/>
            </w:pPr>
            <w:r>
              <w:t>Lancelin</w:t>
            </w:r>
          </w:p>
        </w:tc>
        <w:tc>
          <w:tcPr>
            <w:tcW w:w="1134" w:type="dxa"/>
          </w:tcPr>
          <w:p>
            <w:pPr>
              <w:pStyle w:val="yTableNAm"/>
              <w:jc w:val="center"/>
            </w:pPr>
            <w:r>
              <w:t>0.055</w:t>
            </w:r>
          </w:p>
        </w:tc>
      </w:tr>
      <w:tr>
        <w:trPr>
          <w:cantSplit/>
        </w:trPr>
        <w:tc>
          <w:tcPr>
            <w:tcW w:w="708" w:type="dxa"/>
          </w:tcPr>
          <w:p>
            <w:pPr>
              <w:pStyle w:val="yTableNAm"/>
            </w:pPr>
            <w:r>
              <w:t>20.</w:t>
            </w:r>
          </w:p>
        </w:tc>
        <w:tc>
          <w:tcPr>
            <w:tcW w:w="4253" w:type="dxa"/>
          </w:tcPr>
          <w:p>
            <w:pPr>
              <w:pStyle w:val="yTableNAm"/>
            </w:pPr>
            <w:r>
              <w:t>Leeman</w:t>
            </w:r>
          </w:p>
        </w:tc>
        <w:tc>
          <w:tcPr>
            <w:tcW w:w="1134" w:type="dxa"/>
          </w:tcPr>
          <w:p>
            <w:pPr>
              <w:pStyle w:val="yTableNAm"/>
              <w:jc w:val="center"/>
            </w:pPr>
            <w:r>
              <w:t>0.055</w:t>
            </w:r>
          </w:p>
        </w:tc>
      </w:tr>
      <w:tr>
        <w:trPr>
          <w:cantSplit/>
        </w:trPr>
        <w:tc>
          <w:tcPr>
            <w:tcW w:w="708" w:type="dxa"/>
          </w:tcPr>
          <w:p>
            <w:pPr>
              <w:pStyle w:val="yTableNAm"/>
            </w:pPr>
            <w:r>
              <w:t>21.</w:t>
            </w:r>
          </w:p>
        </w:tc>
        <w:tc>
          <w:tcPr>
            <w:tcW w:w="4253" w:type="dxa"/>
          </w:tcPr>
          <w:p>
            <w:pPr>
              <w:pStyle w:val="yTableNAm"/>
            </w:pPr>
            <w:r>
              <w:t>Onslow, at Beadon Creek Boat Harbour</w:t>
            </w:r>
          </w:p>
        </w:tc>
        <w:tc>
          <w:tcPr>
            <w:tcW w:w="1134" w:type="dxa"/>
          </w:tcPr>
          <w:p>
            <w:pPr>
              <w:pStyle w:val="yTableNAm"/>
              <w:jc w:val="center"/>
            </w:pPr>
            <w:r>
              <w:t>0.055</w:t>
            </w:r>
          </w:p>
        </w:tc>
      </w:tr>
      <w:tr>
        <w:trPr>
          <w:cantSplit/>
        </w:trPr>
        <w:tc>
          <w:tcPr>
            <w:tcW w:w="708" w:type="dxa"/>
          </w:tcPr>
          <w:p>
            <w:pPr>
              <w:pStyle w:val="yTableNAm"/>
            </w:pPr>
            <w:r>
              <w:t>22.</w:t>
            </w:r>
          </w:p>
        </w:tc>
        <w:tc>
          <w:tcPr>
            <w:tcW w:w="4253" w:type="dxa"/>
          </w:tcPr>
          <w:p>
            <w:pPr>
              <w:pStyle w:val="yTableNAm"/>
            </w:pPr>
            <w:r>
              <w:t>Point Samson, at Johns Creek Boat Harbour</w:t>
            </w:r>
          </w:p>
        </w:tc>
        <w:tc>
          <w:tcPr>
            <w:tcW w:w="1134" w:type="dxa"/>
          </w:tcPr>
          <w:p>
            <w:pPr>
              <w:pStyle w:val="yTableNAm"/>
              <w:jc w:val="center"/>
            </w:pPr>
            <w:r>
              <w:t>0.055</w:t>
            </w:r>
          </w:p>
        </w:tc>
      </w:tr>
      <w:tr>
        <w:trPr>
          <w:cantSplit/>
        </w:trPr>
        <w:tc>
          <w:tcPr>
            <w:tcW w:w="708" w:type="dxa"/>
          </w:tcPr>
          <w:p>
            <w:pPr>
              <w:pStyle w:val="yTableNAm"/>
            </w:pPr>
            <w:r>
              <w:t>23.</w:t>
            </w:r>
          </w:p>
        </w:tc>
        <w:tc>
          <w:tcPr>
            <w:tcW w:w="4253" w:type="dxa"/>
          </w:tcPr>
          <w:p>
            <w:pPr>
              <w:pStyle w:val="yTableNAm"/>
            </w:pPr>
            <w:r>
              <w:t>Port Denison</w:t>
            </w:r>
          </w:p>
        </w:tc>
        <w:tc>
          <w:tcPr>
            <w:tcW w:w="1134" w:type="dxa"/>
          </w:tcPr>
          <w:p>
            <w:pPr>
              <w:pStyle w:val="yTableNAm"/>
              <w:jc w:val="center"/>
            </w:pPr>
            <w:r>
              <w:t>0.055</w:t>
            </w:r>
          </w:p>
        </w:tc>
      </w:tr>
      <w:tr>
        <w:trPr>
          <w:cantSplit/>
        </w:trPr>
        <w:tc>
          <w:tcPr>
            <w:tcW w:w="708" w:type="dxa"/>
          </w:tcPr>
          <w:p>
            <w:pPr>
              <w:pStyle w:val="yTableNAm"/>
            </w:pPr>
            <w:r>
              <w:t>24.</w:t>
            </w:r>
          </w:p>
        </w:tc>
        <w:tc>
          <w:tcPr>
            <w:tcW w:w="4253" w:type="dxa"/>
          </w:tcPr>
          <w:p>
            <w:pPr>
              <w:pStyle w:val="yTableNAm"/>
            </w:pPr>
            <w:r>
              <w:t>Port Gregory</w:t>
            </w:r>
          </w:p>
        </w:tc>
        <w:tc>
          <w:tcPr>
            <w:tcW w:w="1134" w:type="dxa"/>
          </w:tcPr>
          <w:p>
            <w:pPr>
              <w:pStyle w:val="yTableNAm"/>
              <w:jc w:val="center"/>
            </w:pPr>
            <w:r>
              <w:t>0.055</w:t>
            </w:r>
          </w:p>
        </w:tc>
      </w:tr>
      <w:tr>
        <w:trPr>
          <w:cantSplit/>
        </w:trPr>
        <w:tc>
          <w:tcPr>
            <w:tcW w:w="708" w:type="dxa"/>
          </w:tcPr>
          <w:p>
            <w:pPr>
              <w:pStyle w:val="yTableNAm"/>
            </w:pPr>
            <w:r>
              <w:t>25.</w:t>
            </w:r>
          </w:p>
        </w:tc>
        <w:tc>
          <w:tcPr>
            <w:tcW w:w="4253" w:type="dxa"/>
          </w:tcPr>
          <w:p>
            <w:pPr>
              <w:pStyle w:val="yTableNAm"/>
            </w:pPr>
            <w:r>
              <w:t>Two Rocks Marina</w:t>
            </w:r>
          </w:p>
        </w:tc>
        <w:tc>
          <w:tcPr>
            <w:tcW w:w="1134" w:type="dxa"/>
          </w:tcPr>
          <w:p>
            <w:pPr>
              <w:pStyle w:val="yTableNAm"/>
              <w:jc w:val="center"/>
            </w:pPr>
            <w:r>
              <w:t>0.055</w:t>
            </w:r>
          </w:p>
        </w:tc>
      </w:tr>
      <w:tr>
        <w:trPr>
          <w:cantSplit/>
        </w:trPr>
        <w:tc>
          <w:tcPr>
            <w:tcW w:w="708" w:type="dxa"/>
            <w:tcBorders>
              <w:bottom w:val="single" w:sz="4" w:space="0" w:color="auto"/>
            </w:tcBorders>
          </w:tcPr>
          <w:p>
            <w:pPr>
              <w:pStyle w:val="yTableNAm"/>
            </w:pPr>
            <w:r>
              <w:t>26.</w:t>
            </w:r>
          </w:p>
        </w:tc>
        <w:tc>
          <w:tcPr>
            <w:tcW w:w="4253" w:type="dxa"/>
            <w:tcBorders>
              <w:bottom w:val="single" w:sz="4" w:space="0" w:color="auto"/>
            </w:tcBorders>
          </w:tcPr>
          <w:p>
            <w:pPr>
              <w:pStyle w:val="yTableNAm"/>
            </w:pPr>
            <w:r>
              <w:t>Wyndham</w:t>
            </w:r>
          </w:p>
        </w:tc>
        <w:tc>
          <w:tcPr>
            <w:tcW w:w="1134" w:type="dxa"/>
            <w:tcBorders>
              <w:bottom w:val="single" w:sz="4" w:space="0" w:color="auto"/>
            </w:tcBorders>
          </w:tcPr>
          <w:p>
            <w:pPr>
              <w:pStyle w:val="yTableNAm"/>
              <w:jc w:val="center"/>
            </w:pPr>
            <w:r>
              <w:t>0.01082</w:t>
            </w:r>
          </w:p>
        </w:tc>
      </w:tr>
    </w:tbl>
    <w:p>
      <w:pPr>
        <w:pStyle w:val="yFootnotesection"/>
      </w:pPr>
      <w:r>
        <w:tab/>
        <w:t>[Clause 1 inserted in Gazette 22 Jul 2015 p. 2989</w:t>
      </w:r>
      <w:r>
        <w:noBreakHyphen/>
        <w:t>90.]</w:t>
      </w:r>
    </w:p>
    <w:p>
      <w:pPr>
        <w:pStyle w:val="yScheduleHeading"/>
      </w:pPr>
      <w:bookmarkStart w:id="214" w:name="_Toc440457152"/>
      <w:bookmarkStart w:id="215" w:name="_Toc443638845"/>
      <w:r>
        <w:rPr>
          <w:rStyle w:val="CharSchNo"/>
        </w:rPr>
        <w:t>Schedule 2</w:t>
      </w:r>
      <w:r>
        <w:t> — </w:t>
      </w:r>
      <w:r>
        <w:rPr>
          <w:rStyle w:val="CharSchText"/>
        </w:rPr>
        <w:t>Port of Perth charges</w:t>
      </w:r>
      <w:bookmarkEnd w:id="214"/>
      <w:bookmarkEnd w:id="215"/>
    </w:p>
    <w:p>
      <w:pPr>
        <w:pStyle w:val="yShoulderClause"/>
      </w:pPr>
      <w:r>
        <w:t>[r. 72]</w:t>
      </w:r>
    </w:p>
    <w:p>
      <w:pPr>
        <w:pStyle w:val="yFootnoteheading"/>
      </w:pPr>
      <w:r>
        <w:tab/>
        <w:t>[Heading inserted in Gazette 22 Jul 2015 p. 2990.]</w:t>
      </w:r>
    </w:p>
    <w:p>
      <w:pPr>
        <w:pStyle w:val="yHeading3"/>
      </w:pPr>
      <w:bookmarkStart w:id="216" w:name="_Toc440457153"/>
      <w:bookmarkStart w:id="217" w:name="_Toc443638846"/>
      <w:r>
        <w:rPr>
          <w:rStyle w:val="CharSDivNo"/>
        </w:rPr>
        <w:t>Division 1A</w:t>
      </w:r>
      <w:r>
        <w:rPr>
          <w:b w:val="0"/>
        </w:rPr>
        <w:t> — </w:t>
      </w:r>
      <w:r>
        <w:rPr>
          <w:rStyle w:val="CharSDivText"/>
        </w:rPr>
        <w:t>Application and Standard rates</w:t>
      </w:r>
      <w:bookmarkEnd w:id="216"/>
      <w:bookmarkEnd w:id="217"/>
    </w:p>
    <w:p>
      <w:pPr>
        <w:pStyle w:val="yFootnoteheading"/>
      </w:pPr>
      <w:r>
        <w:tab/>
        <w:t>[Heading inserted in Gazette 22 Jul 2015 p. 2990.]</w:t>
      </w:r>
    </w:p>
    <w:p>
      <w:pPr>
        <w:pStyle w:val="yHeading5"/>
      </w:pPr>
      <w:bookmarkStart w:id="218" w:name="_Toc443638847"/>
      <w:r>
        <w:rPr>
          <w:rStyle w:val="CharSClsNo"/>
        </w:rPr>
        <w:t>1A</w:t>
      </w:r>
      <w:r>
        <w:t>.</w:t>
      </w:r>
      <w:r>
        <w:tab/>
        <w:t>Application of this Schedule</w:t>
      </w:r>
      <w:bookmarkEnd w:id="218"/>
    </w:p>
    <w:p>
      <w:pPr>
        <w:pStyle w:val="ySubsection"/>
      </w:pPr>
      <w:r>
        <w:tab/>
      </w:r>
      <w:r>
        <w:tab/>
        <w:t>The charges in this Schedule apply to the specified jetties and harbours in addition to the charges that apply State</w:t>
      </w:r>
      <w:r>
        <w:noBreakHyphen/>
        <w:t>wide under Schedule 1 Division 2.</w:t>
      </w:r>
    </w:p>
    <w:p>
      <w:pPr>
        <w:pStyle w:val="yFootnotesection"/>
      </w:pPr>
      <w:r>
        <w:tab/>
        <w:t>[Clause 1A inserted in Gazette 22 Jul 2015 p. 2990.]</w:t>
      </w:r>
    </w:p>
    <w:p>
      <w:pPr>
        <w:pStyle w:val="yHeading5"/>
      </w:pPr>
      <w:bookmarkStart w:id="219" w:name="_Toc443638848"/>
      <w:r>
        <w:rPr>
          <w:rStyle w:val="CharSClsNo"/>
        </w:rPr>
        <w:t>1B</w:t>
      </w:r>
      <w:r>
        <w:t>.</w:t>
      </w:r>
      <w:r>
        <w:tab/>
        <w:t>Standard rates for this Schedule</w:t>
      </w:r>
      <w:bookmarkEnd w:id="219"/>
    </w:p>
    <w:p>
      <w:pPr>
        <w:pStyle w:val="ySubsection"/>
      </w:pPr>
      <w:r>
        <w:tab/>
      </w:r>
      <w:r>
        <w:tab/>
        <w:t xml:space="preserve">In this Schedule, the following rates are standard rates — </w:t>
      </w:r>
    </w:p>
    <w:p>
      <w:pPr>
        <w:pStyle w:val="ySubsection"/>
        <w:rPr>
          <w:b/>
        </w:rPr>
      </w:pPr>
      <w:r>
        <w:rPr>
          <w:b/>
        </w:rPr>
        <w:tab/>
      </w:r>
      <w:r>
        <w:rPr>
          <w:b/>
        </w:rPr>
        <w:tab/>
        <w:t>Rate 1: a casual daily rate of $7.15 per metre of the vessel’s length</w:t>
      </w:r>
    </w:p>
    <w:p>
      <w:pPr>
        <w:pStyle w:val="ySubsection"/>
      </w:pPr>
      <w:r>
        <w:tab/>
      </w:r>
      <w:r>
        <w:tab/>
        <w:t>Typically used to calculate the standard daily rate for casual use of a pen or alongside berth (whether or not the alongside berth is on a service wharf or jetty) for a commercial vessel.</w:t>
      </w:r>
    </w:p>
    <w:p>
      <w:pPr>
        <w:pStyle w:val="ySubsection"/>
        <w:rPr>
          <w:b/>
        </w:rPr>
      </w:pPr>
      <w:r>
        <w:rPr>
          <w:b/>
        </w:rPr>
        <w:tab/>
      </w:r>
      <w:r>
        <w:rPr>
          <w:b/>
        </w:rPr>
        <w:tab/>
        <w:t>Rate 2: a casual daily rate of $50.00</w:t>
      </w:r>
    </w:p>
    <w:p>
      <w:pPr>
        <w:pStyle w:val="ySubsection"/>
      </w:pPr>
      <w:r>
        <w:tab/>
      </w:r>
      <w:r>
        <w:tab/>
        <w:t>Typically used to calculate the standard daily rate for casual use of a pen or alongside berth for a recreational vessel.</w:t>
      </w:r>
    </w:p>
    <w:p>
      <w:pPr>
        <w:pStyle w:val="ySubsection"/>
        <w:rPr>
          <w:b/>
        </w:rPr>
      </w:pPr>
      <w:r>
        <w:rPr>
          <w:b/>
        </w:rPr>
        <w:tab/>
      </w:r>
      <w:r>
        <w:rPr>
          <w:b/>
        </w:rPr>
        <w:tab/>
        <w:t>Rate 3: an annual rate of $80.00 per metre of the vessel’s length</w:t>
      </w:r>
    </w:p>
    <w:p>
      <w:pPr>
        <w:pStyle w:val="ySubsection"/>
      </w:pPr>
      <w:r>
        <w:tab/>
      </w:r>
      <w:r>
        <w:tab/>
        <w:t>Typically used to calculate the standard annual rate for short term use of a service wharf or jetty for a vessel.</w:t>
      </w:r>
    </w:p>
    <w:p>
      <w:pPr>
        <w:pStyle w:val="yFootnotesection"/>
      </w:pPr>
      <w:r>
        <w:tab/>
        <w:t>[Clause 1B inserted in Gazette 22 Jul 2015 p. 2991.]</w:t>
      </w:r>
    </w:p>
    <w:p>
      <w:pPr>
        <w:pStyle w:val="yHeading5"/>
      </w:pPr>
      <w:bookmarkStart w:id="220" w:name="_Toc443638849"/>
      <w:r>
        <w:rPr>
          <w:rStyle w:val="CharSClsNo"/>
        </w:rPr>
        <w:t>1C</w:t>
      </w:r>
      <w:r>
        <w:t>.</w:t>
      </w:r>
      <w:r>
        <w:tab/>
        <w:t>Transferability of annual payments</w:t>
      </w:r>
      <w:bookmarkEnd w:id="220"/>
    </w:p>
    <w:p>
      <w:pPr>
        <w:pStyle w:val="ySubsection"/>
      </w:pPr>
      <w:r>
        <w:tab/>
        <w:t>(1)</w:t>
      </w:r>
      <w:r>
        <w:tab/>
        <w:t>A vessel for which there has been paid an annual amount for short term use of a service wharf or jetty at one of the specified places in a Schedule, may use the service wharf or jetty for up to an hour in a day at any of the other specified places.</w:t>
      </w:r>
    </w:p>
    <w:p>
      <w:pPr>
        <w:pStyle w:val="ySubsection"/>
      </w:pPr>
      <w:r>
        <w:tab/>
        <w:t>(2)</w:t>
      </w:r>
      <w:r>
        <w:tab/>
        <w:t>A vessel for which there has been paid an amount to the Department for annual use of a pen, alongside berth or mooring at a specified place in a Schedule, may use the service wharf or jetty for up to an hour in a day at any of the other specified places.</w:t>
      </w:r>
    </w:p>
    <w:p>
      <w:pPr>
        <w:pStyle w:val="yFootnotesection"/>
      </w:pPr>
      <w:r>
        <w:tab/>
        <w:t>[Clause 1C inserted in Gazette 22 Jul 2015 p. 2991.]</w:t>
      </w:r>
    </w:p>
    <w:p>
      <w:pPr>
        <w:pStyle w:val="yHeading5"/>
      </w:pPr>
      <w:bookmarkStart w:id="221" w:name="_Toc443638850"/>
      <w:r>
        <w:rPr>
          <w:rStyle w:val="CharSClsNo"/>
        </w:rPr>
        <w:t>1D</w:t>
      </w:r>
      <w:r>
        <w:t>.</w:t>
      </w:r>
      <w:r>
        <w:tab/>
        <w:t>Service wharf or jetty entitlements</w:t>
      </w:r>
      <w:bookmarkEnd w:id="221"/>
    </w:p>
    <w:p>
      <w:pPr>
        <w:pStyle w:val="ySubsection"/>
      </w:pPr>
      <w:r>
        <w:tab/>
      </w:r>
      <w:r>
        <w:tab/>
        <w:t>A vessel for which there has been paid an amount to the Department for use of a pen, alongside berth or mooring at a specified place in a Schedule may have access to the service wharf or jetty for up to an hour in a day for the duration of that stay at that specified place.</w:t>
      </w:r>
    </w:p>
    <w:p>
      <w:pPr>
        <w:pStyle w:val="yFootnotesection"/>
      </w:pPr>
      <w:r>
        <w:tab/>
        <w:t>[Clause 1D inserted in Gazette 22 Jul 2015 p. 2991.]</w:t>
      </w:r>
    </w:p>
    <w:p>
      <w:pPr>
        <w:pStyle w:val="yHeading3"/>
      </w:pPr>
      <w:bookmarkStart w:id="222" w:name="_Toc440457158"/>
      <w:bookmarkStart w:id="223" w:name="_Toc443638851"/>
      <w:r>
        <w:rPr>
          <w:rStyle w:val="CharSDivNo"/>
        </w:rPr>
        <w:t>Division 1</w:t>
      </w:r>
      <w:r>
        <w:rPr>
          <w:b w:val="0"/>
        </w:rPr>
        <w:t> — </w:t>
      </w:r>
      <w:r>
        <w:rPr>
          <w:rStyle w:val="CharSDivText"/>
        </w:rPr>
        <w:t>Specific charges for Port of Perth jetties</w:t>
      </w:r>
      <w:bookmarkEnd w:id="222"/>
      <w:bookmarkEnd w:id="223"/>
    </w:p>
    <w:p>
      <w:pPr>
        <w:pStyle w:val="yFootnoteheading"/>
      </w:pPr>
      <w:r>
        <w:tab/>
        <w:t>[Heading inserted in Gazette 22 Jul 2015 p. 2992.]</w:t>
      </w:r>
    </w:p>
    <w:p>
      <w:pPr>
        <w:pStyle w:val="yHeading5"/>
      </w:pPr>
      <w:bookmarkStart w:id="224" w:name="_Toc443638852"/>
      <w:r>
        <w:rPr>
          <w:rStyle w:val="CharSClsNo"/>
        </w:rPr>
        <w:t>1</w:t>
      </w:r>
      <w:r>
        <w:t>.</w:t>
      </w:r>
      <w:r>
        <w:tab/>
        <w:t xml:space="preserve">Barrack Street and </w:t>
      </w:r>
      <w:smartTag w:uri="urn:schemas-microsoft-com:office:smarttags" w:element="Street">
        <w:smartTag w:uri="urn:schemas-microsoft-com:office:smarttags" w:element="address">
          <w:r>
            <w:t>Mends Street</w:t>
          </w:r>
        </w:smartTag>
      </w:smartTag>
      <w:r>
        <w:t xml:space="preserve"> jetties</w:t>
      </w:r>
      <w:bookmarkEnd w:id="224"/>
    </w:p>
    <w:p>
      <w:pPr>
        <w:pStyle w:val="ySubsection"/>
      </w:pPr>
      <w:r>
        <w:tab/>
        <w:t>(1)</w:t>
      </w:r>
      <w:r>
        <w:tab/>
        <w:t xml:space="preserve">This clause applies to jetties at </w:t>
      </w:r>
      <w:smartTag w:uri="urn:schemas-microsoft-com:office:smarttags" w:element="Street">
        <w:smartTag w:uri="urn:schemas-microsoft-com:office:smarttags" w:element="address">
          <w:r>
            <w:t>Barrack Street</w:t>
          </w:r>
        </w:smartTag>
      </w:smartTag>
      <w:r>
        <w:t xml:space="preserve"> and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1.1.</w:t>
      </w:r>
    </w:p>
    <w:p>
      <w:pPr>
        <w:pStyle w:val="yTHeadingNAm"/>
        <w:ind w:left="993"/>
      </w:pPr>
      <w:r>
        <w:t>Table 1.1 (Jetty permits)</w:t>
      </w:r>
    </w:p>
    <w:tbl>
      <w:tblPr>
        <w:tblW w:w="6010" w:type="dxa"/>
        <w:tblInd w:w="1135" w:type="dxa"/>
        <w:tblLayout w:type="fixed"/>
        <w:tblCellMar>
          <w:top w:w="57" w:type="dxa"/>
          <w:left w:w="57" w:type="dxa"/>
          <w:right w:w="57" w:type="dxa"/>
        </w:tblCellMar>
        <w:tblLook w:val="0000" w:firstRow="0" w:lastRow="0" w:firstColumn="0" w:lastColumn="0" w:noHBand="0" w:noVBand="0"/>
      </w:tblPr>
      <w:tblGrid>
        <w:gridCol w:w="630"/>
        <w:gridCol w:w="5380"/>
      </w:tblGrid>
      <w:tr>
        <w:trPr>
          <w:cantSplit/>
          <w:tblHeader/>
        </w:trPr>
        <w:tc>
          <w:tcPr>
            <w:tcW w:w="630" w:type="dxa"/>
            <w:tcBorders>
              <w:top w:val="single" w:sz="4" w:space="0" w:color="auto"/>
              <w:bottom w:val="single" w:sz="4" w:space="0" w:color="auto"/>
            </w:tcBorders>
          </w:tcPr>
          <w:p>
            <w:pPr>
              <w:pStyle w:val="yTableNAm"/>
            </w:pPr>
            <w:r>
              <w:rPr>
                <w:b/>
              </w:rPr>
              <w:t>Item</w:t>
            </w:r>
          </w:p>
        </w:tc>
        <w:tc>
          <w:tcPr>
            <w:tcW w:w="5380" w:type="dxa"/>
            <w:tcBorders>
              <w:top w:val="single" w:sz="4" w:space="0" w:color="auto"/>
              <w:bottom w:val="single" w:sz="4" w:space="0" w:color="auto"/>
            </w:tcBorders>
          </w:tcPr>
          <w:p>
            <w:pPr>
              <w:pStyle w:val="yTableNAm"/>
            </w:pPr>
            <w:r>
              <w:rPr>
                <w:b/>
              </w:rPr>
              <w:t>Service and charge</w:t>
            </w:r>
          </w:p>
        </w:tc>
      </w:tr>
      <w:tr>
        <w:trPr>
          <w:cantSplit/>
        </w:trPr>
        <w:tc>
          <w:tcPr>
            <w:tcW w:w="630" w:type="dxa"/>
          </w:tcPr>
          <w:p>
            <w:pPr>
              <w:pStyle w:val="yTableNAm"/>
            </w:pPr>
            <w:r>
              <w:t>1.</w:t>
            </w:r>
          </w:p>
        </w:tc>
        <w:tc>
          <w:tcPr>
            <w:tcW w:w="5380" w:type="dxa"/>
          </w:tcPr>
          <w:p>
            <w:pPr>
              <w:pStyle w:val="yTableNAm"/>
            </w:pPr>
            <w:r>
              <w:t>For a vessel for 12 months — the higher of $4 429.71 and the result of the following calculation —</w:t>
            </w:r>
          </w:p>
        </w:tc>
      </w:tr>
      <w:tr>
        <w:trPr>
          <w:cantSplit/>
        </w:trPr>
        <w:tc>
          <w:tcPr>
            <w:tcW w:w="630" w:type="dxa"/>
          </w:tcPr>
          <w:p>
            <w:pPr>
              <w:pStyle w:val="zyTableNAm"/>
            </w:pPr>
          </w:p>
        </w:tc>
        <w:tc>
          <w:tcPr>
            <w:tcW w:w="5380" w:type="dxa"/>
          </w:tcPr>
          <w:p>
            <w:pPr>
              <w:pStyle w:val="yTableNAm"/>
              <w:tabs>
                <w:tab w:val="clear" w:pos="567"/>
              </w:tabs>
              <w:ind w:left="226" w:hanging="226"/>
            </w:pPr>
            <w:r>
              <w:t>•</w:t>
            </w:r>
            <w:r>
              <w:tab/>
              <w:t>$62.01 per passenger calculated on the vessel’s passenger carrying capacity under its highest class of survey</w:t>
            </w:r>
          </w:p>
        </w:tc>
      </w:tr>
      <w:tr>
        <w:trPr>
          <w:cantSplit/>
        </w:trPr>
        <w:tc>
          <w:tcPr>
            <w:tcW w:w="630" w:type="dxa"/>
          </w:tcPr>
          <w:p>
            <w:pPr>
              <w:pStyle w:val="zyTableNAm"/>
            </w:pPr>
          </w:p>
        </w:tc>
        <w:tc>
          <w:tcPr>
            <w:tcW w:w="5380" w:type="dxa"/>
          </w:tcPr>
          <w:p>
            <w:pPr>
              <w:pStyle w:val="yTableNAm"/>
              <w:tabs>
                <w:tab w:val="clear" w:pos="567"/>
              </w:tabs>
              <w:ind w:left="226" w:hanging="226"/>
            </w:pPr>
            <w:r>
              <w:t>•</w:t>
            </w:r>
            <w:r>
              <w:tab/>
              <w:t>plus —</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up to 35 m long, the higher of $7 973.45 and $442.97 per metre of the vessel’s length; or</w:t>
            </w:r>
          </w:p>
        </w:tc>
      </w:tr>
      <w:tr>
        <w:trPr>
          <w:cantSplit/>
        </w:trPr>
        <w:tc>
          <w:tcPr>
            <w:tcW w:w="630" w:type="dxa"/>
          </w:tcPr>
          <w:p>
            <w:pPr>
              <w:pStyle w:val="zyTableNAm"/>
            </w:pPr>
          </w:p>
        </w:tc>
        <w:tc>
          <w:tcPr>
            <w:tcW w:w="5380" w:type="dxa"/>
          </w:tcPr>
          <w:p>
            <w:pPr>
              <w:pStyle w:val="yTableNAm"/>
              <w:tabs>
                <w:tab w:val="clear" w:pos="567"/>
              </w:tabs>
              <w:ind w:left="787" w:hanging="284"/>
            </w:pPr>
            <w:r>
              <w:t>•</w:t>
            </w:r>
            <w:r>
              <w:tab/>
              <w:t>for a vessel 35 m long or over, $708.76 per metre of the vessel’s length</w:t>
            </w:r>
          </w:p>
        </w:tc>
      </w:tr>
      <w:tr>
        <w:trPr>
          <w:cantSplit/>
        </w:trPr>
        <w:tc>
          <w:tcPr>
            <w:tcW w:w="630" w:type="dxa"/>
          </w:tcPr>
          <w:p>
            <w:pPr>
              <w:pStyle w:val="zyTableNAm"/>
            </w:pPr>
          </w:p>
        </w:tc>
        <w:tc>
          <w:tcPr>
            <w:tcW w:w="5380" w:type="dxa"/>
          </w:tcPr>
          <w:p>
            <w:pPr>
              <w:pStyle w:val="yTableNAm"/>
              <w:tabs>
                <w:tab w:val="clear" w:pos="567"/>
              </w:tabs>
              <w:ind w:left="787" w:hanging="284"/>
            </w:pPr>
            <w:r>
              <w:t>•</w:t>
            </w:r>
            <w:r>
              <w:tab/>
              <w:t>minus — $6 201.61</w:t>
            </w:r>
          </w:p>
        </w:tc>
      </w:tr>
      <w:tr>
        <w:trPr>
          <w:cantSplit/>
        </w:trPr>
        <w:tc>
          <w:tcPr>
            <w:tcW w:w="630" w:type="dxa"/>
            <w:tcBorders>
              <w:bottom w:val="single" w:sz="4" w:space="0" w:color="auto"/>
            </w:tcBorders>
          </w:tcPr>
          <w:p>
            <w:pPr>
              <w:pStyle w:val="yTableNAm"/>
            </w:pPr>
            <w:r>
              <w:t>2.</w:t>
            </w:r>
          </w:p>
        </w:tc>
        <w:tc>
          <w:tcPr>
            <w:tcW w:w="5380" w:type="dxa"/>
            <w:tcBorders>
              <w:bottom w:val="single" w:sz="4" w:space="0" w:color="auto"/>
            </w:tcBorders>
          </w:tcPr>
          <w:p>
            <w:pPr>
              <w:pStyle w:val="yTableNAm"/>
            </w:pPr>
            <w:r>
              <w:t>Sullage charge for a vessel for which the item 1 charge has not been paid, per pump out — $88.60</w:t>
            </w:r>
          </w:p>
        </w:tc>
      </w:tr>
    </w:tbl>
    <w:p>
      <w:pPr>
        <w:pStyle w:val="yFootnotesection"/>
      </w:pPr>
      <w:r>
        <w:tab/>
        <w:t>[Clause 1 inserted in Gazette 22 Jul 2015 p. 2992.]</w:t>
      </w:r>
    </w:p>
    <w:p>
      <w:pPr>
        <w:pStyle w:val="yHeading5"/>
      </w:pPr>
      <w:bookmarkStart w:id="225" w:name="_Toc443638853"/>
      <w:r>
        <w:rPr>
          <w:rStyle w:val="CharSClsNo"/>
        </w:rPr>
        <w:t>2</w:t>
      </w:r>
      <w:r>
        <w:t>.</w:t>
      </w:r>
      <w:r>
        <w:tab/>
        <w:t xml:space="preserve">Other jetties in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bookmarkEnd w:id="225"/>
    </w:p>
    <w:p>
      <w:pPr>
        <w:pStyle w:val="ySubsection"/>
      </w:pPr>
      <w:r>
        <w:tab/>
        <w:t>(1)</w:t>
      </w:r>
      <w:r>
        <w:tab/>
        <w:t xml:space="preserve">This clause applies to jetties in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other than at </w:t>
      </w:r>
      <w:smartTag w:uri="urn:schemas-microsoft-com:office:smarttags" w:element="Street">
        <w:smartTag w:uri="urn:schemas-microsoft-com:office:smarttags" w:element="address">
          <w:r>
            <w:t>Barrack Street</w:t>
          </w:r>
        </w:smartTag>
      </w:smartTag>
      <w:r>
        <w:t xml:space="preserve"> or </w:t>
      </w:r>
      <w:smartTag w:uri="urn:schemas-microsoft-com:office:smarttags" w:element="Street">
        <w:smartTag w:uri="urn:schemas-microsoft-com:office:smarttags" w:element="address">
          <w:r>
            <w:t>Mends Street</w:t>
          </w:r>
        </w:smartTag>
      </w:smartTag>
      <w:r>
        <w:t>.</w:t>
      </w:r>
    </w:p>
    <w:p>
      <w:pPr>
        <w:pStyle w:val="ySubsection"/>
      </w:pPr>
      <w:r>
        <w:tab/>
        <w:t>(2)</w:t>
      </w:r>
      <w:r>
        <w:tab/>
        <w:t>The charges to be paid under regulation 72 for a permit to use a jetty are set out in Table 2.1.</w:t>
      </w:r>
    </w:p>
    <w:p>
      <w:pPr>
        <w:pStyle w:val="yTHeadingNAm"/>
        <w:ind w:left="1134"/>
      </w:pPr>
      <w:r>
        <w:t>Table 2.1 (Jetty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02"/>
        <w:gridCol w:w="4246"/>
        <w:gridCol w:w="1134"/>
      </w:tblGrid>
      <w:tr>
        <w:trPr>
          <w:cantSplit/>
          <w:tblHeader/>
        </w:trPr>
        <w:tc>
          <w:tcPr>
            <w:tcW w:w="602" w:type="dxa"/>
            <w:tcBorders>
              <w:top w:val="single" w:sz="4" w:space="0" w:color="auto"/>
              <w:bottom w:val="single" w:sz="4" w:space="0" w:color="auto"/>
            </w:tcBorders>
          </w:tcPr>
          <w:p>
            <w:pPr>
              <w:pStyle w:val="yTableNAm"/>
            </w:pPr>
            <w:r>
              <w:rPr>
                <w:b/>
              </w:rPr>
              <w:t>Item</w:t>
            </w:r>
          </w:p>
        </w:tc>
        <w:tc>
          <w:tcPr>
            <w:tcW w:w="4246"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02" w:type="dxa"/>
            <w:tcBorders>
              <w:top w:val="single" w:sz="4" w:space="0" w:color="auto"/>
              <w:bottom w:val="single" w:sz="4" w:space="0" w:color="auto"/>
            </w:tcBorders>
          </w:tcPr>
          <w:p>
            <w:pPr>
              <w:pStyle w:val="yTableNAm"/>
            </w:pPr>
            <w:r>
              <w:t>1.</w:t>
            </w:r>
          </w:p>
        </w:tc>
        <w:tc>
          <w:tcPr>
            <w:tcW w:w="4246" w:type="dxa"/>
            <w:tcBorders>
              <w:top w:val="single" w:sz="4" w:space="0" w:color="auto"/>
              <w:bottom w:val="single" w:sz="4" w:space="0" w:color="auto"/>
            </w:tcBorders>
          </w:tcPr>
          <w:p>
            <w:pPr>
              <w:pStyle w:val="yTableNAm"/>
            </w:pPr>
            <w:r>
              <w:t>For short term use by a vessel, an amount calculated using standard Rate 3</w:t>
            </w:r>
          </w:p>
        </w:tc>
        <w:tc>
          <w:tcPr>
            <w:tcW w:w="1134" w:type="dxa"/>
            <w:tcBorders>
              <w:top w:val="single" w:sz="4" w:space="0" w:color="auto"/>
              <w:bottom w:val="single" w:sz="4" w:space="0" w:color="auto"/>
            </w:tcBorders>
          </w:tcPr>
          <w:p>
            <w:pPr>
              <w:pStyle w:val="yTableNAm"/>
              <w:jc w:val="center"/>
            </w:pPr>
          </w:p>
        </w:tc>
      </w:tr>
    </w:tbl>
    <w:p>
      <w:pPr>
        <w:pStyle w:val="yFootnotesection"/>
      </w:pPr>
      <w:r>
        <w:tab/>
        <w:t>[Clause 2 inserted in Gazette 22 Jul 2015 p. 2992</w:t>
      </w:r>
      <w:r>
        <w:noBreakHyphen/>
        <w:t>3.]</w:t>
      </w:r>
    </w:p>
    <w:p>
      <w:pPr>
        <w:pStyle w:val="yHeading3"/>
      </w:pPr>
      <w:bookmarkStart w:id="226" w:name="_Toc440457161"/>
      <w:bookmarkStart w:id="227" w:name="_Toc443638854"/>
      <w:r>
        <w:rPr>
          <w:rStyle w:val="CharSDivNo"/>
        </w:rPr>
        <w:t>Division 2</w:t>
      </w:r>
      <w:r>
        <w:rPr>
          <w:b w:val="0"/>
        </w:rPr>
        <w:t> — </w:t>
      </w:r>
      <w:r>
        <w:rPr>
          <w:rStyle w:val="CharSDivText"/>
        </w:rPr>
        <w:t>Charges for boat pens</w:t>
      </w:r>
      <w:bookmarkEnd w:id="226"/>
      <w:bookmarkEnd w:id="227"/>
    </w:p>
    <w:p>
      <w:pPr>
        <w:pStyle w:val="yFootnoteheading"/>
      </w:pPr>
      <w:r>
        <w:tab/>
        <w:t>[Heading inserted in Gazette 22 Jul 2015 p. 2993.]</w:t>
      </w:r>
    </w:p>
    <w:p>
      <w:pPr>
        <w:pStyle w:val="yHeading5"/>
      </w:pPr>
      <w:bookmarkStart w:id="228" w:name="_Toc443638855"/>
      <w:r>
        <w:rPr>
          <w:rStyle w:val="CharSClsNo"/>
        </w:rPr>
        <w:t>3</w:t>
      </w:r>
      <w:r>
        <w:t>.</w:t>
      </w:r>
      <w:r>
        <w:tab/>
        <w:t xml:space="preserve">Fremantle,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8"/>
    </w:p>
    <w:p>
      <w:pPr>
        <w:pStyle w:val="ySubsection"/>
      </w:pPr>
      <w:r>
        <w:tab/>
        <w:t>(1)</w:t>
      </w:r>
      <w:r>
        <w:tab/>
        <w:t xml:space="preserve">This clause applies to the </w:t>
      </w:r>
      <w:smartTag w:uri="urn:schemas-microsoft-com:office:smarttags" w:element="place">
        <w:smartTag w:uri="urn:schemas-microsoft-com:office:smarttags" w:element="PlaceName">
          <w:r>
            <w:t>Challenger</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at Fremantle.</w:t>
      </w:r>
    </w:p>
    <w:p>
      <w:pPr>
        <w:pStyle w:val="ySubsection"/>
      </w:pPr>
      <w:r>
        <w:tab/>
        <w:t>(2)</w:t>
      </w:r>
      <w:r>
        <w:tab/>
        <w:t>The charges to be paid under regulation 72 for a permit to use a boat pen are set out in Table 3.1.</w:t>
      </w:r>
    </w:p>
    <w:p>
      <w:pPr>
        <w:pStyle w:val="yTHeadingNAm"/>
        <w:ind w:left="1134"/>
      </w:pPr>
      <w:r>
        <w:t>Table 3.1 (Pen permits)</w:t>
      </w:r>
    </w:p>
    <w:tbl>
      <w:tblPr>
        <w:tblW w:w="5982" w:type="dxa"/>
        <w:tblInd w:w="1163" w:type="dxa"/>
        <w:tblLayout w:type="fixed"/>
        <w:tblCellMar>
          <w:top w:w="57" w:type="dxa"/>
          <w:left w:w="57" w:type="dxa"/>
          <w:right w:w="57" w:type="dxa"/>
        </w:tblCellMar>
        <w:tblLook w:val="0000" w:firstRow="0" w:lastRow="0" w:firstColumn="0" w:lastColumn="0" w:noHBand="0" w:noVBand="0"/>
      </w:tblPr>
      <w:tblGrid>
        <w:gridCol w:w="630"/>
        <w:gridCol w:w="4218"/>
        <w:gridCol w:w="1134"/>
      </w:tblGrid>
      <w:tr>
        <w:trPr>
          <w:cantSplit/>
          <w:tblHeader/>
        </w:trPr>
        <w:tc>
          <w:tcPr>
            <w:tcW w:w="630" w:type="dxa"/>
            <w:tcBorders>
              <w:top w:val="single" w:sz="4" w:space="0" w:color="auto"/>
              <w:bottom w:val="single" w:sz="4" w:space="0" w:color="auto"/>
            </w:tcBorders>
          </w:tcPr>
          <w:p>
            <w:pPr>
              <w:pStyle w:val="yTableNAm"/>
            </w:pPr>
            <w:r>
              <w:rPr>
                <w:b/>
              </w:rPr>
              <w:t>Item</w:t>
            </w:r>
          </w:p>
        </w:tc>
        <w:tc>
          <w:tcPr>
            <w:tcW w:w="4218"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Pr>
          <w:p>
            <w:pPr>
              <w:pStyle w:val="yTableNAm"/>
            </w:pPr>
            <w:r>
              <w:t>1.</w:t>
            </w:r>
          </w:p>
        </w:tc>
        <w:tc>
          <w:tcPr>
            <w:tcW w:w="4218" w:type="dxa"/>
          </w:tcPr>
          <w:p>
            <w:pPr>
              <w:pStyle w:val="yTableNAm"/>
            </w:pPr>
            <w:r>
              <w:t>For the use of a pen with a walkway, an amount calculated per metre of the pen’s length using the annual rate of</w:t>
            </w:r>
          </w:p>
        </w:tc>
        <w:tc>
          <w:tcPr>
            <w:tcW w:w="1134" w:type="dxa"/>
          </w:tcPr>
          <w:p>
            <w:pPr>
              <w:pStyle w:val="yTableNAm"/>
              <w:jc w:val="center"/>
            </w:pPr>
            <w:r>
              <w:br/>
            </w:r>
            <w:r>
              <w:br/>
              <w:t>587.19</w:t>
            </w:r>
          </w:p>
        </w:tc>
      </w:tr>
      <w:tr>
        <w:trPr>
          <w:cantSplit/>
        </w:trPr>
        <w:tc>
          <w:tcPr>
            <w:tcW w:w="630" w:type="dxa"/>
          </w:tcPr>
          <w:p>
            <w:pPr>
              <w:pStyle w:val="yTableNAm"/>
            </w:pPr>
            <w:r>
              <w:t>2.</w:t>
            </w:r>
          </w:p>
        </w:tc>
        <w:tc>
          <w:tcPr>
            <w:tcW w:w="4218" w:type="dxa"/>
          </w:tcPr>
          <w:p>
            <w:pPr>
              <w:pStyle w:val="yTableNAm"/>
            </w:pPr>
            <w:r>
              <w:t>For the use of a pen without a walkway, an amount calculated per metre of the pen’s length using the annual rate of</w:t>
            </w:r>
          </w:p>
        </w:tc>
        <w:tc>
          <w:tcPr>
            <w:tcW w:w="1134" w:type="dxa"/>
          </w:tcPr>
          <w:p>
            <w:pPr>
              <w:pStyle w:val="yTableNAm"/>
              <w:jc w:val="center"/>
            </w:pPr>
            <w:r>
              <w:br/>
            </w:r>
            <w:r>
              <w:br/>
              <w:t>530.37</w:t>
            </w:r>
          </w:p>
        </w:tc>
      </w:tr>
      <w:tr>
        <w:trPr>
          <w:cantSplit/>
        </w:trPr>
        <w:tc>
          <w:tcPr>
            <w:tcW w:w="630" w:type="dxa"/>
          </w:tcPr>
          <w:p>
            <w:pPr>
              <w:pStyle w:val="yTableNAm"/>
            </w:pPr>
            <w:r>
              <w:t>3.</w:t>
            </w:r>
          </w:p>
        </w:tc>
        <w:tc>
          <w:tcPr>
            <w:tcW w:w="4218" w:type="dxa"/>
          </w:tcPr>
          <w:p>
            <w:pPr>
              <w:pStyle w:val="yTableNAm"/>
            </w:pPr>
            <w:r>
              <w:t>For the use of an alongside berth, an amount calculated per metre of the vessel’s length using the annual rate of</w:t>
            </w:r>
          </w:p>
        </w:tc>
        <w:tc>
          <w:tcPr>
            <w:tcW w:w="1134" w:type="dxa"/>
          </w:tcPr>
          <w:p>
            <w:pPr>
              <w:pStyle w:val="yTableNAm"/>
              <w:jc w:val="center"/>
            </w:pPr>
            <w:r>
              <w:br/>
            </w:r>
            <w:r>
              <w:br/>
              <w:t>587.19</w:t>
            </w:r>
          </w:p>
        </w:tc>
      </w:tr>
      <w:tr>
        <w:trPr>
          <w:cantSplit/>
        </w:trPr>
        <w:tc>
          <w:tcPr>
            <w:tcW w:w="630" w:type="dxa"/>
            <w:tcBorders>
              <w:bottom w:val="single" w:sz="4" w:space="0" w:color="auto"/>
            </w:tcBorders>
          </w:tcPr>
          <w:p>
            <w:pPr>
              <w:pStyle w:val="yTableNAm"/>
            </w:pPr>
            <w:r>
              <w:t>4.</w:t>
            </w:r>
          </w:p>
        </w:tc>
        <w:tc>
          <w:tcPr>
            <w:tcW w:w="4218" w:type="dxa"/>
            <w:tcBorders>
              <w:bottom w:val="single" w:sz="4" w:space="0" w:color="auto"/>
            </w:tcBorders>
          </w:tcPr>
          <w:p>
            <w:pPr>
              <w:pStyle w:val="yTableNAm"/>
            </w:pPr>
            <w:r>
              <w:t>For the casual daily use of a pen or alongside berth by a recreational vessel, an amount calculated using standard Rate 2</w:t>
            </w:r>
          </w:p>
        </w:tc>
        <w:tc>
          <w:tcPr>
            <w:tcW w:w="1134" w:type="dxa"/>
            <w:tcBorders>
              <w:bottom w:val="single" w:sz="4" w:space="0" w:color="auto"/>
            </w:tcBorders>
          </w:tcPr>
          <w:p>
            <w:pPr>
              <w:pStyle w:val="yTableNAm"/>
              <w:jc w:val="center"/>
            </w:pPr>
          </w:p>
        </w:tc>
      </w:tr>
    </w:tbl>
    <w:p>
      <w:pPr>
        <w:pStyle w:val="yFootnotesection"/>
      </w:pPr>
      <w:r>
        <w:tab/>
        <w:t>[Clause 3 inserted in Gazette 22 Jul 2015 p. 2993.]</w:t>
      </w:r>
    </w:p>
    <w:p>
      <w:pPr>
        <w:pStyle w:val="yHeading5"/>
      </w:pPr>
      <w:bookmarkStart w:id="229" w:name="_Toc443638856"/>
      <w:r>
        <w:rPr>
          <w:rStyle w:val="CharSClsNo"/>
        </w:rPr>
        <w:t>4</w:t>
      </w:r>
      <w:r>
        <w:t>.</w:t>
      </w:r>
      <w:r>
        <w:tab/>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bookmarkEnd w:id="229"/>
    </w:p>
    <w:p>
      <w:pPr>
        <w:pStyle w:val="ySubsection"/>
      </w:pPr>
      <w:r>
        <w:tab/>
        <w:t>(1)</w:t>
      </w:r>
      <w:r>
        <w:tab/>
        <w:t xml:space="preserve">This clause applies to the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w:t>
      </w:r>
    </w:p>
    <w:p>
      <w:pPr>
        <w:pStyle w:val="ySubsection"/>
      </w:pPr>
      <w:r>
        <w:tab/>
        <w:t>(2)</w:t>
      </w:r>
      <w:r>
        <w:tab/>
        <w:t>The charges to be paid under regulation 72 for a permit to use a jetty or boat pen are set out in Table 4.1.</w:t>
      </w:r>
    </w:p>
    <w:p>
      <w:pPr>
        <w:pStyle w:val="yTHeadingNAm"/>
        <w:ind w:left="1134"/>
      </w:pPr>
      <w:r>
        <w:t>Table 4.1 (Jetty and pen permits)</w:t>
      </w:r>
    </w:p>
    <w:tbl>
      <w:tblPr>
        <w:tblW w:w="0" w:type="auto"/>
        <w:tblInd w:w="1191" w:type="dxa"/>
        <w:tblLayout w:type="fixed"/>
        <w:tblCellMar>
          <w:top w:w="57" w:type="dxa"/>
          <w:left w:w="57" w:type="dxa"/>
          <w:right w:w="57" w:type="dxa"/>
        </w:tblCellMar>
        <w:tblLook w:val="0000" w:firstRow="0" w:lastRow="0" w:firstColumn="0" w:lastColumn="0" w:noHBand="0" w:noVBand="0"/>
      </w:tblPr>
      <w:tblGrid>
        <w:gridCol w:w="630"/>
        <w:gridCol w:w="4190"/>
        <w:gridCol w:w="1134"/>
      </w:tblGrid>
      <w:tr>
        <w:trPr>
          <w:tblHeader/>
        </w:trPr>
        <w:tc>
          <w:tcPr>
            <w:tcW w:w="630"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630" w:type="dxa"/>
            <w:tcBorders>
              <w:top w:val="single" w:sz="4" w:space="0" w:color="auto"/>
            </w:tcBorders>
          </w:tcPr>
          <w:p>
            <w:pPr>
              <w:pStyle w:val="yTableNAm"/>
            </w:pPr>
            <w:r>
              <w:t>1.</w:t>
            </w:r>
          </w:p>
        </w:tc>
        <w:tc>
          <w:tcPr>
            <w:tcW w:w="4190" w:type="dxa"/>
            <w:tcBorders>
              <w:top w:val="single" w:sz="4" w:space="0" w:color="auto"/>
            </w:tcBorders>
          </w:tcPr>
          <w:p>
            <w:pPr>
              <w:pStyle w:val="yTableNAm"/>
            </w:pPr>
            <w:r>
              <w:t>For the use, other than casual daily use, of a pen, an amount calculated per metre of the pen’s length using the annual rate of</w:t>
            </w:r>
          </w:p>
        </w:tc>
        <w:tc>
          <w:tcPr>
            <w:tcW w:w="1134" w:type="dxa"/>
            <w:tcBorders>
              <w:top w:val="single" w:sz="4" w:space="0" w:color="auto"/>
            </w:tcBorders>
          </w:tcPr>
          <w:p>
            <w:pPr>
              <w:pStyle w:val="yTableNAm"/>
              <w:jc w:val="center"/>
            </w:pPr>
            <w:r>
              <w:br/>
            </w:r>
            <w:r>
              <w:rPr>
                <w:szCs w:val="24"/>
              </w:rPr>
              <w:br/>
              <w:t>535.56</w:t>
            </w:r>
          </w:p>
        </w:tc>
      </w:tr>
      <w:tr>
        <w:trPr>
          <w:cantSplit/>
        </w:trPr>
        <w:tc>
          <w:tcPr>
            <w:tcW w:w="630" w:type="dxa"/>
          </w:tcPr>
          <w:p>
            <w:pPr>
              <w:pStyle w:val="yTableNAm"/>
            </w:pPr>
            <w:r>
              <w:t>2.</w:t>
            </w:r>
          </w:p>
        </w:tc>
        <w:tc>
          <w:tcPr>
            <w:tcW w:w="4190" w:type="dxa"/>
          </w:tcPr>
          <w:p>
            <w:pPr>
              <w:pStyle w:val="yTableNAm"/>
            </w:pPr>
            <w:r>
              <w:t>For the use, other than casual daily use, of an alongside berth, an amount calculated per metre of the vessel’s length using the annual rate of</w:t>
            </w:r>
          </w:p>
        </w:tc>
        <w:tc>
          <w:tcPr>
            <w:tcW w:w="1134" w:type="dxa"/>
          </w:tcPr>
          <w:p>
            <w:pPr>
              <w:pStyle w:val="yTableNAm"/>
              <w:jc w:val="center"/>
            </w:pPr>
            <w:r>
              <w:br/>
            </w:r>
            <w:r>
              <w:br/>
            </w:r>
            <w:r>
              <w:rPr>
                <w:szCs w:val="24"/>
              </w:rPr>
              <w:br/>
              <w:t>535.56</w:t>
            </w:r>
          </w:p>
        </w:tc>
      </w:tr>
      <w:tr>
        <w:trPr>
          <w:cantSplit/>
        </w:trPr>
        <w:tc>
          <w:tcPr>
            <w:tcW w:w="630" w:type="dxa"/>
          </w:tcPr>
          <w:p>
            <w:pPr>
              <w:pStyle w:val="yTableNAm"/>
            </w:pPr>
            <w:r>
              <w:t>3.</w:t>
            </w:r>
          </w:p>
        </w:tc>
        <w:tc>
          <w:tcPr>
            <w:tcW w:w="4190" w:type="dxa"/>
          </w:tcPr>
          <w:p>
            <w:pPr>
              <w:pStyle w:val="yTableNAm"/>
            </w:pPr>
            <w:r>
              <w:t xml:space="preserve">For the casual daily use of a pen or an alongside berth — </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commercial vessel, an amount calculated using standard Rate 1</w:t>
            </w:r>
          </w:p>
        </w:tc>
        <w:tc>
          <w:tcPr>
            <w:tcW w:w="1134" w:type="dxa"/>
          </w:tcPr>
          <w:p>
            <w:pPr>
              <w:pStyle w:val="yTableNAm"/>
              <w:jc w:val="center"/>
            </w:pPr>
          </w:p>
        </w:tc>
      </w:tr>
      <w:tr>
        <w:trPr>
          <w:cantSplit/>
        </w:trPr>
        <w:tc>
          <w:tcPr>
            <w:tcW w:w="630" w:type="dxa"/>
          </w:tcPr>
          <w:p>
            <w:pPr>
              <w:pStyle w:val="zyTableNAm"/>
            </w:pPr>
          </w:p>
        </w:tc>
        <w:tc>
          <w:tcPr>
            <w:tcW w:w="4190" w:type="dxa"/>
          </w:tcPr>
          <w:p>
            <w:pPr>
              <w:pStyle w:val="yTableNAm"/>
              <w:tabs>
                <w:tab w:val="clear" w:pos="567"/>
              </w:tabs>
              <w:ind w:left="226" w:hanging="226"/>
            </w:pPr>
            <w:r>
              <w:t>•</w:t>
            </w:r>
            <w:r>
              <w:tab/>
              <w:t>by a recreational vessel, an amount calculated using standard Rate 2</w:t>
            </w:r>
          </w:p>
        </w:tc>
        <w:tc>
          <w:tcPr>
            <w:tcW w:w="1134" w:type="dxa"/>
          </w:tcPr>
          <w:p>
            <w:pPr>
              <w:pStyle w:val="yTableNAm"/>
              <w:jc w:val="center"/>
            </w:pPr>
          </w:p>
        </w:tc>
      </w:tr>
      <w:tr>
        <w:trPr>
          <w:cantSplit/>
        </w:trPr>
        <w:tc>
          <w:tcPr>
            <w:tcW w:w="630" w:type="dxa"/>
            <w:tcBorders>
              <w:bottom w:val="single" w:sz="4" w:space="0" w:color="auto"/>
            </w:tcBorders>
          </w:tcPr>
          <w:p>
            <w:pPr>
              <w:pStyle w:val="yTableNAm"/>
            </w:pPr>
            <w:r>
              <w:t>4.</w:t>
            </w:r>
          </w:p>
        </w:tc>
        <w:tc>
          <w:tcPr>
            <w:tcW w:w="4190" w:type="dxa"/>
            <w:tcBorders>
              <w:bottom w:val="single" w:sz="4" w:space="0" w:color="auto"/>
            </w:tcBorders>
          </w:tcPr>
          <w:p>
            <w:pPr>
              <w:pStyle w:val="yTableNAm"/>
            </w:pPr>
            <w:r>
              <w:t>For the short term use of the service jetty by a vessel, an amount calculated using standard Rate 3</w:t>
            </w:r>
          </w:p>
        </w:tc>
        <w:tc>
          <w:tcPr>
            <w:tcW w:w="1134" w:type="dxa"/>
            <w:tcBorders>
              <w:bottom w:val="single" w:sz="4" w:space="0" w:color="auto"/>
            </w:tcBorders>
          </w:tcPr>
          <w:p>
            <w:pPr>
              <w:pStyle w:val="yTableNAm"/>
              <w:jc w:val="center"/>
            </w:pPr>
          </w:p>
        </w:tc>
      </w:tr>
    </w:tbl>
    <w:p>
      <w:pPr>
        <w:pStyle w:val="yFootnotesection"/>
      </w:pPr>
      <w:r>
        <w:tab/>
        <w:t>[Clause 4 inserted in Gazette 22 Jul 2015 p. 2994.]</w:t>
      </w:r>
    </w:p>
    <w:p>
      <w:pPr>
        <w:pStyle w:val="yHeading5"/>
      </w:pPr>
      <w:bookmarkStart w:id="230" w:name="_Toc443638857"/>
      <w:r>
        <w:rPr>
          <w:rStyle w:val="CharSClsNo"/>
        </w:rPr>
        <w:t>5</w:t>
      </w:r>
      <w:r>
        <w:t>.</w:t>
      </w:r>
      <w:r>
        <w:tab/>
        <w:t>Jervoise Bay</w:t>
      </w:r>
      <w:bookmarkEnd w:id="230"/>
    </w:p>
    <w:p>
      <w:pPr>
        <w:pStyle w:val="ySubsection"/>
      </w:pPr>
      <w:r>
        <w:tab/>
        <w:t>(1)</w:t>
      </w:r>
      <w:r>
        <w:tab/>
        <w:t>This clause applies to the Jervoise Bay.</w:t>
      </w:r>
    </w:p>
    <w:p>
      <w:pPr>
        <w:pStyle w:val="ySubsection"/>
      </w:pPr>
      <w:r>
        <w:tab/>
        <w:t>(2)</w:t>
      </w:r>
      <w:r>
        <w:tab/>
        <w:t>The dues and charges to be paid under these regulations are set out in Table 5.1.</w:t>
      </w:r>
    </w:p>
    <w:p>
      <w:pPr>
        <w:pStyle w:val="yTHeadingNAm"/>
        <w:ind w:left="1134"/>
      </w:pPr>
      <w:r>
        <w:t>Table 5.1 (Mooring use)</w:t>
      </w:r>
    </w:p>
    <w:tbl>
      <w:tblPr>
        <w:tblW w:w="5912" w:type="dxa"/>
        <w:tblInd w:w="1233" w:type="dxa"/>
        <w:tblLayout w:type="fixed"/>
        <w:tblCellMar>
          <w:top w:w="57" w:type="dxa"/>
          <w:left w:w="57" w:type="dxa"/>
          <w:right w:w="57" w:type="dxa"/>
        </w:tblCellMar>
        <w:tblLook w:val="0000" w:firstRow="0" w:lastRow="0" w:firstColumn="0" w:lastColumn="0" w:noHBand="0" w:noVBand="0"/>
      </w:tblPr>
      <w:tblGrid>
        <w:gridCol w:w="588"/>
        <w:gridCol w:w="4190"/>
        <w:gridCol w:w="1134"/>
      </w:tblGrid>
      <w:tr>
        <w:trPr>
          <w:cantSplit/>
          <w:tblHeader/>
        </w:trPr>
        <w:tc>
          <w:tcPr>
            <w:tcW w:w="588" w:type="dxa"/>
            <w:tcBorders>
              <w:top w:val="single" w:sz="4" w:space="0" w:color="auto"/>
              <w:bottom w:val="single" w:sz="4" w:space="0" w:color="auto"/>
            </w:tcBorders>
          </w:tcPr>
          <w:p>
            <w:pPr>
              <w:pStyle w:val="yTableNAm"/>
            </w:pPr>
            <w:r>
              <w:rPr>
                <w:b/>
              </w:rPr>
              <w:t>Item</w:t>
            </w:r>
          </w:p>
        </w:tc>
        <w:tc>
          <w:tcPr>
            <w:tcW w:w="4190" w:type="dxa"/>
            <w:tcBorders>
              <w:top w:val="single" w:sz="4" w:space="0" w:color="auto"/>
              <w:bottom w:val="single" w:sz="4" w:space="0" w:color="auto"/>
            </w:tcBorders>
          </w:tcPr>
          <w:p>
            <w:pPr>
              <w:pStyle w:val="yTableNAm"/>
            </w:pPr>
            <w:r>
              <w:rPr>
                <w:b/>
              </w:rPr>
              <w:t>Service</w:t>
            </w:r>
          </w:p>
        </w:tc>
        <w:tc>
          <w:tcPr>
            <w:tcW w:w="1134" w:type="dxa"/>
            <w:tcBorders>
              <w:top w:val="single" w:sz="4" w:space="0" w:color="auto"/>
              <w:bottom w:val="single" w:sz="4" w:space="0" w:color="auto"/>
            </w:tcBorders>
          </w:tcPr>
          <w:p>
            <w:pPr>
              <w:pStyle w:val="yTableNAm"/>
              <w:jc w:val="center"/>
            </w:pPr>
            <w:r>
              <w:rPr>
                <w:b/>
              </w:rPr>
              <w:t>$</w:t>
            </w:r>
          </w:p>
        </w:tc>
      </w:tr>
      <w:tr>
        <w:trPr>
          <w:cantSplit/>
        </w:trPr>
        <w:tc>
          <w:tcPr>
            <w:tcW w:w="588" w:type="dxa"/>
          </w:tcPr>
          <w:p>
            <w:pPr>
              <w:pStyle w:val="yTableNAm"/>
            </w:pPr>
            <w:r>
              <w:t>1.</w:t>
            </w:r>
          </w:p>
        </w:tc>
        <w:tc>
          <w:tcPr>
            <w:tcW w:w="4190" w:type="dxa"/>
          </w:tcPr>
          <w:p>
            <w:pPr>
              <w:pStyle w:val="yTableNAm"/>
            </w:pPr>
            <w:r>
              <w:t>For the use, other than casual daily use, of a piled mooring, an amount calculated per metre of the vessel’s length using the annual rate of</w:t>
            </w:r>
          </w:p>
        </w:tc>
        <w:tc>
          <w:tcPr>
            <w:tcW w:w="1134" w:type="dxa"/>
          </w:tcPr>
          <w:p>
            <w:pPr>
              <w:pStyle w:val="yTableNAm"/>
              <w:jc w:val="center"/>
            </w:pPr>
            <w:r>
              <w:br/>
            </w:r>
            <w:r>
              <w:br/>
            </w:r>
            <w:r>
              <w:br/>
              <w:t>165.59</w:t>
            </w:r>
          </w:p>
        </w:tc>
      </w:tr>
      <w:tr>
        <w:trPr>
          <w:cantSplit/>
        </w:trPr>
        <w:tc>
          <w:tcPr>
            <w:tcW w:w="588" w:type="dxa"/>
          </w:tcPr>
          <w:p>
            <w:pPr>
              <w:pStyle w:val="yTableNAm"/>
            </w:pPr>
            <w:r>
              <w:t>2.</w:t>
            </w:r>
          </w:p>
        </w:tc>
        <w:tc>
          <w:tcPr>
            <w:tcW w:w="4190" w:type="dxa"/>
          </w:tcPr>
          <w:p>
            <w:pPr>
              <w:pStyle w:val="yTableNAm"/>
            </w:pPr>
            <w:r>
              <w:t>For the casual daily use of a piled mooring by a commercial vessel, an amount calculated using standard Rate 1</w:t>
            </w:r>
          </w:p>
        </w:tc>
        <w:tc>
          <w:tcPr>
            <w:tcW w:w="1134" w:type="dxa"/>
          </w:tcPr>
          <w:p>
            <w:pPr>
              <w:pStyle w:val="yTableNAm"/>
              <w:jc w:val="center"/>
            </w:pPr>
            <w:r>
              <w:br/>
            </w:r>
            <w:r>
              <w:br/>
            </w:r>
          </w:p>
        </w:tc>
      </w:tr>
      <w:tr>
        <w:trPr>
          <w:cantSplit/>
        </w:trPr>
        <w:tc>
          <w:tcPr>
            <w:tcW w:w="588" w:type="dxa"/>
            <w:tcBorders>
              <w:bottom w:val="single" w:sz="4" w:space="0" w:color="auto"/>
            </w:tcBorders>
          </w:tcPr>
          <w:p>
            <w:pPr>
              <w:pStyle w:val="yTableNAm"/>
            </w:pPr>
            <w:r>
              <w:t>3.</w:t>
            </w:r>
          </w:p>
        </w:tc>
        <w:tc>
          <w:tcPr>
            <w:tcW w:w="4190" w:type="dxa"/>
            <w:tcBorders>
              <w:bottom w:val="single" w:sz="4" w:space="0" w:color="auto"/>
            </w:tcBorders>
          </w:tcPr>
          <w:p>
            <w:pPr>
              <w:pStyle w:val="yTableNAm"/>
            </w:pPr>
            <w:r>
              <w:t>For the casual daily use of a piled mooring by a recreational vessel, an amount calculated using standard Rate 2</w:t>
            </w:r>
          </w:p>
        </w:tc>
        <w:tc>
          <w:tcPr>
            <w:tcW w:w="1134" w:type="dxa"/>
            <w:tcBorders>
              <w:bottom w:val="single" w:sz="4" w:space="0" w:color="auto"/>
            </w:tcBorders>
          </w:tcPr>
          <w:p>
            <w:pPr>
              <w:pStyle w:val="yTableNAm"/>
              <w:jc w:val="center"/>
            </w:pPr>
            <w:r>
              <w:br/>
            </w:r>
            <w:r>
              <w:br/>
            </w:r>
          </w:p>
        </w:tc>
      </w:tr>
    </w:tbl>
    <w:p>
      <w:pPr>
        <w:pStyle w:val="yFootnotesection"/>
      </w:pPr>
      <w:r>
        <w:tab/>
        <w:t>[Clause 5 inserted in Gazette 22 Jul 2015 p. 2995.]</w:t>
      </w:r>
    </w:p>
    <w:p>
      <w:pPr>
        <w:tabs>
          <w:tab w:val="left" w:pos="423"/>
        </w:tabs>
        <w:ind w:left="423" w:hanging="423"/>
        <w:sectPr>
          <w:headerReference w:type="even" r:id="rId28"/>
          <w:headerReference w:type="default" r:id="rId29"/>
          <w:pgSz w:w="11907" w:h="16840" w:code="9"/>
          <w:pgMar w:top="2376" w:right="2404" w:bottom="3544" w:left="2404" w:header="709" w:footer="3380" w:gutter="0"/>
          <w:cols w:space="720"/>
          <w:noEndnote/>
          <w:docGrid w:linePitch="326"/>
        </w:sectPr>
      </w:pPr>
    </w:p>
    <w:p>
      <w:pPr>
        <w:pStyle w:val="yScheduleHeading"/>
        <w:outlineLvl w:val="0"/>
      </w:pPr>
      <w:bookmarkStart w:id="232" w:name="_Toc440457165"/>
      <w:bookmarkStart w:id="233" w:name="_Toc443638858"/>
      <w:r>
        <w:rPr>
          <w:rStyle w:val="CharSchNo"/>
        </w:rPr>
        <w:t>Schedule 3</w:t>
      </w:r>
      <w:r>
        <w:rPr>
          <w:rStyle w:val="CharSDivNo"/>
        </w:rPr>
        <w:t> </w:t>
      </w:r>
      <w:r>
        <w:t>—</w:t>
      </w:r>
      <w:r>
        <w:rPr>
          <w:rStyle w:val="CharSDivText"/>
        </w:rPr>
        <w:t> </w:t>
      </w:r>
      <w:r>
        <w:rPr>
          <w:rStyle w:val="CharSchText"/>
        </w:rPr>
        <w:t>Forms</w:t>
      </w:r>
      <w:bookmarkEnd w:id="232"/>
      <w:bookmarkEnd w:id="233"/>
    </w:p>
    <w:p>
      <w:pPr>
        <w:pStyle w:val="yFootnoteheading"/>
      </w:pPr>
      <w:r>
        <w:tab/>
        <w:t>[Heading inserted in Gazette 24 Jun 2005 p. 2829.]</w:t>
      </w:r>
    </w:p>
    <w:p>
      <w:pPr>
        <w:pStyle w:val="yFootnotesection"/>
      </w:pPr>
      <w:r>
        <w:tab/>
        <w:t>[Forms 1 and 2 deleted in Gazette 24 Nov 1972 p. 4491.]</w:t>
      </w:r>
    </w:p>
    <w:p>
      <w:pPr>
        <w:pStyle w:val="yTable"/>
        <w:jc w:val="center"/>
        <w:outlineLvl w:val="0"/>
        <w:rPr>
          <w:b/>
        </w:rPr>
      </w:pPr>
      <w:r>
        <w:rPr>
          <w:b/>
        </w:rPr>
        <w:t>Form 3</w:t>
      </w:r>
    </w:p>
    <w:p>
      <w:pPr>
        <w:pStyle w:val="yTable"/>
        <w:jc w:val="center"/>
      </w:pPr>
      <w:smartTag w:uri="urn:schemas-microsoft-com:office:smarttags" w:element="place">
        <w:smartTag w:uri="urn:schemas-microsoft-com:office:smarttags" w:element="State">
          <w:r>
            <w:t>Western Australia</w:t>
          </w:r>
        </w:smartTag>
      </w:smartTag>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in Gazette 6 Jul 1984 p. 2029; amended in Gazette 25 Jul 2014 p. 2661.]</w:t>
      </w:r>
    </w:p>
    <w:p>
      <w:pPr>
        <w:pStyle w:val="yEdnoteschedule"/>
        <w:outlineLvl w:val="9"/>
      </w:pPr>
      <w:r>
        <w:t>[Schedule 4 deleted in Gazette 22 Jun 2007 p. 2940.]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outlineLvl w:val="0"/>
      </w:pPr>
      <w:bookmarkStart w:id="234" w:name="_Toc440457166"/>
      <w:bookmarkStart w:id="235" w:name="_Toc443638859"/>
      <w:r>
        <w:t>Notes</w:t>
      </w:r>
      <w:bookmarkEnd w:id="234"/>
      <w:bookmarkEnd w:id="235"/>
    </w:p>
    <w:p>
      <w:pPr>
        <w:pStyle w:val="nSubsection"/>
      </w:pPr>
      <w:r>
        <w:rPr>
          <w:vertAlign w:val="superscript"/>
        </w:rPr>
        <w:t>1</w:t>
      </w:r>
      <w:r>
        <w:tab/>
        <w:t xml:space="preserve">This reprint is a compilation as at 5 February 2016 of the </w:t>
      </w:r>
      <w:r>
        <w:rPr>
          <w:i/>
          <w:noProof/>
        </w:rPr>
        <w:t>Jetties Regulations 1940</w:t>
      </w:r>
      <w:r>
        <w:t xml:space="preserve"> and includes the amendments made by the other written laws referred to in the following table.  The table also contains information about any reprint.</w:t>
      </w:r>
    </w:p>
    <w:p>
      <w:pPr>
        <w:pStyle w:val="nHeading3"/>
      </w:pPr>
      <w:bookmarkStart w:id="236" w:name="_Toc443638860"/>
      <w:r>
        <w:t>Compilation table</w:t>
      </w:r>
      <w:bookmarkEnd w:id="236"/>
    </w:p>
    <w:tbl>
      <w:tblPr>
        <w:tblW w:w="0" w:type="auto"/>
        <w:tblInd w:w="56" w:type="dxa"/>
        <w:tblLayout w:type="fixed"/>
        <w:tblCellMar>
          <w:left w:w="56" w:type="dxa"/>
          <w:right w:w="56" w:type="dxa"/>
        </w:tblCellMar>
        <w:tblLook w:val="0000" w:firstRow="0" w:lastRow="0" w:firstColumn="0" w:lastColumn="0" w:noHBand="0" w:noVBand="0"/>
      </w:tblPr>
      <w:tblGrid>
        <w:gridCol w:w="3090"/>
        <w:gridCol w:w="1276"/>
        <w:gridCol w:w="2722"/>
      </w:tblGrid>
      <w:tr>
        <w:trPr>
          <w:cantSplit/>
          <w:tblHeader/>
        </w:trPr>
        <w:tc>
          <w:tcPr>
            <w:tcW w:w="3090"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b/>
              </w:rPr>
            </w:pPr>
            <w:r>
              <w:t>5 Sep 1941 p. 1244</w:t>
            </w:r>
          </w:p>
        </w:tc>
        <w:tc>
          <w:tcPr>
            <w:tcW w:w="2722" w:type="dxa"/>
          </w:tcPr>
          <w:p>
            <w:pPr>
              <w:pStyle w:val="nTable"/>
              <w:spacing w:after="40"/>
            </w:pPr>
            <w:r>
              <w:t>5 Sep 1941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20 Oct 1944 p. 893</w:t>
            </w:r>
          </w:p>
        </w:tc>
        <w:tc>
          <w:tcPr>
            <w:tcW w:w="2722" w:type="dxa"/>
          </w:tcPr>
          <w:p>
            <w:pPr>
              <w:pStyle w:val="nTable"/>
              <w:spacing w:after="40"/>
            </w:pPr>
            <w:r>
              <w:t>20 Oct 1944</w:t>
            </w:r>
          </w:p>
        </w:tc>
      </w:tr>
      <w:tr>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rPr>
                <w:rFonts w:ascii="Arial" w:hAnsi="Arial"/>
              </w:rPr>
            </w:pPr>
            <w:r>
              <w:t>11 Jan 1946</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 Jan 1947</w:t>
            </w:r>
            <w:r>
              <w:br/>
              <w:t>p. 7</w:t>
            </w:r>
          </w:p>
        </w:tc>
        <w:tc>
          <w:tcPr>
            <w:tcW w:w="2722" w:type="dxa"/>
          </w:tcPr>
          <w:p>
            <w:pPr>
              <w:pStyle w:val="nTable"/>
              <w:spacing w:after="40"/>
            </w:pPr>
            <w:r>
              <w:t>3 Jan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Jan 1947 p. 182</w:t>
            </w:r>
          </w:p>
        </w:tc>
        <w:tc>
          <w:tcPr>
            <w:tcW w:w="2722" w:type="dxa"/>
          </w:tcPr>
          <w:p>
            <w:pPr>
              <w:pStyle w:val="nTable"/>
              <w:spacing w:after="40"/>
            </w:pPr>
            <w:r>
              <w:t>31 Jan 1947</w:t>
            </w:r>
          </w:p>
        </w:tc>
      </w:tr>
      <w:tr>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29 Oct 1948 p. 2579</w:t>
            </w:r>
          </w:p>
        </w:tc>
        <w:tc>
          <w:tcPr>
            <w:tcW w:w="2722" w:type="dxa"/>
          </w:tcPr>
          <w:p>
            <w:pPr>
              <w:pStyle w:val="nTable"/>
              <w:spacing w:after="40"/>
              <w:rPr>
                <w:rFonts w:ascii="Arial" w:hAnsi="Arial"/>
              </w:rPr>
            </w:pPr>
            <w:r>
              <w:t>29 Oct 1948</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31 Dec 1948 p. 3114</w:t>
            </w:r>
          </w:p>
        </w:tc>
        <w:tc>
          <w:tcPr>
            <w:tcW w:w="2722" w:type="dxa"/>
          </w:tcPr>
          <w:p>
            <w:pPr>
              <w:pStyle w:val="nTable"/>
              <w:spacing w:after="40"/>
            </w:pPr>
            <w:r>
              <w:t>31 Dec 1948</w:t>
            </w:r>
          </w:p>
        </w:tc>
      </w:tr>
      <w:tr>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rPr>
          <w:cantSplit/>
        </w:trPr>
        <w:tc>
          <w:tcPr>
            <w:tcW w:w="3090" w:type="dxa"/>
          </w:tcPr>
          <w:p>
            <w:pPr>
              <w:pStyle w:val="nTable"/>
              <w:spacing w:after="40"/>
            </w:pPr>
            <w:r>
              <w:t>Untitled regulations</w:t>
            </w:r>
          </w:p>
        </w:tc>
        <w:tc>
          <w:tcPr>
            <w:tcW w:w="1276" w:type="dxa"/>
          </w:tcPr>
          <w:p>
            <w:pPr>
              <w:pStyle w:val="nTable"/>
              <w:spacing w:after="40"/>
              <w:rPr>
                <w:rFonts w:ascii="Arial" w:hAnsi="Arial"/>
              </w:rPr>
            </w:pPr>
            <w:r>
              <w:t>2 Mar 1951 p. 470</w:t>
            </w:r>
          </w:p>
        </w:tc>
        <w:tc>
          <w:tcPr>
            <w:tcW w:w="2722" w:type="dxa"/>
          </w:tcPr>
          <w:p>
            <w:pPr>
              <w:pStyle w:val="nTable"/>
              <w:spacing w:after="40"/>
            </w:pPr>
            <w:r>
              <w:t>2 Mar 1951</w:t>
            </w:r>
          </w:p>
        </w:tc>
      </w:tr>
      <w:tr>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rPr>
                <w:rFonts w:ascii="Arial" w:hAnsi="Arial"/>
              </w:rPr>
            </w:pPr>
            <w:r>
              <w:t>2 May 1952</w:t>
            </w:r>
          </w:p>
        </w:tc>
      </w:tr>
      <w:tr>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rPr>
          <w:cantSplit/>
        </w:trPr>
        <w:tc>
          <w:tcPr>
            <w:tcW w:w="4366" w:type="dxa"/>
            <w:gridSpan w:val="2"/>
          </w:tcPr>
          <w:p>
            <w:pPr>
              <w:pStyle w:val="nTable"/>
              <w:spacing w:after="40"/>
              <w:rPr>
                <w:rFonts w:ascii="Arial" w:hAnsi="Arial"/>
              </w:rPr>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rPr>
          <w:cantSplit/>
        </w:trPr>
        <w:tc>
          <w:tcPr>
            <w:tcW w:w="3090" w:type="dxa"/>
          </w:tcPr>
          <w:p>
            <w:pPr>
              <w:pStyle w:val="nTable"/>
              <w:spacing w:after="40"/>
              <w:rPr>
                <w:rFonts w:ascii="Arial" w:hAnsi="Arial"/>
              </w:rPr>
            </w:pPr>
            <w:r>
              <w:t>Untitled regulations</w:t>
            </w:r>
          </w:p>
        </w:tc>
        <w:tc>
          <w:tcPr>
            <w:tcW w:w="1276" w:type="dxa"/>
          </w:tcPr>
          <w:p>
            <w:pPr>
              <w:pStyle w:val="nTable"/>
              <w:spacing w:after="40"/>
              <w:rPr>
                <w:rFonts w:ascii="Arial" w:hAnsi="Arial"/>
              </w:rPr>
            </w:pPr>
            <w:r>
              <w:t>22 Aug 1975 p. 3040-3</w:t>
            </w:r>
          </w:p>
        </w:tc>
        <w:tc>
          <w:tcPr>
            <w:tcW w:w="2722" w:type="dxa"/>
          </w:tcPr>
          <w:p>
            <w:pPr>
              <w:pStyle w:val="nTable"/>
              <w:spacing w:after="40"/>
              <w:rPr>
                <w:rFonts w:ascii="Arial" w:hAnsi="Arial"/>
              </w:rPr>
            </w:pPr>
            <w:r>
              <w:t>22 Aug 1975</w:t>
            </w:r>
          </w:p>
        </w:tc>
      </w:tr>
      <w:tr>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rPr>
          <w:cantSplit/>
        </w:trPr>
        <w:tc>
          <w:tcPr>
            <w:tcW w:w="3090" w:type="dxa"/>
          </w:tcPr>
          <w:p>
            <w:pPr>
              <w:pStyle w:val="nTable"/>
              <w:spacing w:after="40"/>
              <w:rPr>
                <w:i/>
              </w:rPr>
            </w:pPr>
            <w:r>
              <w:rPr>
                <w:i/>
              </w:rPr>
              <w:t>Jetties Amendment Regulations 2002</w:t>
            </w:r>
          </w:p>
        </w:tc>
        <w:tc>
          <w:tcPr>
            <w:tcW w:w="1276" w:type="dxa"/>
          </w:tcPr>
          <w:p>
            <w:pPr>
              <w:pStyle w:val="nTable"/>
              <w:spacing w:after="40"/>
              <w:rPr>
                <w:rFonts w:ascii="Arial" w:hAnsi="Arial"/>
              </w:rPr>
            </w:pPr>
            <w:r>
              <w:t>14 Jun 2002 p. 2299-300</w:t>
            </w:r>
          </w:p>
        </w:tc>
        <w:tc>
          <w:tcPr>
            <w:tcW w:w="2722" w:type="dxa"/>
          </w:tcPr>
          <w:p>
            <w:pPr>
              <w:pStyle w:val="nTable"/>
              <w:spacing w:after="40"/>
            </w:pPr>
            <w:r>
              <w:t xml:space="preserve">14 Jun 2002 </w:t>
            </w:r>
          </w:p>
        </w:tc>
      </w:tr>
      <w:tr>
        <w:trPr>
          <w:cantSplit/>
        </w:trPr>
        <w:tc>
          <w:tcPr>
            <w:tcW w:w="3090" w:type="dxa"/>
          </w:tcPr>
          <w:p>
            <w:pPr>
              <w:pStyle w:val="nTable"/>
              <w:spacing w:after="40"/>
              <w:rPr>
                <w:i/>
              </w:rPr>
            </w:pPr>
            <w:r>
              <w:rPr>
                <w:i/>
              </w:rPr>
              <w:t>Jetties Amendment Regulations (No. 2) 2002</w:t>
            </w:r>
          </w:p>
        </w:tc>
        <w:tc>
          <w:tcPr>
            <w:tcW w:w="1276" w:type="dxa"/>
          </w:tcPr>
          <w:p>
            <w:pPr>
              <w:pStyle w:val="nTable"/>
              <w:spacing w:after="40"/>
              <w:rPr>
                <w:rFonts w:ascii="Arial" w:hAnsi="Arial"/>
              </w:rPr>
            </w:pPr>
            <w:r>
              <w:t>14 Jun 2002 p. 2301</w:t>
            </w:r>
            <w:r>
              <w:noBreakHyphen/>
              <w:t>18</w:t>
            </w:r>
          </w:p>
        </w:tc>
        <w:tc>
          <w:tcPr>
            <w:tcW w:w="2722" w:type="dxa"/>
          </w:tcPr>
          <w:p>
            <w:pPr>
              <w:pStyle w:val="nTable"/>
              <w:spacing w:after="40"/>
            </w:pPr>
            <w:r>
              <w:t>1 Jul 2002 (see r. 2)</w:t>
            </w:r>
          </w:p>
        </w:tc>
      </w:tr>
      <w:tr>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rPr>
                <w:rFonts w:ascii="Times" w:hAnsi="Times"/>
              </w:rPr>
            </w:pPr>
            <w:r>
              <w:t xml:space="preserve">1 Jan 2005 (see r. 2 and </w:t>
            </w:r>
            <w:r>
              <w:rPr>
                <w:i/>
              </w:rPr>
              <w:t>Gazette</w:t>
            </w:r>
            <w:r>
              <w:t xml:space="preserve"> 31 Dec 2004 p. 7130)</w:t>
            </w:r>
          </w:p>
        </w:tc>
      </w:tr>
      <w:tr>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rFonts w:ascii="Arial" w:hAnsi="Arial"/>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rFonts w:ascii="Arial" w:hAnsi="Arial"/>
                <w:bCs/>
                <w:snapToGrid w:val="0"/>
              </w:rPr>
            </w:pPr>
            <w:r>
              <w:rPr>
                <w:bCs/>
                <w:snapToGrid w:val="0"/>
              </w:rPr>
              <w:t>r. 1 and 2: 7 May 2013 (see r. 2(a));</w:t>
            </w:r>
            <w:r>
              <w:rPr>
                <w:bCs/>
                <w:snapToGrid w:val="0"/>
              </w:rPr>
              <w:br/>
              <w:t>Regulations other than r. 1 and 2: 8 May 2013 (see r. 2(b))</w:t>
            </w:r>
          </w:p>
        </w:tc>
      </w:tr>
      <w:tr>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rFonts w:ascii="Arial" w:hAnsi="Arial"/>
                <w:bCs/>
              </w:rPr>
            </w:pPr>
            <w:r>
              <w:rPr>
                <w:bCs/>
              </w:rPr>
              <w:t>28 Jun 2013 p. 2831</w:t>
            </w:r>
            <w:r>
              <w:rPr>
                <w:bCs/>
              </w:rPr>
              <w:noBreakHyphen/>
              <w:t>85</w:t>
            </w:r>
          </w:p>
        </w:tc>
        <w:tc>
          <w:tcPr>
            <w:tcW w:w="2722" w:type="dxa"/>
          </w:tcPr>
          <w:p>
            <w:pPr>
              <w:pStyle w:val="nTable"/>
              <w:spacing w:after="40"/>
              <w:rPr>
                <w:rFonts w:ascii="Arial" w:hAnsi="Arial"/>
                <w:bCs/>
                <w:snapToGrid w:val="0"/>
              </w:rPr>
            </w:pPr>
            <w:r>
              <w:rPr>
                <w:bCs/>
                <w:snapToGrid w:val="0"/>
              </w:rPr>
              <w:t>r. 1 and 2: 28 Jun 2013 (see r. 2(a));</w:t>
            </w:r>
            <w:r>
              <w:rPr>
                <w:bCs/>
                <w:snapToGrid w:val="0"/>
              </w:rPr>
              <w:br/>
              <w:t>Regulations other than r. 1 and 2: 1 Jul 2013 (see r. 2(b))</w:t>
            </w:r>
          </w:p>
        </w:tc>
      </w:tr>
      <w:tr>
        <w:trPr>
          <w:cantSplit/>
        </w:trPr>
        <w:tc>
          <w:tcPr>
            <w:tcW w:w="7088" w:type="dxa"/>
            <w:gridSpan w:val="3"/>
            <w:shd w:val="clear" w:color="auto" w:fill="auto"/>
          </w:tcPr>
          <w:p>
            <w:pPr>
              <w:pStyle w:val="nTable"/>
              <w:spacing w:after="40"/>
              <w:rPr>
                <w:rFonts w:ascii="Arial" w:hAnsi="Arial"/>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rFonts w:ascii="Arial" w:hAnsi="Arial"/>
                <w:bCs/>
              </w:rPr>
            </w:pPr>
            <w:r>
              <w:rPr>
                <w:bCs/>
              </w:rPr>
              <w:t>7 Feb 2014 p. 287</w:t>
            </w:r>
            <w:r>
              <w:rPr>
                <w:bCs/>
              </w:rPr>
              <w:noBreakHyphen/>
              <w:t>9</w:t>
            </w:r>
          </w:p>
        </w:tc>
        <w:tc>
          <w:tcPr>
            <w:tcW w:w="2722" w:type="dxa"/>
          </w:tcPr>
          <w:p>
            <w:pPr>
              <w:pStyle w:val="nTable"/>
              <w:spacing w:after="40"/>
              <w:rPr>
                <w:rFonts w:ascii="Arial" w:hAnsi="Arial"/>
                <w:bCs/>
                <w:snapToGrid w:val="0"/>
              </w:rPr>
            </w:pPr>
            <w:r>
              <w:rPr>
                <w:bCs/>
                <w:snapToGrid w:val="0"/>
              </w:rPr>
              <w:t>r. 1 and 2: 7 Feb 2014 (see r. 2(a));</w:t>
            </w:r>
            <w:r>
              <w:rPr>
                <w:bCs/>
                <w:snapToGrid w:val="0"/>
              </w:rPr>
              <w:br/>
              <w:t>Regulations other than r. 1 and 2: 8 Feb 2014 (see r. 2(b))</w:t>
            </w:r>
          </w:p>
        </w:tc>
      </w:tr>
      <w:tr>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rPr>
          <w:cantSplit/>
        </w:trPr>
        <w:tc>
          <w:tcPr>
            <w:tcW w:w="7088"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bl>
    <w:p>
      <w:pPr>
        <w:pStyle w:val="nSubsection"/>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Subsection"/>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Subsection"/>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reprint was prepared the department principally assisting the Minister in the administration of the </w:t>
      </w:r>
      <w:r>
        <w:rPr>
          <w:i/>
        </w:rPr>
        <w:t>Marine and Harbours Act 1981</w:t>
      </w:r>
      <w:r>
        <w:rPr>
          <w:iCs/>
        </w:rPr>
        <w:t xml:space="preserve"> is the Department of Transport.</w:t>
      </w:r>
    </w:p>
    <w:p>
      <w:pPr>
        <w:pStyle w:val="nSubsection"/>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Subsection"/>
      </w:pPr>
      <w:r>
        <w:rPr>
          <w:vertAlign w:val="superscript"/>
        </w:rPr>
        <w:t>9</w:t>
      </w:r>
      <w:r>
        <w:tab/>
        <w:t xml:space="preserve">Now known as the </w:t>
      </w:r>
      <w:r>
        <w:rPr>
          <w:i/>
        </w:rPr>
        <w:t>Jetties Regulations 1940</w:t>
      </w:r>
      <w:r>
        <w:t>; citation changed (see note under r. 1).</w:t>
      </w:r>
    </w:p>
    <w:p>
      <w:pPr>
        <w:pStyle w:val="nSubsection"/>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Subsection"/>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Heading5"/>
      </w:pPr>
      <w:r>
        <w:rPr>
          <w:rStyle w:val="CharSectno"/>
        </w:rPr>
        <w:tab/>
      </w:r>
      <w:r>
        <w:t>17.</w:t>
      </w:r>
      <w:r>
        <w:tab/>
        <w:t>Regulation 95A amended</w:t>
      </w:r>
    </w:p>
    <w:p>
      <w:pPr>
        <w:pStyle w:val="nSubsection"/>
      </w:pPr>
      <w:r>
        <w:tab/>
      </w:r>
      <w:r>
        <w:tab/>
      </w:r>
      <w:r>
        <w:tab/>
        <w:t>In regulation 95A(1) delete “schedule of charges.” and insert:</w:t>
      </w:r>
    </w:p>
    <w:p>
      <w:pPr>
        <w:pStyle w:val="BlankOpen"/>
      </w:pPr>
    </w:p>
    <w:p>
      <w:pPr>
        <w:pStyle w:val="nSubsection"/>
        <w:ind w:left="1440" w:hanging="1440"/>
      </w:pPr>
      <w:r>
        <w:tab/>
      </w:r>
      <w:r>
        <w:tab/>
        <w:t>the requirement to pay any applicable dues or charges prescribed in Schedule 1.</w:t>
      </w:r>
    </w:p>
    <w:p>
      <w:pPr>
        <w:pStyle w:val="BlankClose"/>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238" w:name="_Toc440457168"/>
      <w:bookmarkStart w:id="239" w:name="_Toc443638861"/>
      <w:r>
        <w:rPr>
          <w:sz w:val="28"/>
        </w:rPr>
        <w:t>Defined terms</w:t>
      </w:r>
      <w:bookmarkEnd w:id="238"/>
      <w:bookmarkEnd w:id="2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berthing due</w:t>
      </w:r>
      <w:r>
        <w:tab/>
        <w:t>6(1)</w:t>
      </w:r>
    </w:p>
    <w:p>
      <w:pPr>
        <w:pStyle w:val="DefinedTerms"/>
      </w:pPr>
      <w:r>
        <w:t>catamaran pen</w:t>
      </w:r>
      <w:r>
        <w:tab/>
        <w:t>6(1)</w:t>
      </w:r>
    </w:p>
    <w:p>
      <w:pPr>
        <w:pStyle w:val="DefinedTerms"/>
      </w:pPr>
      <w:r>
        <w:t>commercial vessel</w:t>
      </w:r>
      <w:r>
        <w:tab/>
        <w:t>3(1)</w:t>
      </w:r>
    </w:p>
    <w:p>
      <w:pPr>
        <w:pStyle w:val="DefinedTerms"/>
      </w:pPr>
      <w:r>
        <w:t>day</w:t>
      </w:r>
      <w:r>
        <w:tab/>
        <w:t>3(2)</w:t>
      </w:r>
    </w:p>
    <w:p>
      <w:pPr>
        <w:pStyle w:val="DefinedTerms"/>
      </w:pPr>
      <w:r>
        <w:t>Department</w:t>
      </w:r>
      <w:r>
        <w:tab/>
        <w:t>3(1)</w:t>
      </w:r>
    </w:p>
    <w:p>
      <w:pPr>
        <w:pStyle w:val="DefinedTerms"/>
      </w:pPr>
      <w:r>
        <w:t>enhanced facilities</w:t>
      </w:r>
      <w:r>
        <w:tab/>
        <w:t>Sch. 1 cl. 26(1)</w:t>
      </w:r>
    </w:p>
    <w:p>
      <w:pPr>
        <w:pStyle w:val="DefinedTerms"/>
      </w:pPr>
      <w:r>
        <w:t>fishing vessel</w:t>
      </w:r>
      <w:r>
        <w:tab/>
        <w:t>3(1)</w:t>
      </w:r>
    </w:p>
    <w:p>
      <w:pPr>
        <w:pStyle w:val="DefinedTerms"/>
      </w:pPr>
      <w:r>
        <w:t>jetty</w:t>
      </w:r>
      <w:r>
        <w:tab/>
        <w:t>3(1)</w:t>
      </w:r>
    </w:p>
    <w:p>
      <w:pPr>
        <w:pStyle w:val="DefinedTerms"/>
      </w:pPr>
      <w:r>
        <w:t>master</w:t>
      </w:r>
      <w:r>
        <w:tab/>
        <w:t>3(1)</w:t>
      </w:r>
    </w:p>
    <w:p>
      <w:pPr>
        <w:pStyle w:val="DefinedTerms"/>
      </w:pPr>
      <w:r>
        <w:t>officer</w:t>
      </w:r>
      <w:r>
        <w:tab/>
        <w:t>3(1)</w:t>
      </w:r>
    </w:p>
    <w:p>
      <w:pPr>
        <w:pStyle w:val="DefinedTerms"/>
      </w:pPr>
      <w:r>
        <w:t>owner</w:t>
      </w:r>
      <w:r>
        <w:tab/>
        <w:t>3(1)</w:t>
      </w:r>
    </w:p>
    <w:p>
      <w:pPr>
        <w:pStyle w:val="DefinedTerms"/>
      </w:pPr>
      <w:r>
        <w:t>premises</w:t>
      </w:r>
      <w:r>
        <w:tab/>
        <w:t>3(1)</w:t>
      </w:r>
    </w:p>
    <w:p>
      <w:pPr>
        <w:pStyle w:val="DefinedTerms"/>
      </w:pPr>
      <w:r>
        <w:t>public jetty</w:t>
      </w:r>
      <w:r>
        <w:tab/>
        <w:t>3(1)</w:t>
      </w:r>
    </w:p>
    <w:p>
      <w:pPr>
        <w:pStyle w:val="DefinedTerms"/>
      </w:pPr>
      <w:r>
        <w:t>recreational vessel</w:t>
      </w:r>
      <w:r>
        <w:tab/>
        <w:t>3(1)</w:t>
      </w:r>
    </w:p>
    <w:p>
      <w:pPr>
        <w:pStyle w:val="DefinedTerms"/>
      </w:pPr>
      <w:r>
        <w:t>service vessel</w:t>
      </w:r>
      <w:r>
        <w:tab/>
        <w:t>Sch. 1 cl. 12(2), 21(2) and 22(2)</w:t>
      </w:r>
    </w:p>
    <w:p>
      <w:pPr>
        <w:pStyle w:val="DefinedTerms"/>
      </w:pPr>
      <w:r>
        <w:t>short term</w:t>
      </w:r>
      <w:r>
        <w:tab/>
        <w:t>3(2)</w:t>
      </w:r>
    </w:p>
    <w:p>
      <w:pPr>
        <w:pStyle w:val="DefinedTerms"/>
      </w:pPr>
      <w:r>
        <w:t>swing mooring fee</w:t>
      </w:r>
      <w:r>
        <w:tab/>
        <w:t>3(1)</w:t>
      </w:r>
    </w:p>
    <w:p>
      <w:pPr>
        <w:pStyle w:val="DefinedTerms"/>
      </w:pPr>
      <w:r>
        <w:t>tourism vessel</w:t>
      </w:r>
      <w:r>
        <w:tab/>
        <w:t>3(1)</w:t>
      </w:r>
    </w:p>
    <w:p>
      <w:pPr>
        <w:pStyle w:val="DefinedTerms"/>
      </w:pPr>
      <w:r>
        <w:t>unit</w:t>
      </w:r>
      <w:r>
        <w:tab/>
        <w:t>3(5)</w:t>
      </w:r>
    </w:p>
    <w:p>
      <w:pPr>
        <w:pStyle w:val="DefinedTerms"/>
      </w:pPr>
      <w:r>
        <w:t>vessel</w:t>
      </w:r>
      <w:r>
        <w:tab/>
        <w:t>3(1)</w:t>
      </w:r>
    </w:p>
    <w:p>
      <w:pPr>
        <w:pStyle w:val="DefinedTerms"/>
      </w:pPr>
      <w:r>
        <w:t>week</w:t>
      </w:r>
      <w:r>
        <w:tab/>
        <w:t>3(2)</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Feb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STYLEREF CharSchno \n</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231" w:name="Schedule"/>
    <w:bookmarkEnd w:id="2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boat pens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Charges for boat pens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7" w:name="Compilation"/>
    <w:bookmarkEnd w:id="23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0" w:name="DefinedTerms"/>
    <w:bookmarkEnd w:id="24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1" w:name="Coversheet"/>
    <w:bookmarkEnd w:id="2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C381F54"/>
    <w:lvl w:ilvl="0">
      <w:start w:val="1"/>
      <w:numFmt w:val="decimal"/>
      <w:lvlText w:val="%1."/>
      <w:lvlJc w:val="left"/>
      <w:pPr>
        <w:tabs>
          <w:tab w:val="num" w:pos="1492"/>
        </w:tabs>
        <w:ind w:left="1492" w:hanging="360"/>
      </w:pPr>
    </w:lvl>
  </w:abstractNum>
  <w:abstractNum w:abstractNumId="1">
    <w:nsid w:val="FFFFFF7D"/>
    <w:multiLevelType w:val="singleLevel"/>
    <w:tmpl w:val="39BC533A"/>
    <w:lvl w:ilvl="0">
      <w:start w:val="1"/>
      <w:numFmt w:val="decimal"/>
      <w:lvlText w:val="%1."/>
      <w:lvlJc w:val="left"/>
      <w:pPr>
        <w:tabs>
          <w:tab w:val="num" w:pos="1209"/>
        </w:tabs>
        <w:ind w:left="1209" w:hanging="360"/>
      </w:pPr>
    </w:lvl>
  </w:abstractNum>
  <w:abstractNum w:abstractNumId="2">
    <w:nsid w:val="FFFFFF7E"/>
    <w:multiLevelType w:val="singleLevel"/>
    <w:tmpl w:val="FD3A4256"/>
    <w:lvl w:ilvl="0">
      <w:start w:val="1"/>
      <w:numFmt w:val="decimal"/>
      <w:lvlText w:val="%1."/>
      <w:lvlJc w:val="left"/>
      <w:pPr>
        <w:tabs>
          <w:tab w:val="num" w:pos="926"/>
        </w:tabs>
        <w:ind w:left="926" w:hanging="360"/>
      </w:pPr>
    </w:lvl>
  </w:abstractNum>
  <w:abstractNum w:abstractNumId="3">
    <w:nsid w:val="FFFFFF7F"/>
    <w:multiLevelType w:val="singleLevel"/>
    <w:tmpl w:val="C8E23BB6"/>
    <w:lvl w:ilvl="0">
      <w:start w:val="1"/>
      <w:numFmt w:val="decimal"/>
      <w:lvlText w:val="%1."/>
      <w:lvlJc w:val="left"/>
      <w:pPr>
        <w:tabs>
          <w:tab w:val="num" w:pos="643"/>
        </w:tabs>
        <w:ind w:left="643" w:hanging="360"/>
      </w:pPr>
    </w:lvl>
  </w:abstractNum>
  <w:abstractNum w:abstractNumId="4">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DE831FA"/>
    <w:lvl w:ilvl="0">
      <w:start w:val="1"/>
      <w:numFmt w:val="decimal"/>
      <w:lvlText w:val="%1."/>
      <w:lvlJc w:val="left"/>
      <w:pPr>
        <w:tabs>
          <w:tab w:val="num" w:pos="360"/>
        </w:tabs>
        <w:ind w:left="360" w:hanging="360"/>
      </w:pPr>
    </w:lvl>
  </w:abstractNum>
  <w:abstractNum w:abstractNumId="9">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E5B4C5A"/>
    <w:multiLevelType w:val="hybridMultilevel"/>
    <w:tmpl w:val="A4DCF428"/>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078357F"/>
    <w:multiLevelType w:val="multilevel"/>
    <w:tmpl w:val="22A0CC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4486386"/>
    <w:multiLevelType w:val="hybridMultilevel"/>
    <w:tmpl w:val="CB58A76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4"/>
  </w:num>
  <w:num w:numId="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3135900"/>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9.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 Id="rId43"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5EF60-09DB-4C57-B746-39BB6A568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27785</Words>
  <Characters>128368</Characters>
  <Application>Microsoft Office Word</Application>
  <DocSecurity>0</DocSecurity>
  <Lines>4937</Lines>
  <Paragraphs>2891</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153262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1940 - 09-a0-00</dc:title>
  <dc:subject/>
  <dc:creator/>
  <cp:keywords/>
  <dc:description/>
  <cp:lastModifiedBy>svcMRProcess</cp:lastModifiedBy>
  <cp:revision>4</cp:revision>
  <cp:lastPrinted>2016-01-27T04:33:00Z</cp:lastPrinted>
  <dcterms:created xsi:type="dcterms:W3CDTF">2019-05-31T08:57:00Z</dcterms:created>
  <dcterms:modified xsi:type="dcterms:W3CDTF">2019-05-31T08:57:00Z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05 Feb 2016</vt:lpwstr>
  </property>
  <property fmtid="{D5CDD505-2E9C-101B-9397-08002B2CF9AE}" pid="8" name="Suffix">
    <vt:lpwstr>09-a0-00</vt:lpwstr>
  </property>
  <property fmtid="{D5CDD505-2E9C-101B-9397-08002B2CF9AE}" pid="9" name="CommencementDate">
    <vt:lpwstr>20160205</vt:lpwstr>
  </property>
</Properties>
</file>