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Hospitals and Health Services Act 1927</w:t>
      </w:r>
      <w:r>
        <w:fldChar w:fldCharType="end"/>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Armadale Kelmscott District Memorial Hospital By-laws 2002</w:t>
      </w:r>
      <w:r>
        <w:rPr>
          <w:sz w:val="48"/>
        </w:rPr>
        <w:fldChar w:fldCharType="end"/>
      </w:r>
    </w:p>
    <w:p>
      <w:pPr>
        <w:pStyle w:val="ReprintNo"/>
      </w:pPr>
      <w:r>
        <w:t>Reprint 1:  The by-laws as at 5 February 2016</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By-laws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8D6692" w:rsidRDefault="008D6692">
                        <w:pPr>
                          <w:rPr>
                            <w:sz w:val="18"/>
                            <w:szCs w:val="18"/>
                          </w:rPr>
                        </w:pPr>
                        <w:r>
                          <w:rPr>
                            <w:sz w:val="18"/>
                            <w:szCs w:val="18"/>
                          </w:rPr>
                          <w:t>By-laws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8D6692" w:rsidRDefault="008D6692">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8D6692" w:rsidRDefault="008D6692">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8D6692" w:rsidRDefault="008D6692">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by-laws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by-laws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by-law that was inserted, or has been amended, since the by-laws being reprinted were made, editorial notes at the foot of the</w:t>
      </w:r>
      <w:r>
        <w:rPr>
          <w:sz w:val="20"/>
        </w:rPr>
        <w:br/>
        <w:t>by-law give some history of how the by-law came to be as it is.  If the by-law replaced an earlier by-law, no history of the earlier by-law is given (the full history of the by-laws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
        </w:numPr>
        <w:tabs>
          <w:tab w:val="num" w:pos="1197"/>
        </w:tabs>
        <w:ind w:left="1208" w:hanging="357"/>
        <w:rPr>
          <w:sz w:val="20"/>
        </w:rPr>
      </w:pPr>
      <w:r>
        <w:rPr>
          <w:sz w:val="20"/>
        </w:rPr>
        <w:t>removed (because it was repealed or deleted from the law); or</w:t>
      </w:r>
    </w:p>
    <w:p>
      <w:pPr>
        <w:numPr>
          <w:ilvl w:val="0"/>
          <w:numId w:val="1"/>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by-laws have been reprinted.  For example, numbering a reprint as “Reprint 3” would mean that the reprint was the 3</w:t>
      </w:r>
      <w:r>
        <w:rPr>
          <w:spacing w:val="-3"/>
          <w:sz w:val="20"/>
          <w:vertAlign w:val="superscript"/>
        </w:rPr>
        <w:t>rd</w:t>
      </w:r>
      <w:r>
        <w:rPr>
          <w:spacing w:val="-3"/>
          <w:sz w:val="20"/>
        </w:rPr>
        <w:t xml:space="preserve"> reprint since the by-laws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by-laws are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February 2016</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Armadale Kelmscott District Memorial Hospital By-laws 2002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_Toc440358274 \h </w:instrText>
      </w:r>
      <w:r>
        <w:fldChar w:fldCharType="separate"/>
      </w:r>
      <w:r>
        <w:t>1</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_Toc440358275 \h </w:instrText>
      </w:r>
      <w:r>
        <w:fldChar w:fldCharType="separate"/>
      </w:r>
      <w:r>
        <w:t>1</w:t>
      </w:r>
      <w:r>
        <w:fldChar w:fldCharType="end"/>
      </w:r>
    </w:p>
    <w:p>
      <w:pPr>
        <w:pStyle w:val="TOC8"/>
        <w:rPr>
          <w:rFonts w:asciiTheme="minorHAnsi" w:eastAsiaTheme="minorEastAsia" w:hAnsiTheme="minorHAnsi" w:cstheme="minorBidi"/>
          <w:szCs w:val="22"/>
        </w:rPr>
      </w:pPr>
      <w:r>
        <w:t>3A.</w:t>
      </w:r>
      <w:r>
        <w:tab/>
        <w:t>Appointment of authorised persons</w:t>
      </w:r>
      <w:r>
        <w:tab/>
      </w:r>
      <w:r>
        <w:fldChar w:fldCharType="begin"/>
      </w:r>
      <w:r>
        <w:instrText xml:space="preserve"> PAGEREF _Toc440358276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Trespass and order</w:t>
      </w:r>
    </w:p>
    <w:p>
      <w:pPr>
        <w:pStyle w:val="TOC8"/>
        <w:rPr>
          <w:rFonts w:asciiTheme="minorHAnsi" w:eastAsiaTheme="minorEastAsia" w:hAnsiTheme="minorHAnsi" w:cstheme="minorBidi"/>
          <w:szCs w:val="22"/>
        </w:rPr>
      </w:pPr>
      <w:r>
        <w:t>3.</w:t>
      </w:r>
      <w:r>
        <w:tab/>
      </w:r>
      <w:r>
        <w:rPr>
          <w:snapToGrid w:val="0"/>
        </w:rPr>
        <w:t>No entry without cause</w:t>
      </w:r>
      <w:r>
        <w:tab/>
      </w:r>
      <w:r>
        <w:fldChar w:fldCharType="begin"/>
      </w:r>
      <w:r>
        <w:instrText xml:space="preserve"> PAGEREF _Toc440358278 \h </w:instrText>
      </w:r>
      <w:r>
        <w:fldChar w:fldCharType="separate"/>
      </w:r>
      <w:r>
        <w:t>4</w:t>
      </w:r>
      <w:r>
        <w:fldChar w:fldCharType="end"/>
      </w:r>
    </w:p>
    <w:p>
      <w:pPr>
        <w:pStyle w:val="TOC8"/>
        <w:rPr>
          <w:rFonts w:asciiTheme="minorHAnsi" w:eastAsiaTheme="minorEastAsia" w:hAnsiTheme="minorHAnsi" w:cstheme="minorBidi"/>
          <w:szCs w:val="22"/>
        </w:rPr>
      </w:pPr>
      <w:r>
        <w:t>4.</w:t>
      </w:r>
      <w:r>
        <w:tab/>
      </w:r>
      <w:r>
        <w:rPr>
          <w:snapToGrid w:val="0"/>
        </w:rPr>
        <w:t>Directions as to use of certain areas</w:t>
      </w:r>
      <w:r>
        <w:tab/>
      </w:r>
      <w:r>
        <w:fldChar w:fldCharType="begin"/>
      </w:r>
      <w:r>
        <w:instrText xml:space="preserve"> PAGEREF _Toc440358279 \h </w:instrText>
      </w:r>
      <w:r>
        <w:fldChar w:fldCharType="separate"/>
      </w:r>
      <w:r>
        <w:t>4</w:t>
      </w:r>
      <w:r>
        <w:fldChar w:fldCharType="end"/>
      </w:r>
    </w:p>
    <w:p>
      <w:pPr>
        <w:pStyle w:val="TOC8"/>
        <w:rPr>
          <w:rFonts w:asciiTheme="minorHAnsi" w:eastAsiaTheme="minorEastAsia" w:hAnsiTheme="minorHAnsi" w:cstheme="minorBidi"/>
          <w:szCs w:val="22"/>
        </w:rPr>
      </w:pPr>
      <w:r>
        <w:t>5.</w:t>
      </w:r>
      <w:r>
        <w:tab/>
        <w:t>Prohibited items</w:t>
      </w:r>
      <w:r>
        <w:tab/>
      </w:r>
      <w:r>
        <w:fldChar w:fldCharType="begin"/>
      </w:r>
      <w:r>
        <w:instrText xml:space="preserve"> PAGEREF _Toc440358280 \h </w:instrText>
      </w:r>
      <w:r>
        <w:fldChar w:fldCharType="separate"/>
      </w:r>
      <w:r>
        <w:t>4</w:t>
      </w:r>
      <w:r>
        <w:fldChar w:fldCharType="end"/>
      </w:r>
    </w:p>
    <w:p>
      <w:pPr>
        <w:pStyle w:val="TOC8"/>
        <w:rPr>
          <w:rFonts w:asciiTheme="minorHAnsi" w:eastAsiaTheme="minorEastAsia" w:hAnsiTheme="minorHAnsi" w:cstheme="minorBidi"/>
          <w:szCs w:val="22"/>
        </w:rPr>
      </w:pPr>
      <w:r>
        <w:t>6.</w:t>
      </w:r>
      <w:r>
        <w:tab/>
        <w:t>Sm</w:t>
      </w:r>
      <w:r>
        <w:rPr>
          <w:snapToGrid w:val="0"/>
        </w:rPr>
        <w:t>oking</w:t>
      </w:r>
      <w:r>
        <w:tab/>
      </w:r>
      <w:r>
        <w:fldChar w:fldCharType="begin"/>
      </w:r>
      <w:r>
        <w:instrText xml:space="preserve"> PAGEREF _Toc440358281 \h </w:instrText>
      </w:r>
      <w:r>
        <w:fldChar w:fldCharType="separate"/>
      </w:r>
      <w:r>
        <w:t>5</w:t>
      </w:r>
      <w:r>
        <w:fldChar w:fldCharType="end"/>
      </w:r>
    </w:p>
    <w:p>
      <w:pPr>
        <w:pStyle w:val="TOC8"/>
        <w:rPr>
          <w:rFonts w:asciiTheme="minorHAnsi" w:eastAsiaTheme="minorEastAsia" w:hAnsiTheme="minorHAnsi" w:cstheme="minorBidi"/>
          <w:szCs w:val="22"/>
        </w:rPr>
      </w:pPr>
      <w:r>
        <w:t>7.</w:t>
      </w:r>
      <w:r>
        <w:tab/>
        <w:t>Persons may be directed to leave site</w:t>
      </w:r>
      <w:r>
        <w:tab/>
      </w:r>
      <w:r>
        <w:fldChar w:fldCharType="begin"/>
      </w:r>
      <w:r>
        <w:instrText xml:space="preserve"> PAGEREF _Toc440358282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Traffic control</w:t>
      </w:r>
    </w:p>
    <w:p>
      <w:pPr>
        <w:pStyle w:val="TOC4"/>
        <w:tabs>
          <w:tab w:val="right" w:leader="dot" w:pos="7077"/>
        </w:tabs>
        <w:rPr>
          <w:rFonts w:asciiTheme="minorHAnsi" w:eastAsiaTheme="minorEastAsia" w:hAnsiTheme="minorHAnsi" w:cstheme="minorBidi"/>
          <w:b w:val="0"/>
          <w:szCs w:val="22"/>
        </w:rPr>
      </w:pPr>
      <w:r>
        <w:t>Division 1</w:t>
      </w:r>
      <w:r>
        <w:rPr>
          <w:snapToGrid w:val="0"/>
        </w:rPr>
        <w:t xml:space="preserve"> — </w:t>
      </w:r>
      <w:r>
        <w:t>Driving and use of vehicles</w:t>
      </w:r>
    </w:p>
    <w:p>
      <w:pPr>
        <w:pStyle w:val="TOC8"/>
        <w:rPr>
          <w:rFonts w:asciiTheme="minorHAnsi" w:eastAsiaTheme="minorEastAsia" w:hAnsiTheme="minorHAnsi" w:cstheme="minorBidi"/>
          <w:szCs w:val="22"/>
        </w:rPr>
      </w:pPr>
      <w:r>
        <w:t>8.</w:t>
      </w:r>
      <w:r>
        <w:tab/>
      </w:r>
      <w:r>
        <w:rPr>
          <w:snapToGrid w:val="0"/>
        </w:rPr>
        <w:t>Driving of vehicles</w:t>
      </w:r>
      <w:r>
        <w:tab/>
      </w:r>
      <w:r>
        <w:fldChar w:fldCharType="begin"/>
      </w:r>
      <w:r>
        <w:instrText xml:space="preserve"> PAGEREF _Toc440358285 \h </w:instrText>
      </w:r>
      <w:r>
        <w:fldChar w:fldCharType="separate"/>
      </w:r>
      <w:r>
        <w:t>7</w:t>
      </w:r>
      <w:r>
        <w:fldChar w:fldCharType="end"/>
      </w:r>
    </w:p>
    <w:p>
      <w:pPr>
        <w:pStyle w:val="TOC8"/>
        <w:rPr>
          <w:rFonts w:asciiTheme="minorHAnsi" w:eastAsiaTheme="minorEastAsia" w:hAnsiTheme="minorHAnsi" w:cstheme="minorBidi"/>
          <w:szCs w:val="22"/>
        </w:rPr>
      </w:pPr>
      <w:r>
        <w:t>9.</w:t>
      </w:r>
      <w:r>
        <w:tab/>
      </w:r>
      <w:r>
        <w:rPr>
          <w:snapToGrid w:val="0"/>
        </w:rPr>
        <w:t>Driver to obey reasonable direction</w:t>
      </w:r>
      <w:r>
        <w:tab/>
      </w:r>
      <w:r>
        <w:fldChar w:fldCharType="begin"/>
      </w:r>
      <w:r>
        <w:instrText xml:space="preserve"> PAGEREF _Toc440358286 \h </w:instrText>
      </w:r>
      <w:r>
        <w:fldChar w:fldCharType="separate"/>
      </w:r>
      <w:r>
        <w:t>7</w:t>
      </w:r>
      <w:r>
        <w:fldChar w:fldCharType="end"/>
      </w:r>
    </w:p>
    <w:p>
      <w:pPr>
        <w:pStyle w:val="TOC8"/>
        <w:rPr>
          <w:rFonts w:asciiTheme="minorHAnsi" w:eastAsiaTheme="minorEastAsia" w:hAnsiTheme="minorHAnsi" w:cstheme="minorBidi"/>
          <w:szCs w:val="22"/>
        </w:rPr>
      </w:pPr>
      <w:r>
        <w:t>10.</w:t>
      </w:r>
      <w:r>
        <w:tab/>
      </w:r>
      <w:r>
        <w:rPr>
          <w:snapToGrid w:val="0"/>
        </w:rPr>
        <w:t>Speed limits</w:t>
      </w:r>
      <w:r>
        <w:tab/>
      </w:r>
      <w:r>
        <w:fldChar w:fldCharType="begin"/>
      </w:r>
      <w:r>
        <w:instrText xml:space="preserve"> PAGEREF _Toc440358287 \h </w:instrText>
      </w:r>
      <w:r>
        <w:fldChar w:fldCharType="separate"/>
      </w:r>
      <w:r>
        <w:t>7</w:t>
      </w:r>
      <w:r>
        <w:fldChar w:fldCharType="end"/>
      </w:r>
    </w:p>
    <w:p>
      <w:pPr>
        <w:pStyle w:val="TOC8"/>
        <w:rPr>
          <w:rFonts w:asciiTheme="minorHAnsi" w:eastAsiaTheme="minorEastAsia" w:hAnsiTheme="minorHAnsi" w:cstheme="minorBidi"/>
          <w:szCs w:val="22"/>
        </w:rPr>
      </w:pPr>
      <w:r>
        <w:t>11.</w:t>
      </w:r>
      <w:r>
        <w:tab/>
      </w:r>
      <w:r>
        <w:rPr>
          <w:snapToGrid w:val="0"/>
        </w:rPr>
        <w:t>Giving way</w:t>
      </w:r>
      <w:r>
        <w:tab/>
      </w:r>
      <w:r>
        <w:fldChar w:fldCharType="begin"/>
      </w:r>
      <w:r>
        <w:instrText xml:space="preserve"> PAGEREF _Toc440358288 \h </w:instrText>
      </w:r>
      <w:r>
        <w:fldChar w:fldCharType="separate"/>
      </w:r>
      <w:r>
        <w:t>8</w:t>
      </w:r>
      <w:r>
        <w:fldChar w:fldCharType="end"/>
      </w:r>
    </w:p>
    <w:p>
      <w:pPr>
        <w:pStyle w:val="TOC8"/>
        <w:rPr>
          <w:rFonts w:asciiTheme="minorHAnsi" w:eastAsiaTheme="minorEastAsia" w:hAnsiTheme="minorHAnsi" w:cstheme="minorBidi"/>
          <w:szCs w:val="22"/>
        </w:rPr>
      </w:pPr>
      <w:r>
        <w:t>12.</w:t>
      </w:r>
      <w:r>
        <w:tab/>
      </w:r>
      <w:r>
        <w:rPr>
          <w:snapToGrid w:val="0"/>
        </w:rPr>
        <w:t>No instruction or repairs on site</w:t>
      </w:r>
      <w:r>
        <w:tab/>
      </w:r>
      <w:r>
        <w:fldChar w:fldCharType="begin"/>
      </w:r>
      <w:r>
        <w:instrText xml:space="preserve"> PAGEREF _Toc440358289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xml:space="preserve"> — </w:t>
      </w:r>
      <w:r>
        <w:t>Parking</w:t>
      </w:r>
    </w:p>
    <w:p>
      <w:pPr>
        <w:pStyle w:val="TOC8"/>
        <w:rPr>
          <w:rFonts w:asciiTheme="minorHAnsi" w:eastAsiaTheme="minorEastAsia" w:hAnsiTheme="minorHAnsi" w:cstheme="minorBidi"/>
          <w:szCs w:val="22"/>
        </w:rPr>
      </w:pPr>
      <w:r>
        <w:t>13.</w:t>
      </w:r>
      <w:r>
        <w:tab/>
      </w:r>
      <w:r>
        <w:rPr>
          <w:snapToGrid w:val="0"/>
        </w:rPr>
        <w:t>Parking to be in parking spaces only</w:t>
      </w:r>
      <w:r>
        <w:tab/>
      </w:r>
      <w:r>
        <w:fldChar w:fldCharType="begin"/>
      </w:r>
      <w:r>
        <w:instrText xml:space="preserve"> PAGEREF _Toc440358291 \h </w:instrText>
      </w:r>
      <w:r>
        <w:fldChar w:fldCharType="separate"/>
      </w:r>
      <w:r>
        <w:t>8</w:t>
      </w:r>
      <w:r>
        <w:fldChar w:fldCharType="end"/>
      </w:r>
    </w:p>
    <w:p>
      <w:pPr>
        <w:pStyle w:val="TOC8"/>
        <w:rPr>
          <w:rFonts w:asciiTheme="minorHAnsi" w:eastAsiaTheme="minorEastAsia" w:hAnsiTheme="minorHAnsi" w:cstheme="minorBidi"/>
          <w:szCs w:val="22"/>
        </w:rPr>
      </w:pPr>
      <w:r>
        <w:t>14.</w:t>
      </w:r>
      <w:r>
        <w:tab/>
      </w:r>
      <w:r>
        <w:rPr>
          <w:snapToGrid w:val="0"/>
        </w:rPr>
        <w:t>Signs to be obeyed</w:t>
      </w:r>
      <w:r>
        <w:tab/>
      </w:r>
      <w:r>
        <w:fldChar w:fldCharType="begin"/>
      </w:r>
      <w:r>
        <w:instrText xml:space="preserve"> PAGEREF _Toc440358292 \h </w:instrText>
      </w:r>
      <w:r>
        <w:fldChar w:fldCharType="separate"/>
      </w:r>
      <w:r>
        <w:t>9</w:t>
      </w:r>
      <w:r>
        <w:fldChar w:fldCharType="end"/>
      </w:r>
    </w:p>
    <w:p>
      <w:pPr>
        <w:pStyle w:val="TOC8"/>
        <w:rPr>
          <w:rFonts w:asciiTheme="minorHAnsi" w:eastAsiaTheme="minorEastAsia" w:hAnsiTheme="minorHAnsi" w:cstheme="minorBidi"/>
          <w:szCs w:val="22"/>
        </w:rPr>
      </w:pPr>
      <w:r>
        <w:t>15.</w:t>
      </w:r>
      <w:r>
        <w:tab/>
      </w:r>
      <w:r>
        <w:rPr>
          <w:snapToGrid w:val="0"/>
        </w:rPr>
        <w:t>Parking in parking spaces</w:t>
      </w:r>
      <w:r>
        <w:tab/>
      </w:r>
      <w:r>
        <w:fldChar w:fldCharType="begin"/>
      </w:r>
      <w:r>
        <w:instrText xml:space="preserve"> PAGEREF _Toc440358293 \h </w:instrText>
      </w:r>
      <w:r>
        <w:fldChar w:fldCharType="separate"/>
      </w:r>
      <w:r>
        <w:t>9</w:t>
      </w:r>
      <w:r>
        <w:fldChar w:fldCharType="end"/>
      </w:r>
    </w:p>
    <w:p>
      <w:pPr>
        <w:pStyle w:val="TOC8"/>
        <w:rPr>
          <w:rFonts w:asciiTheme="minorHAnsi" w:eastAsiaTheme="minorEastAsia" w:hAnsiTheme="minorHAnsi" w:cstheme="minorBidi"/>
          <w:szCs w:val="22"/>
        </w:rPr>
      </w:pPr>
      <w:r>
        <w:t>16.</w:t>
      </w:r>
      <w:r>
        <w:tab/>
      </w:r>
      <w:r>
        <w:rPr>
          <w:snapToGrid w:val="0"/>
        </w:rPr>
        <w:t>Permit</w:t>
      </w:r>
      <w:r>
        <w:tab/>
      </w:r>
      <w:r>
        <w:fldChar w:fldCharType="begin"/>
      </w:r>
      <w:r>
        <w:instrText xml:space="preserve"> PAGEREF _Toc440358294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Infringement notices</w:t>
      </w:r>
    </w:p>
    <w:p>
      <w:pPr>
        <w:pStyle w:val="TOC8"/>
        <w:rPr>
          <w:rFonts w:asciiTheme="minorHAnsi" w:eastAsiaTheme="minorEastAsia" w:hAnsiTheme="minorHAnsi" w:cstheme="minorBidi"/>
          <w:szCs w:val="22"/>
        </w:rPr>
      </w:pPr>
      <w:r>
        <w:t>17.</w:t>
      </w:r>
      <w:r>
        <w:tab/>
      </w:r>
      <w:r>
        <w:rPr>
          <w:snapToGrid w:val="0"/>
        </w:rPr>
        <w:t>Terms used</w:t>
      </w:r>
      <w:r>
        <w:tab/>
      </w:r>
      <w:r>
        <w:fldChar w:fldCharType="begin"/>
      </w:r>
      <w:r>
        <w:instrText xml:space="preserve"> PAGEREF _Toc440358296 \h </w:instrText>
      </w:r>
      <w:r>
        <w:fldChar w:fldCharType="separate"/>
      </w:r>
      <w:r>
        <w:t>12</w:t>
      </w:r>
      <w:r>
        <w:fldChar w:fldCharType="end"/>
      </w:r>
    </w:p>
    <w:p>
      <w:pPr>
        <w:pStyle w:val="TOC8"/>
        <w:rPr>
          <w:rFonts w:asciiTheme="minorHAnsi" w:eastAsiaTheme="minorEastAsia" w:hAnsiTheme="minorHAnsi" w:cstheme="minorBidi"/>
          <w:szCs w:val="22"/>
        </w:rPr>
      </w:pPr>
      <w:r>
        <w:t>18.</w:t>
      </w:r>
      <w:r>
        <w:tab/>
      </w:r>
      <w:r>
        <w:rPr>
          <w:snapToGrid w:val="0"/>
        </w:rPr>
        <w:t>Infringement notices</w:t>
      </w:r>
      <w:r>
        <w:tab/>
      </w:r>
      <w:r>
        <w:fldChar w:fldCharType="begin"/>
      </w:r>
      <w:r>
        <w:instrText xml:space="preserve"> PAGEREF _Toc440358297 \h </w:instrText>
      </w:r>
      <w:r>
        <w:fldChar w:fldCharType="separate"/>
      </w:r>
      <w:r>
        <w:t>12</w:t>
      </w:r>
      <w:r>
        <w:fldChar w:fldCharType="end"/>
      </w:r>
    </w:p>
    <w:p>
      <w:pPr>
        <w:pStyle w:val="TOC8"/>
        <w:rPr>
          <w:rFonts w:asciiTheme="minorHAnsi" w:eastAsiaTheme="minorEastAsia" w:hAnsiTheme="minorHAnsi" w:cstheme="minorBidi"/>
          <w:szCs w:val="22"/>
        </w:rPr>
      </w:pPr>
      <w:r>
        <w:t>19.</w:t>
      </w:r>
      <w:r>
        <w:tab/>
      </w:r>
      <w:r>
        <w:rPr>
          <w:snapToGrid w:val="0"/>
        </w:rPr>
        <w:t>Withdrawal of infringement notice</w:t>
      </w:r>
      <w:r>
        <w:tab/>
      </w:r>
      <w:r>
        <w:fldChar w:fldCharType="begin"/>
      </w:r>
      <w:r>
        <w:instrText xml:space="preserve"> PAGEREF _Toc440358298 \h </w:instrText>
      </w:r>
      <w:r>
        <w:fldChar w:fldCharType="separate"/>
      </w:r>
      <w:r>
        <w:t>13</w:t>
      </w:r>
      <w:r>
        <w:fldChar w:fldCharType="end"/>
      </w:r>
    </w:p>
    <w:p>
      <w:pPr>
        <w:pStyle w:val="TOC8"/>
        <w:rPr>
          <w:rFonts w:asciiTheme="minorHAnsi" w:eastAsiaTheme="minorEastAsia" w:hAnsiTheme="minorHAnsi" w:cstheme="minorBidi"/>
          <w:szCs w:val="22"/>
        </w:rPr>
      </w:pPr>
      <w:r>
        <w:t>20.</w:t>
      </w:r>
      <w:r>
        <w:tab/>
        <w:t>Authorised persons to produce certificate</w:t>
      </w:r>
      <w:r>
        <w:tab/>
      </w:r>
      <w:r>
        <w:fldChar w:fldCharType="begin"/>
      </w:r>
      <w:r>
        <w:instrText xml:space="preserve"> PAGEREF _Toc440358299 \h </w:instrText>
      </w:r>
      <w:r>
        <w:fldChar w:fldCharType="separate"/>
      </w:r>
      <w:r>
        <w:t>13</w:t>
      </w:r>
      <w:r>
        <w:fldChar w:fldCharType="end"/>
      </w:r>
    </w:p>
    <w:p>
      <w:pPr>
        <w:pStyle w:val="TOC8"/>
        <w:rPr>
          <w:rFonts w:asciiTheme="minorHAnsi" w:eastAsiaTheme="minorEastAsia" w:hAnsiTheme="minorHAnsi" w:cstheme="minorBidi"/>
          <w:szCs w:val="22"/>
        </w:rPr>
      </w:pPr>
      <w:r>
        <w:t>21.</w:t>
      </w:r>
      <w:r>
        <w:tab/>
      </w:r>
      <w:r>
        <w:rPr>
          <w:snapToGrid w:val="0"/>
        </w:rPr>
        <w:t>Authorised persons only to endorse and alter infringement notices</w:t>
      </w:r>
      <w:r>
        <w:tab/>
      </w:r>
      <w:r>
        <w:fldChar w:fldCharType="begin"/>
      </w:r>
      <w:r>
        <w:instrText xml:space="preserve"> PAGEREF _Toc440358300 \h </w:instrText>
      </w:r>
      <w:r>
        <w:fldChar w:fldCharType="separate"/>
      </w:r>
      <w:r>
        <w:t>14</w:t>
      </w:r>
      <w:r>
        <w:fldChar w:fldCharType="end"/>
      </w:r>
    </w:p>
    <w:p>
      <w:pPr>
        <w:pStyle w:val="TOC8"/>
        <w:rPr>
          <w:rFonts w:asciiTheme="minorHAnsi" w:eastAsiaTheme="minorEastAsia" w:hAnsiTheme="minorHAnsi" w:cstheme="minorBidi"/>
          <w:szCs w:val="22"/>
        </w:rPr>
      </w:pPr>
      <w:r>
        <w:t>22.</w:t>
      </w:r>
      <w:r>
        <w:tab/>
      </w:r>
      <w:r>
        <w:rPr>
          <w:snapToGrid w:val="0"/>
        </w:rPr>
        <w:t>Restriction on removal of infringement notices</w:t>
      </w:r>
      <w:r>
        <w:tab/>
      </w:r>
      <w:r>
        <w:fldChar w:fldCharType="begin"/>
      </w:r>
      <w:r>
        <w:instrText xml:space="preserve"> PAGEREF _Toc440358301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5 — General</w:t>
      </w:r>
    </w:p>
    <w:p>
      <w:pPr>
        <w:pStyle w:val="TOC8"/>
        <w:rPr>
          <w:rFonts w:asciiTheme="minorHAnsi" w:eastAsiaTheme="minorEastAsia" w:hAnsiTheme="minorHAnsi" w:cstheme="minorBidi"/>
          <w:szCs w:val="22"/>
        </w:rPr>
      </w:pPr>
      <w:r>
        <w:t>23.</w:t>
      </w:r>
      <w:r>
        <w:tab/>
      </w:r>
      <w:r>
        <w:rPr>
          <w:snapToGrid w:val="0"/>
        </w:rPr>
        <w:t>Removal of vehicles</w:t>
      </w:r>
      <w:r>
        <w:tab/>
      </w:r>
      <w:r>
        <w:fldChar w:fldCharType="begin"/>
      </w:r>
      <w:r>
        <w:instrText xml:space="preserve"> PAGEREF _Toc440358303 \h </w:instrText>
      </w:r>
      <w:r>
        <w:fldChar w:fldCharType="separate"/>
      </w:r>
      <w:r>
        <w:t>15</w:t>
      </w:r>
      <w:r>
        <w:fldChar w:fldCharType="end"/>
      </w:r>
    </w:p>
    <w:p>
      <w:pPr>
        <w:pStyle w:val="TOC8"/>
        <w:rPr>
          <w:rFonts w:asciiTheme="minorHAnsi" w:eastAsiaTheme="minorEastAsia" w:hAnsiTheme="minorHAnsi" w:cstheme="minorBidi"/>
          <w:szCs w:val="22"/>
        </w:rPr>
      </w:pPr>
      <w:r>
        <w:t>24.</w:t>
      </w:r>
      <w:r>
        <w:tab/>
      </w:r>
      <w:r>
        <w:rPr>
          <w:snapToGrid w:val="0"/>
        </w:rPr>
        <w:t>Responsible person may be treated as driver or person in charge of vehicle</w:t>
      </w:r>
      <w:r>
        <w:tab/>
      </w:r>
      <w:r>
        <w:fldChar w:fldCharType="begin"/>
      </w:r>
      <w:r>
        <w:instrText xml:space="preserve"> PAGEREF _Toc440358304 \h </w:instrText>
      </w:r>
      <w:r>
        <w:fldChar w:fldCharType="separate"/>
      </w:r>
      <w:r>
        <w:t>15</w:t>
      </w:r>
      <w:r>
        <w:fldChar w:fldCharType="end"/>
      </w:r>
    </w:p>
    <w:p>
      <w:pPr>
        <w:pStyle w:val="TOC8"/>
        <w:rPr>
          <w:rFonts w:asciiTheme="minorHAnsi" w:eastAsiaTheme="minorEastAsia" w:hAnsiTheme="minorHAnsi" w:cstheme="minorBidi"/>
          <w:szCs w:val="22"/>
        </w:rPr>
      </w:pPr>
      <w:r>
        <w:t>25.</w:t>
      </w:r>
      <w:r>
        <w:tab/>
      </w:r>
      <w:r>
        <w:rPr>
          <w:snapToGrid w:val="0"/>
        </w:rPr>
        <w:t>Other offences</w:t>
      </w:r>
      <w:r>
        <w:tab/>
      </w:r>
      <w:r>
        <w:fldChar w:fldCharType="begin"/>
      </w:r>
      <w:r>
        <w:instrText xml:space="preserve"> PAGEREF _Toc440358305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Schedule 1 — Infringement Notices and Modified Penalties</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_Toc440358309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February 2016</w:t>
            </w:r>
          </w:p>
        </w:tc>
      </w:tr>
    </w:tbl>
    <w:p>
      <w:pPr>
        <w:pStyle w:val="WA"/>
        <w:spacing w:before="12"/>
      </w:pPr>
      <w:r>
        <w:t>Western Australia</w:t>
      </w:r>
    </w:p>
    <w:p>
      <w:pPr>
        <w:pStyle w:val="PrincipalActReg"/>
      </w:pPr>
      <w:r>
        <w:t>Hospitals and Health Services Act 1927</w:t>
      </w:r>
    </w:p>
    <w:p>
      <w:pPr>
        <w:pStyle w:val="NameofActReg"/>
        <w:spacing w:before="240" w:after="240"/>
      </w:pPr>
      <w:r>
        <w:t>Armadale Kelmscott District Memorial Hospital By-laws 2002</w:t>
      </w:r>
    </w:p>
    <w:p>
      <w:pPr>
        <w:pStyle w:val="Heading2"/>
        <w:pageBreakBefore w:val="0"/>
        <w:spacing w:before="360"/>
      </w:pPr>
      <w:bookmarkStart w:id="3" w:name="_Toc408567608"/>
      <w:bookmarkStart w:id="4" w:name="_Toc412629442"/>
      <w:bookmarkStart w:id="5" w:name="_Toc412629481"/>
      <w:bookmarkStart w:id="6" w:name="_Toc416697754"/>
      <w:bookmarkStart w:id="7" w:name="_Toc416705721"/>
      <w:bookmarkStart w:id="8" w:name="_Toc417550255"/>
      <w:bookmarkStart w:id="9" w:name="_Toc417551369"/>
      <w:bookmarkStart w:id="10" w:name="_Toc440358273"/>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bookmarkEnd w:id="8"/>
      <w:bookmarkEnd w:id="9"/>
      <w:bookmarkEnd w:id="10"/>
    </w:p>
    <w:p>
      <w:pPr>
        <w:pStyle w:val="Heading5"/>
      </w:pPr>
      <w:bookmarkStart w:id="11" w:name="_Toc408567609"/>
      <w:bookmarkStart w:id="12" w:name="_Toc440358274"/>
      <w:r>
        <w:rPr>
          <w:rStyle w:val="CharSectno"/>
        </w:rPr>
        <w:t>1</w:t>
      </w:r>
      <w:r>
        <w:t>.</w:t>
      </w:r>
      <w:r>
        <w:tab/>
        <w:t>Citation</w:t>
      </w:r>
      <w:bookmarkEnd w:id="11"/>
      <w:bookmarkEnd w:id="12"/>
    </w:p>
    <w:p>
      <w:pPr>
        <w:pStyle w:val="Subsection"/>
        <w:ind w:right="282"/>
      </w:pPr>
      <w:r>
        <w:tab/>
      </w:r>
      <w:r>
        <w:tab/>
      </w:r>
      <w:r>
        <w:rPr>
          <w:spacing w:val="-2"/>
        </w:rPr>
        <w:t>These</w:t>
      </w:r>
      <w:r>
        <w:t xml:space="preserve"> </w:t>
      </w:r>
      <w:r>
        <w:rPr>
          <w:spacing w:val="-2"/>
        </w:rPr>
        <w:t>by-laws</w:t>
      </w:r>
      <w:r>
        <w:t xml:space="preserve"> may be cited as the </w:t>
      </w:r>
      <w:r>
        <w:rPr>
          <w:i/>
        </w:rPr>
        <w:t>Armadale Kelmscott District Memorial Hospital By-laws 2002</w:t>
      </w:r>
      <w:r>
        <w:rPr>
          <w:vertAlign w:val="superscript"/>
        </w:rPr>
        <w:t> 1</w:t>
      </w:r>
      <w:r>
        <w:t>.</w:t>
      </w:r>
    </w:p>
    <w:p>
      <w:pPr>
        <w:pStyle w:val="Heading5"/>
      </w:pPr>
      <w:bookmarkStart w:id="13" w:name="_Toc408567610"/>
      <w:bookmarkStart w:id="14" w:name="_Toc440358275"/>
      <w:r>
        <w:rPr>
          <w:rStyle w:val="CharSectno"/>
        </w:rPr>
        <w:t>2</w:t>
      </w:r>
      <w:r>
        <w:t>.</w:t>
      </w:r>
      <w:r>
        <w:tab/>
      </w:r>
      <w:bookmarkEnd w:id="13"/>
      <w:r>
        <w:t>Terms used</w:t>
      </w:r>
      <w:bookmarkEnd w:id="14"/>
    </w:p>
    <w:p>
      <w:pPr>
        <w:pStyle w:val="Subsection"/>
        <w:rPr>
          <w:snapToGrid w:val="0"/>
        </w:rPr>
      </w:pPr>
      <w:r>
        <w:rPr>
          <w:snapToGrid w:val="0"/>
        </w:rPr>
        <w:tab/>
        <w:t>(1)</w:t>
      </w:r>
      <w:r>
        <w:rPr>
          <w:snapToGrid w:val="0"/>
        </w:rPr>
        <w:tab/>
        <w:t>In these by</w:t>
      </w:r>
      <w:r>
        <w:rPr>
          <w:snapToGrid w:val="0"/>
        </w:rPr>
        <w:noBreakHyphen/>
        <w:t>laws, unless the contrary intention appears — </w:t>
      </w:r>
    </w:p>
    <w:p>
      <w:pPr>
        <w:pStyle w:val="Defstart"/>
      </w:pPr>
      <w:r>
        <w:tab/>
      </w:r>
      <w:r>
        <w:rPr>
          <w:rStyle w:val="CharDefText"/>
        </w:rPr>
        <w:t>authorised person</w:t>
      </w:r>
      <w:r>
        <w:t xml:space="preserve"> means a person appointed under by</w:t>
      </w:r>
      <w:r>
        <w:noBreakHyphen/>
        <w:t>law 3A as an authorised person for the purposes of the by</w:t>
      </w:r>
      <w:r>
        <w:noBreakHyphen/>
        <w:t>law in which the term is used;</w:t>
      </w:r>
    </w:p>
    <w:p>
      <w:pPr>
        <w:pStyle w:val="Defstart"/>
      </w:pPr>
      <w:r>
        <w:tab/>
      </w:r>
      <w:r>
        <w:rPr>
          <w:rStyle w:val="CharDefText"/>
        </w:rPr>
        <w:t>board</w:t>
      </w:r>
      <w:r>
        <w:t xml:space="preserve"> means the board of the Armadale Kelmscott District Memorial Hospital;</w:t>
      </w:r>
    </w:p>
    <w:p>
      <w:pPr>
        <w:pStyle w:val="Defstart"/>
      </w:pPr>
      <w:r>
        <w:rPr>
          <w:b/>
        </w:rPr>
        <w:tab/>
      </w:r>
      <w:r>
        <w:rPr>
          <w:rStyle w:val="CharDefText"/>
        </w:rPr>
        <w:t>chief executive officer</w:t>
      </w:r>
      <w:r>
        <w:t xml:space="preserve"> means the person in charge of the day to day management of the affairs of the Armadale Kelmscott District Memorial Hospital;</w:t>
      </w:r>
    </w:p>
    <w:p>
      <w:pPr>
        <w:pStyle w:val="Defstart"/>
      </w:pPr>
      <w:r>
        <w:rPr>
          <w:b/>
        </w:rPr>
        <w:tab/>
      </w:r>
      <w:r>
        <w:rPr>
          <w:rStyle w:val="CharDefText"/>
        </w:rPr>
        <w:t>driver</w:t>
      </w:r>
      <w:r>
        <w:t>, in relation to a vehicle, includes a rider;</w:t>
      </w:r>
    </w:p>
    <w:p>
      <w:pPr>
        <w:pStyle w:val="Defstart"/>
      </w:pPr>
      <w:r>
        <w:rPr>
          <w:b/>
        </w:rPr>
        <w:tab/>
      </w:r>
      <w:r>
        <w:rPr>
          <w:rStyle w:val="CharDefText"/>
        </w:rPr>
        <w:t>parking facility</w:t>
      </w:r>
      <w:r>
        <w:t xml:space="preserve"> means land or a structure on the site that contains a parking space;</w:t>
      </w:r>
    </w:p>
    <w:p>
      <w:pPr>
        <w:pStyle w:val="Defstart"/>
      </w:pPr>
      <w:r>
        <w:rPr>
          <w:b/>
        </w:rPr>
        <w:tab/>
      </w:r>
      <w:r>
        <w:rPr>
          <w:rStyle w:val="CharDefText"/>
        </w:rPr>
        <w:t>parking space</w:t>
      </w:r>
      <w:r>
        <w:t xml:space="preserve"> means a section whether in a parking facility or not that is marked by means of painted lines or metallic studs or similar devices for the purpose of indicating where a vehicle may be parked, whether or not a permit is required in relation to the parking of the vehicle;</w:t>
      </w:r>
    </w:p>
    <w:p>
      <w:pPr>
        <w:pStyle w:val="Defstart"/>
      </w:pPr>
      <w:r>
        <w:rPr>
          <w:b/>
        </w:rPr>
        <w:tab/>
      </w:r>
      <w:r>
        <w:rPr>
          <w:rStyle w:val="CharDefText"/>
        </w:rPr>
        <w:t>permit</w:t>
      </w:r>
      <w:r>
        <w:t xml:space="preserve"> means a permit issued under by</w:t>
      </w:r>
      <w:r>
        <w:noBreakHyphen/>
        <w:t>law 16;</w:t>
      </w:r>
    </w:p>
    <w:p>
      <w:pPr>
        <w:pStyle w:val="Defstart"/>
      </w:pPr>
      <w:r>
        <w:tab/>
      </w:r>
      <w:r>
        <w:rPr>
          <w:rStyle w:val="CharDefText"/>
        </w:rPr>
        <w:t>responsible person</w:t>
      </w:r>
      <w:r>
        <w:t>, for a vehicle, means the person responsible for the vehicle under</w:t>
      </w:r>
      <w:r>
        <w:rPr>
          <w:b/>
          <w:i/>
        </w:rPr>
        <w:t xml:space="preserve"> </w:t>
      </w:r>
      <w:r>
        <w:t xml:space="preserve">the </w:t>
      </w:r>
      <w:r>
        <w:rPr>
          <w:i/>
        </w:rPr>
        <w:t>Road Traffic (Administration) Act 2008</w:t>
      </w:r>
      <w:r>
        <w:t xml:space="preserve"> section 6;</w:t>
      </w:r>
    </w:p>
    <w:p>
      <w:pPr>
        <w:pStyle w:val="Defstart"/>
      </w:pPr>
      <w:r>
        <w:tab/>
      </w:r>
      <w:r>
        <w:rPr>
          <w:rStyle w:val="CharDefText"/>
        </w:rPr>
        <w:t>roadway</w:t>
      </w:r>
      <w:r>
        <w:t xml:space="preserve"> means a part of the site set aside for use by vehicular traffic, notwithstanding that it may not be a road as defined in the </w:t>
      </w:r>
      <w:r>
        <w:rPr>
          <w:i/>
        </w:rPr>
        <w:t xml:space="preserve">Road Traffic (Administration) Act 2008 </w:t>
      </w:r>
      <w:r>
        <w:t>section 4, but excludes a parking facility;</w:t>
      </w:r>
    </w:p>
    <w:p>
      <w:pPr>
        <w:pStyle w:val="Defstart"/>
      </w:pPr>
      <w:r>
        <w:tab/>
      </w:r>
      <w:r>
        <w:rPr>
          <w:rStyle w:val="CharDefText"/>
        </w:rPr>
        <w:t>sign</w:t>
      </w:r>
      <w:r>
        <w:t xml:space="preserve"> means a marking, notice, or sign that is marked, erected, or displayed by or with the authority of the chief executive officer;</w:t>
      </w:r>
    </w:p>
    <w:p>
      <w:pPr>
        <w:pStyle w:val="Defstart"/>
      </w:pPr>
      <w:r>
        <w:tab/>
      </w:r>
      <w:r>
        <w:rPr>
          <w:rStyle w:val="CharDefText"/>
        </w:rPr>
        <w:t>site</w:t>
      </w:r>
      <w:r>
        <w:t xml:space="preserve"> means all of the land in Canning Location 4110 as shown on Land Administration Diagram 93006 being the whole of the land in qualified certificate of Crown land title Volume 3008 folio 354;</w:t>
      </w:r>
    </w:p>
    <w:p>
      <w:pPr>
        <w:pStyle w:val="Defstart"/>
      </w:pPr>
      <w:r>
        <w:tab/>
      </w:r>
      <w:r>
        <w:rPr>
          <w:rStyle w:val="CharDefText"/>
        </w:rPr>
        <w:t>speed restriction sign</w:t>
      </w:r>
      <w:r>
        <w:t xml:space="preserve"> means a sign, in or adjacent to a roadway or a parking facility, that displays a number;</w:t>
      </w:r>
    </w:p>
    <w:p>
      <w:pPr>
        <w:pStyle w:val="Defstart"/>
      </w:pPr>
      <w:r>
        <w:rPr>
          <w:b/>
        </w:rPr>
        <w:tab/>
      </w:r>
      <w:r>
        <w:rPr>
          <w:rStyle w:val="CharDefText"/>
        </w:rPr>
        <w:t>vehicle</w:t>
      </w:r>
      <w:r>
        <w:t xml:space="preserve"> has the meaning given in the </w:t>
      </w:r>
      <w:r>
        <w:rPr>
          <w:i/>
        </w:rPr>
        <w:t xml:space="preserve">Road Traffic (Administration) Act 2008 </w:t>
      </w:r>
      <w:r>
        <w:t>section 4.</w:t>
      </w:r>
    </w:p>
    <w:p>
      <w:pPr>
        <w:pStyle w:val="Subsection"/>
        <w:rPr>
          <w:snapToGrid w:val="0"/>
        </w:rPr>
      </w:pPr>
      <w:r>
        <w:rPr>
          <w:snapToGrid w:val="0"/>
        </w:rPr>
        <w:tab/>
        <w:t>(2)</w:t>
      </w:r>
      <w:r>
        <w:rPr>
          <w:snapToGrid w:val="0"/>
        </w:rPr>
        <w:tab/>
        <w:t>A reference in these by</w:t>
      </w:r>
      <w:r>
        <w:rPr>
          <w:snapToGrid w:val="0"/>
        </w:rPr>
        <w:noBreakHyphen/>
        <w:t xml:space="preserve">laws to </w:t>
      </w:r>
      <w:r>
        <w:rPr>
          <w:rStyle w:val="CharDefText"/>
        </w:rPr>
        <w:t>permission</w:t>
      </w:r>
      <w:r>
        <w:rPr>
          <w:snapToGrid w:val="0"/>
        </w:rPr>
        <w:t xml:space="preserve"> is a reference to permission that is — </w:t>
      </w:r>
    </w:p>
    <w:p>
      <w:pPr>
        <w:pStyle w:val="Indenta"/>
        <w:rPr>
          <w:snapToGrid w:val="0"/>
        </w:rPr>
      </w:pPr>
      <w:r>
        <w:rPr>
          <w:snapToGrid w:val="0"/>
        </w:rPr>
        <w:tab/>
        <w:t>(a)</w:t>
      </w:r>
      <w:r>
        <w:rPr>
          <w:snapToGrid w:val="0"/>
        </w:rPr>
        <w:tab/>
        <w:t>given by the chief executive officer or an authorised person; and</w:t>
      </w:r>
    </w:p>
    <w:p>
      <w:pPr>
        <w:pStyle w:val="Indenta"/>
        <w:rPr>
          <w:snapToGrid w:val="0"/>
        </w:rPr>
      </w:pPr>
      <w:r>
        <w:rPr>
          <w:snapToGrid w:val="0"/>
        </w:rPr>
        <w:tab/>
        <w:t>(b)</w:t>
      </w:r>
      <w:r>
        <w:rPr>
          <w:snapToGrid w:val="0"/>
        </w:rPr>
        <w:tab/>
        <w:t>in writing; and</w:t>
      </w:r>
    </w:p>
    <w:p>
      <w:pPr>
        <w:pStyle w:val="Indenta"/>
        <w:rPr>
          <w:snapToGrid w:val="0"/>
        </w:rPr>
      </w:pPr>
      <w:r>
        <w:rPr>
          <w:snapToGrid w:val="0"/>
        </w:rPr>
        <w:tab/>
        <w:t>(c)</w:t>
      </w:r>
      <w:r>
        <w:rPr>
          <w:snapToGrid w:val="0"/>
        </w:rPr>
        <w:tab/>
        <w:t>obtained and not revoked prior to the performing of the act that is the subject of the permission.</w:t>
      </w:r>
    </w:p>
    <w:p>
      <w:pPr>
        <w:pStyle w:val="Subsection"/>
        <w:rPr>
          <w:snapToGrid w:val="0"/>
        </w:rPr>
      </w:pPr>
      <w:r>
        <w:rPr>
          <w:snapToGrid w:val="0"/>
        </w:rPr>
        <w:tab/>
        <w:t>(3)</w:t>
      </w:r>
      <w:r>
        <w:rPr>
          <w:snapToGrid w:val="0"/>
        </w:rPr>
        <w:tab/>
        <w:t>An officer or servant of the board is to be treated as having the permission referred to in sub</w:t>
      </w:r>
      <w:r>
        <w:rPr>
          <w:snapToGrid w:val="0"/>
        </w:rPr>
        <w:noBreakHyphen/>
        <w:t>bylaw (2).</w:t>
      </w:r>
    </w:p>
    <w:p>
      <w:pPr>
        <w:pStyle w:val="Footnotesection"/>
      </w:pPr>
      <w:r>
        <w:tab/>
        <w:t>[By-law 2 amended in Gazette 8 Jan 2015 p. 169</w:t>
      </w:r>
      <w:r>
        <w:noBreakHyphen/>
        <w:t>70; 14 Apr 2015 p. 1325.]</w:t>
      </w:r>
    </w:p>
    <w:p>
      <w:pPr>
        <w:pStyle w:val="Heading5"/>
      </w:pPr>
      <w:bookmarkStart w:id="15" w:name="_Toc440358276"/>
      <w:bookmarkStart w:id="16" w:name="_Toc408567611"/>
      <w:bookmarkStart w:id="17" w:name="_Toc412629445"/>
      <w:bookmarkStart w:id="18" w:name="_Toc412629484"/>
      <w:r>
        <w:rPr>
          <w:rStyle w:val="CharSectno"/>
        </w:rPr>
        <w:t>3A</w:t>
      </w:r>
      <w:r>
        <w:t>.</w:t>
      </w:r>
      <w:r>
        <w:tab/>
        <w:t>Appointment of authorised persons</w:t>
      </w:r>
      <w:bookmarkEnd w:id="15"/>
    </w:p>
    <w:p>
      <w:pPr>
        <w:pStyle w:val="Subsection"/>
      </w:pPr>
      <w:r>
        <w:tab/>
        <w:t>(1)</w:t>
      </w:r>
      <w:r>
        <w:tab/>
        <w:t>The chief executive officer may, in writing, appoint an officer or servant of the board as an authorised person for the purposes of one or more of these by</w:t>
      </w:r>
      <w:r>
        <w:noBreakHyphen/>
        <w:t>laws.</w:t>
      </w:r>
    </w:p>
    <w:p>
      <w:pPr>
        <w:pStyle w:val="Subsection"/>
      </w:pPr>
      <w:r>
        <w:tab/>
        <w:t>(2)</w:t>
      </w:r>
      <w:r>
        <w:tab/>
        <w:t>An appointment under sub</w:t>
      </w:r>
      <w:r>
        <w:noBreakHyphen/>
        <w:t>bylaw (1) may be made in respect of a specified person or persons of a specified class.</w:t>
      </w:r>
    </w:p>
    <w:p>
      <w:pPr>
        <w:pStyle w:val="Subsection"/>
      </w:pPr>
      <w:r>
        <w:tab/>
        <w:t>(3)</w:t>
      </w:r>
      <w:r>
        <w:tab/>
        <w:t>The chief executive officer must issue to each authorised person who is authorised to give a direction under by</w:t>
      </w:r>
      <w:r>
        <w:noBreakHyphen/>
        <w:t>law 7(1), or issue an infringement notice under by</w:t>
      </w:r>
      <w:r>
        <w:noBreakHyphen/>
        <w:t>law 18(1), a certificate stating that the person is so authorised.</w:t>
      </w:r>
    </w:p>
    <w:p>
      <w:pPr>
        <w:pStyle w:val="Footnotesection"/>
      </w:pPr>
      <w:r>
        <w:tab/>
        <w:t>[By-law 3A inserted in Gazette 14 Apr 2015 p. 1325.]</w:t>
      </w:r>
    </w:p>
    <w:p>
      <w:pPr>
        <w:pStyle w:val="Heading2"/>
      </w:pPr>
      <w:bookmarkStart w:id="19" w:name="_Toc416697758"/>
      <w:bookmarkStart w:id="20" w:name="_Toc416705725"/>
      <w:bookmarkStart w:id="21" w:name="_Toc417550259"/>
      <w:bookmarkStart w:id="22" w:name="_Toc417551373"/>
      <w:bookmarkStart w:id="23" w:name="_Toc440358277"/>
      <w:r>
        <w:rPr>
          <w:rStyle w:val="CharPartNo"/>
        </w:rPr>
        <w:t>Part 2</w:t>
      </w:r>
      <w:r>
        <w:rPr>
          <w:rStyle w:val="CharDivNo"/>
        </w:rPr>
        <w:t xml:space="preserve"> </w:t>
      </w:r>
      <w:r>
        <w:t>—</w:t>
      </w:r>
      <w:r>
        <w:rPr>
          <w:rStyle w:val="CharDivText"/>
        </w:rPr>
        <w:t xml:space="preserve"> </w:t>
      </w:r>
      <w:r>
        <w:rPr>
          <w:rStyle w:val="CharPartText"/>
        </w:rPr>
        <w:t>Trespass and order</w:t>
      </w:r>
      <w:bookmarkEnd w:id="16"/>
      <w:bookmarkEnd w:id="17"/>
      <w:bookmarkEnd w:id="18"/>
      <w:bookmarkEnd w:id="19"/>
      <w:bookmarkEnd w:id="20"/>
      <w:bookmarkEnd w:id="21"/>
      <w:bookmarkEnd w:id="22"/>
      <w:bookmarkEnd w:id="23"/>
    </w:p>
    <w:p>
      <w:pPr>
        <w:pStyle w:val="Heading5"/>
        <w:rPr>
          <w:snapToGrid w:val="0"/>
        </w:rPr>
      </w:pPr>
      <w:bookmarkStart w:id="24" w:name="_Toc408567612"/>
      <w:bookmarkStart w:id="25" w:name="_Toc440358278"/>
      <w:r>
        <w:rPr>
          <w:rStyle w:val="CharSectno"/>
        </w:rPr>
        <w:t>3.</w:t>
      </w:r>
      <w:r>
        <w:rPr>
          <w:rStyle w:val="CharSectno"/>
        </w:rPr>
        <w:tab/>
      </w:r>
      <w:r>
        <w:rPr>
          <w:snapToGrid w:val="0"/>
        </w:rPr>
        <w:t>No entry without cause</w:t>
      </w:r>
      <w:bookmarkEnd w:id="24"/>
      <w:bookmarkEnd w:id="25"/>
    </w:p>
    <w:p>
      <w:pPr>
        <w:pStyle w:val="Subsection"/>
        <w:rPr>
          <w:snapToGrid w:val="0"/>
        </w:rPr>
      </w:pPr>
      <w:r>
        <w:rPr>
          <w:snapToGrid w:val="0"/>
        </w:rPr>
        <w:tab/>
      </w:r>
      <w:r>
        <w:rPr>
          <w:snapToGrid w:val="0"/>
        </w:rPr>
        <w:tab/>
        <w:t>A person is not to enter or remain on the site without a reasonable excuse.</w:t>
      </w:r>
    </w:p>
    <w:p>
      <w:pPr>
        <w:pStyle w:val="Penstart"/>
        <w:rPr>
          <w:snapToGrid w:val="0"/>
        </w:rPr>
      </w:pPr>
      <w:r>
        <w:rPr>
          <w:snapToGrid w:val="0"/>
        </w:rPr>
        <w:tab/>
        <w:t xml:space="preserve">Penalty: </w:t>
      </w:r>
      <w:r>
        <w:t>a fine of</w:t>
      </w:r>
      <w:r>
        <w:rPr>
          <w:snapToGrid w:val="0"/>
        </w:rPr>
        <w:t xml:space="preserve"> $50.</w:t>
      </w:r>
    </w:p>
    <w:p>
      <w:pPr>
        <w:pStyle w:val="Footnotesection"/>
      </w:pPr>
      <w:bookmarkStart w:id="26" w:name="_Toc408567613"/>
      <w:r>
        <w:tab/>
        <w:t>[By-law 3 amended in Gazette 14 Apr 2015 p. 1327.]</w:t>
      </w:r>
    </w:p>
    <w:p>
      <w:pPr>
        <w:pStyle w:val="Heading5"/>
        <w:rPr>
          <w:snapToGrid w:val="0"/>
        </w:rPr>
      </w:pPr>
      <w:bookmarkStart w:id="27" w:name="_Toc440358279"/>
      <w:r>
        <w:rPr>
          <w:rStyle w:val="CharSectno"/>
        </w:rPr>
        <w:t>4.</w:t>
      </w:r>
      <w:r>
        <w:rPr>
          <w:rStyle w:val="CharSectno"/>
        </w:rPr>
        <w:tab/>
      </w:r>
      <w:r>
        <w:rPr>
          <w:snapToGrid w:val="0"/>
        </w:rPr>
        <w:t>Directions as to use of certain areas</w:t>
      </w:r>
      <w:bookmarkEnd w:id="26"/>
      <w:bookmarkEnd w:id="27"/>
      <w:r>
        <w:rPr>
          <w:snapToGrid w:val="0"/>
        </w:rPr>
        <w:t xml:space="preserve"> </w:t>
      </w:r>
    </w:p>
    <w:p>
      <w:pPr>
        <w:pStyle w:val="Subsection"/>
        <w:rPr>
          <w:snapToGrid w:val="0"/>
        </w:rPr>
      </w:pPr>
      <w:r>
        <w:rPr>
          <w:snapToGrid w:val="0"/>
        </w:rPr>
        <w:tab/>
        <w:t>(1)</w:t>
      </w:r>
      <w:r>
        <w:rPr>
          <w:snapToGrid w:val="0"/>
        </w:rPr>
        <w:tab/>
        <w:t>An authorised person may, by means of a sign, direct that a specified part of the site is open to members of the public or a specified section of the public.</w:t>
      </w:r>
    </w:p>
    <w:p>
      <w:pPr>
        <w:pStyle w:val="Subsection"/>
        <w:rPr>
          <w:snapToGrid w:val="0"/>
        </w:rPr>
      </w:pPr>
      <w:r>
        <w:rPr>
          <w:snapToGrid w:val="0"/>
        </w:rPr>
        <w:tab/>
        <w:t>(2)</w:t>
      </w:r>
      <w:r>
        <w:rPr>
          <w:snapToGrid w:val="0"/>
        </w:rPr>
        <w:tab/>
        <w:t>A direction under this by</w:t>
      </w:r>
      <w:r>
        <w:rPr>
          <w:snapToGrid w:val="0"/>
        </w:rPr>
        <w:noBreakHyphen/>
        <w:t>law may be made subject to specified conditions.</w:t>
      </w:r>
    </w:p>
    <w:p>
      <w:pPr>
        <w:pStyle w:val="Subsection"/>
        <w:rPr>
          <w:snapToGrid w:val="0"/>
        </w:rPr>
      </w:pPr>
      <w:r>
        <w:rPr>
          <w:snapToGrid w:val="0"/>
        </w:rPr>
        <w:tab/>
        <w:t>(3)</w:t>
      </w:r>
      <w:r>
        <w:rPr>
          <w:snapToGrid w:val="0"/>
        </w:rPr>
        <w:tab/>
        <w:t>The chief executive officer may cancel or vary a direction or condition under this by</w:t>
      </w:r>
      <w:r>
        <w:rPr>
          <w:snapToGrid w:val="0"/>
        </w:rPr>
        <w:noBreakHyphen/>
        <w:t>law.</w:t>
      </w:r>
    </w:p>
    <w:p>
      <w:pPr>
        <w:pStyle w:val="Subsection"/>
        <w:rPr>
          <w:snapToGrid w:val="0"/>
        </w:rPr>
      </w:pPr>
      <w:r>
        <w:rPr>
          <w:snapToGrid w:val="0"/>
        </w:rPr>
        <w:tab/>
        <w:t>(4)</w:t>
      </w:r>
      <w:r>
        <w:rPr>
          <w:snapToGrid w:val="0"/>
        </w:rPr>
        <w:tab/>
        <w:t>In this by</w:t>
      </w:r>
      <w:r>
        <w:rPr>
          <w:snapToGrid w:val="0"/>
        </w:rPr>
        <w:noBreakHyphen/>
        <w:t xml:space="preserve">law, </w:t>
      </w:r>
      <w:r>
        <w:rPr>
          <w:rStyle w:val="CharDefText"/>
        </w:rPr>
        <w:t>specified</w:t>
      </w:r>
      <w:r>
        <w:rPr>
          <w:snapToGrid w:val="0"/>
        </w:rPr>
        <w:t xml:space="preserve"> means specified in the sign containing the direction.</w:t>
      </w:r>
    </w:p>
    <w:p>
      <w:pPr>
        <w:pStyle w:val="Subsection"/>
        <w:rPr>
          <w:snapToGrid w:val="0"/>
        </w:rPr>
      </w:pPr>
      <w:r>
        <w:rPr>
          <w:snapToGrid w:val="0"/>
        </w:rPr>
        <w:tab/>
        <w:t>(5)</w:t>
      </w:r>
      <w:r>
        <w:rPr>
          <w:snapToGrid w:val="0"/>
        </w:rPr>
        <w:tab/>
        <w:t>A person must not contravene a direction under this by</w:t>
      </w:r>
      <w:r>
        <w:rPr>
          <w:snapToGrid w:val="0"/>
        </w:rPr>
        <w:noBreakHyphen/>
        <w:t xml:space="preserve">law. </w:t>
      </w:r>
    </w:p>
    <w:p>
      <w:pPr>
        <w:pStyle w:val="Penstart"/>
        <w:rPr>
          <w:snapToGrid w:val="0"/>
        </w:rPr>
      </w:pPr>
      <w:r>
        <w:rPr>
          <w:snapToGrid w:val="0"/>
        </w:rPr>
        <w:tab/>
        <w:t xml:space="preserve">Penalty: </w:t>
      </w:r>
      <w:r>
        <w:t>a fine of</w:t>
      </w:r>
      <w:r>
        <w:rPr>
          <w:snapToGrid w:val="0"/>
        </w:rPr>
        <w:t xml:space="preserve"> $50.</w:t>
      </w:r>
    </w:p>
    <w:p>
      <w:pPr>
        <w:pStyle w:val="Footnotesection"/>
      </w:pPr>
      <w:bookmarkStart w:id="28" w:name="_Toc408567614"/>
      <w:r>
        <w:tab/>
        <w:t>[By-law 4 amended in Gazette 14 Apr 2015 p. 1327.]</w:t>
      </w:r>
    </w:p>
    <w:p>
      <w:pPr>
        <w:pStyle w:val="Heading5"/>
      </w:pPr>
      <w:bookmarkStart w:id="29" w:name="_Toc440358280"/>
      <w:r>
        <w:rPr>
          <w:rStyle w:val="CharSectno"/>
        </w:rPr>
        <w:t>5</w:t>
      </w:r>
      <w:r>
        <w:t>.</w:t>
      </w:r>
      <w:r>
        <w:tab/>
        <w:t>Prohibited items</w:t>
      </w:r>
      <w:bookmarkEnd w:id="29"/>
    </w:p>
    <w:p>
      <w:pPr>
        <w:pStyle w:val="Subsection"/>
      </w:pPr>
      <w:r>
        <w:tab/>
        <w:t>(1)</w:t>
      </w:r>
      <w:r>
        <w:tab/>
        <w:t>In this by</w:t>
      </w:r>
      <w:r>
        <w:noBreakHyphen/>
        <w:t xml:space="preserve">law — </w:t>
      </w:r>
    </w:p>
    <w:p>
      <w:pPr>
        <w:pStyle w:val="Defstart"/>
      </w:pPr>
      <w:r>
        <w:tab/>
      </w:r>
      <w:r>
        <w:rPr>
          <w:rStyle w:val="CharDefText"/>
        </w:rPr>
        <w:t>prohibited item</w:t>
      </w:r>
      <w:r>
        <w:t xml:space="preserve"> means — </w:t>
      </w:r>
    </w:p>
    <w:p>
      <w:pPr>
        <w:pStyle w:val="Defpara"/>
      </w:pPr>
      <w:r>
        <w:tab/>
        <w:t>(a)</w:t>
      </w:r>
      <w:r>
        <w:tab/>
        <w:t>an alcoholic beverage; or</w:t>
      </w:r>
    </w:p>
    <w:p>
      <w:pPr>
        <w:pStyle w:val="Defpara"/>
      </w:pPr>
      <w:r>
        <w:tab/>
        <w:t>(b)</w:t>
      </w:r>
      <w:r>
        <w:tab/>
        <w:t xml:space="preserve">a firearm as defined in the </w:t>
      </w:r>
      <w:r>
        <w:rPr>
          <w:i/>
        </w:rPr>
        <w:t>Firearms Act 1973</w:t>
      </w:r>
      <w:r>
        <w:t xml:space="preserve"> section 4; or</w:t>
      </w:r>
    </w:p>
    <w:p>
      <w:pPr>
        <w:pStyle w:val="Defpara"/>
      </w:pPr>
      <w:r>
        <w:tab/>
        <w:t>(c)</w:t>
      </w:r>
      <w:r>
        <w:tab/>
        <w:t xml:space="preserve">a controlled weapon as defined in the </w:t>
      </w:r>
      <w:r>
        <w:rPr>
          <w:i/>
        </w:rPr>
        <w:t>Weapons Act 1999</w:t>
      </w:r>
      <w:r>
        <w:t xml:space="preserve"> section 3; or</w:t>
      </w:r>
    </w:p>
    <w:p>
      <w:pPr>
        <w:pStyle w:val="Defpara"/>
      </w:pPr>
      <w:r>
        <w:tab/>
        <w:t>(d)</w:t>
      </w:r>
      <w:r>
        <w:tab/>
        <w:t xml:space="preserve">a prohibited weapon as defined in the </w:t>
      </w:r>
      <w:r>
        <w:rPr>
          <w:i/>
        </w:rPr>
        <w:t>Weapons Act 1999</w:t>
      </w:r>
      <w:r>
        <w:t xml:space="preserve"> section 3; or</w:t>
      </w:r>
    </w:p>
    <w:p>
      <w:pPr>
        <w:pStyle w:val="Defpara"/>
        <w:rPr>
          <w:rStyle w:val="DraftersNotes"/>
          <w:b w:val="0"/>
          <w:i w:val="0"/>
        </w:rPr>
      </w:pPr>
      <w:r>
        <w:tab/>
        <w:t>(e)</w:t>
      </w:r>
      <w:r>
        <w:tab/>
        <w:t xml:space="preserve">a prohibited drug as defined in the </w:t>
      </w:r>
      <w:r>
        <w:rPr>
          <w:i/>
        </w:rPr>
        <w:t>Misuse of Drugs Act 1981</w:t>
      </w:r>
      <w:r>
        <w:t xml:space="preserve"> section 3(1).</w:t>
      </w:r>
    </w:p>
    <w:p>
      <w:pPr>
        <w:pStyle w:val="Subsection"/>
      </w:pPr>
      <w:r>
        <w:tab/>
        <w:t>(2)</w:t>
      </w:r>
      <w:r>
        <w:tab/>
        <w:t xml:space="preserve">A person must not bring onto the site a prohibited item </w:t>
      </w:r>
      <w:r>
        <w:rPr>
          <w:snapToGrid w:val="0"/>
        </w:rPr>
        <w:t>unless the person has permission to do so.</w:t>
      </w:r>
    </w:p>
    <w:p>
      <w:pPr>
        <w:pStyle w:val="Penstart"/>
      </w:pPr>
      <w:r>
        <w:tab/>
        <w:t>Penalty: a fine of $50.</w:t>
      </w:r>
    </w:p>
    <w:p>
      <w:pPr>
        <w:pStyle w:val="Footnotesection"/>
      </w:pPr>
      <w:r>
        <w:tab/>
        <w:t>[By-law 5 inserted in Gazette 14 Apr 2015 p. 1325</w:t>
      </w:r>
      <w:r>
        <w:noBreakHyphen/>
        <w:t>6.]</w:t>
      </w:r>
    </w:p>
    <w:p>
      <w:pPr>
        <w:pStyle w:val="Heading5"/>
        <w:rPr>
          <w:snapToGrid w:val="0"/>
        </w:rPr>
      </w:pPr>
      <w:bookmarkStart w:id="30" w:name="_Toc408567615"/>
      <w:bookmarkStart w:id="31" w:name="_Toc440358281"/>
      <w:bookmarkEnd w:id="28"/>
      <w:r>
        <w:rPr>
          <w:rStyle w:val="CharSectno"/>
        </w:rPr>
        <w:t>6</w:t>
      </w:r>
      <w:r>
        <w:t>.</w:t>
      </w:r>
      <w:r>
        <w:rPr>
          <w:rStyle w:val="CharSectno"/>
        </w:rPr>
        <w:tab/>
      </w:r>
      <w:r>
        <w:t>Sm</w:t>
      </w:r>
      <w:r>
        <w:rPr>
          <w:snapToGrid w:val="0"/>
        </w:rPr>
        <w:t>oking</w:t>
      </w:r>
      <w:bookmarkEnd w:id="30"/>
      <w:bookmarkEnd w:id="31"/>
    </w:p>
    <w:p>
      <w:pPr>
        <w:pStyle w:val="Subsection"/>
        <w:rPr>
          <w:snapToGrid w:val="0"/>
        </w:rPr>
      </w:pPr>
      <w:r>
        <w:rPr>
          <w:snapToGrid w:val="0"/>
        </w:rPr>
        <w:tab/>
      </w:r>
      <w:r>
        <w:rPr>
          <w:snapToGrid w:val="0"/>
        </w:rPr>
        <w:tab/>
        <w:t>A person must not smoke on the site.</w:t>
      </w:r>
    </w:p>
    <w:p>
      <w:pPr>
        <w:pStyle w:val="Penstart"/>
        <w:rPr>
          <w:snapToGrid w:val="0"/>
        </w:rPr>
      </w:pPr>
      <w:r>
        <w:rPr>
          <w:snapToGrid w:val="0"/>
        </w:rPr>
        <w:tab/>
        <w:t xml:space="preserve">Penalty: </w:t>
      </w:r>
      <w:r>
        <w:t>a fine of</w:t>
      </w:r>
      <w:r>
        <w:rPr>
          <w:snapToGrid w:val="0"/>
        </w:rPr>
        <w:t xml:space="preserve"> $50.</w:t>
      </w:r>
    </w:p>
    <w:p>
      <w:pPr>
        <w:pStyle w:val="Footnotesection"/>
      </w:pPr>
      <w:r>
        <w:tab/>
        <w:t>[By-law 6 inserted in Gazette 12 Feb 2008 p. 339; amended in Gazette 14 Apr 2015 p. 1327.]</w:t>
      </w:r>
    </w:p>
    <w:p>
      <w:pPr>
        <w:pStyle w:val="Heading5"/>
      </w:pPr>
      <w:bookmarkStart w:id="32" w:name="_Toc440358282"/>
      <w:bookmarkStart w:id="33" w:name="_Toc408567616"/>
      <w:r>
        <w:rPr>
          <w:rStyle w:val="CharSectno"/>
        </w:rPr>
        <w:t>7</w:t>
      </w:r>
      <w:r>
        <w:t>.</w:t>
      </w:r>
      <w:r>
        <w:tab/>
        <w:t>Persons may be directed to leave site</w:t>
      </w:r>
      <w:bookmarkEnd w:id="32"/>
    </w:p>
    <w:p>
      <w:pPr>
        <w:pStyle w:val="Subsection"/>
      </w:pPr>
      <w:r>
        <w:tab/>
        <w:t>(1)</w:t>
      </w:r>
      <w:r>
        <w:tab/>
        <w:t xml:space="preserve">An authorised person may direct a person to leave the site if the authorised person reasonably believes that the person has — </w:t>
      </w:r>
    </w:p>
    <w:p>
      <w:pPr>
        <w:pStyle w:val="Indenta"/>
      </w:pPr>
      <w:r>
        <w:tab/>
        <w:t>(a)</w:t>
      </w:r>
      <w:r>
        <w:tab/>
        <w:t>used abusive language on the site; or</w:t>
      </w:r>
    </w:p>
    <w:p>
      <w:pPr>
        <w:pStyle w:val="Indenta"/>
      </w:pPr>
      <w:r>
        <w:tab/>
        <w:t>(b)</w:t>
      </w:r>
      <w:r>
        <w:tab/>
        <w:t>threatened a person on the site; or</w:t>
      </w:r>
    </w:p>
    <w:p>
      <w:pPr>
        <w:pStyle w:val="Indenta"/>
      </w:pPr>
      <w:r>
        <w:tab/>
        <w:t>(c)</w:t>
      </w:r>
      <w:r>
        <w:tab/>
        <w:t>behaved in an indecent or disorderly manner on the site; or</w:t>
      </w:r>
    </w:p>
    <w:p>
      <w:pPr>
        <w:pStyle w:val="Indenta"/>
      </w:pPr>
      <w:r>
        <w:tab/>
        <w:t>(d)</w:t>
      </w:r>
      <w:r>
        <w:tab/>
        <w:t>unreasonably interfered with the privacy of a person on the site; or</w:t>
      </w:r>
    </w:p>
    <w:p>
      <w:pPr>
        <w:pStyle w:val="Indenta"/>
      </w:pPr>
      <w:r>
        <w:tab/>
        <w:t>(e)</w:t>
      </w:r>
      <w:r>
        <w:tab/>
        <w:t>committed an offence under by</w:t>
      </w:r>
      <w:r>
        <w:noBreakHyphen/>
        <w:t>law 3 or 5.</w:t>
      </w:r>
    </w:p>
    <w:p>
      <w:pPr>
        <w:pStyle w:val="Subsection"/>
        <w:rPr>
          <w:snapToGrid w:val="0"/>
        </w:rPr>
      </w:pPr>
      <w:r>
        <w:tab/>
        <w:t>(2)</w:t>
      </w:r>
      <w:r>
        <w:tab/>
      </w:r>
      <w:r>
        <w:rPr>
          <w:snapToGrid w:val="0"/>
        </w:rPr>
        <w:t xml:space="preserve">A person must not contravene a direction </w:t>
      </w:r>
      <w:r>
        <w:t>under sub</w:t>
      </w:r>
      <w:r>
        <w:noBreakHyphen/>
        <w:t>bylaw (1).</w:t>
      </w:r>
    </w:p>
    <w:p>
      <w:pPr>
        <w:pStyle w:val="Penstart"/>
      </w:pPr>
      <w:r>
        <w:tab/>
        <w:t>Penalty: a fine of $50.</w:t>
      </w:r>
    </w:p>
    <w:p>
      <w:pPr>
        <w:pStyle w:val="Subsection"/>
      </w:pPr>
      <w:r>
        <w:tab/>
        <w:t>(3)</w:t>
      </w:r>
      <w:r>
        <w:tab/>
        <w:t>The person whom an authorised person has given, or is about to give, a direction under sub</w:t>
      </w:r>
      <w:r>
        <w:noBreakHyphen/>
        <w:t>bylaw (1) may require the authorised person to produce the certificate referred to in by</w:t>
      </w:r>
      <w:r>
        <w:noBreakHyphen/>
        <w:t>law 3A(3).</w:t>
      </w:r>
    </w:p>
    <w:p>
      <w:pPr>
        <w:pStyle w:val="Subsection"/>
      </w:pPr>
      <w:r>
        <w:tab/>
        <w:t>(4)</w:t>
      </w:r>
      <w:r>
        <w:tab/>
        <w:t>The authorised person must comply with a request under sub</w:t>
      </w:r>
      <w:r>
        <w:noBreakHyphen/>
        <w:t>bylaw (3).</w:t>
      </w:r>
    </w:p>
    <w:p>
      <w:pPr>
        <w:pStyle w:val="Footnotesection"/>
      </w:pPr>
      <w:r>
        <w:tab/>
        <w:t>[By-law 7 inserted in Gazette 14 Apr 2015 p. 1326.]</w:t>
      </w:r>
    </w:p>
    <w:p>
      <w:pPr>
        <w:pStyle w:val="Heading2"/>
      </w:pPr>
      <w:bookmarkStart w:id="34" w:name="_Toc408567617"/>
      <w:bookmarkStart w:id="35" w:name="_Toc412629451"/>
      <w:bookmarkStart w:id="36" w:name="_Toc412629490"/>
      <w:bookmarkStart w:id="37" w:name="_Toc416697764"/>
      <w:bookmarkStart w:id="38" w:name="_Toc416705731"/>
      <w:bookmarkStart w:id="39" w:name="_Toc417550265"/>
      <w:bookmarkStart w:id="40" w:name="_Toc417551379"/>
      <w:bookmarkStart w:id="41" w:name="_Toc440358283"/>
      <w:bookmarkEnd w:id="33"/>
      <w:r>
        <w:rPr>
          <w:rStyle w:val="CharPartNo"/>
        </w:rPr>
        <w:t>Part 3</w:t>
      </w:r>
      <w:r>
        <w:t xml:space="preserve"> — </w:t>
      </w:r>
      <w:r>
        <w:rPr>
          <w:rStyle w:val="CharPartText"/>
        </w:rPr>
        <w:t>Traffic control</w:t>
      </w:r>
      <w:bookmarkEnd w:id="34"/>
      <w:bookmarkEnd w:id="35"/>
      <w:bookmarkEnd w:id="36"/>
      <w:bookmarkEnd w:id="37"/>
      <w:bookmarkEnd w:id="38"/>
      <w:bookmarkEnd w:id="39"/>
      <w:bookmarkEnd w:id="40"/>
      <w:bookmarkEnd w:id="41"/>
    </w:p>
    <w:p>
      <w:pPr>
        <w:pStyle w:val="Heading3"/>
      </w:pPr>
      <w:bookmarkStart w:id="42" w:name="_Toc408567618"/>
      <w:bookmarkStart w:id="43" w:name="_Toc412629452"/>
      <w:bookmarkStart w:id="44" w:name="_Toc412629491"/>
      <w:bookmarkStart w:id="45" w:name="_Toc416697765"/>
      <w:bookmarkStart w:id="46" w:name="_Toc416705732"/>
      <w:bookmarkStart w:id="47" w:name="_Toc417550266"/>
      <w:bookmarkStart w:id="48" w:name="_Toc417551380"/>
      <w:bookmarkStart w:id="49" w:name="_Toc440358284"/>
      <w:r>
        <w:rPr>
          <w:rStyle w:val="CharDivNo"/>
        </w:rPr>
        <w:t>Division 1</w:t>
      </w:r>
      <w:r>
        <w:rPr>
          <w:snapToGrid w:val="0"/>
        </w:rPr>
        <w:t xml:space="preserve"> — </w:t>
      </w:r>
      <w:r>
        <w:rPr>
          <w:rStyle w:val="CharDivText"/>
        </w:rPr>
        <w:t>Driving and use of vehicles</w:t>
      </w:r>
      <w:bookmarkEnd w:id="42"/>
      <w:bookmarkEnd w:id="43"/>
      <w:bookmarkEnd w:id="44"/>
      <w:bookmarkEnd w:id="45"/>
      <w:bookmarkEnd w:id="46"/>
      <w:bookmarkEnd w:id="47"/>
      <w:bookmarkEnd w:id="48"/>
      <w:bookmarkEnd w:id="49"/>
      <w:r>
        <w:rPr>
          <w:rStyle w:val="CharDivText"/>
        </w:rPr>
        <w:t xml:space="preserve"> </w:t>
      </w:r>
    </w:p>
    <w:p>
      <w:pPr>
        <w:pStyle w:val="Heading5"/>
        <w:rPr>
          <w:snapToGrid w:val="0"/>
        </w:rPr>
      </w:pPr>
      <w:bookmarkStart w:id="50" w:name="_Toc408567619"/>
      <w:bookmarkStart w:id="51" w:name="_Toc440358285"/>
      <w:r>
        <w:rPr>
          <w:rStyle w:val="CharSectno"/>
        </w:rPr>
        <w:t>8</w:t>
      </w:r>
      <w:r>
        <w:t>.</w:t>
      </w:r>
      <w:r>
        <w:rPr>
          <w:rStyle w:val="CharSectno"/>
        </w:rPr>
        <w:tab/>
      </w:r>
      <w:r>
        <w:rPr>
          <w:snapToGrid w:val="0"/>
        </w:rPr>
        <w:t>Driving of vehicles</w:t>
      </w:r>
      <w:bookmarkEnd w:id="50"/>
      <w:bookmarkEnd w:id="51"/>
      <w:r>
        <w:rPr>
          <w:snapToGrid w:val="0"/>
        </w:rPr>
        <w:t xml:space="preserve"> </w:t>
      </w:r>
    </w:p>
    <w:p>
      <w:pPr>
        <w:pStyle w:val="Subsection"/>
        <w:rPr>
          <w:snapToGrid w:val="0"/>
        </w:rPr>
      </w:pPr>
      <w:r>
        <w:rPr>
          <w:snapToGrid w:val="0"/>
        </w:rPr>
        <w:tab/>
        <w:t>(1)</w:t>
      </w:r>
      <w:r>
        <w:rPr>
          <w:snapToGrid w:val="0"/>
        </w:rPr>
        <w:tab/>
        <w:t>A person must not drive or bring a vehicle onto a part of the site that is not a roadway or a parking facility, unless the person has permission to do so.</w:t>
      </w:r>
    </w:p>
    <w:p>
      <w:pPr>
        <w:pStyle w:val="Subsection"/>
        <w:rPr>
          <w:snapToGrid w:val="0"/>
        </w:rPr>
      </w:pPr>
      <w:r>
        <w:rPr>
          <w:snapToGrid w:val="0"/>
        </w:rPr>
        <w:tab/>
        <w:t>(2)</w:t>
      </w:r>
      <w:r>
        <w:rPr>
          <w:snapToGrid w:val="0"/>
        </w:rPr>
        <w:tab/>
        <w:t>A person must not drive or bring a vehicle that has an unladen weight of more than 4 tonnes onto the site, unless the person has permission to do so.</w:t>
      </w:r>
    </w:p>
    <w:p>
      <w:pPr>
        <w:pStyle w:val="Subsection"/>
        <w:rPr>
          <w:snapToGrid w:val="0"/>
        </w:rPr>
      </w:pPr>
      <w:r>
        <w:rPr>
          <w:snapToGrid w:val="0"/>
        </w:rPr>
        <w:tab/>
        <w:t>(3)</w:t>
      </w:r>
      <w:r>
        <w:rPr>
          <w:snapToGrid w:val="0"/>
        </w:rPr>
        <w:tab/>
        <w:t>A person must not drive, use, or stand a vehicle in a part of the site contrary to a direction in a sign that relates to the part of the site.</w:t>
      </w:r>
    </w:p>
    <w:p>
      <w:pPr>
        <w:pStyle w:val="Subsection"/>
      </w:pPr>
      <w:r>
        <w:rPr>
          <w:snapToGrid w:val="0"/>
        </w:rPr>
        <w:tab/>
        <w:t>(4)</w:t>
      </w:r>
      <w:r>
        <w:rPr>
          <w:snapToGrid w:val="0"/>
        </w:rPr>
        <w:tab/>
      </w:r>
      <w:r>
        <w:t>Sub</w:t>
      </w:r>
      <w:r>
        <w:noBreakHyphen/>
        <w:t>bylaw (1), (2), or (3) does not apply to a vehicle that is an emergency vehicle.</w:t>
      </w:r>
    </w:p>
    <w:p>
      <w:pPr>
        <w:pStyle w:val="Penstart"/>
        <w:rPr>
          <w:snapToGrid w:val="0"/>
        </w:rPr>
      </w:pPr>
      <w:r>
        <w:rPr>
          <w:snapToGrid w:val="0"/>
        </w:rPr>
        <w:tab/>
        <w:t xml:space="preserve">Penalty applicable to </w:t>
      </w:r>
      <w:r>
        <w:t>sub</w:t>
      </w:r>
      <w:r>
        <w:noBreakHyphen/>
        <w:t>bylaw (1), (2) or (3): a fine of</w:t>
      </w:r>
      <w:r>
        <w:rPr>
          <w:snapToGrid w:val="0"/>
        </w:rPr>
        <w:t xml:space="preserve"> $50.</w:t>
      </w:r>
    </w:p>
    <w:p>
      <w:pPr>
        <w:pStyle w:val="Footnotesection"/>
      </w:pPr>
      <w:bookmarkStart w:id="52" w:name="_Toc408567620"/>
      <w:r>
        <w:tab/>
        <w:t>[By-law 8 amended in Gazette 14 Apr 2015 p. 1326.]</w:t>
      </w:r>
    </w:p>
    <w:p>
      <w:pPr>
        <w:pStyle w:val="Heading5"/>
        <w:rPr>
          <w:snapToGrid w:val="0"/>
        </w:rPr>
      </w:pPr>
      <w:bookmarkStart w:id="53" w:name="_Toc440358286"/>
      <w:r>
        <w:rPr>
          <w:rStyle w:val="CharSectno"/>
        </w:rPr>
        <w:t>9</w:t>
      </w:r>
      <w:r>
        <w:t>.</w:t>
      </w:r>
      <w:r>
        <w:rPr>
          <w:rStyle w:val="CharSectno"/>
        </w:rPr>
        <w:tab/>
      </w:r>
      <w:r>
        <w:rPr>
          <w:snapToGrid w:val="0"/>
        </w:rPr>
        <w:t>Driver to obey reasonable direction</w:t>
      </w:r>
      <w:bookmarkEnd w:id="52"/>
      <w:bookmarkEnd w:id="53"/>
      <w:r>
        <w:rPr>
          <w:snapToGrid w:val="0"/>
        </w:rPr>
        <w:t xml:space="preserve"> </w:t>
      </w:r>
    </w:p>
    <w:p>
      <w:pPr>
        <w:pStyle w:val="Subsection"/>
        <w:rPr>
          <w:snapToGrid w:val="0"/>
        </w:rPr>
      </w:pPr>
      <w:r>
        <w:rPr>
          <w:snapToGrid w:val="0"/>
        </w:rPr>
        <w:tab/>
      </w:r>
      <w:r>
        <w:rPr>
          <w:snapToGrid w:val="0"/>
        </w:rPr>
        <w:tab/>
        <w:t>The driver of a vehicle is to obey an authorised person’s reasonable direction in relation to the parking or movement of the vehicle on the site, despite that direction being different from a direction in a sign.</w:t>
      </w:r>
    </w:p>
    <w:p>
      <w:pPr>
        <w:pStyle w:val="Penstart"/>
        <w:rPr>
          <w:snapToGrid w:val="0"/>
        </w:rPr>
      </w:pPr>
      <w:r>
        <w:rPr>
          <w:snapToGrid w:val="0"/>
        </w:rPr>
        <w:tab/>
        <w:t xml:space="preserve">Penalty: </w:t>
      </w:r>
      <w:r>
        <w:t>a fine of</w:t>
      </w:r>
      <w:r>
        <w:rPr>
          <w:snapToGrid w:val="0"/>
        </w:rPr>
        <w:t xml:space="preserve"> $50.</w:t>
      </w:r>
    </w:p>
    <w:p>
      <w:pPr>
        <w:pStyle w:val="Footnotesection"/>
      </w:pPr>
      <w:bookmarkStart w:id="54" w:name="_Toc408567621"/>
      <w:r>
        <w:tab/>
        <w:t>[By-law 9 amended in Gazette 14 Apr 2015 p. 1327.]</w:t>
      </w:r>
    </w:p>
    <w:p>
      <w:pPr>
        <w:pStyle w:val="Heading5"/>
        <w:rPr>
          <w:snapToGrid w:val="0"/>
        </w:rPr>
      </w:pPr>
      <w:bookmarkStart w:id="55" w:name="_Toc440358287"/>
      <w:r>
        <w:rPr>
          <w:rStyle w:val="CharSectno"/>
        </w:rPr>
        <w:t>10</w:t>
      </w:r>
      <w:r>
        <w:t>.</w:t>
      </w:r>
      <w:r>
        <w:rPr>
          <w:rStyle w:val="CharSectno"/>
        </w:rPr>
        <w:tab/>
      </w:r>
      <w:r>
        <w:rPr>
          <w:snapToGrid w:val="0"/>
        </w:rPr>
        <w:t>Speed limits</w:t>
      </w:r>
      <w:bookmarkEnd w:id="54"/>
      <w:bookmarkEnd w:id="55"/>
      <w:r>
        <w:rPr>
          <w:snapToGrid w:val="0"/>
        </w:rPr>
        <w:t xml:space="preserve"> </w:t>
      </w:r>
    </w:p>
    <w:p>
      <w:pPr>
        <w:pStyle w:val="Subsection"/>
        <w:rPr>
          <w:snapToGrid w:val="0"/>
        </w:rPr>
      </w:pPr>
      <w:r>
        <w:rPr>
          <w:snapToGrid w:val="0"/>
        </w:rPr>
        <w:tab/>
        <w:t>(1)</w:t>
      </w:r>
      <w:r>
        <w:rPr>
          <w:snapToGrid w:val="0"/>
        </w:rPr>
        <w:tab/>
        <w:t>A person must not drive a vehicle on a roadway or parking facility — </w:t>
      </w:r>
    </w:p>
    <w:p>
      <w:pPr>
        <w:pStyle w:val="Indenta"/>
        <w:rPr>
          <w:snapToGrid w:val="0"/>
        </w:rPr>
      </w:pPr>
      <w:r>
        <w:rPr>
          <w:snapToGrid w:val="0"/>
        </w:rPr>
        <w:tab/>
        <w:t>(a)</w:t>
      </w:r>
      <w:r>
        <w:rPr>
          <w:snapToGrid w:val="0"/>
        </w:rPr>
        <w:tab/>
        <w:t>if no speed restriction sign is displayed, at a speed exceeding 30 km/h; or</w:t>
      </w:r>
    </w:p>
    <w:p>
      <w:pPr>
        <w:pStyle w:val="Indenta"/>
        <w:rPr>
          <w:snapToGrid w:val="0"/>
        </w:rPr>
      </w:pPr>
      <w:r>
        <w:rPr>
          <w:snapToGrid w:val="0"/>
        </w:rPr>
        <w:tab/>
        <w:t>(b)</w:t>
      </w:r>
      <w:r>
        <w:rPr>
          <w:snapToGrid w:val="0"/>
        </w:rPr>
        <w:tab/>
        <w:t>if a speed restriction sign is displayed in relation to a part of a roadway or parking facility, at a speed exceeding the speed indicated by the speed restriction sign.</w:t>
      </w:r>
    </w:p>
    <w:p>
      <w:pPr>
        <w:pStyle w:val="Penstart"/>
        <w:rPr>
          <w:snapToGrid w:val="0"/>
        </w:rPr>
      </w:pPr>
      <w:r>
        <w:rPr>
          <w:snapToGrid w:val="0"/>
        </w:rPr>
        <w:tab/>
        <w:t xml:space="preserve">Penalty: </w:t>
      </w:r>
      <w:r>
        <w:t>a fine of</w:t>
      </w:r>
      <w:r>
        <w:rPr>
          <w:snapToGrid w:val="0"/>
        </w:rPr>
        <w:t xml:space="preserve"> $50.</w:t>
      </w:r>
    </w:p>
    <w:p>
      <w:pPr>
        <w:pStyle w:val="Subsection"/>
        <w:rPr>
          <w:snapToGrid w:val="0"/>
        </w:rPr>
      </w:pPr>
      <w:r>
        <w:rPr>
          <w:snapToGrid w:val="0"/>
        </w:rPr>
        <w:tab/>
        <w:t>(2)</w:t>
      </w:r>
      <w:r>
        <w:rPr>
          <w:snapToGrid w:val="0"/>
        </w:rPr>
        <w:tab/>
        <w:t>Sub</w:t>
      </w:r>
      <w:r>
        <w:rPr>
          <w:snapToGrid w:val="0"/>
        </w:rPr>
        <w:noBreakHyphen/>
        <w:t>bylaw (1) does not apply to the driving of an emergency vehicle.</w:t>
      </w:r>
    </w:p>
    <w:p>
      <w:pPr>
        <w:pStyle w:val="Footnotesection"/>
      </w:pPr>
      <w:bookmarkStart w:id="56" w:name="_Toc408567622"/>
      <w:r>
        <w:tab/>
        <w:t>[By-law 10 amended in Gazette 14 Apr 2015 p. 1327.]</w:t>
      </w:r>
    </w:p>
    <w:p>
      <w:pPr>
        <w:pStyle w:val="Heading5"/>
        <w:rPr>
          <w:snapToGrid w:val="0"/>
        </w:rPr>
      </w:pPr>
      <w:bookmarkStart w:id="57" w:name="_Toc440358288"/>
      <w:r>
        <w:rPr>
          <w:rStyle w:val="CharSectno"/>
        </w:rPr>
        <w:t>11</w:t>
      </w:r>
      <w:r>
        <w:t>.</w:t>
      </w:r>
      <w:r>
        <w:rPr>
          <w:rStyle w:val="CharSectno"/>
        </w:rPr>
        <w:tab/>
      </w:r>
      <w:r>
        <w:rPr>
          <w:snapToGrid w:val="0"/>
        </w:rPr>
        <w:t>Giving way</w:t>
      </w:r>
      <w:bookmarkEnd w:id="56"/>
      <w:bookmarkEnd w:id="57"/>
      <w:r>
        <w:rPr>
          <w:snapToGrid w:val="0"/>
        </w:rPr>
        <w:t xml:space="preserve"> </w:t>
      </w:r>
    </w:p>
    <w:p>
      <w:pPr>
        <w:pStyle w:val="Subsection"/>
        <w:rPr>
          <w:snapToGrid w:val="0"/>
        </w:rPr>
      </w:pPr>
      <w:r>
        <w:rPr>
          <w:snapToGrid w:val="0"/>
        </w:rPr>
        <w:tab/>
      </w:r>
      <w:r>
        <w:rPr>
          <w:snapToGrid w:val="0"/>
        </w:rPr>
        <w:tab/>
        <w:t>The driver of a vehicle that is entering or about to enter a parking facility is to give way to a vehicle that is leaving the parking facility.</w:t>
      </w:r>
    </w:p>
    <w:p>
      <w:pPr>
        <w:pStyle w:val="Penstart"/>
        <w:rPr>
          <w:snapToGrid w:val="0"/>
        </w:rPr>
      </w:pPr>
      <w:r>
        <w:rPr>
          <w:snapToGrid w:val="0"/>
        </w:rPr>
        <w:tab/>
        <w:t xml:space="preserve">Penalty: </w:t>
      </w:r>
      <w:r>
        <w:t>a fine of</w:t>
      </w:r>
      <w:r>
        <w:rPr>
          <w:snapToGrid w:val="0"/>
        </w:rPr>
        <w:t xml:space="preserve"> $50.</w:t>
      </w:r>
    </w:p>
    <w:p>
      <w:pPr>
        <w:pStyle w:val="Footnotesection"/>
      </w:pPr>
      <w:bookmarkStart w:id="58" w:name="_Toc408567623"/>
      <w:r>
        <w:tab/>
        <w:t>[By-law 11 amended in Gazette 14 Apr 2015 p. 1327.]</w:t>
      </w:r>
    </w:p>
    <w:p>
      <w:pPr>
        <w:pStyle w:val="Heading5"/>
        <w:rPr>
          <w:snapToGrid w:val="0"/>
        </w:rPr>
      </w:pPr>
      <w:bookmarkStart w:id="59" w:name="_Toc440358289"/>
      <w:r>
        <w:rPr>
          <w:rStyle w:val="CharSectno"/>
        </w:rPr>
        <w:t>12</w:t>
      </w:r>
      <w:r>
        <w:t>.</w:t>
      </w:r>
      <w:r>
        <w:rPr>
          <w:rStyle w:val="CharSectno"/>
        </w:rPr>
        <w:tab/>
      </w:r>
      <w:r>
        <w:rPr>
          <w:snapToGrid w:val="0"/>
        </w:rPr>
        <w:t>No driving instruction or repairs on site</w:t>
      </w:r>
      <w:bookmarkEnd w:id="58"/>
      <w:bookmarkEnd w:id="59"/>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drive a vehicle on the site for the purpose of giving or receiving driving instructions; or</w:t>
      </w:r>
    </w:p>
    <w:p>
      <w:pPr>
        <w:pStyle w:val="Indenta"/>
        <w:rPr>
          <w:snapToGrid w:val="0"/>
        </w:rPr>
      </w:pPr>
      <w:r>
        <w:rPr>
          <w:snapToGrid w:val="0"/>
        </w:rPr>
        <w:tab/>
        <w:t>(b)</w:t>
      </w:r>
      <w:r>
        <w:rPr>
          <w:snapToGrid w:val="0"/>
        </w:rPr>
        <w:tab/>
        <w:t>repair or adjust a vehicle on the site, except in an emergency.</w:t>
      </w:r>
    </w:p>
    <w:p>
      <w:pPr>
        <w:pStyle w:val="Penstart"/>
        <w:rPr>
          <w:snapToGrid w:val="0"/>
        </w:rPr>
      </w:pPr>
      <w:r>
        <w:rPr>
          <w:snapToGrid w:val="0"/>
        </w:rPr>
        <w:tab/>
        <w:t xml:space="preserve">Penalty: </w:t>
      </w:r>
      <w:r>
        <w:t>a fine of</w:t>
      </w:r>
      <w:r>
        <w:rPr>
          <w:snapToGrid w:val="0"/>
        </w:rPr>
        <w:t xml:space="preserve"> $50.</w:t>
      </w:r>
    </w:p>
    <w:p>
      <w:pPr>
        <w:pStyle w:val="Footnotesection"/>
      </w:pPr>
      <w:bookmarkStart w:id="60" w:name="_Toc408567624"/>
      <w:bookmarkStart w:id="61" w:name="_Toc412629458"/>
      <w:bookmarkStart w:id="62" w:name="_Toc412629497"/>
      <w:r>
        <w:tab/>
        <w:t>[By-law 12 amended in Gazette 14 Apr 2015 p. 1327.]</w:t>
      </w:r>
    </w:p>
    <w:p>
      <w:pPr>
        <w:pStyle w:val="Heading3"/>
      </w:pPr>
      <w:bookmarkStart w:id="63" w:name="_Toc416697771"/>
      <w:bookmarkStart w:id="64" w:name="_Toc416705738"/>
      <w:bookmarkStart w:id="65" w:name="_Toc417550272"/>
      <w:bookmarkStart w:id="66" w:name="_Toc417551386"/>
      <w:bookmarkStart w:id="67" w:name="_Toc440358290"/>
      <w:r>
        <w:rPr>
          <w:rStyle w:val="CharDivNo"/>
        </w:rPr>
        <w:t>Division 2</w:t>
      </w:r>
      <w:r>
        <w:rPr>
          <w:snapToGrid w:val="0"/>
        </w:rPr>
        <w:t xml:space="preserve"> — </w:t>
      </w:r>
      <w:r>
        <w:rPr>
          <w:rStyle w:val="CharDivText"/>
        </w:rPr>
        <w:t>Parking</w:t>
      </w:r>
      <w:bookmarkEnd w:id="60"/>
      <w:bookmarkEnd w:id="61"/>
      <w:bookmarkEnd w:id="62"/>
      <w:bookmarkEnd w:id="63"/>
      <w:bookmarkEnd w:id="64"/>
      <w:bookmarkEnd w:id="65"/>
      <w:bookmarkEnd w:id="66"/>
      <w:bookmarkEnd w:id="67"/>
      <w:r>
        <w:rPr>
          <w:rStyle w:val="CharDivText"/>
        </w:rPr>
        <w:t xml:space="preserve"> </w:t>
      </w:r>
    </w:p>
    <w:p>
      <w:pPr>
        <w:pStyle w:val="Heading5"/>
        <w:rPr>
          <w:snapToGrid w:val="0"/>
        </w:rPr>
      </w:pPr>
      <w:bookmarkStart w:id="68" w:name="_Toc408567625"/>
      <w:bookmarkStart w:id="69" w:name="_Toc440358291"/>
      <w:r>
        <w:rPr>
          <w:rStyle w:val="CharSectno"/>
        </w:rPr>
        <w:t>13</w:t>
      </w:r>
      <w:r>
        <w:t>.</w:t>
      </w:r>
      <w:r>
        <w:rPr>
          <w:rStyle w:val="CharSectno"/>
        </w:rPr>
        <w:tab/>
      </w:r>
      <w:r>
        <w:rPr>
          <w:snapToGrid w:val="0"/>
        </w:rPr>
        <w:t>Parking to be in parking spaces only</w:t>
      </w:r>
      <w:bookmarkEnd w:id="68"/>
      <w:bookmarkEnd w:id="69"/>
      <w:r>
        <w:rPr>
          <w:snapToGrid w:val="0"/>
        </w:rPr>
        <w:t xml:space="preserve"> </w:t>
      </w:r>
    </w:p>
    <w:p>
      <w:pPr>
        <w:pStyle w:val="Subsection"/>
        <w:rPr>
          <w:snapToGrid w:val="0"/>
        </w:rPr>
      </w:pPr>
      <w:r>
        <w:rPr>
          <w:snapToGrid w:val="0"/>
        </w:rPr>
        <w:tab/>
      </w:r>
      <w:r>
        <w:rPr>
          <w:snapToGrid w:val="0"/>
        </w:rPr>
        <w:tab/>
        <w:t>A person must not park a vehicle on the site unless the vehicle is parked in a parking space.</w:t>
      </w:r>
    </w:p>
    <w:p>
      <w:pPr>
        <w:pStyle w:val="Penstart"/>
        <w:rPr>
          <w:snapToGrid w:val="0"/>
        </w:rPr>
      </w:pPr>
      <w:r>
        <w:rPr>
          <w:snapToGrid w:val="0"/>
        </w:rPr>
        <w:tab/>
        <w:t xml:space="preserve">Penalty: </w:t>
      </w:r>
      <w:r>
        <w:t>a fine of</w:t>
      </w:r>
      <w:r>
        <w:rPr>
          <w:snapToGrid w:val="0"/>
        </w:rPr>
        <w:t xml:space="preserve"> $50.</w:t>
      </w:r>
    </w:p>
    <w:p>
      <w:pPr>
        <w:pStyle w:val="Footnotesection"/>
      </w:pPr>
      <w:bookmarkStart w:id="70" w:name="_Toc408567626"/>
      <w:r>
        <w:tab/>
        <w:t>[By-law 13 amended in Gazette 14 Apr 2015 p. 1327.]</w:t>
      </w:r>
    </w:p>
    <w:p>
      <w:pPr>
        <w:pStyle w:val="Heading5"/>
        <w:rPr>
          <w:snapToGrid w:val="0"/>
        </w:rPr>
      </w:pPr>
      <w:bookmarkStart w:id="71" w:name="_Toc440358292"/>
      <w:r>
        <w:rPr>
          <w:rStyle w:val="CharSectno"/>
        </w:rPr>
        <w:t>14</w:t>
      </w:r>
      <w:r>
        <w:t>.</w:t>
      </w:r>
      <w:r>
        <w:rPr>
          <w:rStyle w:val="CharSectno"/>
        </w:rPr>
        <w:tab/>
      </w:r>
      <w:r>
        <w:rPr>
          <w:snapToGrid w:val="0"/>
        </w:rPr>
        <w:t>Signs to be obeyed</w:t>
      </w:r>
      <w:bookmarkEnd w:id="70"/>
      <w:bookmarkEnd w:id="71"/>
      <w:r>
        <w:rPr>
          <w:snapToGrid w:val="0"/>
        </w:rPr>
        <w:t xml:space="preserve"> </w:t>
      </w:r>
    </w:p>
    <w:p>
      <w:pPr>
        <w:pStyle w:val="Subsection"/>
        <w:rPr>
          <w:snapToGrid w:val="0"/>
        </w:rPr>
      </w:pPr>
      <w:r>
        <w:rPr>
          <w:snapToGrid w:val="0"/>
        </w:rPr>
        <w:tab/>
      </w:r>
      <w:r>
        <w:rPr>
          <w:snapToGrid w:val="0"/>
        </w:rPr>
        <w:tab/>
        <w:t>A person must not park, stand, or move a vehicle on the site contrary to a direction in a sign.</w:t>
      </w:r>
    </w:p>
    <w:p>
      <w:pPr>
        <w:pStyle w:val="Penstart"/>
        <w:rPr>
          <w:snapToGrid w:val="0"/>
        </w:rPr>
      </w:pPr>
      <w:r>
        <w:rPr>
          <w:snapToGrid w:val="0"/>
        </w:rPr>
        <w:tab/>
        <w:t xml:space="preserve">Penalty: </w:t>
      </w:r>
      <w:r>
        <w:t>a fine of</w:t>
      </w:r>
      <w:r>
        <w:rPr>
          <w:snapToGrid w:val="0"/>
        </w:rPr>
        <w:t xml:space="preserve"> $50.</w:t>
      </w:r>
    </w:p>
    <w:p>
      <w:pPr>
        <w:pStyle w:val="Footnotesection"/>
      </w:pPr>
      <w:bookmarkStart w:id="72" w:name="_Toc408567627"/>
      <w:r>
        <w:tab/>
        <w:t>[By-law 14 amended in Gazette 14 Apr 2015 p. 1327.]</w:t>
      </w:r>
    </w:p>
    <w:p>
      <w:pPr>
        <w:pStyle w:val="Heading5"/>
        <w:rPr>
          <w:snapToGrid w:val="0"/>
        </w:rPr>
      </w:pPr>
      <w:bookmarkStart w:id="73" w:name="_Toc440358293"/>
      <w:r>
        <w:rPr>
          <w:rStyle w:val="CharSectno"/>
        </w:rPr>
        <w:t>15</w:t>
      </w:r>
      <w:r>
        <w:t>.</w:t>
      </w:r>
      <w:r>
        <w:rPr>
          <w:rStyle w:val="CharSectno"/>
        </w:rPr>
        <w:tab/>
      </w:r>
      <w:r>
        <w:rPr>
          <w:snapToGrid w:val="0"/>
        </w:rPr>
        <w:t>Parking in parking spaces</w:t>
      </w:r>
      <w:bookmarkEnd w:id="72"/>
      <w:bookmarkEnd w:id="73"/>
      <w:r>
        <w:rPr>
          <w:snapToGrid w:val="0"/>
        </w:rPr>
        <w:t xml:space="preserve"> </w:t>
      </w:r>
    </w:p>
    <w:p>
      <w:pPr>
        <w:pStyle w:val="Subsection"/>
        <w:rPr>
          <w:snapToGrid w:val="0"/>
        </w:rPr>
      </w:pPr>
      <w:r>
        <w:rPr>
          <w:snapToGrid w:val="0"/>
        </w:rPr>
        <w:tab/>
        <w:t>(1)</w:t>
      </w:r>
      <w:r>
        <w:rPr>
          <w:snapToGrid w:val="0"/>
        </w:rPr>
        <w:tab/>
        <w:t>A sign may contain a direction that parking in a parking space, parking facility, or part of a parking facility is set aside for — </w:t>
      </w:r>
    </w:p>
    <w:p>
      <w:pPr>
        <w:pStyle w:val="Indenta"/>
        <w:rPr>
          <w:snapToGrid w:val="0"/>
        </w:rPr>
      </w:pPr>
      <w:r>
        <w:rPr>
          <w:snapToGrid w:val="0"/>
        </w:rPr>
        <w:tab/>
        <w:t>(a)</w:t>
      </w:r>
      <w:r>
        <w:rPr>
          <w:snapToGrid w:val="0"/>
        </w:rPr>
        <w:tab/>
        <w:t>a specified vehicle or specified class of vehicle; or</w:t>
      </w:r>
    </w:p>
    <w:p>
      <w:pPr>
        <w:pStyle w:val="Indenta"/>
        <w:rPr>
          <w:snapToGrid w:val="0"/>
        </w:rPr>
      </w:pPr>
      <w:r>
        <w:rPr>
          <w:snapToGrid w:val="0"/>
        </w:rPr>
        <w:tab/>
        <w:t>(b)</w:t>
      </w:r>
      <w:r>
        <w:rPr>
          <w:snapToGrid w:val="0"/>
        </w:rPr>
        <w:tab/>
        <w:t>the vehicle of a specified person or specified class of persons; or</w:t>
      </w:r>
    </w:p>
    <w:p>
      <w:pPr>
        <w:pStyle w:val="Indenta"/>
        <w:rPr>
          <w:snapToGrid w:val="0"/>
        </w:rPr>
      </w:pPr>
      <w:r>
        <w:rPr>
          <w:snapToGrid w:val="0"/>
        </w:rPr>
        <w:tab/>
        <w:t>(c)</w:t>
      </w:r>
      <w:r>
        <w:rPr>
          <w:snapToGrid w:val="0"/>
        </w:rPr>
        <w:tab/>
        <w:t>parking of vehicles for a specified period of time; or</w:t>
      </w:r>
    </w:p>
    <w:p>
      <w:pPr>
        <w:pStyle w:val="Indenta"/>
        <w:rPr>
          <w:snapToGrid w:val="0"/>
        </w:rPr>
      </w:pPr>
      <w:r>
        <w:rPr>
          <w:snapToGrid w:val="0"/>
        </w:rPr>
        <w:tab/>
        <w:t>(d)</w:t>
      </w:r>
      <w:r>
        <w:rPr>
          <w:snapToGrid w:val="0"/>
        </w:rPr>
        <w:tab/>
        <w:t>parking of vehicles for a maximum period of time as is specified; or</w:t>
      </w:r>
    </w:p>
    <w:p>
      <w:pPr>
        <w:pStyle w:val="Indenta"/>
        <w:rPr>
          <w:snapToGrid w:val="0"/>
        </w:rPr>
      </w:pPr>
      <w:r>
        <w:rPr>
          <w:snapToGrid w:val="0"/>
        </w:rPr>
        <w:tab/>
        <w:t>(e)</w:t>
      </w:r>
      <w:r>
        <w:rPr>
          <w:snapToGrid w:val="0"/>
        </w:rPr>
        <w:tab/>
        <w:t>vehicles that display a specified permit in a specified position on the vehicle.</w:t>
      </w:r>
    </w:p>
    <w:p>
      <w:pPr>
        <w:pStyle w:val="Subsection"/>
        <w:rPr>
          <w:snapToGrid w:val="0"/>
        </w:rPr>
      </w:pPr>
      <w:r>
        <w:rPr>
          <w:snapToGrid w:val="0"/>
        </w:rPr>
        <w:tab/>
        <w:t>(2)</w:t>
      </w:r>
      <w:r>
        <w:rPr>
          <w:snapToGrid w:val="0"/>
        </w:rPr>
        <w:tab/>
        <w:t>In this by</w:t>
      </w:r>
      <w:r>
        <w:rPr>
          <w:snapToGrid w:val="0"/>
        </w:rPr>
        <w:noBreakHyphen/>
        <w:t xml:space="preserve">law, </w:t>
      </w:r>
      <w:r>
        <w:rPr>
          <w:rStyle w:val="CharDefText"/>
        </w:rPr>
        <w:t>specified</w:t>
      </w:r>
      <w:r>
        <w:rPr>
          <w:snapToGrid w:val="0"/>
        </w:rPr>
        <w:t xml:space="preserve"> means specified in a sign.</w:t>
      </w:r>
    </w:p>
    <w:p>
      <w:pPr>
        <w:pStyle w:val="Subsection"/>
        <w:rPr>
          <w:snapToGrid w:val="0"/>
        </w:rPr>
      </w:pPr>
      <w:r>
        <w:rPr>
          <w:snapToGrid w:val="0"/>
        </w:rPr>
        <w:tab/>
        <w:t>(3)</w:t>
      </w:r>
      <w:r>
        <w:rPr>
          <w:snapToGrid w:val="0"/>
        </w:rPr>
        <w:tab/>
        <w:t>A person must not park, stand, or move a vehicle in a parking space or a parking facility contrary to a direction in a sign.</w:t>
      </w:r>
    </w:p>
    <w:p>
      <w:pPr>
        <w:pStyle w:val="Penstart"/>
        <w:rPr>
          <w:snapToGrid w:val="0"/>
        </w:rPr>
      </w:pPr>
      <w:r>
        <w:rPr>
          <w:snapToGrid w:val="0"/>
        </w:rPr>
        <w:tab/>
        <w:t xml:space="preserve">Penalty: </w:t>
      </w:r>
      <w:r>
        <w:t>a fine of</w:t>
      </w:r>
      <w:r>
        <w:rPr>
          <w:snapToGrid w:val="0"/>
        </w:rPr>
        <w:t xml:space="preserve"> $50.</w:t>
      </w:r>
    </w:p>
    <w:p>
      <w:pPr>
        <w:pStyle w:val="Subsection"/>
      </w:pPr>
      <w:r>
        <w:rPr>
          <w:snapToGrid w:val="0"/>
        </w:rPr>
        <w:tab/>
        <w:t>(4)</w:t>
      </w:r>
      <w:r>
        <w:rPr>
          <w:snapToGrid w:val="0"/>
        </w:rPr>
        <w:tab/>
        <w:t>Without limiting sub</w:t>
      </w:r>
      <w:r>
        <w:rPr>
          <w:snapToGrid w:val="0"/>
        </w:rPr>
        <w:noBreakHyphen/>
        <w:t>bylaw (3), a person must not park a vehicle in a parking space, parking facility, or part of a parking facility set aside for vehicles displaying a specified permit unless the person is the holder of the specified permit that is current.</w:t>
      </w:r>
    </w:p>
    <w:p>
      <w:pPr>
        <w:pStyle w:val="Penstart"/>
        <w:rPr>
          <w:snapToGrid w:val="0"/>
        </w:rPr>
      </w:pPr>
      <w:r>
        <w:rPr>
          <w:snapToGrid w:val="0"/>
        </w:rPr>
        <w:tab/>
        <w:t xml:space="preserve">Penalty: </w:t>
      </w:r>
      <w:r>
        <w:t>a fine of</w:t>
      </w:r>
      <w:r>
        <w:rPr>
          <w:snapToGrid w:val="0"/>
        </w:rPr>
        <w:t xml:space="preserve"> $50.</w:t>
      </w:r>
    </w:p>
    <w:p>
      <w:pPr>
        <w:pStyle w:val="Footnotesection"/>
      </w:pPr>
      <w:bookmarkStart w:id="74" w:name="_Toc408567628"/>
      <w:r>
        <w:tab/>
        <w:t>[By-law 15 amended in Gazette 14 Apr 2015 p. 1327.]</w:t>
      </w:r>
    </w:p>
    <w:p>
      <w:pPr>
        <w:pStyle w:val="Heading5"/>
        <w:rPr>
          <w:snapToGrid w:val="0"/>
        </w:rPr>
      </w:pPr>
      <w:bookmarkStart w:id="75" w:name="_Toc440358294"/>
      <w:r>
        <w:rPr>
          <w:rStyle w:val="CharSectno"/>
        </w:rPr>
        <w:t>16</w:t>
      </w:r>
      <w:r>
        <w:t>.</w:t>
      </w:r>
      <w:r>
        <w:tab/>
      </w:r>
      <w:r>
        <w:rPr>
          <w:snapToGrid w:val="0"/>
        </w:rPr>
        <w:t>Permit</w:t>
      </w:r>
      <w:bookmarkEnd w:id="74"/>
      <w:bookmarkEnd w:id="75"/>
      <w:r>
        <w:rPr>
          <w:snapToGrid w:val="0"/>
        </w:rPr>
        <w:t xml:space="preserve"> </w:t>
      </w:r>
    </w:p>
    <w:p>
      <w:pPr>
        <w:pStyle w:val="Subsection"/>
        <w:rPr>
          <w:snapToGrid w:val="0"/>
        </w:rPr>
      </w:pPr>
      <w:r>
        <w:rPr>
          <w:snapToGrid w:val="0"/>
        </w:rPr>
        <w:tab/>
        <w:t>(1)</w:t>
      </w:r>
      <w:r>
        <w:rPr>
          <w:snapToGrid w:val="0"/>
        </w:rPr>
        <w:tab/>
        <w:t>A person who wishes to obtain a permit to park a vehicle on the site is to apply to the chief executive officer or an authorised person.</w:t>
      </w:r>
    </w:p>
    <w:p>
      <w:pPr>
        <w:pStyle w:val="Subsection"/>
      </w:pPr>
      <w:r>
        <w:tab/>
        <w:t>(2)</w:t>
      </w:r>
      <w:r>
        <w:tab/>
        <w:t>An application under sub</w:t>
      </w:r>
      <w:r>
        <w:noBreakHyphen/>
        <w:t xml:space="preserve">bylaw (1) — </w:t>
      </w:r>
    </w:p>
    <w:p>
      <w:pPr>
        <w:pStyle w:val="Indenta"/>
      </w:pPr>
      <w:r>
        <w:tab/>
        <w:t>(a)</w:t>
      </w:r>
      <w:r>
        <w:tab/>
        <w:t>is to be in a form approved by the chief executive officer or an authorised person; and</w:t>
      </w:r>
    </w:p>
    <w:p>
      <w:pPr>
        <w:pStyle w:val="Indenta"/>
      </w:pPr>
      <w:r>
        <w:tab/>
        <w:t>(b)</w:t>
      </w:r>
      <w:r>
        <w:tab/>
        <w:t>is to be accompanied by a fee of $2.00 per week for the period for which the permit is sought.</w:t>
      </w:r>
    </w:p>
    <w:p>
      <w:pPr>
        <w:pStyle w:val="Subsection"/>
        <w:rPr>
          <w:snapToGrid w:val="0"/>
        </w:rPr>
      </w:pPr>
      <w:r>
        <w:rPr>
          <w:snapToGrid w:val="0"/>
        </w:rPr>
        <w:tab/>
        <w:t>(3)</w:t>
      </w:r>
      <w:r>
        <w:rPr>
          <w:snapToGrid w:val="0"/>
        </w:rPr>
        <w:tab/>
        <w:t>The chief executive officer or the authorised person to whom the application under sub</w:t>
      </w:r>
      <w:r>
        <w:rPr>
          <w:snapToGrid w:val="0"/>
        </w:rPr>
        <w:noBreakHyphen/>
        <w:t>bylaw (1) is made, may issue to the applicant, a permit that allows the applicant to park a vehicle on the site.</w:t>
      </w:r>
    </w:p>
    <w:p>
      <w:pPr>
        <w:pStyle w:val="Subsection"/>
        <w:rPr>
          <w:snapToGrid w:val="0"/>
        </w:rPr>
      </w:pPr>
      <w:r>
        <w:rPr>
          <w:snapToGrid w:val="0"/>
        </w:rPr>
        <w:tab/>
        <w:t>(4)</w:t>
      </w:r>
      <w:r>
        <w:rPr>
          <w:snapToGrid w:val="0"/>
        </w:rPr>
        <w:tab/>
        <w:t>A permit may be of general application or be issued — </w:t>
      </w:r>
    </w:p>
    <w:p>
      <w:pPr>
        <w:pStyle w:val="Indenta"/>
        <w:rPr>
          <w:snapToGrid w:val="0"/>
        </w:rPr>
      </w:pPr>
      <w:r>
        <w:rPr>
          <w:snapToGrid w:val="0"/>
        </w:rPr>
        <w:tab/>
        <w:t>(a)</w:t>
      </w:r>
      <w:r>
        <w:rPr>
          <w:snapToGrid w:val="0"/>
        </w:rPr>
        <w:tab/>
        <w:t>to allow a specified vehicle only to be parked; or</w:t>
      </w:r>
    </w:p>
    <w:p>
      <w:pPr>
        <w:pStyle w:val="Indenta"/>
        <w:rPr>
          <w:snapToGrid w:val="0"/>
        </w:rPr>
      </w:pPr>
      <w:r>
        <w:rPr>
          <w:snapToGrid w:val="0"/>
        </w:rPr>
        <w:tab/>
        <w:t>(b)</w:t>
      </w:r>
      <w:r>
        <w:rPr>
          <w:snapToGrid w:val="0"/>
        </w:rPr>
        <w:tab/>
        <w:t>to allow a vehicle of a specified person or class of persons only to be parked; or</w:t>
      </w:r>
    </w:p>
    <w:p>
      <w:pPr>
        <w:pStyle w:val="Indenta"/>
        <w:rPr>
          <w:snapToGrid w:val="0"/>
        </w:rPr>
      </w:pPr>
      <w:r>
        <w:rPr>
          <w:snapToGrid w:val="0"/>
        </w:rPr>
        <w:tab/>
        <w:t>(c)</w:t>
      </w:r>
      <w:r>
        <w:rPr>
          <w:snapToGrid w:val="0"/>
        </w:rPr>
        <w:tab/>
        <w:t>to allow a vehicle of a specified class only to be parked; or</w:t>
      </w:r>
    </w:p>
    <w:p>
      <w:pPr>
        <w:pStyle w:val="Indenta"/>
        <w:rPr>
          <w:snapToGrid w:val="0"/>
        </w:rPr>
      </w:pPr>
      <w:r>
        <w:rPr>
          <w:snapToGrid w:val="0"/>
        </w:rPr>
        <w:tab/>
        <w:t>(d)</w:t>
      </w:r>
      <w:r>
        <w:rPr>
          <w:snapToGrid w:val="0"/>
        </w:rPr>
        <w:tab/>
        <w:t>to allow a vehicle to be parked only in a specified part of the site; or</w:t>
      </w:r>
    </w:p>
    <w:p>
      <w:pPr>
        <w:pStyle w:val="Indenta"/>
        <w:rPr>
          <w:snapToGrid w:val="0"/>
        </w:rPr>
      </w:pPr>
      <w:r>
        <w:rPr>
          <w:snapToGrid w:val="0"/>
        </w:rPr>
        <w:tab/>
        <w:t>(e)</w:t>
      </w:r>
      <w:r>
        <w:rPr>
          <w:snapToGrid w:val="0"/>
        </w:rPr>
        <w:tab/>
        <w:t>to allow a vehicle to be parked for a specified period of time only.</w:t>
      </w:r>
    </w:p>
    <w:p>
      <w:pPr>
        <w:pStyle w:val="Subsection"/>
        <w:rPr>
          <w:snapToGrid w:val="0"/>
        </w:rPr>
      </w:pPr>
      <w:r>
        <w:rPr>
          <w:snapToGrid w:val="0"/>
        </w:rPr>
        <w:tab/>
        <w:t>(5)</w:t>
      </w:r>
      <w:r>
        <w:rPr>
          <w:snapToGrid w:val="0"/>
        </w:rPr>
        <w:tab/>
        <w:t>A permit expires on the day specified in the permit.</w:t>
      </w:r>
    </w:p>
    <w:p>
      <w:pPr>
        <w:pStyle w:val="Subsection"/>
        <w:rPr>
          <w:snapToGrid w:val="0"/>
        </w:rPr>
      </w:pPr>
      <w:r>
        <w:rPr>
          <w:snapToGrid w:val="0"/>
        </w:rPr>
        <w:tab/>
        <w:t>(6)</w:t>
      </w:r>
      <w:r>
        <w:rPr>
          <w:snapToGrid w:val="0"/>
        </w:rPr>
        <w:tab/>
        <w:t>The chief executive officer or an authorised person may cancel a permit if — </w:t>
      </w:r>
    </w:p>
    <w:p>
      <w:pPr>
        <w:pStyle w:val="Indenta"/>
        <w:rPr>
          <w:snapToGrid w:val="0"/>
        </w:rPr>
      </w:pPr>
      <w:r>
        <w:rPr>
          <w:snapToGrid w:val="0"/>
        </w:rPr>
        <w:tab/>
        <w:t>(a)</w:t>
      </w:r>
      <w:r>
        <w:rPr>
          <w:snapToGrid w:val="0"/>
        </w:rPr>
        <w:tab/>
        <w:t>a vehicle in respect of which the permit is issued is parked on the site in contravention of — </w:t>
      </w:r>
    </w:p>
    <w:p>
      <w:pPr>
        <w:pStyle w:val="Indenti"/>
        <w:rPr>
          <w:snapToGrid w:val="0"/>
        </w:rPr>
      </w:pPr>
      <w:r>
        <w:rPr>
          <w:snapToGrid w:val="0"/>
        </w:rPr>
        <w:tab/>
        <w:t>(i)</w:t>
      </w:r>
      <w:r>
        <w:rPr>
          <w:snapToGrid w:val="0"/>
        </w:rPr>
        <w:tab/>
        <w:t>these by</w:t>
      </w:r>
      <w:r>
        <w:rPr>
          <w:snapToGrid w:val="0"/>
        </w:rPr>
        <w:noBreakHyphen/>
        <w:t>laws; or</w:t>
      </w:r>
    </w:p>
    <w:p>
      <w:pPr>
        <w:pStyle w:val="Indenti"/>
        <w:rPr>
          <w:snapToGrid w:val="0"/>
        </w:rPr>
      </w:pPr>
      <w:r>
        <w:rPr>
          <w:snapToGrid w:val="0"/>
        </w:rPr>
        <w:tab/>
        <w:t>(ii)</w:t>
      </w:r>
      <w:r>
        <w:rPr>
          <w:snapToGrid w:val="0"/>
        </w:rPr>
        <w:tab/>
        <w:t>the terms of the permit;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 person to whom the permit is issued — </w:t>
      </w:r>
    </w:p>
    <w:p>
      <w:pPr>
        <w:pStyle w:val="Indenti"/>
        <w:rPr>
          <w:snapToGrid w:val="0"/>
        </w:rPr>
      </w:pPr>
      <w:r>
        <w:rPr>
          <w:snapToGrid w:val="0"/>
        </w:rPr>
        <w:tab/>
        <w:t>(i)</w:t>
      </w:r>
      <w:r>
        <w:rPr>
          <w:snapToGrid w:val="0"/>
        </w:rPr>
        <w:tab/>
        <w:t>contravenes these by</w:t>
      </w:r>
      <w:r>
        <w:rPr>
          <w:snapToGrid w:val="0"/>
        </w:rPr>
        <w:noBreakHyphen/>
        <w:t>laws; or</w:t>
      </w:r>
    </w:p>
    <w:p>
      <w:pPr>
        <w:pStyle w:val="Indenti"/>
        <w:rPr>
          <w:snapToGrid w:val="0"/>
        </w:rPr>
      </w:pPr>
      <w:r>
        <w:rPr>
          <w:snapToGrid w:val="0"/>
        </w:rPr>
        <w:tab/>
        <w:t>(ii)</w:t>
      </w:r>
      <w:r>
        <w:rPr>
          <w:snapToGrid w:val="0"/>
        </w:rPr>
        <w:tab/>
        <w:t>ceases to be in the category of persons to whom a permit may be issued.</w:t>
      </w:r>
    </w:p>
    <w:p>
      <w:pPr>
        <w:pStyle w:val="Subsection"/>
        <w:rPr>
          <w:snapToGrid w:val="0"/>
        </w:rPr>
      </w:pPr>
      <w:r>
        <w:rPr>
          <w:snapToGrid w:val="0"/>
        </w:rPr>
        <w:tab/>
        <w:t>(7)</w:t>
      </w:r>
      <w:r>
        <w:rPr>
          <w:snapToGrid w:val="0"/>
        </w:rPr>
        <w:tab/>
        <w:t>In this by</w:t>
      </w:r>
      <w:r>
        <w:rPr>
          <w:snapToGrid w:val="0"/>
        </w:rPr>
        <w:noBreakHyphen/>
        <w:t xml:space="preserve">law, </w:t>
      </w:r>
      <w:r>
        <w:rPr>
          <w:rStyle w:val="CharDefText"/>
        </w:rPr>
        <w:t>specified</w:t>
      </w:r>
      <w:r>
        <w:rPr>
          <w:snapToGrid w:val="0"/>
        </w:rPr>
        <w:t xml:space="preserve"> means specified in the relevant permit.</w:t>
      </w:r>
    </w:p>
    <w:p>
      <w:pPr>
        <w:pStyle w:val="Subsection"/>
        <w:rPr>
          <w:snapToGrid w:val="0"/>
        </w:rPr>
      </w:pPr>
      <w:r>
        <w:rPr>
          <w:snapToGrid w:val="0"/>
        </w:rPr>
        <w:tab/>
        <w:t>(8)</w:t>
      </w:r>
      <w:r>
        <w:rPr>
          <w:snapToGrid w:val="0"/>
        </w:rPr>
        <w:tab/>
        <w:t>A person must not park a vehicle on the site in an area that has been set aside for permit holders only, without a current permit to do so.</w:t>
      </w:r>
    </w:p>
    <w:p>
      <w:pPr>
        <w:pStyle w:val="Penstart"/>
        <w:rPr>
          <w:snapToGrid w:val="0"/>
        </w:rPr>
      </w:pPr>
      <w:r>
        <w:rPr>
          <w:snapToGrid w:val="0"/>
        </w:rPr>
        <w:tab/>
      </w:r>
      <w:r>
        <w:t>Penalty for an offence under this sub</w:t>
      </w:r>
      <w:r>
        <w:noBreakHyphen/>
        <w:t>bylaw: a fine of</w:t>
      </w:r>
      <w:r>
        <w:rPr>
          <w:snapToGrid w:val="0"/>
        </w:rPr>
        <w:t xml:space="preserve"> $50.</w:t>
      </w:r>
    </w:p>
    <w:p>
      <w:pPr>
        <w:pStyle w:val="Footnotesection"/>
      </w:pPr>
      <w:r>
        <w:tab/>
        <w:t>[By-law 16 amended in Gazette 26 Nov 2010 p. 5935; 14 Apr 2015 p. 1327.]</w:t>
      </w:r>
    </w:p>
    <w:p>
      <w:pPr>
        <w:pStyle w:val="Heading2"/>
      </w:pPr>
      <w:bookmarkStart w:id="76" w:name="_Toc408567629"/>
      <w:bookmarkStart w:id="77" w:name="_Toc412629463"/>
      <w:bookmarkStart w:id="78" w:name="_Toc412629502"/>
      <w:bookmarkStart w:id="79" w:name="_Toc416697776"/>
      <w:bookmarkStart w:id="80" w:name="_Toc416705743"/>
      <w:bookmarkStart w:id="81" w:name="_Toc417550277"/>
      <w:bookmarkStart w:id="82" w:name="_Toc417551391"/>
      <w:bookmarkStart w:id="83" w:name="_Toc440358295"/>
      <w:r>
        <w:rPr>
          <w:rStyle w:val="CharPartNo"/>
        </w:rPr>
        <w:t>Part 4</w:t>
      </w:r>
      <w:r>
        <w:rPr>
          <w:rStyle w:val="CharDivNo"/>
        </w:rPr>
        <w:t xml:space="preserve"> </w:t>
      </w:r>
      <w:r>
        <w:t>—</w:t>
      </w:r>
      <w:r>
        <w:rPr>
          <w:rStyle w:val="CharDivText"/>
        </w:rPr>
        <w:t xml:space="preserve"> </w:t>
      </w:r>
      <w:r>
        <w:rPr>
          <w:rStyle w:val="CharPartText"/>
        </w:rPr>
        <w:t>Infringement notices</w:t>
      </w:r>
      <w:bookmarkEnd w:id="76"/>
      <w:bookmarkEnd w:id="77"/>
      <w:bookmarkEnd w:id="78"/>
      <w:bookmarkEnd w:id="79"/>
      <w:bookmarkEnd w:id="80"/>
      <w:bookmarkEnd w:id="81"/>
      <w:bookmarkEnd w:id="82"/>
      <w:bookmarkEnd w:id="83"/>
      <w:r>
        <w:rPr>
          <w:rStyle w:val="CharPartText"/>
        </w:rPr>
        <w:t xml:space="preserve"> </w:t>
      </w:r>
    </w:p>
    <w:p>
      <w:pPr>
        <w:pStyle w:val="Heading5"/>
        <w:rPr>
          <w:snapToGrid w:val="0"/>
        </w:rPr>
      </w:pPr>
      <w:bookmarkStart w:id="84" w:name="_Toc408567630"/>
      <w:bookmarkStart w:id="85" w:name="_Toc440358296"/>
      <w:r>
        <w:rPr>
          <w:rStyle w:val="CharSectno"/>
        </w:rPr>
        <w:t>17</w:t>
      </w:r>
      <w:r>
        <w:t>.</w:t>
      </w:r>
      <w:r>
        <w:rPr>
          <w:rStyle w:val="CharSectno"/>
        </w:rPr>
        <w:tab/>
      </w:r>
      <w:bookmarkEnd w:id="84"/>
      <w:r>
        <w:rPr>
          <w:snapToGrid w:val="0"/>
        </w:rPr>
        <w:t>Terms used</w:t>
      </w:r>
      <w:bookmarkEnd w:id="85"/>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alleged offender</w:t>
      </w:r>
      <w:r>
        <w:t xml:space="preserve"> includes the responsible person for a vehicle to which an infringement notice is attached;</w:t>
      </w:r>
    </w:p>
    <w:p>
      <w:pPr>
        <w:pStyle w:val="Defstart"/>
      </w:pPr>
      <w:r>
        <w:rPr>
          <w:b/>
        </w:rPr>
        <w:tab/>
      </w:r>
      <w:r>
        <w:rPr>
          <w:rStyle w:val="CharDefText"/>
        </w:rPr>
        <w:t>infringement notice</w:t>
      </w:r>
      <w:r>
        <w:t xml:space="preserve"> means an infringement notice under by</w:t>
      </w:r>
      <w:r>
        <w:noBreakHyphen/>
        <w:t>law 18;</w:t>
      </w:r>
    </w:p>
    <w:p>
      <w:pPr>
        <w:pStyle w:val="Defstart"/>
      </w:pPr>
      <w:r>
        <w:rPr>
          <w:b/>
        </w:rPr>
        <w:tab/>
      </w:r>
      <w:r>
        <w:rPr>
          <w:rStyle w:val="CharDefText"/>
        </w:rPr>
        <w:t>modified penalty</w:t>
      </w:r>
      <w:r>
        <w:t xml:space="preserve"> means a penalty prescribed in Schedule 1 for an offence under Part 3 or 4.</w:t>
      </w:r>
    </w:p>
    <w:p>
      <w:pPr>
        <w:pStyle w:val="Footnotesection"/>
      </w:pPr>
      <w:bookmarkStart w:id="86" w:name="_Toc408567631"/>
      <w:r>
        <w:tab/>
        <w:t>[By-law 17 amended in Gazette 8 Jan 2015 p. 170.]</w:t>
      </w:r>
    </w:p>
    <w:p>
      <w:pPr>
        <w:pStyle w:val="Heading5"/>
        <w:rPr>
          <w:snapToGrid w:val="0"/>
        </w:rPr>
      </w:pPr>
      <w:bookmarkStart w:id="87" w:name="_Toc440358297"/>
      <w:r>
        <w:rPr>
          <w:rStyle w:val="CharSectno"/>
        </w:rPr>
        <w:t>18</w:t>
      </w:r>
      <w:r>
        <w:t>.</w:t>
      </w:r>
      <w:r>
        <w:rPr>
          <w:rStyle w:val="CharSectno"/>
        </w:rPr>
        <w:tab/>
      </w:r>
      <w:r>
        <w:rPr>
          <w:snapToGrid w:val="0"/>
        </w:rPr>
        <w:t>Infringement notices</w:t>
      </w:r>
      <w:bookmarkEnd w:id="86"/>
      <w:bookmarkEnd w:id="87"/>
      <w:r>
        <w:rPr>
          <w:snapToGrid w:val="0"/>
        </w:rPr>
        <w:t xml:space="preserve"> </w:t>
      </w:r>
    </w:p>
    <w:p>
      <w:pPr>
        <w:pStyle w:val="Subsection"/>
        <w:rPr>
          <w:snapToGrid w:val="0"/>
        </w:rPr>
      </w:pPr>
      <w:r>
        <w:rPr>
          <w:snapToGrid w:val="0"/>
        </w:rPr>
        <w:tab/>
        <w:t>(1)</w:t>
      </w:r>
      <w:r>
        <w:rPr>
          <w:snapToGrid w:val="0"/>
        </w:rPr>
        <w:tab/>
        <w:t>An authorised person who has reason to believe that a person has committed an offence under Part 3 or this Part may, within 21 days after the alleged offence is believed to have been committed, give an infringement notice to the alleged offender.</w:t>
      </w:r>
    </w:p>
    <w:p>
      <w:pPr>
        <w:pStyle w:val="Subsection"/>
        <w:rPr>
          <w:snapToGrid w:val="0"/>
        </w:rPr>
      </w:pPr>
      <w:r>
        <w:rPr>
          <w:snapToGrid w:val="0"/>
        </w:rPr>
        <w:tab/>
        <w:t>(2)</w:t>
      </w:r>
      <w:r>
        <w:rPr>
          <w:snapToGrid w:val="0"/>
        </w:rPr>
        <w:tab/>
        <w:t>An infringement notice may be given to an alleged offender by delivering it to the alleged offender or by attaching it to the vehicle involved in the commission of the alleged offence.</w:t>
      </w:r>
    </w:p>
    <w:p>
      <w:pPr>
        <w:pStyle w:val="Subsection"/>
        <w:rPr>
          <w:snapToGrid w:val="0"/>
        </w:rPr>
      </w:pPr>
      <w:r>
        <w:rPr>
          <w:snapToGrid w:val="0"/>
        </w:rPr>
        <w:tab/>
        <w:t>(3)</w:t>
      </w:r>
      <w:r>
        <w:rPr>
          <w:snapToGrid w:val="0"/>
        </w:rPr>
        <w:tab/>
        <w:t>An infringement notice is to be in the form of Form 1 in Schedule 2 and in every case, is to —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have the alleged offence heard and determined by a court, the amount of money specified in the notice as being the modified penalty for the offence may be paid to the cashier of the Armadale Kelmscott District Memorial Hospital or an authorised person, within a period of 28 days after the giving of the notice.</w:t>
      </w:r>
    </w:p>
    <w:p>
      <w:pPr>
        <w:pStyle w:val="Subsection"/>
        <w:rPr>
          <w:snapToGrid w:val="0"/>
        </w:rPr>
      </w:pPr>
      <w:r>
        <w:rPr>
          <w:snapToGrid w:val="0"/>
        </w:rPr>
        <w:tab/>
        <w:t>(4)</w:t>
      </w:r>
      <w:r>
        <w:rPr>
          <w:snapToGrid w:val="0"/>
        </w:rPr>
        <w:tab/>
        <w:t xml:space="preserve">In an infringement notice the amount specified as being the modified penalty for the offence referred to in the notice is to be the amount that was the modified penalty at the time the alleged offence is believed to have been committed. </w:t>
      </w:r>
    </w:p>
    <w:p>
      <w:pPr>
        <w:pStyle w:val="Subsection"/>
        <w:rPr>
          <w:snapToGrid w:val="0"/>
        </w:rPr>
      </w:pPr>
      <w:r>
        <w:rPr>
          <w:snapToGrid w:val="0"/>
        </w:rPr>
        <w:tab/>
        <w:t>(5)</w:t>
      </w:r>
      <w:r>
        <w:rPr>
          <w:snapToGrid w:val="0"/>
        </w:rPr>
        <w:tab/>
        <w:t>An authorised person other than the authorised person who issued an infringement notice in a particular case, may extend the period of 28 days within which the modified penalty may be paid and the extension may be allowed whether or not the period of 28 days has elapsed.</w:t>
      </w:r>
    </w:p>
    <w:p>
      <w:pPr>
        <w:pStyle w:val="Subsection"/>
        <w:rPr>
          <w:snapToGrid w:val="0"/>
        </w:rPr>
      </w:pPr>
      <w:r>
        <w:rPr>
          <w:snapToGrid w:val="0"/>
        </w:rPr>
        <w:tab/>
        <w:t>(6)</w:t>
      </w:r>
      <w:r>
        <w:rPr>
          <w:snapToGrid w:val="0"/>
        </w:rPr>
        <w:tab/>
        <w:t>If the modified penalty specified in an infringement notice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Payment of a modified penalty is not to be regarded as an admission for the purposes of any proceedings, whether civil or criminal.</w:t>
      </w:r>
    </w:p>
    <w:p>
      <w:pPr>
        <w:pStyle w:val="Footnotesection"/>
      </w:pPr>
      <w:r>
        <w:tab/>
        <w:t>[By-law 18 amended in Gazette 26 Nov 2010 p. 5935.]</w:t>
      </w:r>
    </w:p>
    <w:p>
      <w:pPr>
        <w:pStyle w:val="Heading5"/>
        <w:rPr>
          <w:snapToGrid w:val="0"/>
        </w:rPr>
      </w:pPr>
      <w:bookmarkStart w:id="88" w:name="_Toc408567632"/>
      <w:bookmarkStart w:id="89" w:name="_Toc440358298"/>
      <w:r>
        <w:rPr>
          <w:rStyle w:val="CharSectno"/>
        </w:rPr>
        <w:t>19</w:t>
      </w:r>
      <w:r>
        <w:t>.</w:t>
      </w:r>
      <w:r>
        <w:rPr>
          <w:rStyle w:val="CharSectno"/>
        </w:rPr>
        <w:tab/>
      </w:r>
      <w:r>
        <w:rPr>
          <w:snapToGrid w:val="0"/>
        </w:rPr>
        <w:t>Withdrawal of infringement notice</w:t>
      </w:r>
      <w:bookmarkEnd w:id="88"/>
      <w:bookmarkEnd w:id="89"/>
      <w:r>
        <w:rPr>
          <w:snapToGrid w:val="0"/>
        </w:rPr>
        <w:t xml:space="preserve"> </w:t>
      </w:r>
    </w:p>
    <w:p>
      <w:pPr>
        <w:pStyle w:val="Subsection"/>
        <w:rPr>
          <w:snapToGrid w:val="0"/>
        </w:rPr>
      </w:pPr>
      <w:r>
        <w:rPr>
          <w:snapToGrid w:val="0"/>
        </w:rPr>
        <w:tab/>
        <w:t>(1)</w:t>
      </w:r>
      <w:r>
        <w:rPr>
          <w:snapToGrid w:val="0"/>
        </w:rPr>
        <w:tab/>
        <w:t>An authorised person other than the authorised person who issued an infringement notice in a particular case, may, whether or not the modified penalty has been paid, withdraw an infringement notice by delivering to the alleged offender a notice in the form of Form 2 in Schedule 2 stating that the infringement notice has been withdrawn.</w:t>
      </w:r>
    </w:p>
    <w:p>
      <w:pPr>
        <w:pStyle w:val="Subsection"/>
        <w:rPr>
          <w:snapToGrid w:val="0"/>
        </w:rPr>
      </w:pPr>
      <w:r>
        <w:rPr>
          <w:snapToGrid w:val="0"/>
        </w:rPr>
        <w:tab/>
        <w:t>(2)</w:t>
      </w:r>
      <w:r>
        <w:rPr>
          <w:snapToGrid w:val="0"/>
        </w:rPr>
        <w:tab/>
        <w:t>If an infringement notice is withdrawn after the modified penalty has been paid, the amount is to be refunded.</w:t>
      </w:r>
    </w:p>
    <w:p>
      <w:pPr>
        <w:pStyle w:val="Heading5"/>
      </w:pPr>
      <w:bookmarkStart w:id="90" w:name="_Toc440358299"/>
      <w:bookmarkStart w:id="91" w:name="_Toc408567633"/>
      <w:r>
        <w:rPr>
          <w:rStyle w:val="CharSectno"/>
        </w:rPr>
        <w:t>20</w:t>
      </w:r>
      <w:r>
        <w:t>.</w:t>
      </w:r>
      <w:r>
        <w:tab/>
        <w:t>Authorised persons to produce certificate</w:t>
      </w:r>
      <w:bookmarkEnd w:id="90"/>
    </w:p>
    <w:p>
      <w:pPr>
        <w:pStyle w:val="Subsection"/>
      </w:pPr>
      <w:r>
        <w:tab/>
        <w:t>(1)</w:t>
      </w:r>
      <w:r>
        <w:tab/>
        <w:t>The person whom an authorised person has given, or is about to give, an infringement notice may require the authorised person to produce the certificate referred to in by</w:t>
      </w:r>
      <w:r>
        <w:noBreakHyphen/>
        <w:t>law 3A(3).</w:t>
      </w:r>
    </w:p>
    <w:p>
      <w:pPr>
        <w:pStyle w:val="Subsection"/>
      </w:pPr>
      <w:r>
        <w:tab/>
        <w:t>(2)</w:t>
      </w:r>
      <w:r>
        <w:tab/>
        <w:t>The authorised person must comply with a request under sub</w:t>
      </w:r>
      <w:r>
        <w:noBreakHyphen/>
        <w:t>bylaw (1).</w:t>
      </w:r>
    </w:p>
    <w:p>
      <w:pPr>
        <w:pStyle w:val="Footnotesection"/>
      </w:pPr>
      <w:r>
        <w:tab/>
        <w:t>[By-law 20 inserted in Gazette 14 Apr 2015 p. 1327.]</w:t>
      </w:r>
    </w:p>
    <w:p>
      <w:pPr>
        <w:pStyle w:val="Heading5"/>
        <w:rPr>
          <w:snapToGrid w:val="0"/>
        </w:rPr>
      </w:pPr>
      <w:bookmarkStart w:id="92" w:name="_Toc408567634"/>
      <w:bookmarkStart w:id="93" w:name="_Toc440358300"/>
      <w:bookmarkEnd w:id="91"/>
      <w:r>
        <w:rPr>
          <w:rStyle w:val="CharSectno"/>
        </w:rPr>
        <w:t>21</w:t>
      </w:r>
      <w:r>
        <w:t>.</w:t>
      </w:r>
      <w:r>
        <w:rPr>
          <w:rStyle w:val="CharSectno"/>
        </w:rPr>
        <w:tab/>
      </w:r>
      <w:r>
        <w:rPr>
          <w:snapToGrid w:val="0"/>
        </w:rPr>
        <w:t>Authorised persons only to endorse and alter infringement notices</w:t>
      </w:r>
      <w:bookmarkEnd w:id="92"/>
      <w:bookmarkEnd w:id="93"/>
      <w:r>
        <w:rPr>
          <w:snapToGrid w:val="0"/>
        </w:rPr>
        <w:t xml:space="preserve"> </w:t>
      </w:r>
    </w:p>
    <w:p>
      <w:pPr>
        <w:pStyle w:val="Subsection"/>
        <w:rPr>
          <w:snapToGrid w:val="0"/>
        </w:rPr>
      </w:pPr>
      <w:r>
        <w:rPr>
          <w:snapToGrid w:val="0"/>
        </w:rPr>
        <w:tab/>
      </w:r>
      <w:r>
        <w:rPr>
          <w:snapToGrid w:val="0"/>
        </w:rPr>
        <w:tab/>
        <w:t>A person must not endorse or alter an infringement notice unless the person is an authorised person.</w:t>
      </w:r>
    </w:p>
    <w:p>
      <w:pPr>
        <w:pStyle w:val="Penstart"/>
        <w:rPr>
          <w:snapToGrid w:val="0"/>
        </w:rPr>
      </w:pPr>
      <w:r>
        <w:rPr>
          <w:snapToGrid w:val="0"/>
        </w:rPr>
        <w:tab/>
        <w:t xml:space="preserve">Penalty: </w:t>
      </w:r>
      <w:r>
        <w:t>a fine of</w:t>
      </w:r>
      <w:r>
        <w:rPr>
          <w:snapToGrid w:val="0"/>
        </w:rPr>
        <w:t xml:space="preserve"> $50.</w:t>
      </w:r>
    </w:p>
    <w:p>
      <w:pPr>
        <w:pStyle w:val="Footnotesection"/>
      </w:pPr>
      <w:bookmarkStart w:id="94" w:name="_Toc408567635"/>
      <w:r>
        <w:tab/>
        <w:t>[By-law 21 amended in Gazette 14 Apr 2015 p. 1327.]</w:t>
      </w:r>
    </w:p>
    <w:p>
      <w:pPr>
        <w:pStyle w:val="Heading5"/>
        <w:rPr>
          <w:snapToGrid w:val="0"/>
        </w:rPr>
      </w:pPr>
      <w:bookmarkStart w:id="95" w:name="_Toc440358301"/>
      <w:r>
        <w:rPr>
          <w:rStyle w:val="CharSectno"/>
        </w:rPr>
        <w:t>22.</w:t>
      </w:r>
      <w:r>
        <w:rPr>
          <w:rStyle w:val="CharSectno"/>
        </w:rPr>
        <w:tab/>
      </w:r>
      <w:r>
        <w:rPr>
          <w:snapToGrid w:val="0"/>
        </w:rPr>
        <w:t>Restriction on removal of infringement notices</w:t>
      </w:r>
      <w:bookmarkEnd w:id="94"/>
      <w:bookmarkEnd w:id="95"/>
      <w:r>
        <w:rPr>
          <w:snapToGrid w:val="0"/>
        </w:rPr>
        <w:t xml:space="preserve"> </w:t>
      </w:r>
    </w:p>
    <w:p>
      <w:pPr>
        <w:pStyle w:val="Subsection"/>
        <w:rPr>
          <w:snapToGrid w:val="0"/>
        </w:rPr>
      </w:pPr>
      <w:r>
        <w:rPr>
          <w:snapToGrid w:val="0"/>
        </w:rPr>
        <w:tab/>
      </w:r>
      <w:r>
        <w:rPr>
          <w:snapToGrid w:val="0"/>
        </w:rPr>
        <w:tab/>
        <w:t>A person must not remove an infringement notice that is attached to a vehicle unless the person is — </w:t>
      </w:r>
    </w:p>
    <w:p>
      <w:pPr>
        <w:pStyle w:val="Indenta"/>
      </w:pPr>
      <w:r>
        <w:tab/>
        <w:t>(a)</w:t>
      </w:r>
      <w:r>
        <w:tab/>
        <w:t>the driver of, responsible person for, or person in charge of, the vehicle; or</w:t>
      </w:r>
    </w:p>
    <w:p>
      <w:pPr>
        <w:pStyle w:val="Indenta"/>
        <w:rPr>
          <w:snapToGrid w:val="0"/>
        </w:rPr>
      </w:pPr>
      <w:r>
        <w:rPr>
          <w:snapToGrid w:val="0"/>
        </w:rPr>
        <w:tab/>
        <w:t>(b)</w:t>
      </w:r>
      <w:r>
        <w:rPr>
          <w:snapToGrid w:val="0"/>
        </w:rPr>
        <w:tab/>
        <w:t>an authorised person.</w:t>
      </w:r>
    </w:p>
    <w:p>
      <w:pPr>
        <w:pStyle w:val="Penstart"/>
        <w:rPr>
          <w:snapToGrid w:val="0"/>
        </w:rPr>
      </w:pPr>
      <w:r>
        <w:rPr>
          <w:snapToGrid w:val="0"/>
        </w:rPr>
        <w:tab/>
        <w:t xml:space="preserve">Penalty: </w:t>
      </w:r>
      <w:r>
        <w:t>a fine of</w:t>
      </w:r>
      <w:r>
        <w:rPr>
          <w:snapToGrid w:val="0"/>
        </w:rPr>
        <w:t xml:space="preserve"> $50.</w:t>
      </w:r>
    </w:p>
    <w:p>
      <w:pPr>
        <w:pStyle w:val="Footnotesection"/>
      </w:pPr>
      <w:bookmarkStart w:id="96" w:name="_Toc408567636"/>
      <w:bookmarkStart w:id="97" w:name="_Toc412629470"/>
      <w:bookmarkStart w:id="98" w:name="_Toc412629509"/>
      <w:r>
        <w:tab/>
        <w:t>[By-law 22 amended in Gazette 8 Jan 2015 p. 170; 14 Apr 2015 p. 1327.]</w:t>
      </w:r>
    </w:p>
    <w:p>
      <w:pPr>
        <w:pStyle w:val="Heading2"/>
      </w:pPr>
      <w:bookmarkStart w:id="99" w:name="_Toc416697783"/>
      <w:bookmarkStart w:id="100" w:name="_Toc416705750"/>
      <w:bookmarkStart w:id="101" w:name="_Toc417550284"/>
      <w:bookmarkStart w:id="102" w:name="_Toc417551398"/>
      <w:bookmarkStart w:id="103" w:name="_Toc440358302"/>
      <w:r>
        <w:rPr>
          <w:rStyle w:val="CharPartNo"/>
        </w:rPr>
        <w:t>Part 5</w:t>
      </w:r>
      <w:r>
        <w:rPr>
          <w:rStyle w:val="CharDivNo"/>
        </w:rPr>
        <w:t xml:space="preserve"> </w:t>
      </w:r>
      <w:r>
        <w:t>—</w:t>
      </w:r>
      <w:r>
        <w:rPr>
          <w:rStyle w:val="CharDivText"/>
        </w:rPr>
        <w:t xml:space="preserve"> </w:t>
      </w:r>
      <w:r>
        <w:rPr>
          <w:rStyle w:val="CharPartText"/>
        </w:rPr>
        <w:t>General</w:t>
      </w:r>
      <w:bookmarkEnd w:id="96"/>
      <w:bookmarkEnd w:id="97"/>
      <w:bookmarkEnd w:id="98"/>
      <w:bookmarkEnd w:id="99"/>
      <w:bookmarkEnd w:id="100"/>
      <w:bookmarkEnd w:id="101"/>
      <w:bookmarkEnd w:id="102"/>
      <w:bookmarkEnd w:id="103"/>
    </w:p>
    <w:p>
      <w:pPr>
        <w:pStyle w:val="Heading5"/>
        <w:rPr>
          <w:snapToGrid w:val="0"/>
        </w:rPr>
      </w:pPr>
      <w:bookmarkStart w:id="104" w:name="_Toc408567637"/>
      <w:bookmarkStart w:id="105" w:name="_Toc440358303"/>
      <w:r>
        <w:rPr>
          <w:rStyle w:val="CharSectno"/>
        </w:rPr>
        <w:t>23</w:t>
      </w:r>
      <w:r>
        <w:t>.</w:t>
      </w:r>
      <w:r>
        <w:rPr>
          <w:rStyle w:val="CharSectno"/>
        </w:rPr>
        <w:tab/>
      </w:r>
      <w:r>
        <w:rPr>
          <w:snapToGrid w:val="0"/>
        </w:rPr>
        <w:t>Removal of vehicles</w:t>
      </w:r>
      <w:bookmarkEnd w:id="104"/>
      <w:bookmarkEnd w:id="105"/>
      <w:r>
        <w:rPr>
          <w:snapToGrid w:val="0"/>
        </w:rPr>
        <w:t xml:space="preserve"> </w:t>
      </w:r>
    </w:p>
    <w:p>
      <w:pPr>
        <w:pStyle w:val="Subsection"/>
        <w:rPr>
          <w:snapToGrid w:val="0"/>
        </w:rPr>
      </w:pPr>
      <w:r>
        <w:rPr>
          <w:snapToGrid w:val="0"/>
        </w:rPr>
        <w:tab/>
        <w:t>(1)</w:t>
      </w:r>
      <w:r>
        <w:rPr>
          <w:snapToGrid w:val="0"/>
        </w:rPr>
        <w:tab/>
        <w:t>The chief executive officer or an authorised person may order that a vehicle that — </w:t>
      </w:r>
    </w:p>
    <w:p>
      <w:pPr>
        <w:pStyle w:val="Indenta"/>
        <w:rPr>
          <w:snapToGrid w:val="0"/>
        </w:rPr>
      </w:pPr>
      <w:r>
        <w:rPr>
          <w:snapToGrid w:val="0"/>
        </w:rPr>
        <w:tab/>
        <w:t>(a)</w:t>
      </w:r>
      <w:r>
        <w:rPr>
          <w:snapToGrid w:val="0"/>
        </w:rPr>
        <w:tab/>
        <w:t>is parked in contravention of these by</w:t>
      </w:r>
      <w:r>
        <w:rPr>
          <w:snapToGrid w:val="0"/>
        </w:rPr>
        <w:noBreakHyphen/>
        <w:t>laws; or</w:t>
      </w:r>
    </w:p>
    <w:p>
      <w:pPr>
        <w:pStyle w:val="Indenta"/>
        <w:rPr>
          <w:snapToGrid w:val="0"/>
        </w:rPr>
      </w:pPr>
      <w:r>
        <w:rPr>
          <w:snapToGrid w:val="0"/>
        </w:rPr>
        <w:tab/>
        <w:t>(b)</w:t>
      </w:r>
      <w:r>
        <w:rPr>
          <w:snapToGrid w:val="0"/>
        </w:rPr>
        <w:tab/>
        <w:t>has been left on the site for more than 3 days,</w:t>
      </w:r>
    </w:p>
    <w:p>
      <w:pPr>
        <w:pStyle w:val="Subsection"/>
        <w:rPr>
          <w:snapToGrid w:val="0"/>
        </w:rPr>
      </w:pPr>
      <w:r>
        <w:rPr>
          <w:snapToGrid w:val="0"/>
        </w:rPr>
        <w:tab/>
      </w:r>
      <w:r>
        <w:rPr>
          <w:snapToGrid w:val="0"/>
        </w:rPr>
        <w:tab/>
        <w:t>be removed to a storage place on the site.</w:t>
      </w:r>
    </w:p>
    <w:p>
      <w:pPr>
        <w:pStyle w:val="Subsection"/>
        <w:rPr>
          <w:snapToGrid w:val="0"/>
        </w:rPr>
      </w:pPr>
      <w:r>
        <w:rPr>
          <w:snapToGrid w:val="0"/>
        </w:rPr>
        <w:tab/>
        <w:t>(2)</w:t>
      </w:r>
      <w:r>
        <w:rPr>
          <w:snapToGrid w:val="0"/>
        </w:rPr>
        <w:tab/>
        <w:t>The chief executive officer or an authorised person may order that a vehicle that — </w:t>
      </w:r>
    </w:p>
    <w:p>
      <w:pPr>
        <w:pStyle w:val="Indenta"/>
        <w:rPr>
          <w:snapToGrid w:val="0"/>
        </w:rPr>
      </w:pPr>
      <w:r>
        <w:rPr>
          <w:snapToGrid w:val="0"/>
        </w:rPr>
        <w:tab/>
        <w:t>(a)</w:t>
      </w:r>
      <w:r>
        <w:rPr>
          <w:snapToGrid w:val="0"/>
        </w:rPr>
        <w:tab/>
        <w:t>is parked in contravention of these by</w:t>
      </w:r>
      <w:r>
        <w:rPr>
          <w:snapToGrid w:val="0"/>
        </w:rPr>
        <w:noBreakHyphen/>
        <w:t>laws; and</w:t>
      </w:r>
    </w:p>
    <w:p>
      <w:pPr>
        <w:pStyle w:val="Indenta"/>
        <w:rPr>
          <w:snapToGrid w:val="0"/>
        </w:rPr>
      </w:pPr>
      <w:r>
        <w:rPr>
          <w:snapToGrid w:val="0"/>
        </w:rPr>
        <w:tab/>
        <w:t>(b)</w:t>
      </w:r>
      <w:r>
        <w:rPr>
          <w:snapToGrid w:val="0"/>
        </w:rPr>
        <w:tab/>
        <w:t xml:space="preserve">is obstructing other vehicles or activities of the Armadale Kelmscott District Memorial Hospital, </w:t>
      </w:r>
    </w:p>
    <w:p>
      <w:pPr>
        <w:pStyle w:val="Subsection"/>
        <w:rPr>
          <w:snapToGrid w:val="0"/>
        </w:rPr>
      </w:pPr>
      <w:r>
        <w:rPr>
          <w:snapToGrid w:val="0"/>
        </w:rPr>
        <w:tab/>
      </w:r>
      <w:r>
        <w:rPr>
          <w:snapToGrid w:val="0"/>
        </w:rPr>
        <w:tab/>
        <w:t>be removed immediately to a storage place on the site.</w:t>
      </w:r>
    </w:p>
    <w:p>
      <w:pPr>
        <w:pStyle w:val="Subsection"/>
        <w:rPr>
          <w:snapToGrid w:val="0"/>
        </w:rPr>
      </w:pPr>
      <w:r>
        <w:rPr>
          <w:snapToGrid w:val="0"/>
        </w:rPr>
        <w:tab/>
        <w:t>(3)</w:t>
      </w:r>
      <w:r>
        <w:rPr>
          <w:snapToGrid w:val="0"/>
        </w:rPr>
        <w:tab/>
        <w:t>An authorised person may take such action as is reasonably necessary for the purposes of removing a vehicle under this by</w:t>
      </w:r>
      <w:r>
        <w:rPr>
          <w:snapToGrid w:val="0"/>
        </w:rPr>
        <w:noBreakHyphen/>
        <w:t>law, by way of unlocking, driving, towing, or otherwise causing the removal of the vehicle.</w:t>
      </w:r>
    </w:p>
    <w:p>
      <w:pPr>
        <w:pStyle w:val="Subsection"/>
        <w:rPr>
          <w:snapToGrid w:val="0"/>
        </w:rPr>
      </w:pPr>
      <w:r>
        <w:rPr>
          <w:snapToGrid w:val="0"/>
        </w:rPr>
        <w:tab/>
        <w:t>(4)</w:t>
      </w:r>
      <w:r>
        <w:rPr>
          <w:snapToGrid w:val="0"/>
        </w:rPr>
        <w:tab/>
        <w:t>The board may retain possession of a vehicle removed and stored under this by</w:t>
      </w:r>
      <w:r>
        <w:rPr>
          <w:snapToGrid w:val="0"/>
        </w:rPr>
        <w:noBreakHyphen/>
        <w:t xml:space="preserve">law until the </w:t>
      </w:r>
      <w:r>
        <w:t>responsible person for</w:t>
      </w:r>
      <w:r>
        <w:rPr>
          <w:snapToGrid w:val="0"/>
        </w:rPr>
        <w:t xml:space="preserve"> the vehicle has paid to the cashier of the Armadale Kelmscott District Memorial Hospital or an authorised person, fees to recover the vehicle at the rate of $50 for the first 24 hours or part thereof and $5 for each 7 days or part thereof thereafter.</w:t>
      </w:r>
    </w:p>
    <w:p>
      <w:pPr>
        <w:pStyle w:val="Footnotesection"/>
      </w:pPr>
      <w:bookmarkStart w:id="106" w:name="_Toc408567638"/>
      <w:r>
        <w:tab/>
        <w:t>[By-law 23 amended in Gazette 8 Jan 2015 p. 171.]</w:t>
      </w:r>
    </w:p>
    <w:p>
      <w:pPr>
        <w:pStyle w:val="Heading5"/>
        <w:rPr>
          <w:snapToGrid w:val="0"/>
        </w:rPr>
      </w:pPr>
      <w:bookmarkStart w:id="107" w:name="_Toc440358304"/>
      <w:r>
        <w:rPr>
          <w:rStyle w:val="CharSectno"/>
        </w:rPr>
        <w:t>24</w:t>
      </w:r>
      <w:r>
        <w:t>.</w:t>
      </w:r>
      <w:r>
        <w:rPr>
          <w:rStyle w:val="CharSectno"/>
        </w:rPr>
        <w:tab/>
      </w:r>
      <w:r>
        <w:rPr>
          <w:snapToGrid w:val="0"/>
        </w:rPr>
        <w:t>Responsible person may be treated as driver or person in charge of vehicle</w:t>
      </w:r>
      <w:bookmarkEnd w:id="106"/>
      <w:bookmarkEnd w:id="107"/>
    </w:p>
    <w:p>
      <w:pPr>
        <w:pStyle w:val="Subsection"/>
        <w:rPr>
          <w:snapToGrid w:val="0"/>
        </w:rPr>
      </w:pPr>
      <w:r>
        <w:rPr>
          <w:snapToGrid w:val="0"/>
        </w:rPr>
        <w:tab/>
        <w:t>(1)</w:t>
      </w:r>
      <w:r>
        <w:rPr>
          <w:snapToGrid w:val="0"/>
        </w:rPr>
        <w:tab/>
        <w:t>If an offence under these by</w:t>
      </w:r>
      <w:r>
        <w:rPr>
          <w:snapToGrid w:val="0"/>
        </w:rPr>
        <w:noBreakHyphen/>
        <w:t xml:space="preserve">laws is alleged to have been committed by the driver or person in charge of a vehicle, the chief executive officer or an authorised person may, by written notice delivered to the </w:t>
      </w:r>
      <w:r>
        <w:t>responsible person for</w:t>
      </w:r>
      <w:r>
        <w:rPr>
          <w:snapToGrid w:val="0"/>
        </w:rPr>
        <w:t xml:space="preserve"> the vehicle, request the name and address of the driver or person in charge of the vehicle at the time the offence is alleged to have been committed.</w:t>
      </w:r>
    </w:p>
    <w:p>
      <w:pPr>
        <w:pStyle w:val="Subsection"/>
        <w:rPr>
          <w:snapToGrid w:val="0"/>
        </w:rPr>
      </w:pPr>
      <w:r>
        <w:rPr>
          <w:snapToGrid w:val="0"/>
        </w:rPr>
        <w:tab/>
        <w:t>(2)</w:t>
      </w:r>
      <w:r>
        <w:rPr>
          <w:snapToGrid w:val="0"/>
        </w:rPr>
        <w:tab/>
        <w:t xml:space="preserve">If the </w:t>
      </w:r>
      <w:r>
        <w:t>responsible person for</w:t>
      </w:r>
      <w:r>
        <w:rPr>
          <w:snapToGrid w:val="0"/>
        </w:rPr>
        <w:t xml:space="preserve"> the vehicle does not supply the requested details to the chief executive officer or the authorised person (as the case may be) within 14 days of the date of receipt of the notice, the </w:t>
      </w:r>
      <w:r>
        <w:t>responsible person is</w:t>
      </w:r>
      <w:r>
        <w:rPr>
          <w:snapToGrid w:val="0"/>
        </w:rPr>
        <w:t xml:space="preserve"> to be treated as being the driver or the person in charge of the vehicle at the time the offence is alleged to have been committed.</w:t>
      </w:r>
    </w:p>
    <w:p>
      <w:pPr>
        <w:pStyle w:val="Footnotesection"/>
      </w:pPr>
      <w:bookmarkStart w:id="108" w:name="_Toc408567639"/>
      <w:r>
        <w:tab/>
        <w:t>[By-law 24 amended in Gazette 8 Jan 2015 p. 171.]</w:t>
      </w:r>
    </w:p>
    <w:p>
      <w:pPr>
        <w:pStyle w:val="Heading5"/>
        <w:rPr>
          <w:snapToGrid w:val="0"/>
        </w:rPr>
      </w:pPr>
      <w:bookmarkStart w:id="109" w:name="_Toc440358305"/>
      <w:r>
        <w:rPr>
          <w:rStyle w:val="CharSectno"/>
        </w:rPr>
        <w:t>25</w:t>
      </w:r>
      <w:r>
        <w:t>.</w:t>
      </w:r>
      <w:r>
        <w:rPr>
          <w:rStyle w:val="CharSectno"/>
        </w:rPr>
        <w:tab/>
      </w:r>
      <w:r>
        <w:rPr>
          <w:snapToGrid w:val="0"/>
        </w:rPr>
        <w:t>Other offences</w:t>
      </w:r>
      <w:bookmarkEnd w:id="108"/>
      <w:bookmarkEnd w:id="109"/>
      <w:r>
        <w:rPr>
          <w:snapToGrid w:val="0"/>
        </w:rPr>
        <w:t xml:space="preserve"> </w:t>
      </w:r>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intentionally obstruct an officer or servant of the board in the discharge of his or her duty under these by</w:t>
      </w:r>
      <w:r>
        <w:rPr>
          <w:snapToGrid w:val="0"/>
        </w:rPr>
        <w:noBreakHyphen/>
        <w:t>laws; or</w:t>
      </w:r>
    </w:p>
    <w:p>
      <w:pPr>
        <w:pStyle w:val="Indenta"/>
        <w:rPr>
          <w:snapToGrid w:val="0"/>
        </w:rPr>
      </w:pPr>
      <w:r>
        <w:rPr>
          <w:snapToGrid w:val="0"/>
        </w:rPr>
        <w:tab/>
        <w:t>(b)</w:t>
      </w:r>
      <w:r>
        <w:rPr>
          <w:snapToGrid w:val="0"/>
        </w:rPr>
        <w:tab/>
        <w:t>remove, damage, deface, or misuse a sign.</w:t>
      </w:r>
    </w:p>
    <w:p>
      <w:pPr>
        <w:pStyle w:val="Penstart"/>
        <w:rPr>
          <w:snapToGrid w:val="0"/>
        </w:rPr>
      </w:pPr>
      <w:r>
        <w:rPr>
          <w:snapToGrid w:val="0"/>
        </w:rPr>
        <w:tab/>
        <w:t xml:space="preserve">Penalty: </w:t>
      </w:r>
      <w:r>
        <w:t>a fine of</w:t>
      </w:r>
      <w:r>
        <w:rPr>
          <w:snapToGrid w:val="0"/>
        </w:rPr>
        <w:t xml:space="preserve"> $50.</w:t>
      </w:r>
    </w:p>
    <w:p>
      <w:pPr>
        <w:pStyle w:val="Footnotesection"/>
      </w:pPr>
      <w:bookmarkStart w:id="110" w:name="_Toc408567640"/>
      <w:bookmarkStart w:id="111" w:name="_Toc412629474"/>
      <w:bookmarkStart w:id="112" w:name="_Toc412629513"/>
      <w:r>
        <w:tab/>
        <w:t>[By-law 25 amended in Gazette 14 Apr 2015 p. 1327.]</w:t>
      </w:r>
    </w:p>
    <w:p>
      <w:pPr>
        <w:pStyle w:val="Footnotesection"/>
      </w:pPr>
      <w:r>
        <w:t>[Part 6 omitted under the Reprints Act 1984 s. 7(4)(f).]</w:t>
      </w:r>
    </w:p>
    <w:bookmarkEnd w:id="110"/>
    <w:bookmarkEnd w:id="111"/>
    <w:bookmarkEnd w:id="112"/>
    <w:p>
      <w:pPr>
        <w:pStyle w:val="Subsection"/>
        <w:rPr>
          <w:snapToGrid w:val="0"/>
        </w:rPr>
      </w:pPr>
    </w:p>
    <w:p>
      <w:pPr>
        <w:pStyle w:val="Subsection"/>
        <w:rPr>
          <w:snapToGrid w:val="0"/>
        </w:rPr>
      </w:pP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113" w:name="_Toc408567642"/>
      <w:bookmarkStart w:id="114" w:name="_Toc412629476"/>
      <w:bookmarkStart w:id="115" w:name="_Toc412629515"/>
      <w:bookmarkStart w:id="116" w:name="_Toc416697789"/>
      <w:bookmarkStart w:id="117" w:name="_Toc416705756"/>
      <w:bookmarkStart w:id="118" w:name="_Toc417550290"/>
      <w:bookmarkStart w:id="119" w:name="_Toc417551404"/>
      <w:bookmarkStart w:id="120" w:name="_Toc440358306"/>
      <w:r>
        <w:rPr>
          <w:rStyle w:val="CharSchNo"/>
        </w:rPr>
        <w:t>Schedule 1</w:t>
      </w:r>
      <w:r>
        <w:t xml:space="preserve"> — </w:t>
      </w:r>
      <w:r>
        <w:rPr>
          <w:rStyle w:val="CharSchText"/>
        </w:rPr>
        <w:t xml:space="preserve">Infringement Notices and Modified </w:t>
      </w:r>
      <w:bookmarkEnd w:id="113"/>
      <w:bookmarkEnd w:id="114"/>
      <w:bookmarkEnd w:id="115"/>
      <w:bookmarkEnd w:id="116"/>
      <w:bookmarkEnd w:id="117"/>
      <w:bookmarkEnd w:id="118"/>
      <w:bookmarkEnd w:id="119"/>
      <w:bookmarkEnd w:id="120"/>
      <w:r>
        <w:rPr>
          <w:rStyle w:val="CharSchText"/>
        </w:rPr>
        <w:t>Penalties</w:t>
      </w:r>
    </w:p>
    <w:p>
      <w:pPr>
        <w:pStyle w:val="yShoulderClause"/>
        <w:spacing w:after="80"/>
      </w:pPr>
      <w:r>
        <w:t>[bl. 17]</w:t>
      </w:r>
    </w:p>
    <w:tbl>
      <w:tblPr>
        <w:tblW w:w="0" w:type="auto"/>
        <w:tblInd w:w="142" w:type="dxa"/>
        <w:tblLayout w:type="fixed"/>
        <w:tblCellMar>
          <w:left w:w="142" w:type="dxa"/>
          <w:right w:w="142" w:type="dxa"/>
        </w:tblCellMar>
        <w:tblLook w:val="0000" w:firstRow="0" w:lastRow="0" w:firstColumn="0" w:lastColumn="0" w:noHBand="0" w:noVBand="0"/>
      </w:tblPr>
      <w:tblGrid>
        <w:gridCol w:w="1985"/>
        <w:gridCol w:w="3544"/>
        <w:gridCol w:w="1559"/>
      </w:tblGrid>
      <w:tr>
        <w:trPr>
          <w:cantSplit/>
          <w:tblHeader/>
        </w:trPr>
        <w:tc>
          <w:tcPr>
            <w:tcW w:w="1985" w:type="dxa"/>
            <w:tcBorders>
              <w:top w:val="single" w:sz="4" w:space="0" w:color="auto"/>
              <w:bottom w:val="single" w:sz="4" w:space="0" w:color="auto"/>
            </w:tcBorders>
          </w:tcPr>
          <w:p>
            <w:pPr>
              <w:pStyle w:val="yTable"/>
              <w:jc w:val="center"/>
              <w:rPr>
                <w:b/>
              </w:rPr>
            </w:pPr>
            <w:r>
              <w:rPr>
                <w:b/>
              </w:rPr>
              <w:t>By</w:t>
            </w:r>
            <w:r>
              <w:rPr>
                <w:b/>
              </w:rPr>
              <w:noBreakHyphen/>
              <w:t>law</w:t>
            </w:r>
          </w:p>
        </w:tc>
        <w:tc>
          <w:tcPr>
            <w:tcW w:w="3544" w:type="dxa"/>
            <w:tcBorders>
              <w:top w:val="single" w:sz="4" w:space="0" w:color="auto"/>
              <w:bottom w:val="single" w:sz="4" w:space="0" w:color="auto"/>
            </w:tcBorders>
          </w:tcPr>
          <w:p>
            <w:pPr>
              <w:pStyle w:val="yTable"/>
              <w:jc w:val="center"/>
              <w:rPr>
                <w:b/>
              </w:rPr>
            </w:pPr>
            <w:r>
              <w:rPr>
                <w:b/>
              </w:rPr>
              <w:t>Description of offence</w:t>
            </w:r>
          </w:p>
        </w:tc>
        <w:tc>
          <w:tcPr>
            <w:tcW w:w="1559" w:type="dxa"/>
            <w:tcBorders>
              <w:top w:val="single" w:sz="4" w:space="0" w:color="auto"/>
              <w:bottom w:val="single" w:sz="4" w:space="0" w:color="auto"/>
            </w:tcBorders>
          </w:tcPr>
          <w:p>
            <w:pPr>
              <w:pStyle w:val="yTable"/>
              <w:jc w:val="center"/>
              <w:rPr>
                <w:b/>
              </w:rPr>
            </w:pPr>
            <w:r>
              <w:rPr>
                <w:b/>
              </w:rPr>
              <w:t>Modified</w:t>
            </w:r>
          </w:p>
          <w:p>
            <w:pPr>
              <w:pStyle w:val="yTable"/>
              <w:spacing w:before="0"/>
              <w:jc w:val="center"/>
              <w:rPr>
                <w:b/>
              </w:rPr>
            </w:pPr>
            <w:r>
              <w:rPr>
                <w:b/>
              </w:rPr>
              <w:t>Penalty</w:t>
            </w:r>
          </w:p>
          <w:p>
            <w:pPr>
              <w:pStyle w:val="yTable"/>
              <w:jc w:val="center"/>
              <w:rPr>
                <w:b/>
              </w:rPr>
            </w:pPr>
            <w:r>
              <w:rPr>
                <w:b/>
              </w:rPr>
              <w:t>$</w:t>
            </w:r>
          </w:p>
        </w:tc>
      </w:tr>
      <w:tr>
        <w:trPr>
          <w:cantSplit/>
        </w:trPr>
        <w:tc>
          <w:tcPr>
            <w:tcW w:w="1985" w:type="dxa"/>
          </w:tcPr>
          <w:p>
            <w:pPr>
              <w:pStyle w:val="yTable"/>
              <w:jc w:val="center"/>
            </w:pPr>
            <w:r>
              <w:t>8(1)</w:t>
            </w:r>
          </w:p>
        </w:tc>
        <w:tc>
          <w:tcPr>
            <w:tcW w:w="3544" w:type="dxa"/>
          </w:tcPr>
          <w:p>
            <w:pPr>
              <w:pStyle w:val="yTable"/>
            </w:pPr>
            <w:r>
              <w:t>Driving or bringing vehicle on part of site other than on roadway or parking facility, without permission</w:t>
            </w:r>
          </w:p>
        </w:tc>
        <w:tc>
          <w:tcPr>
            <w:tcW w:w="1559" w:type="dxa"/>
          </w:tcPr>
          <w:p>
            <w:pPr>
              <w:pStyle w:val="yTable"/>
              <w:jc w:val="center"/>
            </w:pPr>
            <w:r>
              <w:br/>
            </w:r>
            <w:r>
              <w:br/>
              <w:t>40</w:t>
            </w:r>
          </w:p>
        </w:tc>
      </w:tr>
      <w:tr>
        <w:trPr>
          <w:cantSplit/>
        </w:trPr>
        <w:tc>
          <w:tcPr>
            <w:tcW w:w="1985" w:type="dxa"/>
          </w:tcPr>
          <w:p>
            <w:pPr>
              <w:pStyle w:val="yTable"/>
              <w:jc w:val="center"/>
            </w:pPr>
            <w:r>
              <w:t>8(2)</w:t>
            </w:r>
          </w:p>
        </w:tc>
        <w:tc>
          <w:tcPr>
            <w:tcW w:w="3544" w:type="dxa"/>
          </w:tcPr>
          <w:p>
            <w:pPr>
              <w:pStyle w:val="yTable"/>
            </w:pPr>
            <w:r>
              <w:t xml:space="preserve">Driving or bringing on part of site, a vehicle with an unladen weight of more than 4 tonnes, without permission </w:t>
            </w:r>
          </w:p>
        </w:tc>
        <w:tc>
          <w:tcPr>
            <w:tcW w:w="1559" w:type="dxa"/>
          </w:tcPr>
          <w:p>
            <w:pPr>
              <w:pStyle w:val="yTable"/>
              <w:jc w:val="center"/>
            </w:pPr>
            <w:r>
              <w:br/>
            </w:r>
            <w:r>
              <w:br/>
            </w:r>
            <w:r>
              <w:br/>
              <w:t>20</w:t>
            </w:r>
          </w:p>
        </w:tc>
      </w:tr>
      <w:tr>
        <w:trPr>
          <w:cantSplit/>
        </w:trPr>
        <w:tc>
          <w:tcPr>
            <w:tcW w:w="1985" w:type="dxa"/>
          </w:tcPr>
          <w:p>
            <w:pPr>
              <w:pStyle w:val="yTable"/>
              <w:jc w:val="center"/>
            </w:pPr>
            <w:r>
              <w:t>8(3)</w:t>
            </w:r>
          </w:p>
        </w:tc>
        <w:tc>
          <w:tcPr>
            <w:tcW w:w="3544" w:type="dxa"/>
          </w:tcPr>
          <w:p>
            <w:pPr>
              <w:pStyle w:val="yTable"/>
            </w:pPr>
            <w:r>
              <w:t>Driving, using, or standing on part of site, a vehicle contrary to a sign</w:t>
            </w:r>
          </w:p>
        </w:tc>
        <w:tc>
          <w:tcPr>
            <w:tcW w:w="1559" w:type="dxa"/>
          </w:tcPr>
          <w:p>
            <w:pPr>
              <w:pStyle w:val="yTable"/>
              <w:jc w:val="center"/>
            </w:pPr>
            <w:r>
              <w:br/>
              <w:t>40</w:t>
            </w:r>
          </w:p>
        </w:tc>
      </w:tr>
      <w:tr>
        <w:trPr>
          <w:cantSplit/>
        </w:trPr>
        <w:tc>
          <w:tcPr>
            <w:tcW w:w="1985" w:type="dxa"/>
          </w:tcPr>
          <w:p>
            <w:pPr>
              <w:pStyle w:val="yTable"/>
              <w:jc w:val="center"/>
            </w:pPr>
            <w:r>
              <w:t>9</w:t>
            </w:r>
          </w:p>
        </w:tc>
        <w:tc>
          <w:tcPr>
            <w:tcW w:w="3544" w:type="dxa"/>
          </w:tcPr>
          <w:p>
            <w:pPr>
              <w:pStyle w:val="yTable"/>
            </w:pPr>
            <w:r>
              <w:t>Disobeying an authorised person’s reasonable direction</w:t>
            </w:r>
          </w:p>
        </w:tc>
        <w:tc>
          <w:tcPr>
            <w:tcW w:w="1559" w:type="dxa"/>
          </w:tcPr>
          <w:p>
            <w:pPr>
              <w:pStyle w:val="yTable"/>
              <w:jc w:val="center"/>
            </w:pPr>
            <w:r>
              <w:br/>
              <w:t>20</w:t>
            </w:r>
          </w:p>
        </w:tc>
      </w:tr>
      <w:tr>
        <w:trPr>
          <w:cantSplit/>
        </w:trPr>
        <w:tc>
          <w:tcPr>
            <w:tcW w:w="1985" w:type="dxa"/>
          </w:tcPr>
          <w:p>
            <w:pPr>
              <w:pStyle w:val="yTable"/>
              <w:jc w:val="center"/>
            </w:pPr>
            <w:r>
              <w:t>10(1)(a)</w:t>
            </w:r>
          </w:p>
        </w:tc>
        <w:tc>
          <w:tcPr>
            <w:tcW w:w="3544" w:type="dxa"/>
          </w:tcPr>
          <w:p>
            <w:pPr>
              <w:pStyle w:val="yTable"/>
            </w:pPr>
            <w:r>
              <w:t>Driving in excess of 30 km/h</w:t>
            </w:r>
          </w:p>
        </w:tc>
        <w:tc>
          <w:tcPr>
            <w:tcW w:w="1559" w:type="dxa"/>
          </w:tcPr>
          <w:p>
            <w:pPr>
              <w:pStyle w:val="yTable"/>
              <w:jc w:val="center"/>
            </w:pPr>
            <w:r>
              <w:t>40</w:t>
            </w:r>
          </w:p>
        </w:tc>
      </w:tr>
      <w:tr>
        <w:trPr>
          <w:cantSplit/>
        </w:trPr>
        <w:tc>
          <w:tcPr>
            <w:tcW w:w="1985" w:type="dxa"/>
          </w:tcPr>
          <w:p>
            <w:pPr>
              <w:pStyle w:val="yTable"/>
              <w:jc w:val="center"/>
            </w:pPr>
            <w:r>
              <w:t>10(1)(b)</w:t>
            </w:r>
          </w:p>
        </w:tc>
        <w:tc>
          <w:tcPr>
            <w:tcW w:w="3544" w:type="dxa"/>
          </w:tcPr>
          <w:p>
            <w:pPr>
              <w:pStyle w:val="yTable"/>
            </w:pPr>
            <w:r>
              <w:t>Driving in excess of speed limit indicated by speed restriction sign</w:t>
            </w:r>
          </w:p>
        </w:tc>
        <w:tc>
          <w:tcPr>
            <w:tcW w:w="1559" w:type="dxa"/>
          </w:tcPr>
          <w:p>
            <w:pPr>
              <w:pStyle w:val="yTable"/>
              <w:jc w:val="center"/>
            </w:pPr>
            <w:r>
              <w:br/>
              <w:t>40</w:t>
            </w:r>
          </w:p>
        </w:tc>
      </w:tr>
      <w:tr>
        <w:trPr>
          <w:cantSplit/>
        </w:trPr>
        <w:tc>
          <w:tcPr>
            <w:tcW w:w="1985" w:type="dxa"/>
          </w:tcPr>
          <w:p>
            <w:pPr>
              <w:pStyle w:val="yTable"/>
              <w:jc w:val="center"/>
            </w:pPr>
            <w:r>
              <w:t>11</w:t>
            </w:r>
          </w:p>
        </w:tc>
        <w:tc>
          <w:tcPr>
            <w:tcW w:w="3544" w:type="dxa"/>
          </w:tcPr>
          <w:p>
            <w:pPr>
              <w:pStyle w:val="yTable"/>
            </w:pPr>
            <w:r>
              <w:t>Failing to give way when entering parking facility</w:t>
            </w:r>
          </w:p>
        </w:tc>
        <w:tc>
          <w:tcPr>
            <w:tcW w:w="1559" w:type="dxa"/>
          </w:tcPr>
          <w:p>
            <w:pPr>
              <w:pStyle w:val="yTable"/>
              <w:jc w:val="center"/>
            </w:pPr>
            <w:r>
              <w:br/>
              <w:t>20</w:t>
            </w:r>
          </w:p>
        </w:tc>
      </w:tr>
      <w:tr>
        <w:trPr>
          <w:cantSplit/>
        </w:trPr>
        <w:tc>
          <w:tcPr>
            <w:tcW w:w="1985" w:type="dxa"/>
          </w:tcPr>
          <w:p>
            <w:pPr>
              <w:pStyle w:val="yTable"/>
              <w:jc w:val="center"/>
            </w:pPr>
            <w:r>
              <w:t>12(a)</w:t>
            </w:r>
          </w:p>
        </w:tc>
        <w:tc>
          <w:tcPr>
            <w:tcW w:w="3544" w:type="dxa"/>
          </w:tcPr>
          <w:p>
            <w:pPr>
              <w:pStyle w:val="yTable"/>
            </w:pPr>
            <w:r>
              <w:t>Driving on site for the giving or receiving of driving instruction</w:t>
            </w:r>
          </w:p>
        </w:tc>
        <w:tc>
          <w:tcPr>
            <w:tcW w:w="1559" w:type="dxa"/>
          </w:tcPr>
          <w:p>
            <w:pPr>
              <w:pStyle w:val="yTable"/>
              <w:jc w:val="center"/>
            </w:pPr>
            <w:r>
              <w:br/>
              <w:t>20</w:t>
            </w:r>
          </w:p>
        </w:tc>
      </w:tr>
      <w:tr>
        <w:trPr>
          <w:cantSplit/>
        </w:trPr>
        <w:tc>
          <w:tcPr>
            <w:tcW w:w="1985" w:type="dxa"/>
          </w:tcPr>
          <w:p>
            <w:pPr>
              <w:pStyle w:val="yTable"/>
              <w:jc w:val="center"/>
            </w:pPr>
            <w:r>
              <w:t>12(b)</w:t>
            </w:r>
          </w:p>
        </w:tc>
        <w:tc>
          <w:tcPr>
            <w:tcW w:w="3544" w:type="dxa"/>
          </w:tcPr>
          <w:p>
            <w:pPr>
              <w:pStyle w:val="yTable"/>
            </w:pPr>
            <w:r>
              <w:t>Repairing or adjusting a vehicle on site</w:t>
            </w:r>
          </w:p>
        </w:tc>
        <w:tc>
          <w:tcPr>
            <w:tcW w:w="1559" w:type="dxa"/>
          </w:tcPr>
          <w:p>
            <w:pPr>
              <w:pStyle w:val="yTable"/>
              <w:jc w:val="center"/>
            </w:pPr>
            <w:r>
              <w:br/>
              <w:t>10</w:t>
            </w:r>
          </w:p>
        </w:tc>
      </w:tr>
      <w:tr>
        <w:trPr>
          <w:cantSplit/>
        </w:trPr>
        <w:tc>
          <w:tcPr>
            <w:tcW w:w="1985" w:type="dxa"/>
          </w:tcPr>
          <w:p>
            <w:pPr>
              <w:pStyle w:val="yTable"/>
              <w:jc w:val="center"/>
            </w:pPr>
            <w:r>
              <w:t>13</w:t>
            </w:r>
          </w:p>
        </w:tc>
        <w:tc>
          <w:tcPr>
            <w:tcW w:w="3544" w:type="dxa"/>
          </w:tcPr>
          <w:p>
            <w:pPr>
              <w:pStyle w:val="yTable"/>
            </w:pPr>
            <w:r>
              <w:t>Parking a vehicle on site not in a parking space</w:t>
            </w:r>
          </w:p>
        </w:tc>
        <w:tc>
          <w:tcPr>
            <w:tcW w:w="1559" w:type="dxa"/>
          </w:tcPr>
          <w:p>
            <w:pPr>
              <w:pStyle w:val="yTable"/>
              <w:jc w:val="center"/>
            </w:pPr>
            <w:r>
              <w:br/>
              <w:t>40</w:t>
            </w:r>
          </w:p>
        </w:tc>
      </w:tr>
      <w:tr>
        <w:trPr>
          <w:cantSplit/>
        </w:trPr>
        <w:tc>
          <w:tcPr>
            <w:tcW w:w="1985" w:type="dxa"/>
          </w:tcPr>
          <w:p>
            <w:pPr>
              <w:pStyle w:val="yTable"/>
              <w:jc w:val="center"/>
            </w:pPr>
            <w:r>
              <w:t>14</w:t>
            </w:r>
          </w:p>
        </w:tc>
        <w:tc>
          <w:tcPr>
            <w:tcW w:w="3544" w:type="dxa"/>
          </w:tcPr>
          <w:p>
            <w:pPr>
              <w:pStyle w:val="yTable"/>
            </w:pPr>
            <w:r>
              <w:t>Failing to obey a stop sign on site</w:t>
            </w:r>
          </w:p>
        </w:tc>
        <w:tc>
          <w:tcPr>
            <w:tcW w:w="1559" w:type="dxa"/>
          </w:tcPr>
          <w:p>
            <w:pPr>
              <w:pStyle w:val="yTable"/>
              <w:jc w:val="center"/>
            </w:pPr>
            <w:r>
              <w:t>45</w:t>
            </w:r>
          </w:p>
        </w:tc>
      </w:tr>
      <w:tr>
        <w:trPr>
          <w:cantSplit/>
        </w:trPr>
        <w:tc>
          <w:tcPr>
            <w:tcW w:w="1985" w:type="dxa"/>
          </w:tcPr>
          <w:p>
            <w:pPr>
              <w:pStyle w:val="yTable"/>
              <w:keepNext/>
              <w:keepLines/>
              <w:jc w:val="center"/>
            </w:pPr>
            <w:r>
              <w:t>14</w:t>
            </w:r>
          </w:p>
        </w:tc>
        <w:tc>
          <w:tcPr>
            <w:tcW w:w="3544" w:type="dxa"/>
          </w:tcPr>
          <w:p>
            <w:pPr>
              <w:pStyle w:val="yTable"/>
              <w:keepNext/>
              <w:keepLines/>
            </w:pPr>
            <w:r>
              <w:t>Parking, standing, or moving a vehicle on site contrary to a sign other than a stop sign</w:t>
            </w:r>
          </w:p>
        </w:tc>
        <w:tc>
          <w:tcPr>
            <w:tcW w:w="1559" w:type="dxa"/>
          </w:tcPr>
          <w:p>
            <w:pPr>
              <w:pStyle w:val="yTable"/>
              <w:keepNext/>
              <w:keepLines/>
              <w:jc w:val="center"/>
            </w:pPr>
            <w:r>
              <w:br/>
            </w:r>
            <w:r>
              <w:br/>
              <w:t>40</w:t>
            </w:r>
          </w:p>
        </w:tc>
      </w:tr>
      <w:tr>
        <w:trPr>
          <w:cantSplit/>
        </w:trPr>
        <w:tc>
          <w:tcPr>
            <w:tcW w:w="1985" w:type="dxa"/>
          </w:tcPr>
          <w:p>
            <w:pPr>
              <w:pStyle w:val="yTable"/>
              <w:jc w:val="center"/>
            </w:pPr>
            <w:r>
              <w:t>15(3) &amp; 15(1)(b)</w:t>
            </w:r>
          </w:p>
        </w:tc>
        <w:tc>
          <w:tcPr>
            <w:tcW w:w="3544" w:type="dxa"/>
          </w:tcPr>
          <w:p>
            <w:pPr>
              <w:pStyle w:val="yTable"/>
            </w:pPr>
            <w:r>
              <w:t>Parking in an area on site set aside for vehicles of disabled persons identified in the manner specified in a sign, contrary to the sign</w:t>
            </w:r>
          </w:p>
        </w:tc>
        <w:tc>
          <w:tcPr>
            <w:tcW w:w="1559" w:type="dxa"/>
          </w:tcPr>
          <w:p>
            <w:pPr>
              <w:pStyle w:val="yTable"/>
              <w:jc w:val="center"/>
            </w:pPr>
            <w:r>
              <w:br/>
            </w:r>
            <w:r>
              <w:br/>
            </w:r>
            <w:r>
              <w:br/>
              <w:t>45</w:t>
            </w:r>
          </w:p>
        </w:tc>
      </w:tr>
      <w:tr>
        <w:trPr>
          <w:cantSplit/>
        </w:trPr>
        <w:tc>
          <w:tcPr>
            <w:tcW w:w="1985" w:type="dxa"/>
          </w:tcPr>
          <w:p>
            <w:pPr>
              <w:pStyle w:val="yTable"/>
              <w:jc w:val="center"/>
            </w:pPr>
            <w:r>
              <w:t>15(3) &amp; 15(1)(e)</w:t>
            </w:r>
          </w:p>
        </w:tc>
        <w:tc>
          <w:tcPr>
            <w:tcW w:w="3544" w:type="dxa"/>
          </w:tcPr>
          <w:p>
            <w:pPr>
              <w:pStyle w:val="yTable"/>
            </w:pPr>
            <w:r>
              <w:t>Displaying a permit in a manner other than that specified in a sign</w:t>
            </w:r>
          </w:p>
        </w:tc>
        <w:tc>
          <w:tcPr>
            <w:tcW w:w="1559" w:type="dxa"/>
          </w:tcPr>
          <w:p>
            <w:pPr>
              <w:pStyle w:val="yTable"/>
              <w:jc w:val="center"/>
            </w:pPr>
            <w:r>
              <w:br/>
              <w:t>10</w:t>
            </w:r>
          </w:p>
        </w:tc>
      </w:tr>
      <w:tr>
        <w:trPr>
          <w:cantSplit/>
        </w:trPr>
        <w:tc>
          <w:tcPr>
            <w:tcW w:w="1985" w:type="dxa"/>
          </w:tcPr>
          <w:p>
            <w:pPr>
              <w:pStyle w:val="yTable"/>
              <w:jc w:val="center"/>
            </w:pPr>
            <w:r>
              <w:t>15(3) &amp; 15(1)(e)</w:t>
            </w:r>
          </w:p>
        </w:tc>
        <w:tc>
          <w:tcPr>
            <w:tcW w:w="3544" w:type="dxa"/>
          </w:tcPr>
          <w:p>
            <w:pPr>
              <w:pStyle w:val="yTable"/>
            </w:pPr>
            <w:r>
              <w:t>Failing to display a permit, contrary to a sign</w:t>
            </w:r>
          </w:p>
        </w:tc>
        <w:tc>
          <w:tcPr>
            <w:tcW w:w="1559" w:type="dxa"/>
          </w:tcPr>
          <w:p>
            <w:pPr>
              <w:pStyle w:val="yTable"/>
              <w:jc w:val="center"/>
            </w:pPr>
            <w:r>
              <w:br/>
              <w:t>20</w:t>
            </w:r>
          </w:p>
        </w:tc>
      </w:tr>
      <w:tr>
        <w:trPr>
          <w:cantSplit/>
        </w:trPr>
        <w:tc>
          <w:tcPr>
            <w:tcW w:w="1985" w:type="dxa"/>
          </w:tcPr>
          <w:p>
            <w:pPr>
              <w:pStyle w:val="yTable"/>
              <w:jc w:val="center"/>
            </w:pPr>
            <w:r>
              <w:t>15(3)</w:t>
            </w:r>
          </w:p>
        </w:tc>
        <w:tc>
          <w:tcPr>
            <w:tcW w:w="3544" w:type="dxa"/>
          </w:tcPr>
          <w:p>
            <w:pPr>
              <w:pStyle w:val="yTable"/>
            </w:pPr>
            <w:r>
              <w:t>Parking, standing, or moving a vehicle in a parking space or parking facility contrary to a sign in relation to vehicles of disabled persons or contrary to any sign other than a sign with a direction under by</w:t>
            </w:r>
            <w:r>
              <w:noBreakHyphen/>
              <w:t>law 15(1)(e)</w:t>
            </w:r>
          </w:p>
        </w:tc>
        <w:tc>
          <w:tcPr>
            <w:tcW w:w="1559" w:type="dxa"/>
          </w:tcPr>
          <w:p>
            <w:pPr>
              <w:pStyle w:val="yTable"/>
              <w:jc w:val="center"/>
            </w:pPr>
            <w:r>
              <w:br/>
            </w:r>
            <w:r>
              <w:br/>
            </w:r>
            <w:r>
              <w:br/>
            </w:r>
            <w:r>
              <w:br/>
            </w:r>
            <w:r>
              <w:br/>
            </w:r>
            <w:r>
              <w:br/>
              <w:t>40</w:t>
            </w:r>
          </w:p>
        </w:tc>
      </w:tr>
      <w:tr>
        <w:trPr>
          <w:cantSplit/>
        </w:trPr>
        <w:tc>
          <w:tcPr>
            <w:tcW w:w="1985" w:type="dxa"/>
          </w:tcPr>
          <w:p>
            <w:pPr>
              <w:pStyle w:val="yTable"/>
              <w:jc w:val="center"/>
            </w:pPr>
            <w:r>
              <w:t>16(8)</w:t>
            </w:r>
          </w:p>
        </w:tc>
        <w:tc>
          <w:tcPr>
            <w:tcW w:w="3544" w:type="dxa"/>
          </w:tcPr>
          <w:p>
            <w:pPr>
              <w:pStyle w:val="yTable"/>
            </w:pPr>
            <w:r>
              <w:t>Parking in an area on site set apart for permit holders only, without a current permit</w:t>
            </w:r>
          </w:p>
        </w:tc>
        <w:tc>
          <w:tcPr>
            <w:tcW w:w="1559" w:type="dxa"/>
          </w:tcPr>
          <w:p>
            <w:pPr>
              <w:pStyle w:val="yTable"/>
              <w:jc w:val="center"/>
            </w:pPr>
            <w:r>
              <w:br/>
            </w:r>
            <w:r>
              <w:br/>
              <w:t>30</w:t>
            </w:r>
          </w:p>
        </w:tc>
      </w:tr>
      <w:tr>
        <w:trPr>
          <w:cantSplit/>
        </w:trPr>
        <w:tc>
          <w:tcPr>
            <w:tcW w:w="1985" w:type="dxa"/>
          </w:tcPr>
          <w:p>
            <w:pPr>
              <w:pStyle w:val="yTable"/>
              <w:jc w:val="center"/>
            </w:pPr>
            <w:r>
              <w:t>21</w:t>
            </w:r>
          </w:p>
        </w:tc>
        <w:tc>
          <w:tcPr>
            <w:tcW w:w="3544" w:type="dxa"/>
          </w:tcPr>
          <w:p>
            <w:pPr>
              <w:pStyle w:val="yTable"/>
            </w:pPr>
            <w:r>
              <w:t>Unauthorised person endorsing or altering an infringement notice</w:t>
            </w:r>
          </w:p>
        </w:tc>
        <w:tc>
          <w:tcPr>
            <w:tcW w:w="1559" w:type="dxa"/>
          </w:tcPr>
          <w:p>
            <w:pPr>
              <w:pStyle w:val="yTable"/>
              <w:jc w:val="center"/>
            </w:pPr>
            <w:r>
              <w:br/>
              <w:t>20</w:t>
            </w:r>
          </w:p>
        </w:tc>
      </w:tr>
      <w:tr>
        <w:trPr>
          <w:cantSplit/>
        </w:trPr>
        <w:tc>
          <w:tcPr>
            <w:tcW w:w="1985" w:type="dxa"/>
            <w:tcBorders>
              <w:bottom w:val="single" w:sz="4" w:space="0" w:color="auto"/>
            </w:tcBorders>
          </w:tcPr>
          <w:p>
            <w:pPr>
              <w:pStyle w:val="yTable"/>
              <w:jc w:val="center"/>
            </w:pPr>
            <w:r>
              <w:t>22</w:t>
            </w:r>
          </w:p>
        </w:tc>
        <w:tc>
          <w:tcPr>
            <w:tcW w:w="3544" w:type="dxa"/>
            <w:tcBorders>
              <w:bottom w:val="single" w:sz="4" w:space="0" w:color="auto"/>
            </w:tcBorders>
          </w:tcPr>
          <w:p>
            <w:pPr>
              <w:pStyle w:val="yTable"/>
            </w:pPr>
            <w:r>
              <w:t>Removing an infringement notice when not authorised to do so</w:t>
            </w:r>
          </w:p>
        </w:tc>
        <w:tc>
          <w:tcPr>
            <w:tcW w:w="1559" w:type="dxa"/>
            <w:tcBorders>
              <w:bottom w:val="single" w:sz="4" w:space="0" w:color="auto"/>
            </w:tcBorders>
          </w:tcPr>
          <w:p>
            <w:pPr>
              <w:pStyle w:val="yTable"/>
              <w:jc w:val="center"/>
            </w:pPr>
            <w:r>
              <w:br/>
              <w:t>20</w:t>
            </w:r>
          </w:p>
        </w:tc>
      </w:tr>
    </w:tbl>
    <w:p>
      <w:pPr>
        <w:pStyle w:val="yScheduleHeading"/>
        <w:rPr>
          <w:rStyle w:val="CharSchNo"/>
        </w:r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bookmarkStart w:id="122" w:name="_Toc408567643"/>
      <w:bookmarkStart w:id="123" w:name="_Toc412629477"/>
      <w:bookmarkStart w:id="124" w:name="_Toc412629516"/>
      <w:bookmarkStart w:id="125" w:name="_Toc416697790"/>
      <w:bookmarkStart w:id="126" w:name="_Toc416705757"/>
      <w:bookmarkStart w:id="127" w:name="_Toc417550291"/>
      <w:bookmarkStart w:id="128" w:name="_Toc417551405"/>
      <w:bookmarkStart w:id="129" w:name="_Toc440358307"/>
    </w:p>
    <w:p>
      <w:pPr>
        <w:pStyle w:val="yScheduleHeading"/>
      </w:pPr>
      <w:r>
        <w:rPr>
          <w:rStyle w:val="CharSchNo"/>
        </w:rPr>
        <w:t>Schedule 2</w:t>
      </w:r>
      <w:r>
        <w:t> — </w:t>
      </w:r>
      <w:r>
        <w:rPr>
          <w:rStyle w:val="CharSchText"/>
        </w:rPr>
        <w:t>Forms</w:t>
      </w:r>
      <w:bookmarkEnd w:id="122"/>
      <w:bookmarkEnd w:id="123"/>
      <w:bookmarkEnd w:id="124"/>
      <w:bookmarkEnd w:id="125"/>
      <w:bookmarkEnd w:id="126"/>
      <w:bookmarkEnd w:id="127"/>
      <w:bookmarkEnd w:id="128"/>
      <w:bookmarkEnd w:id="129"/>
    </w:p>
    <w:p>
      <w:pPr>
        <w:pStyle w:val="yShoulderClause"/>
      </w:pPr>
      <w:r>
        <w:t>[bl. 18(3) and 19(1)]</w:t>
      </w:r>
    </w:p>
    <w:p>
      <w:pPr>
        <w:pStyle w:val="yFootnoteheading"/>
      </w:pPr>
      <w:r>
        <w:tab/>
        <w:t>[Heading inserted in Gazette 13 Jun 2014 p. 1890.]</w:t>
      </w:r>
    </w:p>
    <w:p>
      <w:pPr>
        <w:pStyle w:val="yMiscellaneousBody"/>
        <w:spacing w:before="120"/>
        <w:jc w:val="center"/>
        <w:rPr>
          <w:b/>
        </w:rPr>
      </w:pPr>
      <w:r>
        <w:rPr>
          <w:rStyle w:val="CharSClsNo"/>
          <w:b/>
        </w:rPr>
        <w:t>Form 1</w:t>
      </w:r>
      <w:r>
        <w:rPr>
          <w:b/>
        </w:rPr>
        <w:t>: Infringement Notice (by</w:t>
      </w:r>
      <w:r>
        <w:rPr>
          <w:b/>
        </w:rPr>
        <w:noBreakHyphen/>
        <w:t>law 18(3))</w:t>
      </w:r>
    </w:p>
    <w:p>
      <w:pPr>
        <w:pStyle w:val="yMiscellaneousBody"/>
        <w:spacing w:before="120"/>
        <w:jc w:val="center"/>
      </w:pPr>
      <w:r>
        <w:t>Government of Western Australia</w:t>
      </w:r>
    </w:p>
    <w:p>
      <w:pPr>
        <w:pStyle w:val="yMiscellaneousBody"/>
        <w:spacing w:before="120"/>
        <w:jc w:val="center"/>
        <w:rPr>
          <w:szCs w:val="22"/>
        </w:rPr>
      </w:pPr>
      <w:r>
        <w:rPr>
          <w:szCs w:val="22"/>
        </w:rPr>
        <w:t>Department of Health</w:t>
      </w:r>
    </w:p>
    <w:p>
      <w:pPr>
        <w:pStyle w:val="yMiscellaneousBody"/>
        <w:spacing w:before="120"/>
        <w:jc w:val="center"/>
        <w:rPr>
          <w:szCs w:val="22"/>
        </w:rPr>
      </w:pPr>
      <w:r>
        <w:rPr>
          <w:szCs w:val="22"/>
        </w:rPr>
        <w:t>Metropolitan Access and Parking Department</w:t>
      </w:r>
    </w:p>
    <w:p>
      <w:pPr>
        <w:pStyle w:val="yMiscellaneousBody"/>
        <w:spacing w:before="120" w:after="60"/>
        <w:jc w:val="center"/>
        <w:rPr>
          <w:i/>
          <w:szCs w:val="22"/>
        </w:rPr>
      </w:pPr>
      <w:r>
        <w:rPr>
          <w:i/>
          <w:szCs w:val="22"/>
        </w:rPr>
        <w:t>Armadale Kelmscott District Memorial Hospital By-laws 2002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bottom w:w="113" w:type="dxa"/>
        </w:tblCellMar>
        <w:tblLook w:val="0000" w:firstRow="0" w:lastRow="0" w:firstColumn="0" w:lastColumn="0" w:noHBand="0" w:noVBand="0"/>
      </w:tblPr>
      <w:tblGrid>
        <w:gridCol w:w="2138"/>
        <w:gridCol w:w="621"/>
        <w:gridCol w:w="1011"/>
        <w:gridCol w:w="768"/>
        <w:gridCol w:w="243"/>
        <w:gridCol w:w="2157"/>
      </w:tblGrid>
      <w:tr>
        <w:trPr>
          <w:cantSplit/>
        </w:trPr>
        <w:tc>
          <w:tcPr>
            <w:tcW w:w="2759" w:type="dxa"/>
            <w:gridSpan w:val="2"/>
            <w:tcBorders>
              <w:top w:val="single" w:sz="4" w:space="0" w:color="auto"/>
              <w:left w:val="single" w:sz="4" w:space="0" w:color="auto"/>
              <w:bottom w:val="nil"/>
            </w:tcBorders>
          </w:tcPr>
          <w:p>
            <w:pPr>
              <w:pStyle w:val="yTableNAm"/>
            </w:pPr>
            <w:r>
              <w:rPr>
                <w:bCs/>
              </w:rPr>
              <w:t>Infringement No.</w:t>
            </w:r>
          </w:p>
        </w:tc>
        <w:tc>
          <w:tcPr>
            <w:tcW w:w="2022" w:type="dxa"/>
            <w:gridSpan w:val="3"/>
            <w:tcBorders>
              <w:top w:val="single" w:sz="4" w:space="0" w:color="auto"/>
              <w:bottom w:val="nil"/>
            </w:tcBorders>
          </w:tcPr>
          <w:p>
            <w:pPr>
              <w:pStyle w:val="yTableNAm"/>
            </w:pPr>
            <w:r>
              <w:rPr>
                <w:bCs/>
              </w:rPr>
              <w:t>Date</w:t>
            </w:r>
          </w:p>
        </w:tc>
        <w:tc>
          <w:tcPr>
            <w:tcW w:w="2157" w:type="dxa"/>
            <w:tcBorders>
              <w:top w:val="single" w:sz="4" w:space="0" w:color="auto"/>
              <w:bottom w:val="nil"/>
            </w:tcBorders>
          </w:tcPr>
          <w:p>
            <w:pPr>
              <w:pStyle w:val="yTableNAm"/>
            </w:pPr>
            <w:r>
              <w:rPr>
                <w:bCs/>
              </w:rPr>
              <w:t>Time</w:t>
            </w:r>
          </w:p>
        </w:tc>
      </w:tr>
      <w:tr>
        <w:trPr>
          <w:cantSplit/>
        </w:trPr>
        <w:tc>
          <w:tcPr>
            <w:tcW w:w="6938" w:type="dxa"/>
            <w:gridSpan w:val="6"/>
            <w:tcBorders>
              <w:top w:val="nil"/>
              <w:left w:val="single" w:sz="4" w:space="0" w:color="auto"/>
              <w:bottom w:val="nil"/>
            </w:tcBorders>
          </w:tcPr>
          <w:p>
            <w:pPr>
              <w:pStyle w:val="yTableNAm"/>
            </w:pPr>
            <w:r>
              <w:t>Officer ID</w:t>
            </w:r>
          </w:p>
        </w:tc>
      </w:tr>
      <w:tr>
        <w:trPr>
          <w:cantSplit/>
        </w:trPr>
        <w:tc>
          <w:tcPr>
            <w:tcW w:w="6938" w:type="dxa"/>
            <w:gridSpan w:val="6"/>
            <w:tcBorders>
              <w:top w:val="nil"/>
              <w:left w:val="single" w:sz="4" w:space="0" w:color="auto"/>
              <w:bottom w:val="nil"/>
            </w:tcBorders>
          </w:tcPr>
          <w:p>
            <w:pPr>
              <w:pStyle w:val="yTableNAm"/>
            </w:pPr>
            <w:r>
              <w:t>Location</w:t>
            </w:r>
          </w:p>
        </w:tc>
      </w:tr>
      <w:tr>
        <w:trPr>
          <w:cantSplit/>
        </w:trPr>
        <w:tc>
          <w:tcPr>
            <w:tcW w:w="6938" w:type="dxa"/>
            <w:gridSpan w:val="6"/>
            <w:tcBorders>
              <w:top w:val="nil"/>
              <w:left w:val="single" w:sz="4" w:space="0" w:color="auto"/>
              <w:bottom w:val="single" w:sz="4" w:space="0" w:color="auto"/>
            </w:tcBorders>
          </w:tcPr>
          <w:p>
            <w:pPr>
              <w:pStyle w:val="yTableNAm"/>
            </w:pPr>
            <w:r>
              <w:t>Car Park</w:t>
            </w:r>
          </w:p>
        </w:tc>
      </w:tr>
      <w:tr>
        <w:trPr>
          <w:cantSplit/>
        </w:trPr>
        <w:tc>
          <w:tcPr>
            <w:tcW w:w="6938" w:type="dxa"/>
            <w:gridSpan w:val="6"/>
            <w:tcBorders>
              <w:top w:val="single" w:sz="4" w:space="0" w:color="auto"/>
              <w:left w:val="nil"/>
              <w:bottom w:val="single" w:sz="4" w:space="0" w:color="auto"/>
              <w:right w:val="nil"/>
            </w:tcBorders>
          </w:tcPr>
          <w:p>
            <w:pPr>
              <w:pStyle w:val="yTableNAm"/>
            </w:pPr>
            <w:r>
              <w:rPr>
                <w:b/>
              </w:rPr>
              <w:t>Offence</w:t>
            </w:r>
          </w:p>
        </w:tc>
      </w:tr>
      <w:tr>
        <w:trPr>
          <w:cantSplit/>
        </w:trPr>
        <w:tc>
          <w:tcPr>
            <w:tcW w:w="3770" w:type="dxa"/>
            <w:gridSpan w:val="3"/>
            <w:tcBorders>
              <w:top w:val="nil"/>
              <w:left w:val="single" w:sz="4" w:space="0" w:color="auto"/>
              <w:bottom w:val="nil"/>
            </w:tcBorders>
          </w:tcPr>
          <w:p>
            <w:pPr>
              <w:pStyle w:val="yTableNAm"/>
            </w:pPr>
            <w:r>
              <w:t>Date</w:t>
            </w:r>
          </w:p>
        </w:tc>
        <w:tc>
          <w:tcPr>
            <w:tcW w:w="3168" w:type="dxa"/>
            <w:gridSpan w:val="3"/>
            <w:tcBorders>
              <w:top w:val="nil"/>
              <w:bottom w:val="nil"/>
            </w:tcBorders>
          </w:tcPr>
          <w:p>
            <w:pPr>
              <w:pStyle w:val="yTableNAm"/>
            </w:pPr>
            <w:r>
              <w:t>Time</w:t>
            </w:r>
          </w:p>
        </w:tc>
      </w:tr>
      <w:tr>
        <w:trPr>
          <w:cantSplit/>
        </w:trPr>
        <w:tc>
          <w:tcPr>
            <w:tcW w:w="3770" w:type="dxa"/>
            <w:gridSpan w:val="3"/>
            <w:tcBorders>
              <w:top w:val="nil"/>
              <w:left w:val="single" w:sz="4" w:space="0" w:color="auto"/>
              <w:bottom w:val="nil"/>
            </w:tcBorders>
          </w:tcPr>
          <w:p>
            <w:pPr>
              <w:pStyle w:val="yTableNAm"/>
            </w:pPr>
            <w:r>
              <w:t>By</w:t>
            </w:r>
            <w:r>
              <w:noBreakHyphen/>
              <w:t>law clause</w:t>
            </w:r>
          </w:p>
        </w:tc>
        <w:tc>
          <w:tcPr>
            <w:tcW w:w="3168" w:type="dxa"/>
            <w:gridSpan w:val="3"/>
            <w:tcBorders>
              <w:top w:val="nil"/>
              <w:bottom w:val="nil"/>
            </w:tcBorders>
          </w:tcPr>
          <w:p>
            <w:pPr>
              <w:pStyle w:val="yTableNAm"/>
            </w:pPr>
          </w:p>
        </w:tc>
      </w:tr>
      <w:tr>
        <w:trPr>
          <w:cantSplit/>
        </w:trPr>
        <w:tc>
          <w:tcPr>
            <w:tcW w:w="6938" w:type="dxa"/>
            <w:gridSpan w:val="6"/>
            <w:tcBorders>
              <w:top w:val="nil"/>
              <w:left w:val="single" w:sz="4" w:space="0" w:color="auto"/>
              <w:bottom w:val="single" w:sz="4" w:space="0" w:color="auto"/>
            </w:tcBorders>
          </w:tcPr>
          <w:p>
            <w:pPr>
              <w:pStyle w:val="yTableNAm"/>
            </w:pPr>
            <w:r>
              <w:t>Description of infringement as per by</w:t>
            </w:r>
            <w:r>
              <w:noBreakHyphen/>
              <w:t>laws</w:t>
            </w:r>
          </w:p>
          <w:p>
            <w:pPr>
              <w:pStyle w:val="yTableNAm"/>
            </w:pPr>
          </w:p>
          <w:p>
            <w:pPr>
              <w:pStyle w:val="yTableNAm"/>
            </w:pPr>
          </w:p>
          <w:p>
            <w:pPr>
              <w:pStyle w:val="yTableNAm"/>
            </w:pPr>
          </w:p>
        </w:tc>
      </w:tr>
      <w:tr>
        <w:trPr>
          <w:cantSplit/>
        </w:trPr>
        <w:tc>
          <w:tcPr>
            <w:tcW w:w="2138" w:type="dxa"/>
            <w:tcBorders>
              <w:top w:val="single" w:sz="4" w:space="0" w:color="auto"/>
              <w:left w:val="single" w:sz="4" w:space="0" w:color="auto"/>
              <w:bottom w:val="single" w:sz="4" w:space="0" w:color="auto"/>
              <w:right w:val="single" w:sz="4" w:space="0" w:color="auto"/>
            </w:tcBorders>
          </w:tcPr>
          <w:p>
            <w:pPr>
              <w:pStyle w:val="yTableNAm"/>
            </w:pPr>
            <w:r>
              <w:t>Modified penalty</w:t>
            </w:r>
          </w:p>
          <w:p>
            <w:pPr>
              <w:pStyle w:val="yTableNAm"/>
            </w:pPr>
            <w:r>
              <w:t>..................................</w:t>
            </w:r>
          </w:p>
        </w:tc>
        <w:tc>
          <w:tcPr>
            <w:tcW w:w="2400" w:type="dxa"/>
            <w:gridSpan w:val="3"/>
            <w:tcBorders>
              <w:top w:val="single" w:sz="4" w:space="0" w:color="auto"/>
              <w:left w:val="single" w:sz="4" w:space="0" w:color="auto"/>
              <w:bottom w:val="single" w:sz="4" w:space="0" w:color="auto"/>
              <w:right w:val="single" w:sz="4" w:space="0" w:color="auto"/>
            </w:tcBorders>
          </w:tcPr>
          <w:p>
            <w:pPr>
              <w:pStyle w:val="yTableNAm"/>
            </w:pPr>
            <w:r>
              <w:t>If paid before</w:t>
            </w:r>
          </w:p>
          <w:p>
            <w:pPr>
              <w:pStyle w:val="yTableNAm"/>
            </w:pPr>
            <w:r>
              <w:t>.......................................</w:t>
            </w:r>
          </w:p>
        </w:tc>
        <w:tc>
          <w:tcPr>
            <w:tcW w:w="2400" w:type="dxa"/>
            <w:gridSpan w:val="2"/>
            <w:tcBorders>
              <w:top w:val="single" w:sz="4" w:space="0" w:color="auto"/>
              <w:left w:val="single" w:sz="4" w:space="0" w:color="auto"/>
              <w:bottom w:val="single" w:sz="4" w:space="0" w:color="auto"/>
            </w:tcBorders>
          </w:tcPr>
          <w:p>
            <w:pPr>
              <w:pStyle w:val="yTableNAm"/>
            </w:pPr>
            <w:r>
              <w:t>Full penalty</w:t>
            </w:r>
          </w:p>
          <w:p>
            <w:pPr>
              <w:pStyle w:val="yTableNAm"/>
            </w:pPr>
            <w:r>
              <w:t>.......................................</w:t>
            </w:r>
          </w:p>
        </w:tc>
      </w:tr>
      <w:tr>
        <w:trPr>
          <w:cantSplit/>
        </w:trPr>
        <w:tc>
          <w:tcPr>
            <w:tcW w:w="6938" w:type="dxa"/>
            <w:gridSpan w:val="6"/>
            <w:tcBorders>
              <w:top w:val="single" w:sz="4" w:space="0" w:color="auto"/>
              <w:left w:val="nil"/>
              <w:bottom w:val="single" w:sz="4" w:space="0" w:color="auto"/>
              <w:right w:val="nil"/>
            </w:tcBorders>
          </w:tcPr>
          <w:p>
            <w:pPr>
              <w:pStyle w:val="yTableNAm"/>
            </w:pPr>
            <w:r>
              <w:rPr>
                <w:b/>
              </w:rPr>
              <w:t>Vehicle</w:t>
            </w:r>
          </w:p>
        </w:tc>
      </w:tr>
      <w:tr>
        <w:trPr>
          <w:cantSplit/>
        </w:trPr>
        <w:tc>
          <w:tcPr>
            <w:tcW w:w="3770" w:type="dxa"/>
            <w:gridSpan w:val="3"/>
            <w:tcBorders>
              <w:top w:val="single" w:sz="4" w:space="0" w:color="auto"/>
              <w:left w:val="single" w:sz="4" w:space="0" w:color="auto"/>
              <w:bottom w:val="single" w:sz="4" w:space="0" w:color="auto"/>
            </w:tcBorders>
          </w:tcPr>
          <w:p>
            <w:pPr>
              <w:pStyle w:val="yTableNAm"/>
            </w:pPr>
            <w:r>
              <w:t>Reg No.</w:t>
            </w:r>
          </w:p>
        </w:tc>
        <w:tc>
          <w:tcPr>
            <w:tcW w:w="3168" w:type="dxa"/>
            <w:gridSpan w:val="3"/>
            <w:tcBorders>
              <w:top w:val="single" w:sz="4" w:space="0" w:color="auto"/>
              <w:bottom w:val="single" w:sz="4" w:space="0" w:color="auto"/>
            </w:tcBorders>
          </w:tcPr>
          <w:p>
            <w:pPr>
              <w:pStyle w:val="yTableNAm"/>
            </w:pPr>
            <w:r>
              <w:t>State</w:t>
            </w:r>
          </w:p>
        </w:tc>
      </w:tr>
      <w:tr>
        <w:trPr>
          <w:cantSplit/>
        </w:trPr>
        <w:tc>
          <w:tcPr>
            <w:tcW w:w="3770" w:type="dxa"/>
            <w:gridSpan w:val="3"/>
            <w:tcBorders>
              <w:top w:val="single" w:sz="4" w:space="0" w:color="auto"/>
              <w:left w:val="nil"/>
              <w:bottom w:val="nil"/>
            </w:tcBorders>
          </w:tcPr>
          <w:p>
            <w:pPr>
              <w:pStyle w:val="zyTableNAm"/>
            </w:pPr>
          </w:p>
        </w:tc>
        <w:tc>
          <w:tcPr>
            <w:tcW w:w="3168" w:type="dxa"/>
            <w:gridSpan w:val="3"/>
            <w:tcBorders>
              <w:top w:val="single" w:sz="4" w:space="0" w:color="auto"/>
              <w:bottom w:val="nil"/>
              <w:right w:val="nil"/>
            </w:tcBorders>
          </w:tcPr>
          <w:p>
            <w:pPr>
              <w:pStyle w:val="yTableNAm"/>
            </w:pPr>
          </w:p>
        </w:tc>
      </w:tr>
      <w:tr>
        <w:trPr>
          <w:cantSplit/>
          <w:trHeight w:hRule="exact" w:val="57"/>
        </w:trPr>
        <w:tc>
          <w:tcPr>
            <w:tcW w:w="3770" w:type="dxa"/>
            <w:gridSpan w:val="3"/>
            <w:tcBorders>
              <w:top w:val="nil"/>
              <w:left w:val="nil"/>
              <w:bottom w:val="single" w:sz="4" w:space="0" w:color="auto"/>
            </w:tcBorders>
          </w:tcPr>
          <w:p>
            <w:pPr>
              <w:pStyle w:val="yTableNAm"/>
              <w:ind w:firstLine="1140"/>
              <w:rPr>
                <w:sz w:val="16"/>
                <w:szCs w:val="16"/>
              </w:rPr>
            </w:pPr>
          </w:p>
        </w:tc>
        <w:tc>
          <w:tcPr>
            <w:tcW w:w="3168" w:type="dxa"/>
            <w:gridSpan w:val="3"/>
            <w:tcBorders>
              <w:top w:val="nil"/>
              <w:bottom w:val="single" w:sz="4" w:space="0" w:color="auto"/>
              <w:right w:val="nil"/>
            </w:tcBorders>
          </w:tcPr>
          <w:p>
            <w:pPr>
              <w:pStyle w:val="yTableNAm"/>
              <w:rPr>
                <w:sz w:val="16"/>
                <w:szCs w:val="16"/>
              </w:rPr>
            </w:pPr>
          </w:p>
        </w:tc>
      </w:tr>
      <w:tr>
        <w:trPr>
          <w:cantSplit/>
        </w:trPr>
        <w:tc>
          <w:tcPr>
            <w:tcW w:w="3770" w:type="dxa"/>
            <w:gridSpan w:val="3"/>
            <w:tcBorders>
              <w:top w:val="single" w:sz="4" w:space="0" w:color="auto"/>
              <w:left w:val="single" w:sz="4" w:space="0" w:color="auto"/>
              <w:bottom w:val="nil"/>
            </w:tcBorders>
          </w:tcPr>
          <w:p>
            <w:pPr>
              <w:pStyle w:val="yTableNAm"/>
            </w:pPr>
            <w:r>
              <w:t>Billpay Code</w:t>
            </w:r>
          </w:p>
        </w:tc>
        <w:tc>
          <w:tcPr>
            <w:tcW w:w="3168" w:type="dxa"/>
            <w:gridSpan w:val="3"/>
            <w:tcBorders>
              <w:top w:val="single" w:sz="4" w:space="0" w:color="auto"/>
              <w:bottom w:val="nil"/>
            </w:tcBorders>
          </w:tcPr>
          <w:p>
            <w:pPr>
              <w:pStyle w:val="yTableNAm"/>
            </w:pPr>
          </w:p>
        </w:tc>
      </w:tr>
      <w:tr>
        <w:trPr>
          <w:cantSplit/>
        </w:trPr>
        <w:tc>
          <w:tcPr>
            <w:tcW w:w="6938" w:type="dxa"/>
            <w:gridSpan w:val="6"/>
            <w:tcBorders>
              <w:top w:val="nil"/>
              <w:left w:val="single" w:sz="4" w:space="0" w:color="auto"/>
              <w:bottom w:val="single" w:sz="4" w:space="0" w:color="auto"/>
            </w:tcBorders>
          </w:tcPr>
          <w:p>
            <w:pPr>
              <w:pStyle w:val="yTableNAm"/>
            </w:pPr>
            <w:r>
              <w:t>Ref</w:t>
            </w:r>
          </w:p>
        </w:tc>
      </w:tr>
      <w:tr>
        <w:trPr>
          <w:cantSplit/>
          <w:trHeight w:hRule="exact" w:val="170"/>
        </w:trPr>
        <w:tc>
          <w:tcPr>
            <w:tcW w:w="6938" w:type="dxa"/>
            <w:gridSpan w:val="6"/>
            <w:tcBorders>
              <w:top w:val="single" w:sz="4" w:space="0" w:color="auto"/>
              <w:left w:val="nil"/>
              <w:bottom w:val="nil"/>
              <w:right w:val="nil"/>
            </w:tcBorders>
          </w:tcPr>
          <w:p>
            <w:pPr>
              <w:pStyle w:val="yTableNAm"/>
              <w:rPr>
                <w:sz w:val="16"/>
                <w:szCs w:val="16"/>
              </w:rPr>
            </w:pPr>
          </w:p>
        </w:tc>
      </w:tr>
      <w:tr>
        <w:trPr>
          <w:cantSplit/>
        </w:trPr>
        <w:tc>
          <w:tcPr>
            <w:tcW w:w="6938" w:type="dxa"/>
            <w:gridSpan w:val="6"/>
            <w:tcBorders>
              <w:top w:val="nil"/>
              <w:left w:val="nil"/>
              <w:bottom w:val="nil"/>
              <w:right w:val="nil"/>
            </w:tcBorders>
          </w:tcPr>
          <w:p>
            <w:pPr>
              <w:pStyle w:val="yTableNAm"/>
            </w:pPr>
            <w:r>
              <w:t>You have 28 days from when this notice was given to you to pay the modified penalty, declare you were not the driver, dispute the allegation or elect to go to court.  If you do not, enforcement proceedings will be taken against you.</w:t>
            </w:r>
          </w:p>
          <w:p>
            <w:pPr>
              <w:pStyle w:val="yTableNAm"/>
            </w:pPr>
            <w:r>
              <w:t>See over for full payment options.</w:t>
            </w:r>
          </w:p>
        </w:tc>
      </w:tr>
      <w:tr>
        <w:trPr>
          <w:cantSplit/>
        </w:trPr>
        <w:tc>
          <w:tcPr>
            <w:tcW w:w="6938" w:type="dxa"/>
            <w:gridSpan w:val="6"/>
            <w:tcBorders>
              <w:top w:val="nil"/>
              <w:left w:val="nil"/>
              <w:bottom w:val="nil"/>
              <w:right w:val="nil"/>
            </w:tcBorders>
          </w:tcPr>
          <w:p>
            <w:pPr>
              <w:pStyle w:val="yTableNAm"/>
            </w:pPr>
            <w:r>
              <w:rPr>
                <w:b/>
              </w:rPr>
              <w:t>Metropolitan Access and Parking</w:t>
            </w:r>
          </w:p>
          <w:p>
            <w:pPr>
              <w:pStyle w:val="yTableNAm"/>
            </w:pPr>
            <w:r>
              <w:t xml:space="preserve">You must on or before the due date — </w:t>
            </w:r>
          </w:p>
        </w:tc>
      </w:tr>
      <w:tr>
        <w:trPr>
          <w:cantSplit/>
        </w:trPr>
        <w:tc>
          <w:tcPr>
            <w:tcW w:w="6938" w:type="dxa"/>
            <w:gridSpan w:val="6"/>
            <w:tcBorders>
              <w:top w:val="nil"/>
              <w:left w:val="nil"/>
              <w:bottom w:val="nil"/>
              <w:right w:val="nil"/>
            </w:tcBorders>
          </w:tcPr>
          <w:p>
            <w:pPr>
              <w:pStyle w:val="yTableNAm"/>
            </w:pPr>
            <w:r>
              <w:rPr>
                <w:b/>
              </w:rPr>
              <w:t>Pay the Infringement</w:t>
            </w:r>
          </w:p>
          <w:p>
            <w:pPr>
              <w:pStyle w:val="yTableNAm"/>
            </w:pPr>
            <w:r>
              <w:t>Pay in person at any post office, phone 13 18 16 or go to postbillpay.com.au.</w:t>
            </w:r>
          </w:p>
          <w:p>
            <w:pPr>
              <w:pStyle w:val="yTableNAm"/>
            </w:pPr>
            <w:r>
              <w:t>By credit card by phoning 1800 753 191.</w:t>
            </w:r>
          </w:p>
        </w:tc>
      </w:tr>
      <w:tr>
        <w:trPr>
          <w:cantSplit/>
        </w:trPr>
        <w:tc>
          <w:tcPr>
            <w:tcW w:w="6938" w:type="dxa"/>
            <w:gridSpan w:val="6"/>
            <w:tcBorders>
              <w:top w:val="nil"/>
              <w:left w:val="nil"/>
              <w:bottom w:val="nil"/>
              <w:right w:val="nil"/>
            </w:tcBorders>
          </w:tcPr>
          <w:p>
            <w:pPr>
              <w:pStyle w:val="yTableNAm"/>
            </w:pPr>
            <w:r>
              <w:t xml:space="preserve">By cheque or money order made payable to “Metropolitan Access and Parking” and posted to — </w:t>
            </w:r>
          </w:p>
          <w:p>
            <w:pPr>
              <w:pStyle w:val="yTableNAm"/>
            </w:pPr>
            <w:r>
              <w:t>Metropolitan Access and Parking</w:t>
            </w:r>
            <w:r>
              <w:br/>
              <w:t>PO Box 1135</w:t>
            </w:r>
            <w:r>
              <w:br/>
              <w:t>Osborne Park WA 6916</w:t>
            </w:r>
          </w:p>
        </w:tc>
      </w:tr>
      <w:tr>
        <w:trPr>
          <w:cantSplit/>
        </w:trPr>
        <w:tc>
          <w:tcPr>
            <w:tcW w:w="6938" w:type="dxa"/>
            <w:gridSpan w:val="6"/>
            <w:tcBorders>
              <w:top w:val="nil"/>
              <w:left w:val="nil"/>
              <w:bottom w:val="nil"/>
              <w:right w:val="nil"/>
            </w:tcBorders>
          </w:tcPr>
          <w:p>
            <w:pPr>
              <w:pStyle w:val="yTableNAm"/>
            </w:pPr>
            <w:r>
              <w:t>OR</w:t>
            </w:r>
          </w:p>
          <w:p>
            <w:pPr>
              <w:pStyle w:val="yTableNAm"/>
            </w:pPr>
            <w:r>
              <w:t xml:space="preserve">If you were not driving or the </w:t>
            </w:r>
            <w:r>
              <w:rPr>
                <w:szCs w:val="22"/>
              </w:rPr>
              <w:t>responsible person for</w:t>
            </w:r>
            <w:r>
              <w:t xml:space="preserve"> the vehicle at the time of the alleged offence — submit a declaration giving the full name and address of the driver or </w:t>
            </w:r>
            <w:r>
              <w:rPr>
                <w:szCs w:val="22"/>
              </w:rPr>
              <w:t>responsible person.</w:t>
            </w:r>
            <w:r>
              <w:t xml:space="preserve">  Documentary proof of sale is required if the vehicle was sold prior to the alleged offence.</w:t>
            </w:r>
          </w:p>
        </w:tc>
      </w:tr>
      <w:tr>
        <w:trPr>
          <w:cantSplit/>
        </w:trPr>
        <w:tc>
          <w:tcPr>
            <w:tcW w:w="6938" w:type="dxa"/>
            <w:gridSpan w:val="6"/>
            <w:tcBorders>
              <w:top w:val="nil"/>
              <w:left w:val="nil"/>
              <w:bottom w:val="nil"/>
              <w:right w:val="nil"/>
            </w:tcBorders>
          </w:tcPr>
          <w:p>
            <w:pPr>
              <w:pStyle w:val="yTableNAm"/>
            </w:pPr>
            <w:r>
              <w:t>A declaration form is downloadable at:</w:t>
            </w:r>
          </w:p>
          <w:p>
            <w:pPr>
              <w:pStyle w:val="yTableNAm"/>
              <w:rPr>
                <w:u w:val="single"/>
              </w:rPr>
            </w:pPr>
            <w:r>
              <w:rPr>
                <w:szCs w:val="22"/>
                <w:u w:val="single"/>
              </w:rPr>
              <w:t>www.health.wa.gov.au/parking/infringement</w:t>
            </w:r>
          </w:p>
          <w:p>
            <w:pPr>
              <w:pStyle w:val="yTableNAm"/>
            </w:pPr>
            <w:r>
              <w:t>OR</w:t>
            </w:r>
          </w:p>
        </w:tc>
      </w:tr>
      <w:tr>
        <w:trPr>
          <w:cantSplit/>
        </w:trPr>
        <w:tc>
          <w:tcPr>
            <w:tcW w:w="6938" w:type="dxa"/>
            <w:gridSpan w:val="6"/>
            <w:tcBorders>
              <w:top w:val="nil"/>
              <w:left w:val="nil"/>
              <w:bottom w:val="nil"/>
              <w:right w:val="nil"/>
            </w:tcBorders>
          </w:tcPr>
          <w:p>
            <w:pPr>
              <w:pStyle w:val="yTableNAm"/>
            </w:pPr>
            <w:r>
              <w:t>Dispute the allegation that you committed the offence — you may first dispute the alleged offence informally in writing at the address below.</w:t>
            </w:r>
          </w:p>
          <w:p>
            <w:pPr>
              <w:pStyle w:val="yTableNAm"/>
            </w:pPr>
            <w:r>
              <w:t>OR</w:t>
            </w:r>
          </w:p>
        </w:tc>
      </w:tr>
      <w:tr>
        <w:trPr>
          <w:cantSplit/>
        </w:trPr>
        <w:tc>
          <w:tcPr>
            <w:tcW w:w="6938" w:type="dxa"/>
            <w:gridSpan w:val="6"/>
            <w:tcBorders>
              <w:top w:val="nil"/>
              <w:left w:val="nil"/>
              <w:bottom w:val="nil"/>
              <w:right w:val="nil"/>
            </w:tcBorders>
          </w:tcPr>
          <w:p>
            <w:pPr>
              <w:pStyle w:val="yTableNAm"/>
            </w:pPr>
            <w:r>
              <w:rPr>
                <w:b/>
              </w:rPr>
              <w:t xml:space="preserve">Elect go to court — </w:t>
            </w:r>
            <w:r>
              <w:t>fill in below and post to the address below.</w:t>
            </w:r>
          </w:p>
          <w:p>
            <w:pPr>
              <w:pStyle w:val="yTableNAm"/>
            </w:pPr>
            <w:r>
              <w:t xml:space="preserve">If no election is made for an offence — </w:t>
            </w:r>
          </w:p>
          <w:p>
            <w:pPr>
              <w:pStyle w:val="yTableNAm"/>
            </w:pPr>
            <w:r>
              <w:t>One reminder notice will be sent (a reminder fee applies).</w:t>
            </w:r>
          </w:p>
          <w:p>
            <w:pPr>
              <w:pStyle w:val="yTableNAm"/>
            </w:pPr>
            <w:r>
              <w:t>After that you may (without a court hearing) be convicted of the offence and the unpaid fee amount will be your fine.  Court costs will be added.</w:t>
            </w:r>
          </w:p>
        </w:tc>
      </w:tr>
      <w:tr>
        <w:trPr>
          <w:cantSplit/>
        </w:trPr>
        <w:tc>
          <w:tcPr>
            <w:tcW w:w="6938" w:type="dxa"/>
            <w:gridSpan w:val="6"/>
            <w:tcBorders>
              <w:top w:val="nil"/>
              <w:left w:val="nil"/>
              <w:bottom w:val="nil"/>
              <w:right w:val="nil"/>
            </w:tcBorders>
          </w:tcPr>
          <w:p>
            <w:pPr>
              <w:pStyle w:val="yTableNAm"/>
            </w:pPr>
            <w:r>
              <w:t>I, ......................................................................................................................</w:t>
            </w:r>
          </w:p>
          <w:p>
            <w:pPr>
              <w:pStyle w:val="yTableNAm"/>
            </w:pPr>
            <w:r>
              <w:t>of .....................................................................................................................</w:t>
            </w:r>
          </w:p>
          <w:p>
            <w:pPr>
              <w:pStyle w:val="yTableNAm"/>
              <w:rPr>
                <w:b/>
              </w:rPr>
            </w:pPr>
            <w:r>
              <w:t>............................................................................... Post code .........................</w:t>
            </w:r>
          </w:p>
          <w:p>
            <w:pPr>
              <w:pStyle w:val="yTableNAm"/>
            </w:pPr>
            <w:r>
              <w:t>Elect to attend court in relation to the alleged offence.</w:t>
            </w:r>
          </w:p>
          <w:p>
            <w:pPr>
              <w:pStyle w:val="yTableNAm"/>
            </w:pPr>
            <w:r>
              <w:t>Dated ............................... Signed ...................................................................</w:t>
            </w:r>
          </w:p>
        </w:tc>
      </w:tr>
      <w:tr>
        <w:trPr>
          <w:cantSplit/>
        </w:trPr>
        <w:tc>
          <w:tcPr>
            <w:tcW w:w="6938" w:type="dxa"/>
            <w:gridSpan w:val="6"/>
            <w:tcBorders>
              <w:top w:val="nil"/>
              <w:left w:val="nil"/>
              <w:bottom w:val="nil"/>
              <w:right w:val="nil"/>
            </w:tcBorders>
          </w:tcPr>
          <w:p>
            <w:pPr>
              <w:pStyle w:val="yTableNAm"/>
            </w:pPr>
            <w:r>
              <w:t>If enforcement proceedings are taken against you, your driver’s licence and/or vehicle licence may be suspended until you pay the modified penalty and expenses or you elect to go to court.</w:t>
            </w:r>
          </w:p>
        </w:tc>
      </w:tr>
      <w:tr>
        <w:trPr>
          <w:cantSplit/>
        </w:trPr>
        <w:tc>
          <w:tcPr>
            <w:tcW w:w="6938" w:type="dxa"/>
            <w:gridSpan w:val="6"/>
            <w:tcBorders>
              <w:top w:val="nil"/>
              <w:left w:val="nil"/>
              <w:bottom w:val="nil"/>
              <w:right w:val="nil"/>
            </w:tcBorders>
          </w:tcPr>
          <w:p>
            <w:pPr>
              <w:pStyle w:val="yTableNAm"/>
            </w:pPr>
            <w:r>
              <w:t>Further information is available at:</w:t>
            </w:r>
          </w:p>
          <w:p>
            <w:pPr>
              <w:pStyle w:val="yTableNAm"/>
            </w:pPr>
            <w:r>
              <w:tab/>
            </w:r>
            <w:r>
              <w:rPr>
                <w:szCs w:val="22"/>
                <w:u w:val="single"/>
              </w:rPr>
              <w:t>www.health.wa.gov.au/parking/infringement</w:t>
            </w:r>
            <w:r>
              <w:br/>
            </w:r>
            <w:r>
              <w:tab/>
              <w:t xml:space="preserve">or by phoning 1800 753 181 Monday </w:t>
            </w:r>
            <w:r>
              <w:noBreakHyphen/>
              <w:t xml:space="preserve"> Friday 8.30 a.m.</w:t>
            </w:r>
            <w:r>
              <w:noBreakHyphen/>
              <w:t>4 p.m.</w:t>
            </w:r>
            <w:r>
              <w:br/>
            </w:r>
            <w:r>
              <w:tab/>
              <w:t>or email : parking@health.wa.gov.au</w:t>
            </w:r>
            <w:r>
              <w:br/>
            </w:r>
            <w:r>
              <w:tab/>
              <w:t>Metropolitan Access and Parking</w:t>
            </w:r>
            <w:r>
              <w:br/>
            </w:r>
            <w:r>
              <w:tab/>
              <w:t>PO Box 1135 Osborne Park WA 6916</w:t>
            </w:r>
          </w:p>
        </w:tc>
      </w:tr>
    </w:tbl>
    <w:p>
      <w:pPr>
        <w:pStyle w:val="yFootnotesection"/>
      </w:pPr>
      <w:r>
        <w:tab/>
        <w:t>[Form 1 inserted in Gazette 13 Jun 2014 p. 1890</w:t>
      </w:r>
      <w:r>
        <w:noBreakHyphen/>
        <w:t>2; amended in Gazette 8 Jan 2015 p. 171</w:t>
      </w:r>
      <w:r>
        <w:noBreakHyphen/>
        <w:t>2.]</w:t>
      </w:r>
    </w:p>
    <w:p>
      <w:pPr>
        <w:pStyle w:val="yMiscellaneousHeading"/>
        <w:rPr>
          <w:b/>
        </w:rPr>
      </w:pPr>
      <w:r>
        <w:rPr>
          <w:rStyle w:val="CharSClsNo"/>
          <w:b/>
        </w:rPr>
        <w:t>Form 2</w:t>
      </w:r>
      <w:r>
        <w:rPr>
          <w:b/>
        </w:rPr>
        <w:t>: Withdrawal of Infringement Notice (by</w:t>
      </w:r>
      <w:r>
        <w:rPr>
          <w:b/>
        </w:rPr>
        <w:noBreakHyphen/>
        <w:t>law 19(1))</w:t>
      </w:r>
    </w:p>
    <w:p>
      <w:pPr>
        <w:pStyle w:val="yMiscellaneousHeading"/>
      </w:pPr>
      <w:r>
        <w:t>Government of Western Australia</w:t>
      </w:r>
    </w:p>
    <w:p>
      <w:pPr>
        <w:pStyle w:val="yMiscellaneousHeading"/>
        <w:rPr>
          <w:szCs w:val="22"/>
        </w:rPr>
      </w:pPr>
      <w:r>
        <w:rPr>
          <w:szCs w:val="22"/>
        </w:rPr>
        <w:t>Department of Health</w:t>
      </w:r>
    </w:p>
    <w:p>
      <w:pPr>
        <w:pStyle w:val="yMiscellaneousHeading"/>
        <w:rPr>
          <w:szCs w:val="22"/>
        </w:rPr>
      </w:pPr>
      <w:r>
        <w:rPr>
          <w:szCs w:val="22"/>
        </w:rPr>
        <w:t>Metropolitan Access and Parking Department</w:t>
      </w:r>
    </w:p>
    <w:p>
      <w:pPr>
        <w:pStyle w:val="yMiscellaneousBody"/>
        <w:keepNext/>
      </w:pPr>
    </w:p>
    <w:p>
      <w:pPr>
        <w:pStyle w:val="yMiscellaneousBody"/>
        <w:keepNext/>
      </w:pPr>
      <w:r>
        <w:t>Date ................................................</w:t>
      </w:r>
    </w:p>
    <w:p>
      <w:pPr>
        <w:pStyle w:val="yMiscellaneousBody"/>
      </w:pPr>
      <w:r>
        <w:t>Infringement notice ........................</w:t>
      </w:r>
    </w:p>
    <w:p>
      <w:pPr>
        <w:pStyle w:val="yMiscellaneousBody"/>
      </w:pPr>
      <w:r>
        <w:t>Dear</w:t>
      </w:r>
    </w:p>
    <w:p>
      <w:pPr>
        <w:pStyle w:val="yMiscellaneousBody"/>
      </w:pPr>
      <w:r>
        <w:t>Infringement notice no. ........................ served on you on ..................................</w:t>
      </w:r>
    </w:p>
    <w:p>
      <w:pPr>
        <w:pStyle w:val="yMiscellaneousBody"/>
      </w:pPr>
      <w:r>
        <w:t>for the alleged offence of ......................................................................................</w:t>
      </w:r>
    </w:p>
    <w:p>
      <w:pPr>
        <w:pStyle w:val="yMiscellaneousBody"/>
      </w:pPr>
      <w:r>
        <w:t>...............................................................................................................................</w:t>
      </w:r>
    </w:p>
    <w:p>
      <w:pPr>
        <w:pStyle w:val="yMiscellaneousBody"/>
      </w:pPr>
      <w:r>
        <w:t>...............................................................................................................................</w:t>
      </w:r>
    </w:p>
    <w:p>
      <w:pPr>
        <w:pStyle w:val="yMiscellaneousBody"/>
      </w:pPr>
      <w:r>
        <w:t>is hereby withdrawn and no further action will be taken against you.</w:t>
      </w:r>
    </w:p>
    <w:p>
      <w:pPr>
        <w:pStyle w:val="yMiscellaneousBody"/>
      </w:pPr>
      <w:r>
        <w:t>If you paid the modified penalty before the infringement notice was withdrawn, please contact 1800 753 191 or post receipt to</w:t>
      </w:r>
    </w:p>
    <w:p>
      <w:pPr>
        <w:pStyle w:val="yMiscellaneousBody"/>
      </w:pPr>
      <w:r>
        <w:t>Metropolitan Access Parking</w:t>
      </w:r>
      <w:r>
        <w:br/>
        <w:t>PO Box 1135</w:t>
      </w:r>
      <w:r>
        <w:br/>
        <w:t>Osborne Park  WA  6916</w:t>
      </w:r>
    </w:p>
    <w:p>
      <w:pPr>
        <w:pStyle w:val="yMiscellaneousBody"/>
      </w:pPr>
      <w:r>
        <w:t>Your payment will be refunded.</w:t>
      </w:r>
    </w:p>
    <w:p>
      <w:pPr>
        <w:pStyle w:val="yMiscellaneousBody"/>
      </w:pPr>
    </w:p>
    <w:p>
      <w:pPr>
        <w:pStyle w:val="yMiscellaneousBody"/>
      </w:pPr>
      <w:r>
        <w:t>Yours sincerely</w:t>
      </w:r>
    </w:p>
    <w:p>
      <w:pPr>
        <w:pStyle w:val="yMiscellaneousBody"/>
      </w:pPr>
    </w:p>
    <w:p>
      <w:pPr>
        <w:pStyle w:val="yMiscellaneousBody"/>
      </w:pPr>
      <w:r>
        <w:rPr>
          <w:b/>
          <w:u w:val="single"/>
        </w:rPr>
        <w:t xml:space="preserve">Signed for and on behalf of </w:t>
      </w:r>
      <w:r>
        <w:rPr>
          <w:b/>
          <w:u w:val="single"/>
        </w:rPr>
        <w:br/>
        <w:t>the Parking Infringement Committee</w:t>
      </w:r>
      <w:r>
        <w:rPr>
          <w:b/>
          <w:u w:val="single"/>
        </w:rPr>
        <w:br/>
      </w:r>
      <w:r>
        <w:t>Metropolitan Access and Parking Department</w:t>
      </w:r>
    </w:p>
    <w:p>
      <w:pPr>
        <w:pStyle w:val="yFootnotesection"/>
      </w:pPr>
      <w:r>
        <w:tab/>
        <w:t>[Form 2 inserted in Gazette 13 Jun 2014 p. 1892.]</w:t>
      </w:r>
    </w:p>
    <w:p>
      <w:pPr>
        <w:pStyle w:val="CentredBaseLine"/>
        <w:jc w:val="center"/>
        <w:rPr>
          <w:snapToGrid w:val="0"/>
        </w:rPr>
      </w:pPr>
      <w:r>
        <w:rPr>
          <w:noProof/>
        </w:rPr>
        <w:drawing>
          <wp:inline distT="0" distB="0" distL="0" distR="0">
            <wp:extent cx="1162050" cy="180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pPr>
      <w:bookmarkStart w:id="130" w:name="_Toc408567644"/>
      <w:bookmarkStart w:id="131" w:name="_Toc412629478"/>
      <w:bookmarkStart w:id="132" w:name="_Toc412629517"/>
      <w:bookmarkStart w:id="133" w:name="_Toc416697791"/>
      <w:bookmarkStart w:id="134" w:name="_Toc416705758"/>
      <w:bookmarkStart w:id="135" w:name="_Toc417550292"/>
      <w:bookmarkStart w:id="136" w:name="_Toc417551406"/>
      <w:bookmarkStart w:id="137" w:name="_Toc440358308"/>
      <w:r>
        <w:t>Notes</w:t>
      </w:r>
      <w:bookmarkEnd w:id="130"/>
      <w:bookmarkEnd w:id="131"/>
      <w:bookmarkEnd w:id="132"/>
      <w:bookmarkEnd w:id="133"/>
      <w:bookmarkEnd w:id="134"/>
      <w:bookmarkEnd w:id="135"/>
      <w:bookmarkEnd w:id="136"/>
      <w:bookmarkEnd w:id="137"/>
    </w:p>
    <w:p>
      <w:pPr>
        <w:pStyle w:val="nSubsection"/>
      </w:pPr>
      <w:r>
        <w:rPr>
          <w:vertAlign w:val="superscript"/>
        </w:rPr>
        <w:t>1</w:t>
      </w:r>
      <w:r>
        <w:tab/>
        <w:t xml:space="preserve">This reprint is a compilation as at 5 February 2016 of the </w:t>
      </w:r>
      <w:r>
        <w:rPr>
          <w:i/>
          <w:noProof/>
        </w:rPr>
        <w:t>Armadale Kelmscott District Memorial Hospital By-laws 2002</w:t>
      </w:r>
      <w:r>
        <w:t xml:space="preserve"> and includes the amendments made by the other written laws referred to in the following table.  The table also contains information about any reprint.</w:t>
      </w:r>
    </w:p>
    <w:p>
      <w:pPr>
        <w:pStyle w:val="nHeading3"/>
      </w:pPr>
      <w:bookmarkStart w:id="138" w:name="_Toc440358309"/>
      <w:r>
        <w:t>Compilation table</w:t>
      </w:r>
      <w:bookmarkEnd w:id="13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Armadale Kelmscott District Memorial Hospital By</w:t>
            </w:r>
            <w:r>
              <w:rPr>
                <w:i/>
              </w:rPr>
              <w:noBreakHyphen/>
              <w:t>laws 2002</w:t>
            </w:r>
          </w:p>
        </w:tc>
        <w:tc>
          <w:tcPr>
            <w:tcW w:w="1276" w:type="dxa"/>
          </w:tcPr>
          <w:p>
            <w:pPr>
              <w:pStyle w:val="nTable"/>
              <w:spacing w:after="40"/>
            </w:pPr>
            <w:r>
              <w:t>18 Jan 2002 p. 297-320</w:t>
            </w:r>
          </w:p>
        </w:tc>
        <w:tc>
          <w:tcPr>
            <w:tcW w:w="2693" w:type="dxa"/>
          </w:tcPr>
          <w:p>
            <w:pPr>
              <w:pStyle w:val="nTable"/>
              <w:spacing w:after="40"/>
            </w:pPr>
            <w:r>
              <w:t>18 Jan 2002</w:t>
            </w:r>
          </w:p>
        </w:tc>
      </w:tr>
      <w:tr>
        <w:tc>
          <w:tcPr>
            <w:tcW w:w="3118" w:type="dxa"/>
          </w:tcPr>
          <w:p>
            <w:pPr>
              <w:pStyle w:val="nTable"/>
              <w:spacing w:after="40"/>
              <w:rPr>
                <w:i/>
              </w:rPr>
            </w:pPr>
            <w:r>
              <w:rPr>
                <w:i/>
              </w:rPr>
              <w:t>Armadale Kelmscott District Memorial Hospital Amendment By</w:t>
            </w:r>
            <w:r>
              <w:rPr>
                <w:i/>
              </w:rPr>
              <w:noBreakHyphen/>
              <w:t>laws 2008</w:t>
            </w:r>
          </w:p>
        </w:tc>
        <w:tc>
          <w:tcPr>
            <w:tcW w:w="1276" w:type="dxa"/>
          </w:tcPr>
          <w:p>
            <w:pPr>
              <w:pStyle w:val="nTable"/>
              <w:spacing w:after="40"/>
            </w:pPr>
            <w:r>
              <w:t>12 Feb 2008 p. 338</w:t>
            </w:r>
            <w:r>
              <w:noBreakHyphen/>
              <w:t>9</w:t>
            </w:r>
          </w:p>
        </w:tc>
        <w:tc>
          <w:tcPr>
            <w:tcW w:w="2693" w:type="dxa"/>
          </w:tcPr>
          <w:p>
            <w:pPr>
              <w:pStyle w:val="nTable"/>
              <w:spacing w:after="40"/>
            </w:pPr>
            <w:r>
              <w:rPr>
                <w:snapToGrid w:val="0"/>
              </w:rPr>
              <w:t>bl. 1 and 2: 12 Feb 2008 (see bl. 2(a));</w:t>
            </w:r>
            <w:r>
              <w:rPr>
                <w:snapToGrid w:val="0"/>
              </w:rPr>
              <w:br/>
              <w:t>By-laws other than bl. 1 and 2: 13 Feb 2008 (see bl. 2(b))</w:t>
            </w:r>
          </w:p>
        </w:tc>
      </w:tr>
      <w:tr>
        <w:tc>
          <w:tcPr>
            <w:tcW w:w="3118" w:type="dxa"/>
            <w:shd w:val="clear" w:color="auto" w:fill="auto"/>
          </w:tcPr>
          <w:p>
            <w:pPr>
              <w:pStyle w:val="nTable"/>
              <w:spacing w:after="40"/>
              <w:rPr>
                <w:i/>
              </w:rPr>
            </w:pPr>
            <w:r>
              <w:rPr>
                <w:i/>
              </w:rPr>
              <w:t>Armadale Kelmscott District Memorial Hospital Amendment By</w:t>
            </w:r>
            <w:r>
              <w:rPr>
                <w:i/>
              </w:rPr>
              <w:noBreakHyphen/>
              <w:t>laws 2010</w:t>
            </w:r>
            <w:r>
              <w:rPr>
                <w:iCs/>
              </w:rPr>
              <w:t xml:space="preserve"> </w:t>
            </w:r>
          </w:p>
        </w:tc>
        <w:tc>
          <w:tcPr>
            <w:tcW w:w="1276" w:type="dxa"/>
            <w:shd w:val="clear" w:color="auto" w:fill="auto"/>
          </w:tcPr>
          <w:p>
            <w:pPr>
              <w:pStyle w:val="nTable"/>
              <w:spacing w:after="40"/>
            </w:pPr>
            <w:r>
              <w:t>26 Nov 2010 p. 5934-5</w:t>
            </w:r>
          </w:p>
        </w:tc>
        <w:tc>
          <w:tcPr>
            <w:tcW w:w="2693" w:type="dxa"/>
            <w:shd w:val="clear" w:color="auto" w:fill="auto"/>
          </w:tcPr>
          <w:p>
            <w:pPr>
              <w:pStyle w:val="nTable"/>
              <w:spacing w:after="40"/>
              <w:rPr>
                <w:snapToGrid w:val="0"/>
              </w:rPr>
            </w:pPr>
            <w:r>
              <w:rPr>
                <w:snapToGrid w:val="0"/>
              </w:rPr>
              <w:t>bl. 1 and 2: 26 Nov 2010 (see bl. 2(a));</w:t>
            </w:r>
            <w:r>
              <w:rPr>
                <w:snapToGrid w:val="0"/>
              </w:rPr>
              <w:br/>
              <w:t>By-laws other than bl. 1 and 2: 1 Jan 2011 (see bl. 2(b))</w:t>
            </w:r>
          </w:p>
        </w:tc>
      </w:tr>
      <w:tr>
        <w:tc>
          <w:tcPr>
            <w:tcW w:w="3118" w:type="dxa"/>
            <w:shd w:val="clear" w:color="auto" w:fill="auto"/>
          </w:tcPr>
          <w:p>
            <w:pPr>
              <w:pStyle w:val="nTable"/>
              <w:spacing w:after="40"/>
              <w:rPr>
                <w:i/>
              </w:rPr>
            </w:pPr>
            <w:r>
              <w:rPr>
                <w:i/>
              </w:rPr>
              <w:t>Armadale Kelmscott District Memorial Hospital Amendment By</w:t>
            </w:r>
            <w:r>
              <w:rPr>
                <w:i/>
              </w:rPr>
              <w:noBreakHyphen/>
              <w:t xml:space="preserve">laws (No. 2) 2014 </w:t>
            </w:r>
          </w:p>
        </w:tc>
        <w:tc>
          <w:tcPr>
            <w:tcW w:w="1276" w:type="dxa"/>
            <w:shd w:val="clear" w:color="auto" w:fill="auto"/>
          </w:tcPr>
          <w:p>
            <w:pPr>
              <w:pStyle w:val="nTable"/>
              <w:spacing w:after="40"/>
            </w:pPr>
            <w:r>
              <w:t>13 Jun 2014 p. 1889</w:t>
            </w:r>
            <w:r>
              <w:noBreakHyphen/>
              <w:t>92</w:t>
            </w:r>
          </w:p>
        </w:tc>
        <w:tc>
          <w:tcPr>
            <w:tcW w:w="2693" w:type="dxa"/>
            <w:shd w:val="clear" w:color="auto" w:fill="auto"/>
          </w:tcPr>
          <w:p>
            <w:pPr>
              <w:pStyle w:val="nTable"/>
              <w:spacing w:after="40"/>
              <w:rPr>
                <w:snapToGrid w:val="0"/>
              </w:rPr>
            </w:pPr>
            <w:r>
              <w:rPr>
                <w:snapToGrid w:val="0"/>
              </w:rPr>
              <w:t>bl. 1 and 2: 13 Jun 2014 (see bl. 2(a));</w:t>
            </w:r>
            <w:r>
              <w:rPr>
                <w:snapToGrid w:val="0"/>
              </w:rPr>
              <w:br/>
              <w:t>By-laws other than bl. 1 and 2: 1 Jul 2014 (see bl. 2(b))</w:t>
            </w:r>
          </w:p>
        </w:tc>
      </w:tr>
      <w:tr>
        <w:tc>
          <w:tcPr>
            <w:tcW w:w="3118" w:type="dxa"/>
            <w:shd w:val="clear" w:color="auto" w:fill="auto"/>
          </w:tcPr>
          <w:p>
            <w:pPr>
              <w:pStyle w:val="nTable"/>
              <w:spacing w:after="40"/>
              <w:rPr>
                <w:i/>
              </w:rPr>
            </w:pPr>
            <w:r>
              <w:rPr>
                <w:i/>
              </w:rPr>
              <w:t>Armadale Kelmscott District Memorial Hospital Amendment By</w:t>
            </w:r>
            <w:r>
              <w:rPr>
                <w:i/>
              </w:rPr>
              <w:noBreakHyphen/>
              <w:t>laws 2014</w:t>
            </w:r>
          </w:p>
        </w:tc>
        <w:tc>
          <w:tcPr>
            <w:tcW w:w="1276" w:type="dxa"/>
            <w:shd w:val="clear" w:color="auto" w:fill="auto"/>
          </w:tcPr>
          <w:p>
            <w:pPr>
              <w:pStyle w:val="nTable"/>
              <w:spacing w:after="40"/>
            </w:pPr>
            <w:r>
              <w:t>8 Jan 2015 p. 169</w:t>
            </w:r>
            <w:r>
              <w:noBreakHyphen/>
              <w:t>72</w:t>
            </w:r>
          </w:p>
        </w:tc>
        <w:tc>
          <w:tcPr>
            <w:tcW w:w="2693" w:type="dxa"/>
            <w:shd w:val="clear" w:color="auto" w:fill="auto"/>
          </w:tcPr>
          <w:p>
            <w:pPr>
              <w:pStyle w:val="nTable"/>
              <w:spacing w:after="40"/>
              <w:rPr>
                <w:snapToGrid w:val="0"/>
              </w:rPr>
            </w:pPr>
            <w:r>
              <w:rPr>
                <w:snapToGrid w:val="0"/>
              </w:rPr>
              <w:t>bl. 1 and 2: 8 Jan 2015 (see bl. 2(a));</w:t>
            </w:r>
            <w:r>
              <w:rPr>
                <w:snapToGrid w:val="0"/>
              </w:rPr>
              <w:br/>
              <w:t xml:space="preserve">By-laws other than bl. 1 and 2: 27 Apr 2015 (see bl. 2(b) and </w:t>
            </w:r>
            <w:r>
              <w:rPr>
                <w:i/>
                <w:snapToGrid w:val="0"/>
              </w:rPr>
              <w:t>Gazette</w:t>
            </w:r>
            <w:r>
              <w:rPr>
                <w:snapToGrid w:val="0"/>
              </w:rPr>
              <w:t xml:space="preserve"> 17 Apr 2015 p. 1371)</w:t>
            </w:r>
          </w:p>
        </w:tc>
      </w:tr>
      <w:tr>
        <w:tc>
          <w:tcPr>
            <w:tcW w:w="3118" w:type="dxa"/>
            <w:shd w:val="clear" w:color="auto" w:fill="auto"/>
          </w:tcPr>
          <w:p>
            <w:pPr>
              <w:pStyle w:val="nTable"/>
              <w:spacing w:after="40"/>
              <w:rPr>
                <w:i/>
              </w:rPr>
            </w:pPr>
            <w:r>
              <w:rPr>
                <w:i/>
              </w:rPr>
              <w:t>Armadale Kelmscott District Memorial Hospital Amendment By</w:t>
            </w:r>
            <w:r>
              <w:rPr>
                <w:i/>
              </w:rPr>
              <w:noBreakHyphen/>
              <w:t>laws 2015</w:t>
            </w:r>
          </w:p>
        </w:tc>
        <w:tc>
          <w:tcPr>
            <w:tcW w:w="1276" w:type="dxa"/>
            <w:shd w:val="clear" w:color="auto" w:fill="auto"/>
          </w:tcPr>
          <w:p>
            <w:pPr>
              <w:pStyle w:val="nTable"/>
              <w:spacing w:after="40"/>
            </w:pPr>
            <w:r>
              <w:t>14 Apr 2015 p. 1324</w:t>
            </w:r>
            <w:r>
              <w:noBreakHyphen/>
              <w:t>7</w:t>
            </w:r>
          </w:p>
        </w:tc>
        <w:tc>
          <w:tcPr>
            <w:tcW w:w="2693" w:type="dxa"/>
            <w:shd w:val="clear" w:color="auto" w:fill="auto"/>
          </w:tcPr>
          <w:p>
            <w:pPr>
              <w:pStyle w:val="nTable"/>
              <w:spacing w:after="40"/>
              <w:rPr>
                <w:snapToGrid w:val="0"/>
              </w:rPr>
            </w:pPr>
            <w:r>
              <w:rPr>
                <w:snapToGrid w:val="0"/>
              </w:rPr>
              <w:t>bl. 1 and 2: 14 Apr 2015 (see bl. 2(a));</w:t>
            </w:r>
            <w:r>
              <w:rPr>
                <w:snapToGrid w:val="0"/>
              </w:rPr>
              <w:br/>
              <w:t>By-laws other than bl. 1 and 2: 15 Apr 2015 (see bl. 2(b))</w:t>
            </w:r>
          </w:p>
        </w:tc>
      </w:tr>
      <w:tr>
        <w:tc>
          <w:tcPr>
            <w:tcW w:w="7087" w:type="dxa"/>
            <w:gridSpan w:val="3"/>
            <w:tcBorders>
              <w:bottom w:val="single" w:sz="8" w:space="0" w:color="auto"/>
            </w:tcBorders>
            <w:shd w:val="clear" w:color="auto" w:fill="auto"/>
          </w:tcPr>
          <w:p>
            <w:pPr>
              <w:pStyle w:val="nTable"/>
              <w:spacing w:after="40"/>
              <w:rPr>
                <w:snapToGrid w:val="0"/>
              </w:rPr>
            </w:pPr>
            <w:r>
              <w:rPr>
                <w:b/>
                <w:snapToGrid w:val="0"/>
              </w:rPr>
              <w:t xml:space="preserve">Reprint 1: The </w:t>
            </w:r>
            <w:r>
              <w:rPr>
                <w:b/>
                <w:i/>
                <w:noProof/>
                <w:snapToGrid w:val="0"/>
              </w:rPr>
              <w:t>Armadale Kelmscott District Memorial Hospital By-laws 2002</w:t>
            </w:r>
            <w:r>
              <w:rPr>
                <w:b/>
                <w:snapToGrid w:val="0"/>
              </w:rPr>
              <w:t xml:space="preserve"> as at 5 Feb 2016</w:t>
            </w:r>
            <w:r>
              <w:rPr>
                <w:snapToGrid w:val="0"/>
              </w:rPr>
              <w:t xml:space="preserve"> (includes amendments listed above)</w:t>
            </w:r>
          </w:p>
        </w:tc>
      </w:tr>
    </w:tbl>
    <w:p/>
    <w:p>
      <w:pPr>
        <w:sectPr>
          <w:headerReference w:type="even" r:id="rId31"/>
          <w:headerReference w:type="default" r:id="rId32"/>
          <w:headerReference w:type="first" r:id="rId33"/>
          <w:pgSz w:w="11907" w:h="16840" w:code="9"/>
          <w:pgMar w:top="2376" w:right="2404" w:bottom="3544" w:left="2404" w:header="720" w:footer="3380" w:gutter="0"/>
          <w:cols w:space="720"/>
          <w:noEndnote/>
          <w:docGrid w:linePitch="326"/>
        </w:sectPr>
      </w:pPr>
    </w:p>
    <w:p>
      <w:pPr>
        <w:pStyle w:val="nHeading2"/>
        <w:rPr>
          <w:sz w:val="28"/>
        </w:rPr>
      </w:pPr>
      <w:bookmarkStart w:id="140" w:name="_Toc440358310"/>
      <w:r>
        <w:rPr>
          <w:sz w:val="28"/>
        </w:rPr>
        <w:t>Defined terms</w:t>
      </w:r>
      <w:bookmarkEnd w:id="1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alleged offender</w:t>
      </w:r>
      <w:r>
        <w:tab/>
        <w:t>17</w:t>
      </w:r>
    </w:p>
    <w:p>
      <w:pPr>
        <w:pStyle w:val="DefinedTerms"/>
      </w:pPr>
      <w:r>
        <w:t>authorised person</w:t>
      </w:r>
      <w:r>
        <w:tab/>
        <w:t>2(1)</w:t>
      </w:r>
    </w:p>
    <w:p>
      <w:pPr>
        <w:pStyle w:val="DefinedTerms"/>
      </w:pPr>
      <w:r>
        <w:t>board</w:t>
      </w:r>
      <w:r>
        <w:tab/>
        <w:t>2(1)</w:t>
      </w:r>
    </w:p>
    <w:p>
      <w:pPr>
        <w:pStyle w:val="DefinedTerms"/>
      </w:pPr>
      <w:r>
        <w:t>chief executive officer</w:t>
      </w:r>
      <w:r>
        <w:tab/>
        <w:t>2(1)</w:t>
      </w:r>
    </w:p>
    <w:p>
      <w:pPr>
        <w:pStyle w:val="DefinedTerms"/>
      </w:pPr>
      <w:r>
        <w:t>driver</w:t>
      </w:r>
      <w:r>
        <w:tab/>
        <w:t>2(1)</w:t>
      </w:r>
    </w:p>
    <w:p>
      <w:pPr>
        <w:pStyle w:val="DefinedTerms"/>
      </w:pPr>
      <w:r>
        <w:t>infringement notice</w:t>
      </w:r>
      <w:r>
        <w:tab/>
        <w:t>17</w:t>
      </w:r>
    </w:p>
    <w:p>
      <w:pPr>
        <w:pStyle w:val="DefinedTerms"/>
      </w:pPr>
      <w:r>
        <w:t>modified penalty</w:t>
      </w:r>
      <w:r>
        <w:tab/>
        <w:t>17</w:t>
      </w:r>
    </w:p>
    <w:p>
      <w:pPr>
        <w:pStyle w:val="DefinedTerms"/>
      </w:pPr>
      <w:r>
        <w:t>parking facility</w:t>
      </w:r>
      <w:r>
        <w:tab/>
        <w:t>2(1)</w:t>
      </w:r>
    </w:p>
    <w:p>
      <w:pPr>
        <w:pStyle w:val="DefinedTerms"/>
      </w:pPr>
      <w:r>
        <w:t>parking space</w:t>
      </w:r>
      <w:r>
        <w:tab/>
        <w:t>2(1)</w:t>
      </w:r>
    </w:p>
    <w:p>
      <w:pPr>
        <w:pStyle w:val="DefinedTerms"/>
      </w:pPr>
      <w:r>
        <w:t>permission</w:t>
      </w:r>
      <w:r>
        <w:tab/>
        <w:t>2(2)</w:t>
      </w:r>
    </w:p>
    <w:p>
      <w:pPr>
        <w:pStyle w:val="DefinedTerms"/>
      </w:pPr>
      <w:r>
        <w:t>permit</w:t>
      </w:r>
      <w:r>
        <w:tab/>
        <w:t>2(1)</w:t>
      </w:r>
    </w:p>
    <w:p>
      <w:pPr>
        <w:pStyle w:val="DefinedTerms"/>
      </w:pPr>
      <w:r>
        <w:t>prohibited item</w:t>
      </w:r>
      <w:r>
        <w:tab/>
        <w:t>5(1)</w:t>
      </w:r>
    </w:p>
    <w:p>
      <w:pPr>
        <w:pStyle w:val="DefinedTerms"/>
      </w:pPr>
      <w:r>
        <w:t>responsible person</w:t>
      </w:r>
      <w:r>
        <w:tab/>
        <w:t>2(1)</w:t>
      </w:r>
    </w:p>
    <w:p>
      <w:pPr>
        <w:pStyle w:val="DefinedTerms"/>
      </w:pPr>
      <w:r>
        <w:t>roadway</w:t>
      </w:r>
      <w:r>
        <w:tab/>
        <w:t>2(1)</w:t>
      </w:r>
    </w:p>
    <w:p>
      <w:pPr>
        <w:pStyle w:val="DefinedTerms"/>
      </w:pPr>
      <w:r>
        <w:t>sign</w:t>
      </w:r>
      <w:r>
        <w:tab/>
        <w:t>2(1)</w:t>
      </w:r>
    </w:p>
    <w:p>
      <w:pPr>
        <w:pStyle w:val="DefinedTerms"/>
      </w:pPr>
      <w:r>
        <w:t>site</w:t>
      </w:r>
      <w:r>
        <w:tab/>
        <w:t>2(1)</w:t>
      </w:r>
    </w:p>
    <w:p>
      <w:pPr>
        <w:pStyle w:val="DefinedTerms"/>
      </w:pPr>
      <w:r>
        <w:t>specified</w:t>
      </w:r>
      <w:r>
        <w:tab/>
        <w:t>4(4), 15(2), 16(7)</w:t>
      </w:r>
    </w:p>
    <w:p>
      <w:pPr>
        <w:pStyle w:val="DefinedTerms"/>
      </w:pPr>
      <w:r>
        <w:t>speed restriction sign</w:t>
      </w:r>
      <w:r>
        <w:tab/>
        <w:t>2(1)</w:t>
      </w:r>
    </w:p>
    <w:p>
      <w:pPr>
        <w:pStyle w:val="DefinedTerms"/>
      </w:pPr>
      <w:r>
        <w:t>vehicle</w:t>
      </w:r>
      <w:r>
        <w:tab/>
        <w:t>2(1)</w:t>
      </w:r>
    </w:p>
    <w:p>
      <w:pPr>
        <w:pStyle w:val="DefinedTerms"/>
        <w:sectPr>
          <w:headerReference w:type="even" r:id="rId34"/>
          <w:headerReference w:type="default" r:id="rId35"/>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5185" cy="2451100"/>
                <wp:effectExtent l="0" t="0" r="1905" b="6350"/>
                <wp:wrapNone/>
                <wp:docPr id="2" name="Authority"/>
                <wp:cNvGraphicFramePr/>
                <a:graphic xmlns:a="http://schemas.openxmlformats.org/drawingml/2006/main">
                  <a:graphicData uri="http://schemas.microsoft.com/office/word/2010/wordprocessingShape">
                    <wps:wsp>
                      <wps:cNvSpPr txBox="1"/>
                      <wps:spPr>
                        <a:xfrm>
                          <a:off x="0" y="0"/>
                          <a:ext cx="125185"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9.8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" stroked="f" strokeweight=".5pt">
                <v:textbox>
                  <w:txbxContent>
                    <w:p w:rsidR="008D6692" w:rsidRDefault="008D6692">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23</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Armadale Kelmscott District Memorial Hospital By-laws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Armadale Kelmscott District Memorial Hospital By-laws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21" w:name="Schedule"/>
    <w:bookmarkEnd w:id="12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Armadale Kelmscott District Memorial Hospital By-laws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t>Infringement Notices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Armadale Kelmscott District Memorial Hospital By-laws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Infringement Notices and Modified Penalties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Armadale Kelmscott District Memorial Hospital By-laws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Armadale Kelmscott District Memorial Hospital By-laws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9" w:name="Compilation"/>
    <w:bookmarkEnd w:id="13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Armadale Kelmscott District Memorial Hospital By-laws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Armadale Kelmscott District Memorial Hospital By-laws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1" w:name="DefinedTerms"/>
    <w:bookmarkEnd w:id="14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2" w:name="Coversheet"/>
    <w:bookmarkEnd w:id="14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Armadale Kelmscott District Memorial Hospital By-laws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Armadale Kelmscott District Memorial Hospital By-laws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Armadale Kelmscott District Memorial Hospital By-laws 2002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Armadale Kelmscott District Memorial Hospital By-laws 2002</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3ECD58"/>
    <w:lvl w:ilvl="0">
      <w:start w:val="1"/>
      <w:numFmt w:val="decimal"/>
      <w:lvlText w:val="%1."/>
      <w:lvlJc w:val="left"/>
      <w:pPr>
        <w:tabs>
          <w:tab w:val="num" w:pos="1492"/>
        </w:tabs>
        <w:ind w:left="1492" w:hanging="360"/>
      </w:pPr>
    </w:lvl>
  </w:abstractNum>
  <w:abstractNum w:abstractNumId="1">
    <w:nsid w:val="FFFFFF7D"/>
    <w:multiLevelType w:val="singleLevel"/>
    <w:tmpl w:val="AA26F9E2"/>
    <w:lvl w:ilvl="0">
      <w:start w:val="1"/>
      <w:numFmt w:val="decimal"/>
      <w:lvlText w:val="%1."/>
      <w:lvlJc w:val="left"/>
      <w:pPr>
        <w:tabs>
          <w:tab w:val="num" w:pos="1209"/>
        </w:tabs>
        <w:ind w:left="1209" w:hanging="360"/>
      </w:pPr>
    </w:lvl>
  </w:abstractNum>
  <w:abstractNum w:abstractNumId="2">
    <w:nsid w:val="FFFFFF7E"/>
    <w:multiLevelType w:val="singleLevel"/>
    <w:tmpl w:val="E1B6A3A6"/>
    <w:lvl w:ilvl="0">
      <w:start w:val="1"/>
      <w:numFmt w:val="decimal"/>
      <w:lvlText w:val="%1."/>
      <w:lvlJc w:val="left"/>
      <w:pPr>
        <w:tabs>
          <w:tab w:val="num" w:pos="926"/>
        </w:tabs>
        <w:ind w:left="926" w:hanging="360"/>
      </w:pPr>
    </w:lvl>
  </w:abstractNum>
  <w:abstractNum w:abstractNumId="3">
    <w:nsid w:val="FFFFFF7F"/>
    <w:multiLevelType w:val="singleLevel"/>
    <w:tmpl w:val="A2262564"/>
    <w:lvl w:ilvl="0">
      <w:start w:val="1"/>
      <w:numFmt w:val="decimal"/>
      <w:lvlText w:val="%1."/>
      <w:lvlJc w:val="left"/>
      <w:pPr>
        <w:tabs>
          <w:tab w:val="num" w:pos="643"/>
        </w:tabs>
        <w:ind w:left="643" w:hanging="360"/>
      </w:pPr>
    </w:lvl>
  </w:abstractNum>
  <w:abstractNum w:abstractNumId="4">
    <w:nsid w:val="FFFFFF80"/>
    <w:multiLevelType w:val="singleLevel"/>
    <w:tmpl w:val="6D08531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1AE0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5672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3A3AC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96243BA"/>
    <w:lvl w:ilvl="0">
      <w:start w:val="1"/>
      <w:numFmt w:val="decimal"/>
      <w:lvlText w:val="%1."/>
      <w:lvlJc w:val="left"/>
      <w:pPr>
        <w:tabs>
          <w:tab w:val="num" w:pos="360"/>
        </w:tabs>
        <w:ind w:left="360" w:hanging="360"/>
      </w:pPr>
    </w:lvl>
  </w:abstractNum>
  <w:abstractNum w:abstractNumId="9">
    <w:nsid w:val="FFFFFF89"/>
    <w:multiLevelType w:val="singleLevel"/>
    <w:tmpl w:val="E0E20378"/>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36C4614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AU" w:vendorID="8" w:dllVersion="513"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15708"/>
    <w:docVar w:name="WAFER_20140120154028" w:val="RemoveTocBookmarks,RemoveUnusedBookmarks,RemoveLanguageTags,UsedStyles,ResetPageSize,UpdateArrangement"/>
    <w:docVar w:name="WAFER_20140120154028_GUID" w:val="e2079f9f-b5d8-4af7-81bd-4dbb6e504907"/>
    <w:docVar w:name="WAFER_20140120154501" w:val="RemoveTocBookmarks,RunningHeaders"/>
    <w:docVar w:name="WAFER_20140120154501_GUID" w:val="cec53bc7-3145-4395-b1e3-838777d1bc49"/>
    <w:docVar w:name="WAFER_20140612162752" w:val="RemoveTocBookmarks,RemoveUnusedBookmarks,RemoveLanguageTags,UsedStyles,ResetPageSize,UpdateArrangement"/>
    <w:docVar w:name="WAFER_20140612162752_GUID" w:val="2d5d7b22-3708-43c5-9a6d-c1ffc476b5b8"/>
    <w:docVar w:name="WAFER_20140617153755" w:val="RemoveTocBookmarks,RemoveUnusedBookmarks,RemoveLanguageTags,UsedStyles,ResetPageSize,UpdateArrangement"/>
    <w:docVar w:name="WAFER_20140617153755_GUID" w:val="8f8405ad-70db-4dac-97ec-addafcf5c44d"/>
    <w:docVar w:name="WAFER_20150109114625" w:val="RemoveTocBookmarks,RunningHeaders"/>
    <w:docVar w:name="WAFER_20150109114625_GUID" w:val="4ea1fbf6-f001-4fa8-a151-de863743d5de"/>
    <w:docVar w:name="WAFER_20150225120806" w:val="ResetPageSize,UpdateArrangement,UpdateNTable"/>
    <w:docVar w:name="WAFER_20150225120806_GUID" w:val="8c653182-028c-4700-b2a3-3895ea7533ea"/>
    <w:docVar w:name="WAFER_20151102115708" w:val="UpdateStyles,UsedStyles"/>
    <w:docVar w:name="WAFER_20151102115708_GUID" w:val="a14aa7bf-f79e-4a5e-b776-979f398617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uiPriority w:val="99"/>
    <w:semiHidden/>
    <w:rPr>
      <w:b/>
      <w:bCs/>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uiPriority w:val="99"/>
    <w:semiHidden/>
    <w:rPr>
      <w:b/>
      <w:bCs/>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5308</Words>
  <Characters>25589</Characters>
  <Application>Microsoft Office Word</Application>
  <DocSecurity>0</DocSecurity>
  <Lines>882</Lines>
  <Paragraphs>582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30315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Kelmscott District Memorial Hospital By-laws 2002 - 01-00-00</dc:title>
  <dc:subject/>
  <dc:creator/>
  <cp:keywords/>
  <dc:description/>
  <cp:lastModifiedBy>svcMRProcess</cp:lastModifiedBy>
  <cp:revision>4</cp:revision>
  <cp:lastPrinted>2016-02-16T04:00:00Z</cp:lastPrinted>
  <dcterms:created xsi:type="dcterms:W3CDTF">2018-09-22T06:15:00Z</dcterms:created>
  <dcterms:modified xsi:type="dcterms:W3CDTF">2018-09-22T06:15:00Z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Jan 2002 p. 297-320</vt:lpwstr>
  </property>
  <property fmtid="{D5CDD505-2E9C-101B-9397-08002B2CF9AE}" pid="3" name="DocumentType">
    <vt:lpwstr>Reg</vt:lpwstr>
  </property>
  <property fmtid="{D5CDD505-2E9C-101B-9397-08002B2CF9AE}" pid="4" name="OwlsUID">
    <vt:i4>3460</vt:i4>
  </property>
  <property fmtid="{D5CDD505-2E9C-101B-9397-08002B2CF9AE}" pid="5" name="CommencementDate">
    <vt:lpwstr>20160205</vt:lpwstr>
  </property>
  <property fmtid="{D5CDD505-2E9C-101B-9397-08002B2CF9AE}" pid="6" name="AsAtDate">
    <vt:lpwstr>05 Feb 2016</vt:lpwstr>
  </property>
  <property fmtid="{D5CDD505-2E9C-101B-9397-08002B2CF9AE}" pid="7" name="Suffix">
    <vt:lpwstr>01-00-00</vt:lpwstr>
  </property>
  <property fmtid="{D5CDD505-2E9C-101B-9397-08002B2CF9AE}" pid="8" name="ReprintedAsAt">
    <vt:filetime>2016-02-04T16:00:00Z</vt:filetime>
  </property>
  <property fmtid="{D5CDD505-2E9C-101B-9397-08002B2CF9AE}" pid="9" name="ReprintNo">
    <vt:lpwstr>1</vt:lpwstr>
  </property>
</Properties>
</file>