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Parliamentary Commissioner Act 1971</w:t>
      </w:r>
      <w:r>
        <w:rPr>
          <w:sz w:val="48"/>
        </w:rPr>
        <w:fldChar w:fldCharType="end"/>
      </w:r>
    </w:p>
    <w:p>
      <w:pPr>
        <w:pStyle w:val="ReprintNo"/>
      </w:pPr>
      <w:r>
        <w:t>Reprint 10:  The Act as at 4 March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E8289A" w:rsidRDefault="00E8289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E8289A" w:rsidRDefault="00E8289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E8289A" w:rsidRDefault="00E8289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E8289A" w:rsidRDefault="00E8289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720"/>
        </w:tabs>
        <w:ind w:left="1134" w:hanging="283"/>
        <w:rPr>
          <w:sz w:val="20"/>
        </w:rPr>
      </w:pPr>
      <w:r>
        <w:rPr>
          <w:sz w:val="20"/>
        </w:rPr>
        <w:t>removed (because it was repealed or deleted from the law); or</w:t>
      </w:r>
    </w:p>
    <w:p>
      <w:pPr>
        <w:numPr>
          <w:ilvl w:val="0"/>
          <w:numId w:val="16"/>
        </w:numPr>
        <w:tabs>
          <w:tab w:val="clear" w:pos="720"/>
        </w:tabs>
        <w:ind w:left="1134" w:hanging="283"/>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Parliamentary Commissioner Act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_Toc441668299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_Toc441668300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_Toc441668301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Term used: authority</w:t>
      </w:r>
      <w:r>
        <w:tab/>
      </w:r>
      <w:r>
        <w:fldChar w:fldCharType="begin"/>
      </w:r>
      <w:r>
        <w:instrText xml:space="preserve"> PAGEREF _Toc441668302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The Parliamentary Commissioner for Administrative Investigations</w:t>
      </w:r>
    </w:p>
    <w:p>
      <w:pPr>
        <w:pStyle w:val="TOC8"/>
        <w:rPr>
          <w:rFonts w:asciiTheme="minorHAnsi" w:eastAsiaTheme="minorEastAsia" w:hAnsiTheme="minorHAnsi" w:cstheme="minorBidi"/>
          <w:szCs w:val="22"/>
        </w:rPr>
      </w:pPr>
      <w:r>
        <w:t>5</w:t>
      </w:r>
      <w:r>
        <w:rPr>
          <w:snapToGrid w:val="0"/>
        </w:rPr>
        <w:t>.</w:t>
      </w:r>
      <w:r>
        <w:rPr>
          <w:snapToGrid w:val="0"/>
        </w:rPr>
        <w:tab/>
        <w:t>Commissioner and Deputy Commissioner, appointment of etc.</w:t>
      </w:r>
      <w:r>
        <w:tab/>
      </w:r>
      <w:r>
        <w:fldChar w:fldCharType="begin"/>
      </w:r>
      <w:r>
        <w:instrText xml:space="preserve"> PAGEREF _Toc441668304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or suspension of Commissioner or Deputy Commissioner</w:t>
      </w:r>
      <w:r>
        <w:tab/>
      </w:r>
      <w:r>
        <w:fldChar w:fldCharType="begin"/>
      </w:r>
      <w:r>
        <w:instrText xml:space="preserve"> PAGEREF _Toc441668305 \h </w:instrText>
      </w:r>
      <w:r>
        <w:fldChar w:fldCharType="separate"/>
      </w:r>
      <w:r>
        <w:t>8</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Deputy Parliamentary Commissioner, functions of</w:t>
      </w:r>
      <w:r>
        <w:tab/>
      </w:r>
      <w:r>
        <w:fldChar w:fldCharType="begin"/>
      </w:r>
      <w:r>
        <w:instrText xml:space="preserve"> PAGEREF _Toc441668306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Parliamentary Commissioner, appointment of etc.</w:t>
      </w:r>
      <w:r>
        <w:tab/>
      </w:r>
      <w:r>
        <w:fldChar w:fldCharType="begin"/>
      </w:r>
      <w:r>
        <w:instrText xml:space="preserve"> PAGEREF _Toc441668307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Oath or affirmation of Commissioner, Deputy Commissioner and Acting Commissioner</w:t>
      </w:r>
      <w:r>
        <w:tab/>
      </w:r>
      <w:r>
        <w:fldChar w:fldCharType="begin"/>
      </w:r>
      <w:r>
        <w:instrText xml:space="preserve"> PAGEREF _Toc441668308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Staff of Commissioner</w:t>
      </w:r>
      <w:r>
        <w:tab/>
      </w:r>
      <w:r>
        <w:fldChar w:fldCharType="begin"/>
      </w:r>
      <w:r>
        <w:instrText xml:space="preserve"> PAGEREF _Toc441668309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provisions as to Commissioner and other officers</w:t>
      </w:r>
      <w:r>
        <w:tab/>
      </w:r>
      <w:r>
        <w:fldChar w:fldCharType="begin"/>
      </w:r>
      <w:r>
        <w:instrText xml:space="preserve"> PAGEREF _Toc441668310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Commissioner</w:t>
      </w:r>
      <w:r>
        <w:tab/>
      </w:r>
      <w:r>
        <w:fldChar w:fldCharType="begin"/>
      </w:r>
      <w:r>
        <w:instrText xml:space="preserve"> PAGEREF _Toc441668311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Rules of Parliament</w:t>
      </w:r>
      <w:r>
        <w:tab/>
      </w:r>
      <w:r>
        <w:fldChar w:fldCharType="begin"/>
      </w:r>
      <w:r>
        <w:instrText xml:space="preserve"> PAGEREF _Toc441668312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and functions of the Commissioner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Extent of jurisdiction</w:t>
      </w:r>
    </w:p>
    <w:p>
      <w:pPr>
        <w:pStyle w:val="TOC8"/>
        <w:rPr>
          <w:rFonts w:asciiTheme="minorHAnsi" w:eastAsiaTheme="minorEastAsia" w:hAnsiTheme="minorHAnsi" w:cstheme="minorBidi"/>
          <w:szCs w:val="22"/>
        </w:rPr>
      </w:pPr>
      <w:r>
        <w:t>13</w:t>
      </w:r>
      <w:r>
        <w:rPr>
          <w:snapToGrid w:val="0"/>
        </w:rPr>
        <w:t>.</w:t>
      </w:r>
      <w:r>
        <w:rPr>
          <w:snapToGrid w:val="0"/>
        </w:rPr>
        <w:tab/>
        <w:t>Departments and authorities subject to investigation</w:t>
      </w:r>
      <w:r>
        <w:tab/>
      </w:r>
      <w:r>
        <w:fldChar w:fldCharType="begin"/>
      </w:r>
      <w:r>
        <w:instrText xml:space="preserve"> PAGEREF _Toc441668315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Matters subject to investigation</w:t>
      </w:r>
      <w:r>
        <w:tab/>
      </w:r>
      <w:r>
        <w:fldChar w:fldCharType="begin"/>
      </w:r>
      <w:r>
        <w:instrText xml:space="preserve"> PAGEREF _Toc441668316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Initiation of investigations</w:t>
      </w:r>
    </w:p>
    <w:p>
      <w:pPr>
        <w:pStyle w:val="TOC8"/>
        <w:rPr>
          <w:rFonts w:asciiTheme="minorHAnsi" w:eastAsiaTheme="minorEastAsia" w:hAnsiTheme="minorHAnsi" w:cstheme="minorBidi"/>
          <w:szCs w:val="22"/>
        </w:rPr>
      </w:pPr>
      <w:r>
        <w:t>15</w:t>
      </w:r>
      <w:r>
        <w:rPr>
          <w:snapToGrid w:val="0"/>
        </w:rPr>
        <w:t>.</w:t>
      </w:r>
      <w:r>
        <w:rPr>
          <w:snapToGrid w:val="0"/>
        </w:rPr>
        <w:tab/>
        <w:t>Investigations on reference by Parliament</w:t>
      </w:r>
      <w:r>
        <w:tab/>
      </w:r>
      <w:r>
        <w:fldChar w:fldCharType="begin"/>
      </w:r>
      <w:r>
        <w:instrText xml:space="preserve"> PAGEREF _Toc441668318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Initiation of investigations</w:t>
      </w:r>
      <w:r>
        <w:tab/>
      </w:r>
      <w:r>
        <w:fldChar w:fldCharType="begin"/>
      </w:r>
      <w:r>
        <w:instrText xml:space="preserve"> PAGEREF _Toc441668319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Complaints to Commissioner</w:t>
      </w:r>
      <w:r>
        <w:tab/>
      </w:r>
      <w:r>
        <w:fldChar w:fldCharType="begin"/>
      </w:r>
      <w:r>
        <w:instrText xml:space="preserve"> PAGEREF _Toc441668320 \h </w:instrText>
      </w:r>
      <w:r>
        <w:fldChar w:fldCharType="separate"/>
      </w:r>
      <w:r>
        <w:t>21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Complaints by persons in custody</w:t>
      </w:r>
      <w:r>
        <w:tab/>
      </w:r>
      <w:r>
        <w:fldChar w:fldCharType="begin"/>
      </w:r>
      <w:r>
        <w:instrText xml:space="preserve"> PAGEREF _Toc441668321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Refusal to investigate complaints</w:t>
      </w:r>
      <w:r>
        <w:tab/>
      </w:r>
      <w:r>
        <w:fldChar w:fldCharType="begin"/>
      </w:r>
      <w:r>
        <w:instrText xml:space="preserve"> PAGEREF _Toc441668322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3A — Deaths of certain children</w:t>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_Toc441668324 \h </w:instrText>
      </w:r>
      <w:r>
        <w:fldChar w:fldCharType="separate"/>
      </w:r>
      <w:r>
        <w:t>25</w:t>
      </w:r>
      <w:r>
        <w:fldChar w:fldCharType="end"/>
      </w:r>
    </w:p>
    <w:p>
      <w:pPr>
        <w:pStyle w:val="TOC8"/>
        <w:rPr>
          <w:rFonts w:asciiTheme="minorHAnsi" w:eastAsiaTheme="minorEastAsia" w:hAnsiTheme="minorHAnsi" w:cstheme="minorBidi"/>
          <w:szCs w:val="22"/>
        </w:rPr>
      </w:pPr>
      <w:r>
        <w:t>19B.</w:t>
      </w:r>
      <w:r>
        <w:tab/>
        <w:t>Functions as to investigable deaths</w:t>
      </w:r>
      <w:r>
        <w:tab/>
      </w:r>
      <w:r>
        <w:fldChar w:fldCharType="begin"/>
      </w:r>
      <w:r>
        <w:instrText xml:space="preserve"> PAGEREF _Toc441668325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Conduct of investigations</w:t>
      </w:r>
    </w:p>
    <w:p>
      <w:pPr>
        <w:pStyle w:val="TOC8"/>
        <w:rPr>
          <w:rFonts w:asciiTheme="minorHAnsi" w:eastAsiaTheme="minorEastAsia" w:hAnsiTheme="minorHAnsi" w:cstheme="minorBidi"/>
          <w:szCs w:val="22"/>
        </w:rPr>
      </w:pPr>
      <w:r>
        <w:t>19</w:t>
      </w:r>
      <w:r>
        <w:rPr>
          <w:snapToGrid w:val="0"/>
        </w:rPr>
        <w:t>.</w:t>
      </w:r>
      <w:r>
        <w:rPr>
          <w:snapToGrid w:val="0"/>
        </w:rPr>
        <w:tab/>
        <w:t>Proceedings on investigations</w:t>
      </w:r>
      <w:r>
        <w:tab/>
      </w:r>
      <w:r>
        <w:fldChar w:fldCharType="begin"/>
      </w:r>
      <w:r>
        <w:instrText xml:space="preserve"> PAGEREF _Toc441668327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Commissioner has powers under </w:t>
      </w:r>
      <w:r>
        <w:rPr>
          <w:i/>
          <w:iCs/>
          <w:snapToGrid w:val="0"/>
        </w:rPr>
        <w:t>Royal Commissions Act 1968</w:t>
      </w:r>
      <w:r>
        <w:rPr>
          <w:snapToGrid w:val="0"/>
        </w:rPr>
        <w:t>; privilege and secrecy provisions</w:t>
      </w:r>
      <w:r>
        <w:tab/>
      </w:r>
      <w:r>
        <w:fldChar w:fldCharType="begin"/>
      </w:r>
      <w:r>
        <w:instrText xml:space="preserve"> PAGEREF _Toc441668328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enter premises</w:t>
      </w:r>
      <w:r>
        <w:tab/>
      </w:r>
      <w:r>
        <w:fldChar w:fldCharType="begin"/>
      </w:r>
      <w:r>
        <w:instrText xml:space="preserve"> PAGEREF _Toc441668329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Protection for proceedings in Cabinet</w:t>
      </w:r>
      <w:r>
        <w:tab/>
      </w:r>
      <w:r>
        <w:fldChar w:fldCharType="begin"/>
      </w:r>
      <w:r>
        <w:instrText xml:space="preserve"> PAGEREF _Toc441668330 \h </w:instrText>
      </w:r>
      <w:r>
        <w:fldChar w:fldCharType="separate"/>
      </w:r>
      <w:r>
        <w:t>30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Consultation</w:t>
      </w:r>
      <w:r>
        <w:tab/>
      </w:r>
      <w:r>
        <w:fldChar w:fldCharType="begin"/>
      </w:r>
      <w:r>
        <w:instrText xml:space="preserve"> PAGEREF _Toc441668331 \h </w:instrText>
      </w:r>
      <w:r>
        <w:fldChar w:fldCharType="separate"/>
      </w:r>
      <w:r>
        <w:t>30</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Disclosure of certain information</w:t>
      </w:r>
      <w:r>
        <w:tab/>
      </w:r>
      <w:r>
        <w:fldChar w:fldCharType="begin"/>
      </w:r>
      <w:r>
        <w:instrText xml:space="preserve"> PAGEREF _Toc441668332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Secrecy</w:t>
      </w:r>
      <w:r>
        <w:tab/>
      </w:r>
      <w:r>
        <w:fldChar w:fldCharType="begin"/>
      </w:r>
      <w:r>
        <w:instrText xml:space="preserve"> PAGEREF _Toc441668333 \h </w:instrText>
      </w:r>
      <w:r>
        <w:fldChar w:fldCharType="separate"/>
      </w:r>
      <w:r>
        <w:t>33</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Documents sent to or by Commissioner not admissible</w:t>
      </w:r>
      <w:r>
        <w:tab/>
      </w:r>
      <w:r>
        <w:fldChar w:fldCharType="begin"/>
      </w:r>
      <w:r>
        <w:instrText xml:space="preserve"> PAGEREF _Toc441668334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Obstruction</w:t>
      </w:r>
      <w:r>
        <w:tab/>
      </w:r>
      <w:r>
        <w:fldChar w:fldCharType="begin"/>
      </w:r>
      <w:r>
        <w:instrText xml:space="preserve"> PAGEREF _Toc441668335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Action on investigations</w:t>
      </w:r>
    </w:p>
    <w:p>
      <w:pPr>
        <w:pStyle w:val="TOC8"/>
        <w:rPr>
          <w:rFonts w:asciiTheme="minorHAnsi" w:eastAsiaTheme="minorEastAsia" w:hAnsiTheme="minorHAnsi" w:cstheme="minorBidi"/>
          <w:szCs w:val="22"/>
        </w:rPr>
      </w:pPr>
      <w:r>
        <w:t>25</w:t>
      </w:r>
      <w:r>
        <w:rPr>
          <w:snapToGrid w:val="0"/>
        </w:rPr>
        <w:t>.</w:t>
      </w:r>
      <w:r>
        <w:rPr>
          <w:snapToGrid w:val="0"/>
        </w:rPr>
        <w:tab/>
        <w:t>Procedure on completion of investigation</w:t>
      </w:r>
      <w:r>
        <w:tab/>
      </w:r>
      <w:r>
        <w:fldChar w:fldCharType="begin"/>
      </w:r>
      <w:r>
        <w:instrText xml:space="preserve"> PAGEREF _Toc441668337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Information to complainant on investigation</w:t>
      </w:r>
      <w:r>
        <w:tab/>
      </w:r>
      <w:r>
        <w:fldChar w:fldCharType="begin"/>
      </w:r>
      <w:r>
        <w:instrText xml:space="preserve"> PAGEREF _Toc441668338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Annual and other reports of the Commissioner</w:t>
      </w:r>
    </w:p>
    <w:p>
      <w:pPr>
        <w:pStyle w:val="TOC8"/>
        <w:rPr>
          <w:rFonts w:asciiTheme="minorHAnsi" w:eastAsiaTheme="minorEastAsia" w:hAnsiTheme="minorHAnsi" w:cstheme="minorBidi"/>
          <w:szCs w:val="22"/>
        </w:rPr>
      </w:pPr>
      <w:r>
        <w:t>27</w:t>
      </w:r>
      <w:r>
        <w:rPr>
          <w:snapToGrid w:val="0"/>
        </w:rPr>
        <w:t>.</w:t>
      </w:r>
      <w:r>
        <w:rPr>
          <w:snapToGrid w:val="0"/>
        </w:rPr>
        <w:tab/>
        <w:t>Commissioner may report to Parliament</w:t>
      </w:r>
      <w:r>
        <w:tab/>
      </w:r>
      <w:r>
        <w:fldChar w:fldCharType="begin"/>
      </w:r>
      <w:r>
        <w:instrText xml:space="preserve"> PAGEREF _Toc441668340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29</w:t>
      </w:r>
      <w:r>
        <w:rPr>
          <w:snapToGrid w:val="0"/>
        </w:rPr>
        <w:t>.</w:t>
      </w:r>
      <w:r>
        <w:rPr>
          <w:snapToGrid w:val="0"/>
        </w:rPr>
        <w:tab/>
        <w:t>Supreme Court may determine jurisdictional questions</w:t>
      </w:r>
      <w:r>
        <w:tab/>
      </w:r>
      <w:r>
        <w:fldChar w:fldCharType="begin"/>
      </w:r>
      <w:r>
        <w:instrText xml:space="preserve"> PAGEREF _Toc441668342 \h </w:instrText>
      </w:r>
      <w:r>
        <w:fldChar w:fldCharType="separate"/>
      </w:r>
      <w:r>
        <w:t>39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Protection of Commissioner and officers</w:t>
      </w:r>
      <w:r>
        <w:tab/>
      </w:r>
      <w:r>
        <w:fldChar w:fldCharType="begin"/>
      </w:r>
      <w:r>
        <w:instrText xml:space="preserve"> PAGEREF _Toc441668343 \h </w:instrText>
      </w:r>
      <w:r>
        <w:fldChar w:fldCharType="separate"/>
      </w:r>
      <w:r>
        <w:t>39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Protection of complainants etc.</w:t>
      </w:r>
      <w:r>
        <w:tab/>
      </w:r>
      <w:r>
        <w:fldChar w:fldCharType="begin"/>
      </w:r>
      <w:r>
        <w:instrText xml:space="preserve"> PAGEREF _Toc441668344 \h </w:instrText>
      </w:r>
      <w:r>
        <w:fldChar w:fldCharType="separate"/>
      </w:r>
      <w:r>
        <w:t>40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Victimisation</w:t>
      </w:r>
      <w:r>
        <w:tab/>
      </w:r>
      <w:r>
        <w:fldChar w:fldCharType="begin"/>
      </w:r>
      <w:r>
        <w:instrText xml:space="preserve"> PAGEREF _Toc441668345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General penalty</w:t>
      </w:r>
      <w:r>
        <w:tab/>
      </w:r>
      <w:r>
        <w:fldChar w:fldCharType="begin"/>
      </w:r>
      <w:r>
        <w:instrText xml:space="preserve"> PAGEREF _Toc441668346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Expenses of Act</w:t>
      </w:r>
      <w:r>
        <w:tab/>
      </w:r>
      <w:r>
        <w:fldChar w:fldCharType="begin"/>
      </w:r>
      <w:r>
        <w:instrText xml:space="preserve"> PAGEREF _Toc441668347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_Toc441668348 \h </w:instrText>
      </w:r>
      <w:r>
        <w:fldChar w:fldCharType="separate"/>
      </w:r>
      <w:r>
        <w:t>42</w:t>
      </w:r>
      <w:r>
        <w:fldChar w:fldCharType="end"/>
      </w:r>
    </w:p>
    <w:p>
      <w:pPr>
        <w:pStyle w:val="TOC8"/>
        <w:rPr>
          <w:rFonts w:asciiTheme="minorHAnsi" w:eastAsiaTheme="minorEastAsia" w:hAnsiTheme="minorHAnsi" w:cstheme="minorBidi"/>
          <w:szCs w:val="22"/>
        </w:rPr>
      </w:pPr>
      <w:r>
        <w:t>34.</w:t>
      </w:r>
      <w:r>
        <w:tab/>
        <w:t>Energy and water ombudsman schemes</w:t>
      </w:r>
      <w:r>
        <w:tab/>
      </w:r>
      <w:r>
        <w:fldChar w:fldCharType="begin"/>
      </w:r>
      <w:r>
        <w:instrText xml:space="preserve"> PAGEREF _Toc441668349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Departments and authorities, and extent, to which this Act does not apply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_Toc441668352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_Toc441668353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0"/>
      </w:pPr>
      <w:r>
        <w:t>Western Australia</w:t>
      </w:r>
    </w:p>
    <w:p>
      <w:pPr>
        <w:pStyle w:val="NameofActReg"/>
        <w:spacing w:before="960"/>
      </w:pPr>
      <w:r>
        <w:t>Parliamentary Commissioner Act 1971</w:t>
      </w:r>
    </w:p>
    <w:p>
      <w:pPr>
        <w:pStyle w:val="LongTitle"/>
        <w:rPr>
          <w:snapToGrid w:val="0"/>
        </w:rPr>
      </w:pPr>
      <w:r>
        <w:rPr>
          <w:snapToGrid w:val="0"/>
        </w:rPr>
        <w:t>An Act to provide for the appointment of a Parliamentary Commissioner for Administrative Investigations with functions relating to the investigation of administrative action taken by or on behalf of certain departments and authorities and to the deaths of certain children and for incidental purposes.</w:t>
      </w:r>
    </w:p>
    <w:p>
      <w:pPr>
        <w:pStyle w:val="Footnotelongtitle"/>
      </w:pPr>
      <w:r>
        <w:tab/>
        <w:t>[Long title amended by No. 78 of 1996 s. 4; No. 78 of 2003 s. 72(1); No. 10 of 2009 s. 4.]</w:t>
      </w:r>
    </w:p>
    <w:p>
      <w:pPr>
        <w:pStyle w:val="Heading2"/>
      </w:pPr>
      <w:bookmarkStart w:id="3" w:name="_Toc441668298"/>
      <w:r>
        <w:rPr>
          <w:rStyle w:val="CharPartNo"/>
        </w:rPr>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441668299"/>
      <w:r>
        <w:rPr>
          <w:rStyle w:val="CharSectno"/>
        </w:rPr>
        <w:t>1</w:t>
      </w:r>
      <w:r>
        <w:rPr>
          <w:snapToGrid w:val="0"/>
        </w:rPr>
        <w:t>.</w:t>
      </w:r>
      <w:r>
        <w:rPr>
          <w:snapToGrid w:val="0"/>
        </w:rPr>
        <w:tab/>
        <w:t>Short title</w:t>
      </w:r>
      <w:bookmarkEnd w:id="4"/>
    </w:p>
    <w:p>
      <w:pPr>
        <w:pStyle w:val="Subsection"/>
        <w:spacing w:before="140"/>
        <w:rPr>
          <w:snapToGrid w:val="0"/>
        </w:rPr>
      </w:pPr>
      <w:r>
        <w:rPr>
          <w:snapToGrid w:val="0"/>
        </w:rPr>
        <w:tab/>
      </w:r>
      <w:r>
        <w:rPr>
          <w:snapToGrid w:val="0"/>
        </w:rPr>
        <w:tab/>
        <w:t xml:space="preserve">This Act may be cited as the </w:t>
      </w:r>
      <w:r>
        <w:rPr>
          <w:i/>
          <w:snapToGrid w:val="0"/>
        </w:rPr>
        <w:t>Parliamentary Commissioner Act 1971</w:t>
      </w:r>
      <w:r>
        <w:rPr>
          <w:snapToGrid w:val="0"/>
        </w:rPr>
        <w:t xml:space="preserve"> </w:t>
      </w:r>
      <w:r>
        <w:rPr>
          <w:snapToGrid w:val="0"/>
          <w:vertAlign w:val="superscript"/>
        </w:rPr>
        <w:t>1</w:t>
      </w:r>
      <w:r>
        <w:rPr>
          <w:snapToGrid w:val="0"/>
        </w:rPr>
        <w:t>.</w:t>
      </w:r>
    </w:p>
    <w:p>
      <w:pPr>
        <w:pStyle w:val="Heading5"/>
        <w:rPr>
          <w:snapToGrid w:val="0"/>
        </w:rPr>
      </w:pPr>
      <w:bookmarkStart w:id="5" w:name="_Toc441668300"/>
      <w:r>
        <w:rPr>
          <w:rStyle w:val="CharSectno"/>
        </w:rPr>
        <w:t>2</w:t>
      </w:r>
      <w:r>
        <w:rPr>
          <w:snapToGrid w:val="0"/>
        </w:rPr>
        <w:t>.</w:t>
      </w:r>
      <w:r>
        <w:rPr>
          <w:snapToGrid w:val="0"/>
        </w:rPr>
        <w:tab/>
        <w:t>Commencement</w:t>
      </w:r>
      <w:bookmarkEnd w:id="5"/>
    </w:p>
    <w:p>
      <w:pPr>
        <w:pStyle w:val="Subsection"/>
        <w:spacing w:before="14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6" w:name="_Toc441668301"/>
      <w:r>
        <w:rPr>
          <w:rStyle w:val="CharSectno"/>
        </w:rPr>
        <w:t>4</w:t>
      </w:r>
      <w:r>
        <w:rPr>
          <w:snapToGrid w:val="0"/>
        </w:rPr>
        <w:t>.</w:t>
      </w:r>
      <w:r>
        <w:rPr>
          <w:snapToGrid w:val="0"/>
        </w:rPr>
        <w:tab/>
        <w:t>Terms used</w:t>
      </w:r>
      <w:bookmarkEnd w:id="6"/>
    </w:p>
    <w:p>
      <w:pPr>
        <w:pStyle w:val="Subsection"/>
        <w:keepNext/>
        <w:spacing w:before="140"/>
        <w:rPr>
          <w:snapToGrid w:val="0"/>
        </w:rPr>
      </w:pPr>
      <w:r>
        <w:rPr>
          <w:snapToGrid w:val="0"/>
        </w:rPr>
        <w:tab/>
      </w:r>
      <w:r>
        <w:rPr>
          <w:snapToGrid w:val="0"/>
        </w:rPr>
        <w:tab/>
        <w:t>In this Act, unless the contrary intention appears —</w:t>
      </w:r>
    </w:p>
    <w:p>
      <w:pPr>
        <w:pStyle w:val="Defstart"/>
        <w:spacing w:before="70"/>
      </w:pPr>
      <w:r>
        <w:rPr>
          <w:b/>
        </w:rPr>
        <w:tab/>
      </w:r>
      <w:r>
        <w:rPr>
          <w:rStyle w:val="CharDefText"/>
        </w:rPr>
        <w:t>Acting Commissioner</w:t>
      </w:r>
      <w:r>
        <w:t xml:space="preserve"> means the Acting Parliamentary Commissioner for Administrative Investigations appointed under this Act;</w:t>
      </w:r>
    </w:p>
    <w:p>
      <w:pPr>
        <w:pStyle w:val="Defstart"/>
        <w:spacing w:before="70"/>
      </w:pPr>
      <w:r>
        <w:rPr>
          <w:b/>
        </w:rPr>
        <w:tab/>
      </w:r>
      <w:r>
        <w:rPr>
          <w:rStyle w:val="CharDefText"/>
        </w:rPr>
        <w:t>appropriate authority</w:t>
      </w:r>
      <w:r>
        <w:t>, in relation to an investigation under this Act, means the department or authority by which or on behalf of which the action that is the subject of such investigation was taken;</w:t>
      </w:r>
    </w:p>
    <w:p>
      <w:pPr>
        <w:pStyle w:val="Defstart"/>
        <w:spacing w:before="70"/>
      </w:pPr>
      <w:r>
        <w:rPr>
          <w:b/>
        </w:rPr>
        <w:tab/>
      </w:r>
      <w:r>
        <w:rPr>
          <w:rStyle w:val="CharDefText"/>
        </w:rPr>
        <w:t>authority</w:t>
      </w:r>
      <w:r>
        <w:t xml:space="preserve"> has the meaning given by section 4A;</w:t>
      </w:r>
    </w:p>
    <w:p>
      <w:pPr>
        <w:pStyle w:val="Defstart"/>
        <w:spacing w:before="70"/>
      </w:pPr>
      <w:r>
        <w:rPr>
          <w:b/>
        </w:rPr>
        <w:tab/>
      </w:r>
      <w:r>
        <w:rPr>
          <w:rStyle w:val="CharDefText"/>
        </w:rPr>
        <w:t>Commissioner</w:t>
      </w:r>
      <w:r>
        <w:t xml:space="preserve"> means the Parliamentary Commissioner for Administrative Investigations appointed under this Act;</w:t>
      </w:r>
    </w:p>
    <w:p>
      <w:pPr>
        <w:pStyle w:val="Defstart"/>
        <w:spacing w:before="70"/>
      </w:pPr>
      <w:r>
        <w:tab/>
      </w:r>
      <w:r>
        <w:rPr>
          <w:rStyle w:val="CharDefText"/>
        </w:rPr>
        <w:t>contractor</w:t>
      </w:r>
      <w:r>
        <w:t xml:space="preserve"> means a contractor as defined in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spacing w:before="70"/>
      </w:pPr>
      <w:r>
        <w:tab/>
      </w:r>
      <w:r>
        <w:rPr>
          <w:rStyle w:val="CharDefText"/>
        </w:rPr>
        <w:t>Corruption and Crime Commission</w:t>
      </w:r>
      <w:r>
        <w:t xml:space="preserve"> has the meaning given to </w:t>
      </w:r>
      <w:r>
        <w:rPr>
          <w:b/>
          <w:bCs/>
          <w:i/>
          <w:iCs/>
        </w:rPr>
        <w:t>Commission</w:t>
      </w:r>
      <w:r>
        <w:t xml:space="preserve"> under the </w:t>
      </w:r>
      <w:r>
        <w:rPr>
          <w:i/>
        </w:rPr>
        <w:t>Corruption, Crime and Misconduct Act 2003</w:t>
      </w:r>
      <w:r>
        <w:t>;</w:t>
      </w:r>
    </w:p>
    <w:p>
      <w:pPr>
        <w:pStyle w:val="Defstart"/>
        <w:spacing w:before="70"/>
      </w:pPr>
      <w:r>
        <w:rPr>
          <w:b/>
        </w:rPr>
        <w:tab/>
      </w:r>
      <w:r>
        <w:rPr>
          <w:rStyle w:val="CharDefText"/>
        </w:rPr>
        <w:t>department</w:t>
      </w:r>
      <w:r>
        <w:t xml:space="preserve"> means a department of the Public Service;</w:t>
      </w:r>
    </w:p>
    <w:p>
      <w:pPr>
        <w:pStyle w:val="Defstart"/>
        <w:spacing w:before="70"/>
      </w:pPr>
      <w:r>
        <w:rPr>
          <w:b/>
        </w:rPr>
        <w:tab/>
      </w:r>
      <w:r>
        <w:rPr>
          <w:rStyle w:val="CharDefText"/>
        </w:rPr>
        <w:t>Deputy Commissioner</w:t>
      </w:r>
      <w:r>
        <w:t xml:space="preserve"> means the Deputy Parliamentary Commissioner for Administrative Investigations appointed under this Act;</w:t>
      </w:r>
    </w:p>
    <w:p>
      <w:pPr>
        <w:pStyle w:val="Defstart"/>
      </w:pPr>
      <w:r>
        <w:rPr>
          <w:b/>
        </w:rPr>
        <w:tab/>
      </w:r>
      <w:r>
        <w:rPr>
          <w:rStyle w:val="CharDefText"/>
        </w:rPr>
        <w:t>Director of Public Prosecutions</w:t>
      </w:r>
      <w:r>
        <w:t xml:space="preserve"> means the Director within the meaning of the </w:t>
      </w:r>
      <w:r>
        <w:rPr>
          <w:i/>
        </w:rPr>
        <w:t>Director of Public Prosecutions Act 1991</w:t>
      </w:r>
      <w:r>
        <w:t>;</w:t>
      </w:r>
    </w:p>
    <w:p>
      <w:pPr>
        <w:pStyle w:val="Defstart"/>
      </w:pPr>
      <w: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officer of the Commissioner</w:t>
      </w:r>
      <w:r>
        <w:t xml:space="preserve"> means an officer appointed under section 9(1);</w:t>
      </w:r>
    </w:p>
    <w:p>
      <w:pPr>
        <w:pStyle w:val="Defstart"/>
      </w:pPr>
      <w:r>
        <w:tab/>
      </w:r>
      <w:r>
        <w:rPr>
          <w:rStyle w:val="CharDefText"/>
        </w:rPr>
        <w:t>officer of the Corruption and Crime Commission</w:t>
      </w:r>
      <w:r>
        <w:t xml:space="preserve"> has the meaning given to </w:t>
      </w:r>
      <w:r>
        <w:rPr>
          <w:b/>
          <w:bCs/>
          <w:i/>
          <w:iCs/>
        </w:rPr>
        <w:t>officer of the Commission</w:t>
      </w:r>
      <w:r>
        <w:t xml:space="preserve"> under the </w:t>
      </w:r>
      <w:r>
        <w:rPr>
          <w:i/>
        </w:rPr>
        <w:t>Corruption, Crime and Misconduct Act 2003</w:t>
      </w:r>
      <w:r>
        <w:t>;</w:t>
      </w:r>
    </w:p>
    <w:p>
      <w:pPr>
        <w:pStyle w:val="Defstart"/>
      </w:pPr>
      <w:r>
        <w:tab/>
      </w:r>
      <w:r>
        <w:rPr>
          <w:rStyle w:val="CharDefText"/>
        </w:rPr>
        <w:t>officer of the Parliamentary Inspector of the Corruption and Crime Commission</w:t>
      </w:r>
      <w:r>
        <w:t xml:space="preserve"> has the meaning given to </w:t>
      </w:r>
      <w:r>
        <w:rPr>
          <w:b/>
          <w:bCs/>
          <w:i/>
          <w:iCs/>
        </w:rPr>
        <w:t>officer of the Parliamentary Inspector</w:t>
      </w:r>
      <w:r>
        <w:t xml:space="preserve"> under the </w:t>
      </w:r>
      <w:r>
        <w:rPr>
          <w:i/>
        </w:rPr>
        <w:t>Corruption, Crime and Misconduct Act 2003</w:t>
      </w:r>
      <w:r>
        <w:t>;</w:t>
      </w:r>
    </w:p>
    <w:p>
      <w:pPr>
        <w:pStyle w:val="Defstart"/>
      </w:pPr>
      <w:r>
        <w:tab/>
      </w:r>
      <w:r>
        <w:rPr>
          <w:rStyle w:val="CharDefText"/>
        </w:rPr>
        <w:t>Parliamentary Inspector of the Corruption and Crime Commission</w:t>
      </w:r>
      <w:r>
        <w:t xml:space="preserve"> has the meaning given to </w:t>
      </w:r>
      <w:r>
        <w:rPr>
          <w:b/>
          <w:bCs/>
          <w:i/>
          <w:iCs/>
        </w:rPr>
        <w:t>Parliamentary Inspector</w:t>
      </w:r>
      <w:r>
        <w:t xml:space="preserve"> under the </w:t>
      </w:r>
      <w:r>
        <w:rPr>
          <w:i/>
        </w:rPr>
        <w:t>Corruption, Crime and Misconduct Act 2003</w:t>
      </w:r>
      <w:r>
        <w:t>;</w:t>
      </w:r>
    </w:p>
    <w:p>
      <w:pPr>
        <w:pStyle w:val="Defstart"/>
      </w:pPr>
      <w:r>
        <w:rPr>
          <w:b/>
        </w:rPr>
        <w:tab/>
      </w:r>
      <w:r>
        <w:rPr>
          <w:rStyle w:val="CharDefText"/>
        </w:rPr>
        <w:t>person aggrieved</w:t>
      </w:r>
      <w:r>
        <w:t>, in relation to a complaint under this Act, means the person who appears from the complaint to be the person personally affected by the action to which the complaint relates;</w:t>
      </w:r>
    </w:p>
    <w:p>
      <w:pPr>
        <w:pStyle w:val="Defstart"/>
        <w:keepNext/>
      </w:pPr>
      <w:r>
        <w:rPr>
          <w:b/>
        </w:rPr>
        <w:tab/>
      </w:r>
      <w:r>
        <w:rPr>
          <w:rStyle w:val="CharDefText"/>
        </w:rPr>
        <w:t>principal officer</w:t>
      </w:r>
      <w:r>
        <w:t xml:space="preserve"> means —</w:t>
      </w:r>
    </w:p>
    <w:p>
      <w:pPr>
        <w:pStyle w:val="Defpara"/>
      </w:pPr>
      <w:r>
        <w:tab/>
        <w:t>(a)</w:t>
      </w:r>
      <w:r>
        <w:tab/>
        <w:t xml:space="preserve">in relation to a department or an organisation within the meaning of the </w:t>
      </w:r>
      <w:r>
        <w:rPr>
          <w:i/>
        </w:rPr>
        <w:t>Public Sector Management Act 1994</w:t>
      </w:r>
      <w:r>
        <w:t>, the chief executive officer or chief employee of the department or organisation; and</w:t>
      </w:r>
    </w:p>
    <w:p>
      <w:pPr>
        <w:pStyle w:val="Defpara"/>
      </w:pPr>
      <w:r>
        <w:tab/>
        <w:t>(aa)</w:t>
      </w:r>
      <w:r>
        <w:tab/>
        <w:t>in relation to a contractor and to any subcontractor under the relevant contract, the holder of the office specified in the relevant contract to be the principal officer for the purposes of this Act; and</w:t>
      </w:r>
    </w:p>
    <w:p>
      <w:pPr>
        <w:pStyle w:val="Defpara"/>
      </w:pPr>
      <w:r>
        <w:tab/>
        <w:t>(b)</w:t>
      </w:r>
      <w:r>
        <w:tab/>
        <w:t>in relation to any other authority, the president, chairman, or other principal or presiding member of the authority or, if the authority is constituted by a single person, that person;</w:t>
      </w:r>
    </w:p>
    <w:p>
      <w:pPr>
        <w:pStyle w:val="Defstart"/>
      </w:pPr>
      <w:r>
        <w:rPr>
          <w:b/>
        </w:rPr>
        <w:tab/>
      </w:r>
      <w:r>
        <w:rPr>
          <w:rStyle w:val="CharDefText"/>
        </w:rPr>
        <w:t>public service officer</w:t>
      </w:r>
      <w:r>
        <w:t xml:space="preserve"> has the meaning that it has in the </w:t>
      </w:r>
      <w:r>
        <w:rPr>
          <w:i/>
        </w:rPr>
        <w:t>Public Sector Management Act 1994</w:t>
      </w:r>
      <w:r>
        <w:t>;</w:t>
      </w:r>
    </w:p>
    <w:p>
      <w:pPr>
        <w:pStyle w:val="Defstart"/>
      </w:pPr>
      <w:r>
        <w:tab/>
      </w:r>
      <w:r>
        <w:rPr>
          <w:rStyle w:val="CharDefText"/>
        </w:rPr>
        <w:t>responsible Minister</w:t>
      </w:r>
      <w:r>
        <w:t xml:space="preserve"> means —</w:t>
      </w:r>
    </w:p>
    <w:p>
      <w:pPr>
        <w:pStyle w:val="Defpara"/>
      </w:pPr>
      <w:r>
        <w:tab/>
        <w:t>(a)</w:t>
      </w:r>
      <w:r>
        <w:tab/>
        <w:t>in relation to action taken by any department or authority, the Minister charged with the administration of that department or the enactment in relation to the functions conferred by, or arising under, which the action was taken; and</w:t>
      </w:r>
    </w:p>
    <w:p>
      <w:pPr>
        <w:pStyle w:val="Defpara"/>
      </w:pPr>
      <w:r>
        <w:tab/>
        <w:t>(b)</w:t>
      </w:r>
      <w:r>
        <w:tab/>
        <w:t xml:space="preserve">in relation to action taken by a contractor or subcontractor,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w:t>
      </w:r>
    </w:p>
    <w:p>
      <w:pPr>
        <w:pStyle w:val="Defstart"/>
      </w:pPr>
      <w:r>
        <w:rPr>
          <w:b/>
        </w:rPr>
        <w:tab/>
      </w:r>
      <w:r>
        <w:rPr>
          <w:rStyle w:val="CharDefText"/>
        </w:rPr>
        <w:t>staff</w:t>
      </w:r>
      <w:r>
        <w:t>, in relation to the Commissioner, means officers of the Commissioner and persons whose services are used under section 9(2a) and persons engaged under section 9(2B);</w:t>
      </w:r>
    </w:p>
    <w:p>
      <w:pPr>
        <w:pStyle w:val="Defstart"/>
        <w:rPr>
          <w:spacing w:val="-4"/>
        </w:rPr>
      </w:pPr>
      <w:r>
        <w:rPr>
          <w:spacing w:val="-4"/>
        </w:rPr>
        <w:tab/>
      </w:r>
      <w:r>
        <w:rPr>
          <w:rStyle w:val="CharDefText"/>
        </w:rPr>
        <w:t>subcontractor</w:t>
      </w:r>
      <w:r>
        <w:rPr>
          <w:spacing w:val="-4"/>
        </w:rPr>
        <w:t xml:space="preserve"> means a subcontractor as defined in the </w:t>
      </w:r>
      <w:r>
        <w:rPr>
          <w:i/>
          <w:spacing w:val="-4"/>
        </w:rPr>
        <w:t>Court Security and Custodial Services Act </w:t>
      </w:r>
      <w:r>
        <w:rPr>
          <w:i/>
        </w:rPr>
        <w:t>1999</w:t>
      </w:r>
      <w:r>
        <w:t xml:space="preserve">, the </w:t>
      </w:r>
      <w:r>
        <w:rPr>
          <w:i/>
        </w:rPr>
        <w:t>Declared Places (Mentally Impaired Accused) Act 2015</w:t>
      </w:r>
      <w:r>
        <w:t xml:space="preserve"> or the </w:t>
      </w:r>
      <w:r>
        <w:rPr>
          <w:i/>
        </w:rPr>
        <w:t>Prisons Act 1981</w:t>
      </w:r>
      <w:r>
        <w:t>, as is relevant to the case</w:t>
      </w:r>
      <w:r>
        <w:rPr>
          <w:spacing w:val="-4"/>
        </w:rPr>
        <w:t>;</w:t>
      </w:r>
    </w:p>
    <w:p>
      <w:pPr>
        <w:pStyle w:val="Defstart"/>
      </w:pPr>
      <w:r>
        <w:rPr>
          <w:b/>
        </w:rPr>
        <w:tab/>
      </w:r>
      <w:r>
        <w:rPr>
          <w:rStyle w:val="CharDefText"/>
        </w:rPr>
        <w:t>tribunal</w:t>
      </w:r>
      <w:r>
        <w:t xml:space="preserve"> includes the person constituting a tribunal consisting of one person.</w:t>
      </w:r>
    </w:p>
    <w:p>
      <w:pPr>
        <w:pStyle w:val="Footnotesection"/>
      </w:pPr>
      <w:r>
        <w:tab/>
        <w:t>[Section 4 amended by No. 13 of 1982 s. 2; No. 73 of 1994 s. 4; No. 78 of 1996 s. 5 and 21; No. 43 of 1999 s. 20; No. 47 of 1999 s. 23; No. 74 of 2003 s. 91(2); No. 75 of 2003 s. 56(1); No. 78 of 2003 s. 72; No. 10 of 2009 s. 5; No. 35 of 2014 s. 36(2); No. 4 of 2015 s. 87(2).]</w:t>
      </w:r>
    </w:p>
    <w:p>
      <w:pPr>
        <w:pStyle w:val="Heading5"/>
        <w:rPr>
          <w:snapToGrid w:val="0"/>
        </w:rPr>
      </w:pPr>
      <w:bookmarkStart w:id="7" w:name="_Toc441668302"/>
      <w:r>
        <w:rPr>
          <w:rStyle w:val="CharSectno"/>
        </w:rPr>
        <w:t>4A</w:t>
      </w:r>
      <w:r>
        <w:rPr>
          <w:snapToGrid w:val="0"/>
        </w:rPr>
        <w:t>.</w:t>
      </w:r>
      <w:r>
        <w:rPr>
          <w:snapToGrid w:val="0"/>
        </w:rPr>
        <w:tab/>
        <w:t>Term used: authority</w:t>
      </w:r>
      <w:bookmarkEnd w:id="7"/>
    </w:p>
    <w:p>
      <w:pPr>
        <w:pStyle w:val="Subsection"/>
        <w:keepNext/>
        <w:rPr>
          <w:snapToGrid w:val="0"/>
        </w:rPr>
      </w:pPr>
      <w:r>
        <w:rPr>
          <w:snapToGrid w:val="0"/>
        </w:rPr>
        <w:tab/>
        <w:t>(1)</w:t>
      </w:r>
      <w:r>
        <w:rPr>
          <w:snapToGrid w:val="0"/>
        </w:rPr>
        <w:tab/>
        <w:t>Each of the following is an authority for the purposes of this Act —</w:t>
      </w:r>
    </w:p>
    <w:p>
      <w:pPr>
        <w:pStyle w:val="Indenta"/>
        <w:rPr>
          <w:snapToGrid w:val="0"/>
        </w:rPr>
      </w:pPr>
      <w:r>
        <w:rPr>
          <w:snapToGrid w:val="0"/>
        </w:rPr>
        <w:tab/>
        <w:t>(a)</w:t>
      </w:r>
      <w:r>
        <w:rPr>
          <w:snapToGrid w:val="0"/>
        </w:rPr>
        <w:tab/>
        <w:t>a local government or regional local government;</w:t>
      </w:r>
    </w:p>
    <w:p>
      <w:pPr>
        <w:pStyle w:val="Indenta"/>
        <w:rPr>
          <w:snapToGrid w:val="0"/>
        </w:rPr>
      </w:pPr>
      <w:r>
        <w:rPr>
          <w:snapToGrid w:val="0"/>
        </w:rPr>
        <w:tab/>
        <w:t>(b)</w:t>
      </w:r>
      <w:r>
        <w:rPr>
          <w:snapToGrid w:val="0"/>
        </w:rPr>
        <w:tab/>
        <w:t xml:space="preserve">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keepNext/>
        <w:rPr>
          <w:snapToGrid w:val="0"/>
        </w:rPr>
      </w:pPr>
      <w:r>
        <w:rPr>
          <w:snapToGrid w:val="0"/>
        </w:rPr>
        <w:tab/>
        <w:t>(c)</w:t>
      </w:r>
      <w:r>
        <w:rPr>
          <w:snapToGrid w:val="0"/>
        </w:rPr>
        <w:tab/>
        <w:t>a body, or the holder of an office, post or position —</w:t>
      </w:r>
    </w:p>
    <w:p>
      <w:pPr>
        <w:pStyle w:val="Indenti"/>
        <w:rPr>
          <w:snapToGrid w:val="0"/>
        </w:rPr>
      </w:pPr>
      <w:r>
        <w:rPr>
          <w:snapToGrid w:val="0"/>
        </w:rPr>
        <w:tab/>
        <w:t>(i)</w:t>
      </w:r>
      <w:r>
        <w:rPr>
          <w:snapToGrid w:val="0"/>
        </w:rPr>
        <w:tab/>
        <w:t>established for a public purpose under a written law; or</w:t>
      </w:r>
    </w:p>
    <w:p>
      <w:pPr>
        <w:pStyle w:val="Indenti"/>
        <w:rPr>
          <w:snapToGrid w:val="0"/>
        </w:rPr>
      </w:pPr>
      <w:r>
        <w:rPr>
          <w:snapToGrid w:val="0"/>
        </w:rPr>
        <w:tab/>
        <w:t>(ii)</w:t>
      </w:r>
      <w:r>
        <w:rPr>
          <w:snapToGrid w:val="0"/>
        </w:rPr>
        <w:tab/>
        <w:t>established by the Governor or a Minister;</w:t>
      </w:r>
    </w:p>
    <w:p>
      <w:pPr>
        <w:pStyle w:val="Indenta"/>
        <w:rPr>
          <w:snapToGrid w:val="0"/>
        </w:rPr>
      </w:pPr>
      <w:r>
        <w:rPr>
          <w:snapToGrid w:val="0"/>
        </w:rPr>
        <w:tab/>
        <w:t>(d)</w:t>
      </w:r>
      <w:r>
        <w:rPr>
          <w:snapToGrid w:val="0"/>
        </w:rPr>
        <w:tab/>
        <w:t>a corporation or association over which control can be exercised by the State, by a Minister, by a department to which this Act applies or by an authority referred to in paragraph (a) or (c) and to which this Act applies;</w:t>
      </w:r>
    </w:p>
    <w:p>
      <w:pPr>
        <w:pStyle w:val="Indenta"/>
        <w:keepNext/>
        <w:rPr>
          <w:snapToGrid w:val="0"/>
        </w:rPr>
      </w:pPr>
      <w:r>
        <w:rPr>
          <w:snapToGrid w:val="0"/>
        </w:rPr>
        <w:tab/>
        <w:t>(e)</w:t>
      </w:r>
      <w:r>
        <w:rPr>
          <w:snapToGrid w:val="0"/>
        </w:rPr>
        <w:tab/>
        <w:t>an individual who, or body which, has been delegated the exercise of any power or the performance of any function of —</w:t>
      </w:r>
    </w:p>
    <w:p>
      <w:pPr>
        <w:pStyle w:val="Indenti"/>
        <w:rPr>
          <w:snapToGrid w:val="0"/>
        </w:rPr>
      </w:pPr>
      <w:r>
        <w:rPr>
          <w:snapToGrid w:val="0"/>
        </w:rPr>
        <w:tab/>
        <w:t>(i)</w:t>
      </w:r>
      <w:r>
        <w:rPr>
          <w:snapToGrid w:val="0"/>
        </w:rPr>
        <w:tab/>
        <w:t>a department to which this Act applies; or</w:t>
      </w:r>
    </w:p>
    <w:p>
      <w:pPr>
        <w:pStyle w:val="Indenti"/>
        <w:rPr>
          <w:snapToGrid w:val="0"/>
        </w:rPr>
      </w:pPr>
      <w:r>
        <w:rPr>
          <w:snapToGrid w:val="0"/>
        </w:rPr>
        <w:tab/>
        <w:t>(ii)</w:t>
      </w:r>
      <w:r>
        <w:rPr>
          <w:snapToGrid w:val="0"/>
        </w:rPr>
        <w:tab/>
        <w:t>an authority referred to in paragraph (a) or (c) and to which this Act applies,</w:t>
      </w:r>
    </w:p>
    <w:p>
      <w:pPr>
        <w:pStyle w:val="Indenta"/>
        <w:rPr>
          <w:snapToGrid w:val="0"/>
        </w:rPr>
      </w:pPr>
      <w:r>
        <w:rPr>
          <w:snapToGrid w:val="0"/>
        </w:rPr>
        <w:tab/>
      </w:r>
      <w:r>
        <w:rPr>
          <w:snapToGrid w:val="0"/>
        </w:rPr>
        <w:tab/>
        <w:t>but only to the extent of the exercise of the power or the performance of the function;</w:t>
      </w:r>
    </w:p>
    <w:p>
      <w:pPr>
        <w:pStyle w:val="Indenta"/>
        <w:rPr>
          <w:snapToGrid w:val="0"/>
        </w:rPr>
      </w:pPr>
      <w:r>
        <w:rPr>
          <w:snapToGrid w:val="0"/>
        </w:rPr>
        <w:tab/>
      </w:r>
      <w:r>
        <w:t>(f)</w:t>
      </w:r>
      <w:r>
        <w:tab/>
        <w:t>a contractor or subcontractor.</w:t>
      </w:r>
    </w:p>
    <w:p>
      <w:pPr>
        <w:pStyle w:val="Subsection"/>
        <w:keepNext/>
        <w:rPr>
          <w:snapToGrid w:val="0"/>
        </w:rPr>
      </w:pPr>
      <w:r>
        <w:rPr>
          <w:snapToGrid w:val="0"/>
        </w:rPr>
        <w:tab/>
        <w:t>(2)</w:t>
      </w:r>
      <w:r>
        <w:rPr>
          <w:snapToGrid w:val="0"/>
        </w:rPr>
        <w:tab/>
        <w:t>In subsection (1)(c) and (e) —</w:t>
      </w:r>
    </w:p>
    <w:p>
      <w:pPr>
        <w:pStyle w:val="Defstart"/>
        <w:keepNext/>
      </w:pPr>
      <w:r>
        <w:rPr>
          <w:b/>
        </w:rPr>
        <w:tab/>
      </w:r>
      <w:r>
        <w:rPr>
          <w:rStyle w:val="CharDefText"/>
        </w:rPr>
        <w:t>body</w:t>
      </w:r>
      <w:r>
        <w:t xml:space="preserve"> includes —</w:t>
      </w:r>
    </w:p>
    <w:p>
      <w:pPr>
        <w:pStyle w:val="Defpara"/>
      </w:pPr>
      <w:r>
        <w:tab/>
        <w:t>(a)</w:t>
      </w:r>
      <w:r>
        <w:tab/>
        <w:t>agency, authority, board, college, commission, commissioner, committee, council, directorate, foundation, institute, instrumentality, office, panel, state trading concern, trustee and university, whether or not incorporated; and</w:t>
      </w:r>
    </w:p>
    <w:p>
      <w:pPr>
        <w:pStyle w:val="Defpara"/>
      </w:pPr>
      <w:r>
        <w:tab/>
        <w:t>(b)</w:t>
      </w:r>
      <w:r>
        <w:tab/>
        <w:t>association, company and corporation.</w:t>
      </w:r>
    </w:p>
    <w:p>
      <w:pPr>
        <w:pStyle w:val="Subsection"/>
        <w:keepNext/>
        <w:rPr>
          <w:snapToGrid w:val="0"/>
        </w:rPr>
      </w:pPr>
      <w:r>
        <w:rPr>
          <w:snapToGrid w:val="0"/>
        </w:rPr>
        <w:tab/>
        <w:t>(3)</w:t>
      </w:r>
      <w:r>
        <w:rPr>
          <w:snapToGrid w:val="0"/>
        </w:rPr>
        <w:tab/>
        <w:t>In subsection (1)(c) —</w:t>
      </w:r>
    </w:p>
    <w:p>
      <w:pPr>
        <w:pStyle w:val="Defstart"/>
      </w:pPr>
      <w:r>
        <w:rPr>
          <w:b/>
        </w:rPr>
        <w:tab/>
      </w:r>
      <w:r>
        <w:rPr>
          <w:rStyle w:val="CharDefText"/>
        </w:rPr>
        <w:t>established</w:t>
      </w:r>
      <w:r>
        <w:t xml:space="preserve"> includes created, appointed, constituted and continued.</w:t>
      </w:r>
    </w:p>
    <w:p>
      <w:pPr>
        <w:pStyle w:val="Footnotesection"/>
      </w:pPr>
      <w:r>
        <w:tab/>
        <w:t>[Section 4A inserted by No. 78 of 1996 s. 6; amended by No. 47 of 1999 s. 24.]</w:t>
      </w:r>
    </w:p>
    <w:p>
      <w:pPr>
        <w:pStyle w:val="Heading2"/>
      </w:pPr>
      <w:bookmarkStart w:id="8" w:name="_Toc441668303"/>
      <w:r>
        <w:rPr>
          <w:rStyle w:val="CharPartNo"/>
        </w:rPr>
        <w:t>Part II</w:t>
      </w:r>
      <w:r>
        <w:rPr>
          <w:rStyle w:val="CharDivNo"/>
        </w:rPr>
        <w:t> </w:t>
      </w:r>
      <w:r>
        <w:t>—</w:t>
      </w:r>
      <w:r>
        <w:rPr>
          <w:rStyle w:val="CharDivText"/>
        </w:rPr>
        <w:t> </w:t>
      </w:r>
      <w:r>
        <w:rPr>
          <w:rStyle w:val="CharPartText"/>
        </w:rPr>
        <w:t>The Parliamentary Commissioner for Administrative Investigations</w:t>
      </w:r>
      <w:bookmarkEnd w:id="8"/>
    </w:p>
    <w:p>
      <w:pPr>
        <w:pStyle w:val="Heading5"/>
        <w:rPr>
          <w:snapToGrid w:val="0"/>
        </w:rPr>
      </w:pPr>
      <w:bookmarkStart w:id="9" w:name="_Toc441668304"/>
      <w:r>
        <w:rPr>
          <w:rStyle w:val="CharSectno"/>
        </w:rPr>
        <w:t>5</w:t>
      </w:r>
      <w:r>
        <w:rPr>
          <w:snapToGrid w:val="0"/>
        </w:rPr>
        <w:t>.</w:t>
      </w:r>
      <w:r>
        <w:rPr>
          <w:snapToGrid w:val="0"/>
        </w:rPr>
        <w:tab/>
        <w:t>Commissioner and Deputy Commissioner, appointment of etc.</w:t>
      </w:r>
      <w:bookmarkEnd w:id="9"/>
    </w:p>
    <w:p>
      <w:pPr>
        <w:pStyle w:val="Subsection"/>
        <w:rPr>
          <w:snapToGrid w:val="0"/>
        </w:rPr>
      </w:pPr>
      <w:r>
        <w:rPr>
          <w:snapToGrid w:val="0"/>
        </w:rPr>
        <w:tab/>
        <w:t>(1)</w:t>
      </w:r>
      <w:r>
        <w:rPr>
          <w:snapToGrid w:val="0"/>
        </w:rPr>
        <w:tab/>
        <w:t>For the purpose of conducting investigations in accordance with this Act there shall be appointed a Commissioner, to be known as the Parliamentary Commissioner for Administrative Investigations.</w:t>
      </w:r>
    </w:p>
    <w:p>
      <w:pPr>
        <w:pStyle w:val="Subsection"/>
        <w:rPr>
          <w:snapToGrid w:val="0"/>
        </w:rPr>
      </w:pPr>
      <w:r>
        <w:rPr>
          <w:snapToGrid w:val="0"/>
        </w:rPr>
        <w:tab/>
        <w:t>(1a)</w:t>
      </w:r>
      <w:r>
        <w:rPr>
          <w:snapToGrid w:val="0"/>
        </w:rPr>
        <w:tab/>
        <w:t>The Commissioner shall be assisted by a Deputy Commissioner, to be known as the Deputy Parliamentary Commissioner for Administrative Investigations.</w:t>
      </w:r>
    </w:p>
    <w:p>
      <w:pPr>
        <w:pStyle w:val="Subsection"/>
        <w:rPr>
          <w:snapToGrid w:val="0"/>
        </w:rPr>
      </w:pPr>
      <w:r>
        <w:rPr>
          <w:snapToGrid w:val="0"/>
        </w:rPr>
        <w:tab/>
        <w:t>(2)</w:t>
      </w:r>
      <w:r>
        <w:rPr>
          <w:snapToGrid w:val="0"/>
        </w:rPr>
        <w:tab/>
        <w:t>The Commissioner and Deputy Commissioner shall be appointed by the Governor, and shall hold office in accordance with the provisions of this Act.</w:t>
      </w:r>
    </w:p>
    <w:p>
      <w:pPr>
        <w:pStyle w:val="Subsection"/>
        <w:rPr>
          <w:snapToGrid w:val="0"/>
        </w:rPr>
      </w:pPr>
      <w:r>
        <w:rPr>
          <w:snapToGrid w:val="0"/>
        </w:rPr>
        <w:tab/>
        <w:t>(3)</w:t>
      </w:r>
      <w:r>
        <w:rPr>
          <w:snapToGrid w:val="0"/>
        </w:rPr>
        <w:tab/>
        <w:t>The Commissioner and Deputy Commissioner shall be appointed to hold office for a term of 5 years, but either the Commissioner or the Deputy Commissioner may, at any time, by writing under his hand, addressed to the Governor, resign his office, and on receipt of his resignation by the Governor, he shall vacate office as Commissioner or Deputy Commissioner, as the case requires.</w:t>
      </w:r>
    </w:p>
    <w:p>
      <w:pPr>
        <w:pStyle w:val="Ednotesubsection"/>
      </w:pPr>
      <w:r>
        <w:tab/>
        <w:t>[(4)</w:t>
      </w:r>
      <w:r>
        <w:tab/>
        <w:t>deleted]</w:t>
      </w:r>
    </w:p>
    <w:p>
      <w:pPr>
        <w:pStyle w:val="Subsection"/>
        <w:rPr>
          <w:snapToGrid w:val="0"/>
        </w:rPr>
      </w:pPr>
      <w:r>
        <w:rPr>
          <w:snapToGrid w:val="0"/>
        </w:rPr>
        <w:tab/>
        <w:t>(5)</w:t>
      </w:r>
      <w:r>
        <w:rPr>
          <w:snapToGrid w:val="0"/>
        </w:rPr>
        <w:tab/>
        <w:t>The Commissioner and Deputy Commissioner shall be paid a salary at such rate as the Governor may determine; and the rate of that salary shall not, without the consent of the Commissioner or the Deputy Commissioner, as the case requires, be reduced during the term of office of the Commissioner or the Deputy Commissioner, as the case requires.</w:t>
      </w:r>
    </w:p>
    <w:p>
      <w:pPr>
        <w:pStyle w:val="Subsection"/>
        <w:rPr>
          <w:snapToGrid w:val="0"/>
        </w:rPr>
      </w:pPr>
      <w:r>
        <w:rPr>
          <w:snapToGrid w:val="0"/>
        </w:rPr>
        <w:tab/>
        <w:t>(6)</w:t>
      </w:r>
      <w:r>
        <w:rPr>
          <w:snapToGrid w:val="0"/>
        </w:rPr>
        <w:tab/>
        <w:t>The salary payable to the holder of the office of Commissioner or Deputy Commissioner under this section shall be charged to the Consolidated Account which, to the necessary extent, is hereby appropriated accordingly.</w:t>
      </w:r>
    </w:p>
    <w:p>
      <w:pPr>
        <w:pStyle w:val="Subsection"/>
        <w:spacing w:before="120"/>
        <w:rPr>
          <w:snapToGrid w:val="0"/>
        </w:rPr>
      </w:pPr>
      <w:r>
        <w:rPr>
          <w:snapToGrid w:val="0"/>
        </w:rPr>
        <w:tab/>
        <w:t>(7)</w:t>
      </w:r>
      <w:r>
        <w:rPr>
          <w:snapToGrid w:val="0"/>
        </w:rPr>
        <w:tab/>
        <w:t>The Commissioner and Deputy Commissioner are entitled to such leave of absence and such travelling and other allowances as the Governor determines.</w:t>
      </w:r>
    </w:p>
    <w:p>
      <w:pPr>
        <w:pStyle w:val="Subsection"/>
        <w:spacing w:before="120"/>
        <w:rPr>
          <w:snapToGrid w:val="0"/>
        </w:rPr>
      </w:pPr>
      <w:r>
        <w:rPr>
          <w:snapToGrid w:val="0"/>
        </w:rPr>
        <w:tab/>
        <w:t>(8)</w:t>
      </w:r>
      <w:r>
        <w:rPr>
          <w:snapToGrid w:val="0"/>
        </w:rPr>
        <w:tab/>
        <w:t>No person who is or has been within the preceding 3 years a member of the Parliament of the Commonwealth or any State shall be appointed as Commissioner or Deputy Commissioner, and if the Commissioner or Deputy Commissioner is nominated for election for any of such Houses of Parliament he shall vacate office as Commissioner or Deputy Commissioner, as the case requires.</w:t>
      </w:r>
    </w:p>
    <w:p>
      <w:pPr>
        <w:pStyle w:val="Subsection"/>
        <w:spacing w:before="120"/>
        <w:rPr>
          <w:snapToGrid w:val="0"/>
        </w:rPr>
      </w:pPr>
      <w:r>
        <w:rPr>
          <w:snapToGrid w:val="0"/>
        </w:rPr>
        <w:tab/>
        <w:t>(9)</w:t>
      </w:r>
      <w:r>
        <w:rPr>
          <w:snapToGrid w:val="0"/>
        </w:rPr>
        <w:tab/>
        <w:t>The Commissioner or Deputy Commissioner shall not, except in so far as he is authorised so to do by resolutions of both Houses of Parliament, hold any office of profit or trust (other than his office as Commissioner or Deputy Commissioner, as the case requires) or engage in any occupation for reward outside the duties of his office, and if the Commissioner or Deputy Commissioner contravenes this subsection he shall be regarded, for the purposes of section 6, as being guilty of misconduct.</w:t>
      </w:r>
    </w:p>
    <w:p>
      <w:pPr>
        <w:pStyle w:val="Subsection"/>
        <w:spacing w:before="120"/>
        <w:rPr>
          <w:snapToGrid w:val="0"/>
        </w:rPr>
      </w:pPr>
      <w:r>
        <w:rPr>
          <w:snapToGrid w:val="0"/>
        </w:rPr>
        <w:tab/>
        <w:t>(10)</w:t>
      </w:r>
      <w:r>
        <w:rPr>
          <w:snapToGrid w:val="0"/>
        </w:rPr>
        <w:tab/>
        <w:t xml:space="preserve">Section 52 of the </w:t>
      </w:r>
      <w:r>
        <w:rPr>
          <w:i/>
          <w:snapToGrid w:val="0"/>
        </w:rPr>
        <w:t>Interpretation Act 1984</w:t>
      </w:r>
      <w:r>
        <w:rPr>
          <w:snapToGrid w:val="0"/>
        </w:rPr>
        <w:t xml:space="preserve"> does not apply to the office of Commissioner or Deputy Commissioner.</w:t>
      </w:r>
    </w:p>
    <w:p>
      <w:pPr>
        <w:pStyle w:val="Footnotesection"/>
        <w:spacing w:before="80"/>
        <w:ind w:left="890" w:hanging="890"/>
      </w:pPr>
      <w:r>
        <w:tab/>
        <w:t>[Section 5 amended by No. 13 of 1982 s. 3; No. 6 of 1993 s. 11; No. 49 of 1996 s. 64; No. 78 of 1996 s. 7; No. 10 of 1998 s. 57(1); No. 77 of 2006 s. 4.]</w:t>
      </w:r>
    </w:p>
    <w:p>
      <w:pPr>
        <w:pStyle w:val="Heading5"/>
        <w:spacing w:before="180"/>
        <w:rPr>
          <w:snapToGrid w:val="0"/>
        </w:rPr>
      </w:pPr>
      <w:bookmarkStart w:id="10" w:name="_Toc441668305"/>
      <w:r>
        <w:rPr>
          <w:rStyle w:val="CharSectno"/>
        </w:rPr>
        <w:t>6</w:t>
      </w:r>
      <w:r>
        <w:rPr>
          <w:snapToGrid w:val="0"/>
        </w:rPr>
        <w:t>.</w:t>
      </w:r>
      <w:r>
        <w:rPr>
          <w:snapToGrid w:val="0"/>
        </w:rPr>
        <w:tab/>
        <w:t>Removal or suspension of Commissioner or Deputy Commissioner</w:t>
      </w:r>
      <w:bookmarkEnd w:id="10"/>
    </w:p>
    <w:p>
      <w:pPr>
        <w:pStyle w:val="Subsection"/>
        <w:spacing w:before="120"/>
        <w:rPr>
          <w:snapToGrid w:val="0"/>
        </w:rPr>
      </w:pPr>
      <w:r>
        <w:rPr>
          <w:snapToGrid w:val="0"/>
        </w:rPr>
        <w:tab/>
        <w:t>(1)</w:t>
      </w:r>
      <w:r>
        <w:rPr>
          <w:snapToGrid w:val="0"/>
        </w:rPr>
        <w:tab/>
        <w:t>The Commissioner or Deputy Commissioner may, at any time, be suspended or removed from his office by the Governor on addresses from both Houses of Parliament.</w:t>
      </w:r>
    </w:p>
    <w:p>
      <w:pPr>
        <w:pStyle w:val="Subsection"/>
        <w:keepNext/>
        <w:spacing w:before="120"/>
        <w:rPr>
          <w:snapToGrid w:val="0"/>
        </w:rPr>
      </w:pPr>
      <w:r>
        <w:rPr>
          <w:snapToGrid w:val="0"/>
        </w:rPr>
        <w:tab/>
        <w:t>(2)</w:t>
      </w:r>
      <w:r>
        <w:rPr>
          <w:snapToGrid w:val="0"/>
        </w:rPr>
        <w:tab/>
        <w:t>Where the Governor is satisfied that the Commissioner or Deputy Commissioner —</w:t>
      </w:r>
    </w:p>
    <w:p>
      <w:pPr>
        <w:pStyle w:val="Indenta"/>
        <w:spacing w:before="60"/>
        <w:rPr>
          <w:snapToGrid w:val="0"/>
        </w:rPr>
      </w:pPr>
      <w:r>
        <w:rPr>
          <w:snapToGrid w:val="0"/>
        </w:rPr>
        <w:tab/>
        <w:t>(a)</w:t>
      </w:r>
      <w:r>
        <w:rPr>
          <w:snapToGrid w:val="0"/>
        </w:rPr>
        <w:tab/>
        <w:t>is incapable of properly performing the duties of his office; or</w:t>
      </w:r>
    </w:p>
    <w:p>
      <w:pPr>
        <w:pStyle w:val="Indenta"/>
        <w:spacing w:before="60"/>
        <w:rPr>
          <w:snapToGrid w:val="0"/>
        </w:rPr>
      </w:pPr>
      <w:r>
        <w:rPr>
          <w:snapToGrid w:val="0"/>
        </w:rPr>
        <w:tab/>
        <w:t>(b)</w:t>
      </w:r>
      <w:r>
        <w:rPr>
          <w:snapToGrid w:val="0"/>
        </w:rPr>
        <w:tab/>
        <w:t>has shown himself incompetent properly to perform, or has neglected, those duties;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(d)</w:t>
      </w:r>
      <w:r>
        <w:rPr>
          <w:snapToGrid w:val="0"/>
        </w:rPr>
        <w:tab/>
        <w:t>has been guilty of misconduct,</w:t>
      </w:r>
    </w:p>
    <w:p>
      <w:pPr>
        <w:pStyle w:val="Subsection"/>
        <w:spacing w:before="120"/>
        <w:rPr>
          <w:snapToGrid w:val="0"/>
        </w:rPr>
      </w:pPr>
      <w:r>
        <w:rPr>
          <w:snapToGrid w:val="0"/>
        </w:rPr>
        <w:tab/>
      </w:r>
      <w:r>
        <w:rPr>
          <w:snapToGrid w:val="0"/>
        </w:rPr>
        <w:tab/>
        <w:t>he may suspend the Commissioner or Deputy Commissioner, as the case requires, from his office.</w:t>
      </w:r>
    </w:p>
    <w:p>
      <w:pPr>
        <w:pStyle w:val="Subsection"/>
        <w:keepNext/>
        <w:rPr>
          <w:snapToGrid w:val="0"/>
        </w:rPr>
      </w:pPr>
      <w:r>
        <w:rPr>
          <w:snapToGrid w:val="0"/>
        </w:rPr>
        <w:tab/>
        <w:t>(3)</w:t>
      </w:r>
      <w:r>
        <w:rPr>
          <w:snapToGrid w:val="0"/>
        </w:rPr>
        <w:tab/>
        <w:t>When the Commissioner or Deputy Commissioner has been suspended from his office under subsection (2) he shall be restored to office unless —</w:t>
      </w:r>
    </w:p>
    <w:p>
      <w:pPr>
        <w:pStyle w:val="Indenta"/>
        <w:spacing w:before="60"/>
        <w:rPr>
          <w:snapToGrid w:val="0"/>
        </w:rPr>
      </w:pPr>
      <w:r>
        <w:rPr>
          <w:snapToGrid w:val="0"/>
        </w:rPr>
        <w:tab/>
        <w:t>(a)</w:t>
      </w:r>
      <w:r>
        <w:rPr>
          <w:snapToGrid w:val="0"/>
        </w:rPr>
        <w:tab/>
        <w:t>a statement of the grounds of his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sitting days of that statement being so laid, passes an address praying for his removal from his office.</w:t>
      </w:r>
    </w:p>
    <w:p>
      <w:pPr>
        <w:pStyle w:val="Footnotesection"/>
        <w:spacing w:before="100"/>
        <w:ind w:left="890" w:hanging="890"/>
      </w:pPr>
      <w:r>
        <w:tab/>
        <w:t>[Section 6 amended by No. 13 of 1982 s. 4; No. 18 of 2009 s. 62.]</w:t>
      </w:r>
    </w:p>
    <w:p>
      <w:pPr>
        <w:pStyle w:val="Heading5"/>
        <w:rPr>
          <w:snapToGrid w:val="0"/>
        </w:rPr>
      </w:pPr>
      <w:bookmarkStart w:id="11" w:name="_Toc441668306"/>
      <w:r>
        <w:rPr>
          <w:rStyle w:val="CharSectno"/>
        </w:rPr>
        <w:t>6A</w:t>
      </w:r>
      <w:r>
        <w:rPr>
          <w:snapToGrid w:val="0"/>
        </w:rPr>
        <w:t>.</w:t>
      </w:r>
      <w:r>
        <w:rPr>
          <w:snapToGrid w:val="0"/>
        </w:rPr>
        <w:tab/>
        <w:t>Deputy Parliamentary Commissioner, functions of</w:t>
      </w:r>
      <w:bookmarkEnd w:id="11"/>
    </w:p>
    <w:p>
      <w:pPr>
        <w:pStyle w:val="Subsection"/>
        <w:rPr>
          <w:snapToGrid w:val="0"/>
        </w:rPr>
      </w:pPr>
      <w:r>
        <w:rPr>
          <w:snapToGrid w:val="0"/>
        </w:rPr>
        <w:tab/>
        <w:t>(1)</w:t>
      </w:r>
      <w:r>
        <w:rPr>
          <w:snapToGrid w:val="0"/>
        </w:rPr>
        <w:tab/>
        <w:t>The Deputy Commissioner shall perform such duties as the Commissioner directs.</w:t>
      </w:r>
    </w:p>
    <w:p>
      <w:pPr>
        <w:pStyle w:val="Subsection"/>
        <w:keepNext/>
        <w:rPr>
          <w:snapToGrid w:val="0"/>
        </w:rPr>
      </w:pPr>
      <w:r>
        <w:rPr>
          <w:snapToGrid w:val="0"/>
        </w:rPr>
        <w:tab/>
        <w:t>(2)</w:t>
      </w:r>
      <w:r>
        <w:rPr>
          <w:snapToGrid w:val="0"/>
        </w:rPr>
        <w:tab/>
        <w:t>Subject to section 7, when —</w:t>
      </w:r>
    </w:p>
    <w:p>
      <w:pPr>
        <w:pStyle w:val="Indenta"/>
        <w:spacing w:before="60"/>
        <w:rPr>
          <w:snapToGrid w:val="0"/>
        </w:rPr>
      </w:pPr>
      <w:r>
        <w:rPr>
          <w:snapToGrid w:val="0"/>
        </w:rPr>
        <w:tab/>
        <w:t>(a)</w:t>
      </w:r>
      <w:r>
        <w:rPr>
          <w:snapToGrid w:val="0"/>
        </w:rPr>
        <w:tab/>
        <w:t>the Commissioner is absent from duty for any reason or is absent from the State; or</w:t>
      </w:r>
    </w:p>
    <w:p>
      <w:pPr>
        <w:pStyle w:val="Indenta"/>
        <w:spacing w:before="60"/>
        <w:rPr>
          <w:snapToGrid w:val="0"/>
        </w:rPr>
      </w:pPr>
      <w:r>
        <w:rPr>
          <w:snapToGrid w:val="0"/>
        </w:rPr>
        <w:tab/>
        <w:t>(b)</w:t>
      </w:r>
      <w:r>
        <w:rPr>
          <w:snapToGrid w:val="0"/>
        </w:rPr>
        <w:tab/>
        <w:t>the Commissioner has been suspended; or</w:t>
      </w:r>
    </w:p>
    <w:p>
      <w:pPr>
        <w:pStyle w:val="Indenta"/>
        <w:spacing w:before="60"/>
        <w:rPr>
          <w:snapToGrid w:val="0"/>
        </w:rPr>
      </w:pPr>
      <w:r>
        <w:rPr>
          <w:snapToGrid w:val="0"/>
        </w:rPr>
        <w:tab/>
        <w:t>(c)</w:t>
      </w:r>
      <w:r>
        <w:rPr>
          <w:snapToGrid w:val="0"/>
        </w:rPr>
        <w:tab/>
        <w:t>the office of Commissioner is vacant,</w:t>
      </w:r>
    </w:p>
    <w:p>
      <w:pPr>
        <w:pStyle w:val="Subsection"/>
        <w:spacing w:before="100"/>
        <w:rPr>
          <w:snapToGrid w:val="0"/>
        </w:rPr>
      </w:pPr>
      <w:r>
        <w:rPr>
          <w:snapToGrid w:val="0"/>
        </w:rPr>
        <w:tab/>
      </w:r>
      <w:r>
        <w:rPr>
          <w:snapToGrid w:val="0"/>
        </w:rPr>
        <w:tab/>
        <w:t>the Deputy Commissioner shall act in the office of the Commissioner during the absence, suspension or vacancy and he may, while so acting, exercise all the powers and functions, and shall perform all the duties, of the Commissioner.</w:t>
      </w:r>
    </w:p>
    <w:p>
      <w:pPr>
        <w:pStyle w:val="Footnotesection"/>
        <w:spacing w:before="100"/>
        <w:ind w:left="890" w:hanging="890"/>
      </w:pPr>
      <w:r>
        <w:tab/>
        <w:t>[Section 6A inserted by No. 13 of 1982 s. 5.]</w:t>
      </w:r>
    </w:p>
    <w:p>
      <w:pPr>
        <w:pStyle w:val="Heading5"/>
        <w:rPr>
          <w:snapToGrid w:val="0"/>
        </w:rPr>
      </w:pPr>
      <w:bookmarkStart w:id="12" w:name="_Toc441668307"/>
      <w:r>
        <w:rPr>
          <w:rStyle w:val="CharSectno"/>
        </w:rPr>
        <w:t>7</w:t>
      </w:r>
      <w:r>
        <w:rPr>
          <w:snapToGrid w:val="0"/>
        </w:rPr>
        <w:t>.</w:t>
      </w:r>
      <w:r>
        <w:rPr>
          <w:snapToGrid w:val="0"/>
        </w:rPr>
        <w:tab/>
        <w:t>Acting Parliamentary Commissioner, appointment of etc.</w:t>
      </w:r>
      <w:bookmarkEnd w:id="12"/>
    </w:p>
    <w:p>
      <w:pPr>
        <w:pStyle w:val="Subsection"/>
        <w:rPr>
          <w:snapToGrid w:val="0"/>
        </w:rPr>
      </w:pPr>
      <w:r>
        <w:rPr>
          <w:snapToGrid w:val="0"/>
        </w:rPr>
        <w:tab/>
        <w:t>(1)</w:t>
      </w:r>
      <w:r>
        <w:rPr>
          <w:snapToGrid w:val="0"/>
        </w:rPr>
        <w:tab/>
        <w:t>The Governor may appoint a person to act in the office of the Commissioner in such cases or in such circumstances as may be provided for under this section, and the person so appointed shall be known as the Acting Parliamentary Commissioner for Administrative Investigations.</w:t>
      </w:r>
    </w:p>
    <w:p>
      <w:pPr>
        <w:pStyle w:val="Subsection"/>
        <w:keepNext/>
        <w:rPr>
          <w:snapToGrid w:val="0"/>
        </w:rPr>
      </w:pPr>
      <w:r>
        <w:rPr>
          <w:snapToGrid w:val="0"/>
        </w:rPr>
        <w:tab/>
        <w:t>(2)</w:t>
      </w:r>
      <w:r>
        <w:rPr>
          <w:snapToGrid w:val="0"/>
        </w:rPr>
        <w:tab/>
        <w:t>An Acting Commissioner may be appointed —</w:t>
      </w:r>
    </w:p>
    <w:p>
      <w:pPr>
        <w:pStyle w:val="Indenta"/>
        <w:rPr>
          <w:snapToGrid w:val="0"/>
        </w:rPr>
      </w:pPr>
      <w:r>
        <w:rPr>
          <w:snapToGrid w:val="0"/>
        </w:rPr>
        <w:tab/>
        <w:t>(a)</w:t>
      </w:r>
      <w:r>
        <w:rPr>
          <w:snapToGrid w:val="0"/>
        </w:rPr>
        <w:tab/>
        <w:t>when the Commissioner is absent from duty for any reason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 or</w:t>
      </w:r>
    </w:p>
    <w:p>
      <w:pPr>
        <w:pStyle w:val="Indenta"/>
        <w:rPr>
          <w:snapToGrid w:val="0"/>
        </w:rPr>
      </w:pPr>
      <w:r>
        <w:rPr>
          <w:snapToGrid w:val="0"/>
        </w:rPr>
        <w:tab/>
        <w:t>(d)</w:t>
      </w:r>
      <w:r>
        <w:rPr>
          <w:snapToGrid w:val="0"/>
        </w:rPr>
        <w:tab/>
        <w:t>in such other case or circumstances as may be specified in Rules of Parliament.</w:t>
      </w:r>
    </w:p>
    <w:p>
      <w:pPr>
        <w:pStyle w:val="Subsection"/>
        <w:rPr>
          <w:snapToGrid w:val="0"/>
        </w:rPr>
      </w:pPr>
      <w:r>
        <w:rPr>
          <w:snapToGrid w:val="0"/>
        </w:rPr>
        <w:tab/>
        <w:t>(2a)</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(3)</w:t>
      </w:r>
      <w:r>
        <w:rPr>
          <w:snapToGrid w:val="0"/>
        </w:rPr>
        <w:tab/>
        <w:t>The Acting Commissioner is entitled to such remuneration, leave of absence and such travelling and such other allowances as the Governor may determine.</w:t>
      </w:r>
    </w:p>
    <w:p>
      <w:pPr>
        <w:pStyle w:val="Footnotesection"/>
      </w:pPr>
      <w:r>
        <w:tab/>
        <w:t>[Section 7 amended by No. 13 of 1982 s. 6.]</w:t>
      </w:r>
    </w:p>
    <w:p>
      <w:pPr>
        <w:pStyle w:val="Heading5"/>
        <w:rPr>
          <w:snapToGrid w:val="0"/>
        </w:rPr>
      </w:pPr>
      <w:bookmarkStart w:id="13" w:name="_Toc441668308"/>
      <w:r>
        <w:rPr>
          <w:rStyle w:val="CharSectno"/>
        </w:rPr>
        <w:t>8</w:t>
      </w:r>
      <w:r>
        <w:rPr>
          <w:snapToGrid w:val="0"/>
        </w:rPr>
        <w:t>.</w:t>
      </w:r>
      <w:r>
        <w:rPr>
          <w:snapToGrid w:val="0"/>
        </w:rPr>
        <w:tab/>
        <w:t>Oath or affirmation of Commissioner, Deputy Commissioner and Acting Commissioner</w:t>
      </w:r>
      <w:bookmarkEnd w:id="13"/>
    </w:p>
    <w:p>
      <w:pPr>
        <w:pStyle w:val="Subsection"/>
        <w:rPr>
          <w:snapToGrid w:val="0"/>
        </w:rPr>
      </w:pPr>
      <w:r>
        <w:rPr>
          <w:snapToGrid w:val="0"/>
        </w:rPr>
        <w:tab/>
        <w:t>(1)</w:t>
      </w:r>
      <w:r>
        <w:rPr>
          <w:snapToGrid w:val="0"/>
        </w:rPr>
        <w:tab/>
        <w:t>Before entering upon the exercise of the duties of their respective offices the Commissioner, the Deputy Commissioner and the Acting Commissioner shall each take an oath or affirmation that he will faithfully and impartially perform the duties of his office, and that he will not, except in accordance with this Act, divulge any information received by him under this Act.</w:t>
      </w:r>
    </w:p>
    <w:p>
      <w:pPr>
        <w:pStyle w:val="Subsection"/>
        <w:rPr>
          <w:snapToGrid w:val="0"/>
        </w:rPr>
      </w:pPr>
      <w:r>
        <w:rPr>
          <w:snapToGrid w:val="0"/>
        </w:rPr>
        <w:tab/>
        <w:t>(2)</w:t>
      </w:r>
      <w:r>
        <w:rPr>
          <w:snapToGrid w:val="0"/>
        </w:rPr>
        <w:tab/>
        <w:t>The oath or affirmation shall be administered by the Speaker of the Legislative Assembly or, if the office of Speaker is then vacant or the Speaker is by reason of absence or incapacity unable to administer the oath or affirmation, by the President of the Legislative Council but, if the office of President is vacant or the President is by reason of absence or incapacity unable to administer the oath or affirmation, the oath or affirmation shall be administered by such person as is appointed by the Governor for the purpose.</w:t>
      </w:r>
    </w:p>
    <w:p>
      <w:pPr>
        <w:pStyle w:val="Footnotesection"/>
      </w:pPr>
      <w:r>
        <w:tab/>
        <w:t>[Section 8 amended by No. 68 of 1976 s. 2; No. 13 of 1982 s. 7.]</w:t>
      </w:r>
    </w:p>
    <w:p>
      <w:pPr>
        <w:pStyle w:val="Heading5"/>
        <w:rPr>
          <w:snapToGrid w:val="0"/>
        </w:rPr>
      </w:pPr>
      <w:bookmarkStart w:id="14" w:name="_Toc441668309"/>
      <w:r>
        <w:rPr>
          <w:rStyle w:val="CharSectno"/>
        </w:rPr>
        <w:t>9</w:t>
      </w:r>
      <w:r>
        <w:rPr>
          <w:snapToGrid w:val="0"/>
        </w:rPr>
        <w:t>.</w:t>
      </w:r>
      <w:r>
        <w:rPr>
          <w:snapToGrid w:val="0"/>
        </w:rPr>
        <w:tab/>
        <w:t>Staff of Commissioner</w:t>
      </w:r>
      <w:bookmarkEnd w:id="14"/>
    </w:p>
    <w:p>
      <w:pPr>
        <w:pStyle w:val="Subsection"/>
        <w:rPr>
          <w:snapToGrid w:val="0"/>
        </w:rPr>
      </w:pPr>
      <w:r>
        <w:rPr>
          <w:snapToGrid w:val="0"/>
        </w:rPr>
        <w:tab/>
        <w:t>(1)</w:t>
      </w:r>
      <w:r>
        <w:rPr>
          <w:snapToGrid w:val="0"/>
        </w:rPr>
        <w:tab/>
        <w:t xml:space="preserve">The </w:t>
      </w:r>
      <w:r>
        <w:t>Commissioner may</w:t>
      </w:r>
      <w:r>
        <w:rPr>
          <w:snapToGrid w:val="0"/>
        </w:rPr>
        <w:t xml:space="preserve"> appoint such officers as he considers necessary for the purpose of enabling the functions of the Commissioner properly to be carried out.</w:t>
      </w:r>
    </w:p>
    <w:p>
      <w:pPr>
        <w:pStyle w:val="Subsection"/>
        <w:rPr>
          <w:snapToGrid w:val="0"/>
        </w:rPr>
      </w:pPr>
      <w:r>
        <w:rPr>
          <w:snapToGrid w:val="0"/>
        </w:rPr>
        <w:tab/>
        <w:t>(2)</w:t>
      </w:r>
      <w:r>
        <w:rPr>
          <w:snapToGrid w:val="0"/>
        </w:rPr>
        <w:tab/>
        <w:t>Subject to this Act, the terms and conditions of service of officers of the Commissioner shall be such as the Commissioner determines.</w:t>
      </w:r>
    </w:p>
    <w:p>
      <w:pPr>
        <w:pStyle w:val="Subsection"/>
      </w:pPr>
      <w:r>
        <w:tab/>
        <w:t>(2a)</w:t>
      </w:r>
      <w:r>
        <w:tab/>
        <w:t>The Commissioner may by arrangement with the employing authority of the officer or employee, make use, either full</w:t>
      </w:r>
      <w:r>
        <w:noBreakHyphen/>
        <w:t>time or part</w:t>
      </w:r>
      <w:r>
        <w:noBreakHyphen/>
        <w:t>time, of the services of any officer or employee employed in the Public Service or in a State instrumentality or otherwise in the service of the Crown in right of the State.</w:t>
      </w:r>
    </w:p>
    <w:p>
      <w:pPr>
        <w:pStyle w:val="Subsection"/>
      </w:pPr>
      <w:r>
        <w:tab/>
        <w:t>(2B)</w:t>
      </w:r>
      <w:r>
        <w:tab/>
        <w:t>The Commissioner may engage persons under contracts for services to provide professional, technical or other assistance for the purpose of enabling the functions of the Commissioner properly to be carried out.</w:t>
      </w:r>
    </w:p>
    <w:p>
      <w:pPr>
        <w:pStyle w:val="Subsection"/>
        <w:rPr>
          <w:snapToGrid w:val="0"/>
        </w:rPr>
      </w:pPr>
      <w:r>
        <w:rPr>
          <w:snapToGrid w:val="0"/>
        </w:rPr>
        <w:tab/>
        <w:t>(3)</w:t>
      </w:r>
      <w:r>
        <w:rPr>
          <w:snapToGrid w:val="0"/>
        </w:rPr>
        <w:tab/>
      </w:r>
      <w:r>
        <w:t xml:space="preserve">A member of the Commissioner’s staff </w:t>
      </w:r>
      <w:r>
        <w:rPr>
          <w:snapToGrid w:val="0"/>
        </w:rPr>
        <w:t>shall, before he commences his duties as such, take an oath or affirmation, to be administered by the Commissioner, that, except in accordance with this Act, he will not divulge any information received by him under this Act.</w:t>
      </w:r>
    </w:p>
    <w:p>
      <w:pPr>
        <w:pStyle w:val="Subsection"/>
      </w:pPr>
      <w:r>
        <w:tab/>
        <w:t>(4)</w:t>
      </w:r>
      <w:r>
        <w:tab/>
        <w:t>The Commissioner may by arrangement with an employing authority, State instrumentality or other statutory office holder, agree to that authority, instrumentality or office holder making use, either full</w:t>
      </w:r>
      <w:r>
        <w:noBreakHyphen/>
        <w:t>time or part</w:t>
      </w:r>
      <w:r>
        <w:noBreakHyphen/>
        <w:t>time, of the services of any officer of the Commissioner.</w:t>
      </w:r>
    </w:p>
    <w:p>
      <w:pPr>
        <w:pStyle w:val="Subsection"/>
      </w:pPr>
      <w:r>
        <w:tab/>
        <w:t>(5)</w:t>
      </w:r>
      <w:r>
        <w:tab/>
        <w:t>In this section —</w:t>
      </w:r>
    </w:p>
    <w:p>
      <w:pPr>
        <w:pStyle w:val="Defstart"/>
      </w:pPr>
      <w:r>
        <w:rPr>
          <w:b/>
        </w:rPr>
        <w:tab/>
      </w:r>
      <w:r>
        <w:rPr>
          <w:rStyle w:val="CharDefText"/>
        </w:rPr>
        <w:t>employing authority</w:t>
      </w:r>
      <w:r>
        <w:rPr>
          <w:b/>
        </w:rPr>
        <w:t xml:space="preserve"> </w:t>
      </w:r>
      <w:r>
        <w:t xml:space="preserve">means an employing authority within the meaning of the </w:t>
      </w:r>
      <w:r>
        <w:rPr>
          <w:i/>
        </w:rPr>
        <w:t>Public Sector Management Act 1994</w:t>
      </w:r>
      <w:r>
        <w:t>.</w:t>
      </w:r>
    </w:p>
    <w:p>
      <w:pPr>
        <w:pStyle w:val="Footnotesection"/>
        <w:spacing w:before="100"/>
        <w:ind w:left="890" w:hanging="890"/>
      </w:pPr>
      <w:r>
        <w:tab/>
        <w:t>[Section 9 amended by No. 74 of 2003 s. 91(3), (4), (6), (8) and (9); No. 10 of 2009 s. 6.]</w:t>
      </w:r>
    </w:p>
    <w:p>
      <w:pPr>
        <w:pStyle w:val="Heading5"/>
        <w:spacing w:before="200"/>
        <w:rPr>
          <w:snapToGrid w:val="0"/>
        </w:rPr>
      </w:pPr>
      <w:bookmarkStart w:id="15" w:name="_Toc441668310"/>
      <w:r>
        <w:rPr>
          <w:rStyle w:val="CharSectno"/>
        </w:rPr>
        <w:t>10</w:t>
      </w:r>
      <w:r>
        <w:rPr>
          <w:snapToGrid w:val="0"/>
        </w:rPr>
        <w:t>.</w:t>
      </w:r>
      <w:r>
        <w:rPr>
          <w:snapToGrid w:val="0"/>
        </w:rPr>
        <w:tab/>
        <w:t>Other provisions as to Commissioner and other officers</w:t>
      </w:r>
      <w:bookmarkEnd w:id="15"/>
    </w:p>
    <w:p>
      <w:pPr>
        <w:pStyle w:val="Subsection"/>
        <w:rPr>
          <w:snapToGrid w:val="0"/>
        </w:rPr>
      </w:pPr>
      <w:r>
        <w:rPr>
          <w:snapToGrid w:val="0"/>
        </w:rPr>
        <w:tab/>
        <w:t>(1)</w:t>
      </w:r>
      <w:r>
        <w:rPr>
          <w:snapToGrid w:val="0"/>
        </w:rPr>
        <w:tab/>
        <w:t xml:space="preserve">Part 3 of the </w:t>
      </w:r>
      <w:r>
        <w:rPr>
          <w:i/>
          <w:snapToGrid w:val="0"/>
        </w:rPr>
        <w:t>Public Sector Management Act 1994</w:t>
      </w:r>
      <w:r>
        <w:rPr>
          <w:snapToGrid w:val="0"/>
        </w:rPr>
        <w:t xml:space="preserve"> does not apply to the Commissioner, the Deputy Commissioner, the Acting Commissioner, or the officers of the Commissioner.</w:t>
      </w:r>
    </w:p>
    <w:p>
      <w:pPr>
        <w:pStyle w:val="Subsection"/>
        <w:rPr>
          <w:snapToGrid w:val="0"/>
        </w:rPr>
      </w:pPr>
      <w:r>
        <w:rPr>
          <w:snapToGrid w:val="0"/>
        </w:rPr>
        <w:tab/>
        <w:t>(2)</w:t>
      </w:r>
      <w:r>
        <w:rPr>
          <w:snapToGrid w:val="0"/>
        </w:rPr>
        <w:tab/>
        <w:t xml:space="preserve">The Commissioner, the Deputy Commissioner and each officer of the Commissioner shall, for the purposes of the </w:t>
      </w:r>
      <w:r>
        <w:rPr>
          <w:i/>
          <w:snapToGrid w:val="0"/>
        </w:rPr>
        <w:t>Superannuation and Family Benefits Act 1938</w:t>
      </w:r>
      <w:r>
        <w:rPr>
          <w:snapToGrid w:val="0"/>
        </w:rPr>
        <w:t> </w:t>
      </w:r>
      <w:r>
        <w:rPr>
          <w:snapToGrid w:val="0"/>
          <w:vertAlign w:val="superscript"/>
        </w:rPr>
        <w:t>2</w:t>
      </w:r>
      <w:r>
        <w:rPr>
          <w:snapToGrid w:val="0"/>
        </w:rPr>
        <w:t>, be deemed to be an employee within the meaning of that Act.</w:t>
      </w:r>
    </w:p>
    <w:p>
      <w:pPr>
        <w:pStyle w:val="Subsection"/>
        <w:rPr>
          <w:snapToGrid w:val="0"/>
        </w:rPr>
      </w:pPr>
      <w:r>
        <w:rPr>
          <w:snapToGrid w:val="0"/>
        </w:rPr>
        <w:tab/>
        <w:t>(3)</w:t>
      </w:r>
      <w:r>
        <w:rPr>
          <w:snapToGrid w:val="0"/>
        </w:rPr>
        <w:tab/>
        <w:t>When a public service officer is appointed to the office of Commissioner, Deputy Commissioner or Acting Commissioner or becomes an officer of the Commissioner he is entitled to retain all his existing and accruing rights as if his service in that office or as such an officer, as the case may be, were a continuation of his service as a public service officer.</w:t>
      </w:r>
    </w:p>
    <w:p>
      <w:pPr>
        <w:pStyle w:val="Subsection"/>
        <w:rPr>
          <w:snapToGrid w:val="0"/>
        </w:rPr>
      </w:pPr>
      <w:r>
        <w:rPr>
          <w:snapToGrid w:val="0"/>
        </w:rPr>
        <w:tab/>
        <w:t>(4)</w:t>
      </w:r>
      <w:r>
        <w:rPr>
          <w:snapToGrid w:val="0"/>
        </w:rPr>
        <w:tab/>
        <w:t>When a person ceases to hold the office of Commissioner, Deputy Commissioner or Acting Commissioner or to be an officer of the Commissioner and becomes a public service officer his service in that office or as an officer of the Commissioner shall be regarded as service in the Public Service for the purposes of determining his rights as a public service officer.</w:t>
      </w:r>
    </w:p>
    <w:p>
      <w:pPr>
        <w:pStyle w:val="Subsection"/>
        <w:keepNext/>
        <w:spacing w:before="120"/>
      </w:pPr>
      <w:r>
        <w:rPr>
          <w:snapToGrid w:val="0"/>
        </w:rPr>
        <w:tab/>
        <w:t>(5)</w:t>
      </w:r>
      <w:r>
        <w:rPr>
          <w:snapToGrid w:val="0"/>
        </w:rPr>
        <w:tab/>
      </w:r>
      <w:r>
        <w:t>Where —</w:t>
      </w:r>
    </w:p>
    <w:p>
      <w:pPr>
        <w:pStyle w:val="Indenta"/>
      </w:pPr>
      <w:r>
        <w:tab/>
        <w:t>(a)</w:t>
      </w:r>
      <w:r>
        <w:tab/>
        <w:t>the Commissioner or Deputy Commissioner; or</w:t>
      </w:r>
    </w:p>
    <w:p>
      <w:pPr>
        <w:pStyle w:val="Indenta"/>
      </w:pPr>
      <w:r>
        <w:tab/>
        <w:t>(b)</w:t>
      </w:r>
      <w:r>
        <w:tab/>
        <w:t>an officer of the Commissioner who is appointed for a fixed term,</w:t>
      </w:r>
    </w:p>
    <w:p>
      <w:pPr>
        <w:pStyle w:val="Subsection"/>
        <w:spacing w:before="120"/>
        <w:rPr>
          <w:snapToGrid w:val="0"/>
        </w:rPr>
      </w:pPr>
      <w:r>
        <w:tab/>
      </w:r>
      <w:r>
        <w:tab/>
        <w:t xml:space="preserve">immediately prior to his appointment under this Act, occupied an office under Part 3 of the </w:t>
      </w:r>
      <w:r>
        <w:rPr>
          <w:i/>
        </w:rPr>
        <w:t>Public Sector Management Act 1994</w:t>
      </w:r>
      <w:r>
        <w:t xml:space="preserve"> for an indefinite period as a permanent officer, </w:t>
      </w:r>
      <w:r>
        <w:rPr>
          <w:snapToGrid w:val="0"/>
        </w:rPr>
        <w:t xml:space="preserve">he shall, if his term of office expires by effluxion of time and he is not reappointed, be entitled to be appointed to an office under Part 3 of the </w:t>
      </w:r>
      <w:r>
        <w:rPr>
          <w:i/>
          <w:snapToGrid w:val="0"/>
        </w:rPr>
        <w:t>Public Sector Management Act 1994</w:t>
      </w:r>
      <w:r>
        <w:rPr>
          <w:snapToGrid w:val="0"/>
        </w:rPr>
        <w:t>, not lower in status than the office which he occupied immediately prior to his appointment as Commissioner</w:t>
      </w:r>
      <w:r>
        <w:t>, Deputy Commissioner or officer of the Commissioner,</w:t>
      </w:r>
      <w:r>
        <w:rPr>
          <w:snapToGrid w:val="0"/>
        </w:rPr>
        <w:t xml:space="preserve"> as the case requires.</w:t>
      </w:r>
    </w:p>
    <w:p>
      <w:pPr>
        <w:pStyle w:val="Subsection"/>
      </w:pPr>
      <w:r>
        <w:tab/>
        <w:t>(6)</w:t>
      </w:r>
      <w:r>
        <w:tab/>
        <w:t>Subsection (5) applies to an officer of the Commissioner irrespective of whether the officer was appointed before or after the day on which subsection (5)(b) commenced.</w:t>
      </w:r>
    </w:p>
    <w:p>
      <w:pPr>
        <w:pStyle w:val="Footnotesection"/>
      </w:pPr>
      <w:r>
        <w:tab/>
        <w:t>[Section 10 amended by No. 68 of 1976 s. 3; No. 13 of 1982 s. 8; No. 32 of 1994 s. 19; No. 78 of 1996 s. 8; No. 74 of 2003 s. 91(10) and (11).]</w:t>
      </w:r>
    </w:p>
    <w:p>
      <w:pPr>
        <w:pStyle w:val="Heading5"/>
        <w:rPr>
          <w:snapToGrid w:val="0"/>
        </w:rPr>
      </w:pPr>
      <w:bookmarkStart w:id="16" w:name="_Toc441668311"/>
      <w:r>
        <w:rPr>
          <w:rStyle w:val="CharSectno"/>
        </w:rPr>
        <w:t>11</w:t>
      </w:r>
      <w:r>
        <w:rPr>
          <w:snapToGrid w:val="0"/>
        </w:rPr>
        <w:t>.</w:t>
      </w:r>
      <w:r>
        <w:rPr>
          <w:snapToGrid w:val="0"/>
        </w:rPr>
        <w:tab/>
        <w:t>Delegation by Commissioner</w:t>
      </w:r>
      <w:bookmarkEnd w:id="16"/>
    </w:p>
    <w:p>
      <w:pPr>
        <w:pStyle w:val="Subsection"/>
        <w:rPr>
          <w:snapToGrid w:val="0"/>
        </w:rPr>
      </w:pPr>
      <w:r>
        <w:rPr>
          <w:snapToGrid w:val="0"/>
        </w:rPr>
        <w:tab/>
        <w:t>(1)</w:t>
      </w:r>
      <w:r>
        <w:rPr>
          <w:snapToGrid w:val="0"/>
        </w:rPr>
        <w:tab/>
        <w:t xml:space="preserve">In so far as he is authorised so to do by Rules of Parliament made under this Act, or a resolution of both Houses of Parliament the Commissioner may, either generally or as otherwise provided by the instrument of delegation, by writing signed by him delegate to the Deputy Commissioner or any </w:t>
      </w:r>
      <w:r>
        <w:t>member of the Commissioner’s staff</w:t>
      </w:r>
      <w:r>
        <w:rPr>
          <w:snapToGrid w:val="0"/>
        </w:rPr>
        <w:t xml:space="preserve"> the performance of any of the functions of the Commissioner under this Act other than the power to delegate under this section or to make any report or recommendation under this Act.</w:t>
      </w:r>
    </w:p>
    <w:p>
      <w:pPr>
        <w:pStyle w:val="Subsection"/>
        <w:rPr>
          <w:snapToGrid w:val="0"/>
        </w:rPr>
      </w:pPr>
      <w:r>
        <w:rPr>
          <w:snapToGrid w:val="0"/>
        </w:rPr>
        <w:tab/>
        <w:t>(2)</w:t>
      </w:r>
      <w:r>
        <w:rPr>
          <w:snapToGrid w:val="0"/>
        </w:rPr>
        <w:tab/>
        <w:t>A delegation under this section may be made to a specified person or to the holder for the time being of a specified office or to the holders of specified offices.</w:t>
      </w:r>
    </w:p>
    <w:p>
      <w:pPr>
        <w:pStyle w:val="Subsection"/>
        <w:rPr>
          <w:snapToGrid w:val="0"/>
        </w:rPr>
      </w:pPr>
      <w:r>
        <w:rPr>
          <w:snapToGrid w:val="0"/>
        </w:rPr>
        <w:tab/>
        <w:t>(3)</w:t>
      </w:r>
      <w:r>
        <w:rPr>
          <w:snapToGrid w:val="0"/>
        </w:rPr>
        <w:tab/>
        <w:t>Every delegation under this section may be revoked or varied at any time by the Commissioner by instrument in writing under his hand, and no such delegation prevents the exercise of any power by the Commissioner.</w:t>
      </w:r>
    </w:p>
    <w:p>
      <w:pPr>
        <w:pStyle w:val="Subsection"/>
        <w:rPr>
          <w:snapToGrid w:val="0"/>
        </w:rPr>
      </w:pPr>
      <w:r>
        <w:rPr>
          <w:snapToGrid w:val="0"/>
        </w:rPr>
        <w:tab/>
        <w:t>(4)</w:t>
      </w:r>
      <w:r>
        <w:rPr>
          <w:snapToGrid w:val="0"/>
        </w:rPr>
        <w:tab/>
        <w:t>A delegation under this section may be made subject to conditions and restrictions, and may be made generally or in relation to any particular case or class of cases.</w:t>
      </w:r>
    </w:p>
    <w:p>
      <w:pPr>
        <w:pStyle w:val="Subsection"/>
        <w:rPr>
          <w:snapToGrid w:val="0"/>
        </w:rPr>
      </w:pPr>
      <w:r>
        <w:rPr>
          <w:snapToGrid w:val="0"/>
        </w:rPr>
        <w:tab/>
        <w:t>(5)</w:t>
      </w:r>
      <w:r>
        <w:rPr>
          <w:snapToGrid w:val="0"/>
        </w:rPr>
        <w:tab/>
        <w:t>When a Commissioner by whom a delegation is made dies, or ceases to hold, or is suspended from, office, the delegation shall be deemed to continue in force according to its tenor until it is revoked or varied under this section.</w:t>
      </w:r>
    </w:p>
    <w:p>
      <w:pPr>
        <w:pStyle w:val="Subsection"/>
        <w:rPr>
          <w:snapToGrid w:val="0"/>
        </w:rPr>
      </w:pPr>
      <w:r>
        <w:rPr>
          <w:snapToGrid w:val="0"/>
        </w:rPr>
        <w:tab/>
        <w:t>(6)</w:t>
      </w:r>
      <w:r>
        <w:rPr>
          <w:snapToGrid w:val="0"/>
        </w:rPr>
        <w:tab/>
        <w:t>The performance of a function by a delegate under this section shall be deemed to be the performance of the function by the Commissioner.</w:t>
      </w:r>
    </w:p>
    <w:p>
      <w:pPr>
        <w:pStyle w:val="Subsection"/>
        <w:rPr>
          <w:snapToGrid w:val="0"/>
        </w:rPr>
      </w:pPr>
      <w:r>
        <w:rPr>
          <w:snapToGrid w:val="0"/>
        </w:rPr>
        <w:tab/>
        <w:t>(7)</w:t>
      </w:r>
      <w:r>
        <w:rPr>
          <w:snapToGrid w:val="0"/>
        </w:rPr>
        <w:tab/>
        <w:t>A delegate shall, upon request by a person affected by the exercise of any power delegated to him, produce the instrument of delegation, or a copy of the instrument, for inspection.</w:t>
      </w:r>
    </w:p>
    <w:p>
      <w:pPr>
        <w:pStyle w:val="Footnotesection"/>
      </w:pPr>
      <w:r>
        <w:tab/>
        <w:t>[Section 11 amended by No. 124 of 1984 s. 3; No. 74 of 2003 s. 91(12).]</w:t>
      </w:r>
    </w:p>
    <w:p>
      <w:pPr>
        <w:pStyle w:val="Heading5"/>
        <w:spacing w:before="200"/>
        <w:rPr>
          <w:snapToGrid w:val="0"/>
        </w:rPr>
      </w:pPr>
      <w:bookmarkStart w:id="17" w:name="_Toc441668312"/>
      <w:r>
        <w:rPr>
          <w:rStyle w:val="CharSectno"/>
        </w:rPr>
        <w:t>12</w:t>
      </w:r>
      <w:r>
        <w:rPr>
          <w:snapToGrid w:val="0"/>
        </w:rPr>
        <w:t>.</w:t>
      </w:r>
      <w:r>
        <w:rPr>
          <w:snapToGrid w:val="0"/>
        </w:rPr>
        <w:tab/>
        <w:t>Rules of Parliament</w:t>
      </w:r>
      <w:bookmarkEnd w:id="17"/>
    </w:p>
    <w:p>
      <w:pPr>
        <w:pStyle w:val="Subsection"/>
        <w:rPr>
          <w:snapToGrid w:val="0"/>
        </w:rPr>
      </w:pPr>
      <w:r>
        <w:rPr>
          <w:snapToGrid w:val="0"/>
        </w:rPr>
        <w:tab/>
        <w:t>(1)</w:t>
      </w:r>
      <w:r>
        <w:rPr>
          <w:snapToGrid w:val="0"/>
        </w:rPr>
        <w:tab/>
        <w:t>Rules of Parliament may be made for the guidance of the Commissioner in the exercise of his functions and for the other purposes for which Rules of Parliament may be made under this Act.</w:t>
      </w:r>
    </w:p>
    <w:p>
      <w:pPr>
        <w:pStyle w:val="Subsection"/>
        <w:rPr>
          <w:snapToGrid w:val="0"/>
        </w:rPr>
      </w:pPr>
      <w:r>
        <w:rPr>
          <w:snapToGrid w:val="0"/>
        </w:rPr>
        <w:tab/>
        <w:t>(2)</w:t>
      </w:r>
      <w:r>
        <w:rPr>
          <w:snapToGrid w:val="0"/>
        </w:rPr>
        <w:tab/>
        <w:t>Subject to this Act the functions of the Commissioner shall be exercised in accordance with the Rules of Parliament made under this Act.</w:t>
      </w:r>
    </w:p>
    <w:p>
      <w:pPr>
        <w:pStyle w:val="Subsection"/>
        <w:rPr>
          <w:snapToGrid w:val="0"/>
        </w:rPr>
      </w:pPr>
      <w:r>
        <w:rPr>
          <w:snapToGrid w:val="0"/>
        </w:rPr>
        <w:tab/>
        <w:t>(3)</w:t>
      </w:r>
      <w:r>
        <w:rPr>
          <w:snapToGrid w:val="0"/>
        </w:rPr>
        <w:tab/>
        <w:t>The Rules of Parliament referred to in this section are rules that have been agreed upon by each House of Parliament in accordance with the rules and orders thereof.</w:t>
      </w:r>
    </w:p>
    <w:p>
      <w:pPr>
        <w:pStyle w:val="Subsection"/>
        <w:rPr>
          <w:snapToGrid w:val="0"/>
        </w:rPr>
      </w:pPr>
      <w:r>
        <w:rPr>
          <w:snapToGrid w:val="0"/>
        </w:rPr>
        <w:tab/>
        <w:t>(4)</w:t>
      </w:r>
      <w:r>
        <w:rPr>
          <w:snapToGrid w:val="0"/>
        </w:rPr>
        <w:tab/>
        <w:t xml:space="preserve">Rules of Parliament made under this Act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does not apply to Rules of Parliament made under this Act.</w:t>
      </w:r>
    </w:p>
    <w:p>
      <w:pPr>
        <w:pStyle w:val="Footnotesection"/>
      </w:pPr>
      <w:r>
        <w:tab/>
        <w:t>[Section 12 amended by No. 78 of 1996 s. 9.]</w:t>
      </w:r>
    </w:p>
    <w:p>
      <w:pPr>
        <w:pStyle w:val="Heading2"/>
      </w:pPr>
      <w:bookmarkStart w:id="18" w:name="_Toc441668313"/>
      <w:r>
        <w:rPr>
          <w:rStyle w:val="CharPartNo"/>
        </w:rPr>
        <w:t>Part III</w:t>
      </w:r>
      <w:r>
        <w:t> — </w:t>
      </w:r>
      <w:r>
        <w:rPr>
          <w:rStyle w:val="CharPartText"/>
        </w:rPr>
        <w:t>Jurisdiction and functions of the Commissioner</w:t>
      </w:r>
      <w:bookmarkEnd w:id="18"/>
    </w:p>
    <w:p>
      <w:pPr>
        <w:pStyle w:val="Heading3"/>
      </w:pPr>
      <w:bookmarkStart w:id="19" w:name="_Toc441668314"/>
      <w:r>
        <w:rPr>
          <w:rStyle w:val="CharDivNo"/>
        </w:rPr>
        <w:t>Division 1</w:t>
      </w:r>
      <w:r>
        <w:rPr>
          <w:snapToGrid w:val="0"/>
        </w:rPr>
        <w:t> — </w:t>
      </w:r>
      <w:r>
        <w:rPr>
          <w:rStyle w:val="CharDivText"/>
        </w:rPr>
        <w:t>Extent of jurisdiction</w:t>
      </w:r>
      <w:bookmarkEnd w:id="19"/>
    </w:p>
    <w:p>
      <w:pPr>
        <w:pStyle w:val="Heading5"/>
        <w:rPr>
          <w:snapToGrid w:val="0"/>
        </w:rPr>
      </w:pPr>
      <w:bookmarkStart w:id="20" w:name="_Toc441668315"/>
      <w:r>
        <w:rPr>
          <w:rStyle w:val="CharSectno"/>
        </w:rPr>
        <w:t>13</w:t>
      </w:r>
      <w:r>
        <w:rPr>
          <w:snapToGrid w:val="0"/>
        </w:rPr>
        <w:t>.</w:t>
      </w:r>
      <w:r>
        <w:rPr>
          <w:snapToGrid w:val="0"/>
        </w:rPr>
        <w:tab/>
        <w:t>Departments and authorities subject to investigation</w:t>
      </w:r>
      <w:bookmarkEnd w:id="20"/>
    </w:p>
    <w:p>
      <w:pPr>
        <w:pStyle w:val="Subsection"/>
        <w:rPr>
          <w:snapToGrid w:val="0"/>
        </w:rPr>
      </w:pPr>
      <w:r>
        <w:rPr>
          <w:snapToGrid w:val="0"/>
        </w:rPr>
        <w:tab/>
        <w:t>(1)</w:t>
      </w:r>
      <w:r>
        <w:rPr>
          <w:snapToGrid w:val="0"/>
        </w:rPr>
        <w:tab/>
        <w:t>Subject to subsection (2), this Act applies to all departments and authorities.</w:t>
      </w:r>
    </w:p>
    <w:p>
      <w:pPr>
        <w:pStyle w:val="Subsection"/>
        <w:keepNext/>
        <w:rPr>
          <w:snapToGrid w:val="0"/>
        </w:rPr>
      </w:pPr>
      <w:r>
        <w:rPr>
          <w:snapToGrid w:val="0"/>
        </w:rPr>
        <w:tab/>
        <w:t>(2)</w:t>
      </w:r>
      <w:r>
        <w:rPr>
          <w:snapToGrid w:val="0"/>
        </w:rPr>
        <w:tab/>
        <w:t>This Act does not apply to —</w:t>
      </w:r>
    </w:p>
    <w:p>
      <w:pPr>
        <w:pStyle w:val="Indenta"/>
        <w:rPr>
          <w:snapToGrid w:val="0"/>
        </w:rPr>
      </w:pPr>
      <w:r>
        <w:rPr>
          <w:snapToGrid w:val="0"/>
        </w:rPr>
        <w:tab/>
        <w:t>(a)</w:t>
      </w:r>
      <w:r>
        <w:rPr>
          <w:snapToGrid w:val="0"/>
        </w:rPr>
        <w:tab/>
        <w:t>either House of Parliament, any committee or member of either of those Houses or a joint committee of both Houses of Parliament; or</w:t>
      </w:r>
    </w:p>
    <w:p>
      <w:pPr>
        <w:pStyle w:val="Indenta"/>
        <w:rPr>
          <w:snapToGrid w:val="0"/>
        </w:rPr>
      </w:pPr>
      <w:r>
        <w:rPr>
          <w:snapToGrid w:val="0"/>
        </w:rPr>
        <w:tab/>
        <w:t>(b)</w:t>
      </w:r>
      <w:r>
        <w:rPr>
          <w:snapToGrid w:val="0"/>
        </w:rPr>
        <w:tab/>
        <w:t xml:space="preserve">any member of a department of the staff of Parliament referred to in, or an electorate officer within the meaning of, the </w:t>
      </w:r>
      <w:r>
        <w:rPr>
          <w:i/>
          <w:snapToGrid w:val="0"/>
        </w:rPr>
        <w:t>Parliamentary and Electorate Staff (Employment) Act 1992</w:t>
      </w:r>
      <w:r>
        <w:rPr>
          <w:snapToGrid w:val="0"/>
        </w:rPr>
        <w:t>; or</w:t>
      </w:r>
    </w:p>
    <w:p>
      <w:pPr>
        <w:pStyle w:val="Indenta"/>
        <w:rPr>
          <w:snapToGrid w:val="0"/>
        </w:rPr>
      </w:pPr>
      <w:r>
        <w:rPr>
          <w:snapToGrid w:val="0"/>
        </w:rPr>
        <w:tab/>
        <w:t>(c)</w:t>
      </w:r>
      <w:r>
        <w:rPr>
          <w:snapToGrid w:val="0"/>
        </w:rPr>
        <w:tab/>
        <w:t>the Clerk or the Deputy Clerk of either House of Parliament; or</w:t>
      </w:r>
    </w:p>
    <w:p>
      <w:pPr>
        <w:pStyle w:val="Indenta"/>
        <w:rPr>
          <w:snapToGrid w:val="0"/>
        </w:rPr>
      </w:pPr>
      <w:r>
        <w:rPr>
          <w:snapToGrid w:val="0"/>
        </w:rPr>
        <w:tab/>
        <w:t>(d)</w:t>
      </w:r>
      <w:r>
        <w:rPr>
          <w:snapToGrid w:val="0"/>
        </w:rPr>
        <w:tab/>
        <w:t>the Supreme Court, a judge or any person acting in the office, or performing the functions of, a master, the Principal Registrar or a registrar of the Supreme Court; or</w:t>
      </w:r>
    </w:p>
    <w:p>
      <w:pPr>
        <w:pStyle w:val="Indenta"/>
        <w:rPr>
          <w:snapToGrid w:val="0"/>
        </w:rPr>
      </w:pPr>
      <w:r>
        <w:rPr>
          <w:snapToGrid w:val="0"/>
        </w:rPr>
        <w:tab/>
        <w:t>(e)</w:t>
      </w:r>
      <w:r>
        <w:rPr>
          <w:snapToGrid w:val="0"/>
        </w:rPr>
        <w:tab/>
        <w:t xml:space="preserve">the District Court, a District Court judge or any person acting in the office, or performing the functions of, a registrar within the meaning of the </w:t>
      </w:r>
      <w:r>
        <w:rPr>
          <w:i/>
          <w:snapToGrid w:val="0"/>
        </w:rPr>
        <w:t>District Court of Western Australia Act 1969</w:t>
      </w:r>
      <w:r>
        <w:rPr>
          <w:snapToGrid w:val="0"/>
        </w:rPr>
        <w:t>; or</w:t>
      </w:r>
    </w:p>
    <w:p>
      <w:pPr>
        <w:pStyle w:val="Indenta"/>
        <w:rPr>
          <w:snapToGrid w:val="0"/>
        </w:rPr>
      </w:pPr>
      <w:r>
        <w:rPr>
          <w:snapToGrid w:val="0"/>
        </w:rPr>
        <w:tab/>
        <w:t>(f)</w:t>
      </w:r>
      <w:r>
        <w:rPr>
          <w:snapToGrid w:val="0"/>
        </w:rPr>
        <w:tab/>
        <w:t>the Family Court, a judge or an acting judge of that Court or any person acting in the office, or performing the functions of, the Principal Registrar, a registrar or a deputy registrar of that Court; or</w:t>
      </w:r>
    </w:p>
    <w:p>
      <w:pPr>
        <w:pStyle w:val="Indenta"/>
        <w:rPr>
          <w:snapToGrid w:val="0"/>
        </w:rPr>
      </w:pPr>
      <w:r>
        <w:rPr>
          <w:snapToGrid w:val="0"/>
        </w:rPr>
        <w:tab/>
        <w:t>(g)</w:t>
      </w:r>
      <w:r>
        <w:rPr>
          <w:snapToGrid w:val="0"/>
        </w:rPr>
        <w:tab/>
        <w:t xml:space="preserve">the Magistrates Court, or a magistrate or acting magistrate appointed under the </w:t>
      </w:r>
      <w:r>
        <w:rPr>
          <w:i/>
          <w:snapToGrid w:val="0"/>
        </w:rPr>
        <w:t>Magistrates Court Act 2004</w:t>
      </w:r>
      <w:r>
        <w:rPr>
          <w:snapToGrid w:val="0"/>
        </w:rPr>
        <w:t>, or a justice of the peace when constituting that Court; or</w:t>
      </w:r>
    </w:p>
    <w:p>
      <w:pPr>
        <w:pStyle w:val="Indenta"/>
        <w:spacing w:before="70"/>
      </w:pPr>
      <w:r>
        <w:tab/>
        <w:t>(ga)</w:t>
      </w:r>
      <w:r>
        <w:tab/>
        <w:t xml:space="preserve">the Children’s Court, or a judge, acting judge, magistrate or acting magistrate, appointed under the </w:t>
      </w:r>
      <w:r>
        <w:rPr>
          <w:i/>
        </w:rPr>
        <w:t>Children’s Court of Western Australia Act 1988</w:t>
      </w:r>
      <w:r>
        <w:t>, or a justice of the peace when constituting that Court; or</w:t>
      </w:r>
    </w:p>
    <w:p>
      <w:pPr>
        <w:pStyle w:val="Indenta"/>
        <w:spacing w:before="70"/>
        <w:rPr>
          <w:snapToGrid w:val="0"/>
        </w:rPr>
      </w:pPr>
      <w:r>
        <w:rPr>
          <w:snapToGrid w:val="0"/>
        </w:rPr>
        <w:tab/>
        <w:t>(h)</w:t>
      </w:r>
      <w:r>
        <w:rPr>
          <w:snapToGrid w:val="0"/>
        </w:rPr>
        <w:tab/>
        <w:t xml:space="preserve">the Liquor Licensing Court </w:t>
      </w:r>
      <w:r>
        <w:rPr>
          <w:snapToGrid w:val="0"/>
          <w:vertAlign w:val="superscript"/>
        </w:rPr>
        <w:t>3</w:t>
      </w:r>
      <w:r>
        <w:rPr>
          <w:snapToGrid w:val="0"/>
        </w:rPr>
        <w:t>, the judge or an acting judge of that Court or any person acting in the office, or performing the functions of, the registrar of that Court; or</w:t>
      </w:r>
    </w:p>
    <w:p>
      <w:pPr>
        <w:pStyle w:val="Indenta"/>
        <w:spacing w:before="70"/>
        <w:rPr>
          <w:snapToGrid w:val="0"/>
        </w:rPr>
      </w:pPr>
      <w:r>
        <w:rPr>
          <w:snapToGrid w:val="0"/>
        </w:rPr>
        <w:tab/>
        <w:t>(i)</w:t>
      </w:r>
      <w:r>
        <w:rPr>
          <w:snapToGrid w:val="0"/>
        </w:rPr>
        <w:tab/>
        <w:t>any other court of law; or</w:t>
      </w:r>
    </w:p>
    <w:p>
      <w:pPr>
        <w:pStyle w:val="Indenta"/>
        <w:spacing w:before="70"/>
        <w:rPr>
          <w:snapToGrid w:val="0"/>
        </w:rPr>
      </w:pPr>
      <w:r>
        <w:rPr>
          <w:snapToGrid w:val="0"/>
        </w:rPr>
        <w:tab/>
        <w:t>(j)</w:t>
      </w:r>
      <w:r>
        <w:rPr>
          <w:snapToGrid w:val="0"/>
        </w:rPr>
        <w:tab/>
        <w:t>a commissioner of any court; or</w:t>
      </w:r>
    </w:p>
    <w:p>
      <w:pPr>
        <w:pStyle w:val="Ednotepara"/>
        <w:spacing w:before="70"/>
        <w:ind w:left="1610" w:hanging="1610"/>
      </w:pPr>
      <w:r>
        <w:tab/>
        <w:t>[(k)</w:t>
      </w:r>
      <w:r>
        <w:tab/>
        <w:t>deleted]</w:t>
      </w:r>
    </w:p>
    <w:p>
      <w:pPr>
        <w:pStyle w:val="Indenta"/>
        <w:spacing w:before="70"/>
      </w:pPr>
      <w:r>
        <w:tab/>
        <w:t>(ka)</w:t>
      </w:r>
      <w:r>
        <w:tab/>
        <w:t>the State Administrative Tribunal, a judicial or non</w:t>
      </w:r>
      <w:r>
        <w:noBreakHyphen/>
        <w:t>judicial member of that Tribunal or any person acting in the office, or performing the functions, of the executive officer of that Tribunal; or</w:t>
      </w:r>
    </w:p>
    <w:p>
      <w:pPr>
        <w:pStyle w:val="Indenta"/>
        <w:spacing w:before="70"/>
        <w:rPr>
          <w:snapToGrid w:val="0"/>
        </w:rPr>
      </w:pPr>
      <w:r>
        <w:rPr>
          <w:snapToGrid w:val="0"/>
        </w:rPr>
        <w:tab/>
        <w:t>(l)</w:t>
      </w:r>
      <w:r>
        <w:rPr>
          <w:snapToGrid w:val="0"/>
        </w:rPr>
        <w:tab/>
        <w:t>a coroner; or</w:t>
      </w:r>
    </w:p>
    <w:p>
      <w:pPr>
        <w:pStyle w:val="Indenta"/>
        <w:spacing w:before="70"/>
        <w:rPr>
          <w:snapToGrid w:val="0"/>
        </w:rPr>
      </w:pPr>
      <w:r>
        <w:rPr>
          <w:snapToGrid w:val="0"/>
        </w:rPr>
        <w:tab/>
        <w:t>(m)</w:t>
      </w:r>
      <w:r>
        <w:rPr>
          <w:snapToGrid w:val="0"/>
        </w:rPr>
        <w:tab/>
        <w:t xml:space="preserve">the Governor, a member of the Governor’s Establishment within the meaning of the </w:t>
      </w:r>
      <w:r>
        <w:rPr>
          <w:i/>
          <w:snapToGrid w:val="0"/>
        </w:rPr>
        <w:t>Governor’s Establishment Act 1992</w:t>
      </w:r>
      <w:r>
        <w:rPr>
          <w:snapToGrid w:val="0"/>
        </w:rPr>
        <w:t xml:space="preserve"> or a person to whom section 6(1)(a) of that Act applies; or</w:t>
      </w:r>
    </w:p>
    <w:p>
      <w:pPr>
        <w:pStyle w:val="Indenta"/>
        <w:spacing w:before="70"/>
        <w:rPr>
          <w:snapToGrid w:val="0"/>
        </w:rPr>
      </w:pPr>
      <w:r>
        <w:rPr>
          <w:snapToGrid w:val="0"/>
        </w:rPr>
        <w:tab/>
        <w:t>(n)</w:t>
      </w:r>
      <w:r>
        <w:rPr>
          <w:snapToGrid w:val="0"/>
        </w:rPr>
        <w:tab/>
        <w:t>any department or authority specified in Schedule 1 but if the extent to which this Act does not apply in respect of a department or authority has been set out in the item in Schedule 1 relating to that department or authority then this Act does not apply to that extent.</w:t>
      </w:r>
    </w:p>
    <w:p>
      <w:pPr>
        <w:pStyle w:val="Subsection"/>
        <w:keepNext/>
        <w:spacing w:before="180"/>
        <w:rPr>
          <w:snapToGrid w:val="0"/>
        </w:rPr>
      </w:pPr>
      <w:r>
        <w:rPr>
          <w:snapToGrid w:val="0"/>
        </w:rPr>
        <w:tab/>
        <w:t>(3)</w:t>
      </w:r>
      <w:r>
        <w:rPr>
          <w:snapToGrid w:val="0"/>
        </w:rPr>
        <w:tab/>
        <w:t>For the purposes of this Act, but subject to subsection (5) —</w:t>
      </w:r>
    </w:p>
    <w:p>
      <w:pPr>
        <w:pStyle w:val="Indenta"/>
        <w:spacing w:before="70"/>
        <w:rPr>
          <w:snapToGrid w:val="0"/>
        </w:rPr>
      </w:pPr>
      <w:r>
        <w:rPr>
          <w:snapToGrid w:val="0"/>
        </w:rPr>
        <w:tab/>
        <w:t>(a)</w:t>
      </w:r>
      <w:r>
        <w:rPr>
          <w:snapToGrid w:val="0"/>
        </w:rPr>
        <w:tab/>
        <w:t>references to a department or authority shall be construed as including references to each of the members, officers, and employees thereof; and</w:t>
      </w:r>
    </w:p>
    <w:p>
      <w:pPr>
        <w:pStyle w:val="Indenta"/>
        <w:spacing w:before="70"/>
      </w:pPr>
      <w:r>
        <w:tab/>
        <w:t>(b)</w:t>
      </w:r>
      <w:r>
        <w:tab/>
        <w:t>references to an officer of an authority shall be construed —</w:t>
      </w:r>
    </w:p>
    <w:p>
      <w:pPr>
        <w:pStyle w:val="Indenti"/>
        <w:spacing w:before="70"/>
      </w:pPr>
      <w:r>
        <w:tab/>
        <w:t>(i)</w:t>
      </w:r>
      <w:r>
        <w:tab/>
        <w:t>as including references to an officer appointed by, or a person employed or engaged to work in, that authority under any enactment; and</w:t>
      </w:r>
    </w:p>
    <w:p>
      <w:pPr>
        <w:pStyle w:val="Indenti"/>
      </w:pPr>
      <w:r>
        <w:tab/>
        <w:t>(ii)</w:t>
      </w:r>
      <w:r>
        <w:tab/>
        <w:t>in the case of a contractor or subcontractor, as also including references to an officer of, or a person employed or engaged to work for, the contractor or subcontractor;</w:t>
      </w:r>
    </w:p>
    <w:p>
      <w:pPr>
        <w:pStyle w:val="Indenta"/>
      </w:pPr>
      <w:r>
        <w:tab/>
      </w:r>
      <w:r>
        <w:tab/>
        <w:t>and</w:t>
      </w:r>
    </w:p>
    <w:p>
      <w:pPr>
        <w:pStyle w:val="Indenta"/>
        <w:keepNext/>
      </w:pPr>
      <w:r>
        <w:tab/>
        <w:t>(c)</w:t>
      </w:r>
      <w:r>
        <w:tab/>
        <w:t>references to a member of an authority shall be construed —</w:t>
      </w:r>
    </w:p>
    <w:p>
      <w:pPr>
        <w:pStyle w:val="Indenti"/>
      </w:pPr>
      <w:r>
        <w:tab/>
        <w:t>(i)</w:t>
      </w:r>
      <w:r>
        <w:tab/>
        <w:t>as including references to the holder of any office created by an enactment who by virtue of his holding that office is a member of that authority; and</w:t>
      </w:r>
    </w:p>
    <w:p>
      <w:pPr>
        <w:pStyle w:val="Indenti"/>
        <w:rPr>
          <w:snapToGrid w:val="0"/>
        </w:rPr>
      </w:pPr>
      <w:r>
        <w:tab/>
        <w:t>(ii)</w:t>
      </w:r>
      <w:r>
        <w:tab/>
        <w:t>in the case of a contractor or subcontractor, as including references to each director of the contractor or subcontractor.</w:t>
      </w:r>
    </w:p>
    <w:p>
      <w:pPr>
        <w:pStyle w:val="Subsection"/>
        <w:keepNext/>
        <w:rPr>
          <w:snapToGrid w:val="0"/>
        </w:rPr>
      </w:pPr>
      <w:r>
        <w:rPr>
          <w:snapToGrid w:val="0"/>
        </w:rPr>
        <w:tab/>
        <w:t>(4)</w:t>
      </w:r>
      <w:r>
        <w:rPr>
          <w:snapToGrid w:val="0"/>
        </w:rPr>
        <w:tab/>
        <w:t>For the purposes of this Act, but subject to subsection (5), the following persons shall be deemed to constitute the officers and employees of a department, namely —</w:t>
      </w:r>
    </w:p>
    <w:p>
      <w:pPr>
        <w:pStyle w:val="Indenta"/>
        <w:rPr>
          <w:snapToGrid w:val="0"/>
        </w:rPr>
      </w:pPr>
      <w:r>
        <w:rPr>
          <w:snapToGrid w:val="0"/>
        </w:rPr>
        <w:tab/>
        <w:t>(a)</w:t>
      </w:r>
      <w:r>
        <w:rPr>
          <w:snapToGrid w:val="0"/>
        </w:rPr>
        <w:tab/>
        <w:t>the chief executive officer of the department; and</w:t>
      </w:r>
    </w:p>
    <w:p>
      <w:pPr>
        <w:pStyle w:val="Indenta"/>
        <w:rPr>
          <w:snapToGrid w:val="0"/>
        </w:rPr>
      </w:pPr>
      <w:r>
        <w:rPr>
          <w:snapToGrid w:val="0"/>
        </w:rPr>
        <w:tab/>
        <w:t>(b)</w:t>
      </w:r>
      <w:r>
        <w:rPr>
          <w:snapToGrid w:val="0"/>
        </w:rPr>
        <w:tab/>
        <w:t>public service officers employed in the department; and</w:t>
      </w:r>
    </w:p>
    <w:p>
      <w:pPr>
        <w:pStyle w:val="Indenta"/>
        <w:rPr>
          <w:snapToGrid w:val="0"/>
        </w:rPr>
      </w:pPr>
      <w:r>
        <w:rPr>
          <w:snapToGrid w:val="0"/>
        </w:rPr>
        <w:tab/>
        <w:t>(c)</w:t>
      </w:r>
      <w:r>
        <w:rPr>
          <w:snapToGrid w:val="0"/>
        </w:rPr>
        <w:tab/>
        <w:t>officers appointed by the Governor under the provisions of any Act administered in that department; and</w:t>
      </w:r>
    </w:p>
    <w:p>
      <w:pPr>
        <w:pStyle w:val="Indenta"/>
        <w:keepNext/>
        <w:rPr>
          <w:snapToGrid w:val="0"/>
        </w:rPr>
      </w:pPr>
      <w:r>
        <w:rPr>
          <w:snapToGrid w:val="0"/>
        </w:rPr>
        <w:tab/>
        <w:t>(d)</w:t>
      </w:r>
      <w:r>
        <w:rPr>
          <w:snapToGrid w:val="0"/>
        </w:rPr>
        <w:tab/>
        <w:t>officers appointed, and persons employed or engaged, by the Minister of the Crown administering the department or the chief executive officer of the department, being either —</w:t>
      </w:r>
    </w:p>
    <w:p>
      <w:pPr>
        <w:pStyle w:val="Indenti"/>
        <w:rPr>
          <w:snapToGrid w:val="0"/>
        </w:rPr>
      </w:pPr>
      <w:r>
        <w:rPr>
          <w:snapToGrid w:val="0"/>
        </w:rPr>
        <w:tab/>
        <w:t>(i)</w:t>
      </w:r>
      <w:r>
        <w:rPr>
          <w:snapToGrid w:val="0"/>
        </w:rPr>
        <w:tab/>
        <w:t>officers or persons who are so appointed, employed or engaged under any enactment; or</w:t>
      </w:r>
    </w:p>
    <w:p>
      <w:pPr>
        <w:pStyle w:val="Indenti"/>
        <w:rPr>
          <w:snapToGrid w:val="0"/>
        </w:rPr>
      </w:pPr>
      <w:r>
        <w:rPr>
          <w:snapToGrid w:val="0"/>
        </w:rPr>
        <w:tab/>
        <w:t>(ii)</w:t>
      </w:r>
      <w:r>
        <w:rPr>
          <w:snapToGrid w:val="0"/>
        </w:rPr>
        <w:tab/>
        <w:t>officers or persons whose remuneration as such is defrayed in whole or in part out of moneys provided by Parliament.</w:t>
      </w:r>
    </w:p>
    <w:p>
      <w:pPr>
        <w:pStyle w:val="Subsection"/>
        <w:keepLines/>
        <w:rPr>
          <w:snapToGrid w:val="0"/>
        </w:rPr>
      </w:pPr>
      <w:r>
        <w:rPr>
          <w:snapToGrid w:val="0"/>
        </w:rPr>
        <w:tab/>
        <w:t>(5)</w:t>
      </w:r>
      <w:r>
        <w:rPr>
          <w:snapToGrid w:val="0"/>
        </w:rPr>
        <w:tab/>
        <w:t xml:space="preserve">A person who is a ministerial officer for the purposes of section 74(3) of the </w:t>
      </w:r>
      <w:r>
        <w:rPr>
          <w:i/>
          <w:snapToGrid w:val="0"/>
        </w:rPr>
        <w:t>Public Sector Management Act 1994</w:t>
      </w:r>
      <w:r>
        <w:rPr>
          <w:snapToGrid w:val="0"/>
        </w:rPr>
        <w:t xml:space="preserve"> shall not, as such, be regarded for the purposes of this Act as a member or an officer or employee of a department or authority.</w:t>
      </w:r>
    </w:p>
    <w:p>
      <w:pPr>
        <w:pStyle w:val="Footnotesection"/>
        <w:spacing w:before="100"/>
        <w:ind w:left="890" w:hanging="890"/>
      </w:pPr>
      <w:r>
        <w:tab/>
        <w:t>[Section 13 amended by No. 13 of 1982 s. 9; No. 14 of 1994 s. 19(1); No. 29 of 1996 s. 26; No. 78 of 1996 s. 10 and 21; No. 41 of 1997 s. 34; No. 47 of 1999 s. 25; No. 55 of 2004 s. 1325; No. 59 of 2004 s. 141.]</w:t>
      </w:r>
    </w:p>
    <w:p>
      <w:pPr>
        <w:pStyle w:val="Heading5"/>
        <w:rPr>
          <w:snapToGrid w:val="0"/>
        </w:rPr>
      </w:pPr>
      <w:bookmarkStart w:id="21" w:name="_Toc441668316"/>
      <w:r>
        <w:rPr>
          <w:rStyle w:val="CharSectno"/>
        </w:rPr>
        <w:t>14</w:t>
      </w:r>
      <w:r>
        <w:rPr>
          <w:snapToGrid w:val="0"/>
        </w:rPr>
        <w:t>.</w:t>
      </w:r>
      <w:r>
        <w:rPr>
          <w:snapToGrid w:val="0"/>
        </w:rPr>
        <w:tab/>
        <w:t>Matters subject to investigation</w:t>
      </w:r>
      <w:bookmarkEnd w:id="21"/>
    </w:p>
    <w:p>
      <w:pPr>
        <w:pStyle w:val="Subsection"/>
        <w:rPr>
          <w:snapToGrid w:val="0"/>
        </w:rPr>
      </w:pPr>
      <w:r>
        <w:rPr>
          <w:snapToGrid w:val="0"/>
        </w:rPr>
        <w:tab/>
        <w:t>(1)</w:t>
      </w:r>
      <w:r>
        <w:rPr>
          <w:snapToGrid w:val="0"/>
        </w:rPr>
        <w:tab/>
        <w:t>Subject to this Act, the Commissioner shall investigate any decision or recommendation made, or any act done or omitted, that relates to a matter of administration and affects any person or body of persons in his or its personal capacity in or by any department or authority to which this Act applies in the exercise of any power or function.</w:t>
      </w:r>
    </w:p>
    <w:p>
      <w:pPr>
        <w:pStyle w:val="Subsection"/>
        <w:keepNext/>
        <w:rPr>
          <w:snapToGrid w:val="0"/>
        </w:rPr>
      </w:pPr>
      <w:r>
        <w:rPr>
          <w:snapToGrid w:val="0"/>
        </w:rPr>
        <w:tab/>
        <w:t>(2)</w:t>
      </w:r>
      <w:r>
        <w:rPr>
          <w:snapToGrid w:val="0"/>
        </w:rPr>
        <w:tab/>
        <w:t>References in this Act to the taking of any action shall be construed as including references to —</w:t>
      </w:r>
    </w:p>
    <w:p>
      <w:pPr>
        <w:pStyle w:val="Indenta"/>
        <w:spacing w:before="60"/>
        <w:rPr>
          <w:snapToGrid w:val="0"/>
        </w:rPr>
      </w:pPr>
      <w:r>
        <w:rPr>
          <w:snapToGrid w:val="0"/>
        </w:rPr>
        <w:tab/>
        <w:t>(a)</w:t>
      </w:r>
      <w:r>
        <w:rPr>
          <w:snapToGrid w:val="0"/>
        </w:rPr>
        <w:tab/>
        <w:t>a failure or refusal to perform any act; and</w:t>
      </w:r>
    </w:p>
    <w:p>
      <w:pPr>
        <w:pStyle w:val="Indenta"/>
        <w:spacing w:before="60"/>
        <w:rPr>
          <w:snapToGrid w:val="0"/>
        </w:rPr>
      </w:pPr>
      <w:r>
        <w:rPr>
          <w:snapToGrid w:val="0"/>
        </w:rPr>
        <w:tab/>
        <w:t>(b)</w:t>
      </w:r>
      <w:r>
        <w:rPr>
          <w:snapToGrid w:val="0"/>
        </w:rPr>
        <w:tab/>
        <w:t>the formulation of any proposal or intention; and</w:t>
      </w:r>
    </w:p>
    <w:p>
      <w:pPr>
        <w:pStyle w:val="Indenta"/>
        <w:spacing w:before="60"/>
        <w:rPr>
          <w:snapToGrid w:val="0"/>
        </w:rPr>
      </w:pPr>
      <w:r>
        <w:rPr>
          <w:snapToGrid w:val="0"/>
        </w:rPr>
        <w:tab/>
        <w:t>(c)</w:t>
      </w:r>
      <w:r>
        <w:rPr>
          <w:snapToGrid w:val="0"/>
        </w:rPr>
        <w:tab/>
        <w:t>the making of any recommendation (including a recommendation to a Minister of the Crown).</w:t>
      </w:r>
    </w:p>
    <w:p>
      <w:pPr>
        <w:pStyle w:val="Subsection"/>
        <w:rPr>
          <w:snapToGrid w:val="0"/>
        </w:rPr>
      </w:pPr>
      <w:r>
        <w:rPr>
          <w:snapToGrid w:val="0"/>
        </w:rPr>
        <w:tab/>
        <w:t>(3)</w:t>
      </w:r>
      <w:r>
        <w:rPr>
          <w:snapToGrid w:val="0"/>
        </w:rPr>
        <w:tab/>
        <w:t>This section does not authorise or require the Commissioner to investigate under this Act any decision made by Cabinet or by a Minister of the Crown or question the merits of any such decision.</w:t>
      </w:r>
    </w:p>
    <w:p>
      <w:pPr>
        <w:pStyle w:val="Subsection"/>
        <w:keepNext/>
        <w:rPr>
          <w:snapToGrid w:val="0"/>
        </w:rPr>
      </w:pPr>
      <w:r>
        <w:rPr>
          <w:snapToGrid w:val="0"/>
        </w:rPr>
        <w:tab/>
        <w:t>(4)</w:t>
      </w:r>
      <w:r>
        <w:rPr>
          <w:snapToGrid w:val="0"/>
        </w:rPr>
        <w:tab/>
        <w:t>Subject to subsection (5), the Commissioner shall not conduct an investigation under this Act in respect of any of the following matters, that is to say —</w:t>
      </w:r>
    </w:p>
    <w:p>
      <w:pPr>
        <w:pStyle w:val="Indenta"/>
        <w:spacing w:before="60"/>
        <w:rPr>
          <w:snapToGrid w:val="0"/>
        </w:rPr>
      </w:pPr>
      <w:r>
        <w:rPr>
          <w:snapToGrid w:val="0"/>
        </w:rPr>
        <w:tab/>
        <w:t>(a)</w:t>
      </w:r>
      <w:r>
        <w:rPr>
          <w:snapToGrid w:val="0"/>
        </w:rPr>
        <w:tab/>
        <w:t>any action in respect of which the person aggrieved has or had a right of appeal, reference, or review to or before a tribunal constituted under any enactment or by virtue of the Crown’s prerogative; and</w:t>
      </w:r>
    </w:p>
    <w:p>
      <w:pPr>
        <w:pStyle w:val="Indenta"/>
        <w:spacing w:before="60"/>
        <w:rPr>
          <w:snapToGrid w:val="0"/>
        </w:rPr>
      </w:pPr>
      <w:r>
        <w:rPr>
          <w:snapToGrid w:val="0"/>
        </w:rPr>
        <w:tab/>
        <w:t>(b)</w:t>
      </w:r>
      <w:r>
        <w:rPr>
          <w:snapToGrid w:val="0"/>
        </w:rPr>
        <w:tab/>
        <w:t>any action in respect of which the person aggrieved has or had a remedy by way of proceedings in any court of law.</w:t>
      </w:r>
    </w:p>
    <w:p>
      <w:pPr>
        <w:pStyle w:val="Subsection"/>
        <w:rPr>
          <w:snapToGrid w:val="0"/>
        </w:rPr>
      </w:pPr>
      <w:r>
        <w:rPr>
          <w:snapToGrid w:val="0"/>
        </w:rPr>
        <w:tab/>
        <w:t>(5)</w:t>
      </w:r>
      <w:r>
        <w:rPr>
          <w:snapToGrid w:val="0"/>
        </w:rPr>
        <w:tab/>
        <w:t>Notwithstanding anything in subsection (4), the Commissioner may conduct any investigation notwithstanding that the person aggrieved has or had such a right or remedy as is referred to in that subsection if he is satisfied that, in the particular circumstances, it is not reasonable to expect him to resort, or to have resorted, to it.</w:t>
      </w:r>
    </w:p>
    <w:p>
      <w:pPr>
        <w:pStyle w:val="Subsection"/>
        <w:rPr>
          <w:snapToGrid w:val="0"/>
        </w:rPr>
      </w:pPr>
      <w:r>
        <w:rPr>
          <w:snapToGrid w:val="0"/>
        </w:rPr>
        <w:tab/>
        <w:t>(6)</w:t>
      </w:r>
      <w:r>
        <w:rPr>
          <w:snapToGrid w:val="0"/>
        </w:rPr>
        <w:tab/>
        <w:t>The Commissioner shall not conduct an investigation into any action taken by a person acting as legal adviser or as counsel.</w:t>
      </w:r>
    </w:p>
    <w:p>
      <w:pPr>
        <w:pStyle w:val="Subsection"/>
        <w:rPr>
          <w:snapToGrid w:val="0"/>
        </w:rPr>
      </w:pPr>
      <w:r>
        <w:rPr>
          <w:snapToGrid w:val="0"/>
        </w:rPr>
        <w:tab/>
        <w:t>(7)</w:t>
      </w:r>
      <w:r>
        <w:rPr>
          <w:snapToGrid w:val="0"/>
        </w:rPr>
        <w:tab/>
        <w:t>The powers of the Commissioner under this Act in relation to any action taken by a department or authority may be exercised notwithstanding that that action was taken on behalf of, or in the exercise of any functions conferred on, an authority to which this Act does not apply, but nothing in this Act authorises or requires the Commissioner to question the merits of any decision made by such an authority.</w:t>
      </w:r>
    </w:p>
    <w:p>
      <w:pPr>
        <w:pStyle w:val="Subsection"/>
        <w:rPr>
          <w:snapToGrid w:val="0"/>
        </w:rPr>
      </w:pPr>
      <w:r>
        <w:rPr>
          <w:snapToGrid w:val="0"/>
        </w:rPr>
        <w:tab/>
        <w:t>(8)</w:t>
      </w:r>
      <w:r>
        <w:rPr>
          <w:snapToGrid w:val="0"/>
        </w:rPr>
        <w:tab/>
        <w:t>The powers of the Commissioner to investigate any action may, if in all the circumstances he considers it proper so to do, be exercised in respect of action taken before the coming into operation of this Act.</w:t>
      </w:r>
    </w:p>
    <w:p>
      <w:pPr>
        <w:pStyle w:val="Footnotesection"/>
      </w:pPr>
      <w:r>
        <w:tab/>
        <w:t>[Section 14 amended by No. 68 of 1976 s. 4; No. 124 of 1984 s. 4; No. 78 of 1996 s. 21; No. 78 of 2003 s. 72(1).]</w:t>
      </w:r>
    </w:p>
    <w:p>
      <w:pPr>
        <w:pStyle w:val="Heading3"/>
        <w:spacing w:before="300"/>
      </w:pPr>
      <w:bookmarkStart w:id="22" w:name="_Toc441668317"/>
      <w:r>
        <w:rPr>
          <w:rStyle w:val="CharDivNo"/>
        </w:rPr>
        <w:t>Division 2</w:t>
      </w:r>
      <w:r>
        <w:rPr>
          <w:snapToGrid w:val="0"/>
        </w:rPr>
        <w:t> — </w:t>
      </w:r>
      <w:r>
        <w:rPr>
          <w:rStyle w:val="CharDivText"/>
        </w:rPr>
        <w:t>Initiation of investigations</w:t>
      </w:r>
      <w:bookmarkEnd w:id="22"/>
    </w:p>
    <w:p>
      <w:pPr>
        <w:pStyle w:val="Heading5"/>
        <w:rPr>
          <w:snapToGrid w:val="0"/>
        </w:rPr>
      </w:pPr>
      <w:bookmarkStart w:id="23" w:name="_Toc441668318"/>
      <w:r>
        <w:rPr>
          <w:rStyle w:val="CharSectno"/>
        </w:rPr>
        <w:t>15</w:t>
      </w:r>
      <w:r>
        <w:rPr>
          <w:snapToGrid w:val="0"/>
        </w:rPr>
        <w:t>.</w:t>
      </w:r>
      <w:r>
        <w:rPr>
          <w:snapToGrid w:val="0"/>
        </w:rPr>
        <w:tab/>
        <w:t>Investigations on reference by Parliament</w:t>
      </w:r>
      <w:bookmarkEnd w:id="23"/>
    </w:p>
    <w:p>
      <w:pPr>
        <w:pStyle w:val="Subsection"/>
        <w:rPr>
          <w:snapToGrid w:val="0"/>
        </w:rPr>
      </w:pPr>
      <w:r>
        <w:rPr>
          <w:snapToGrid w:val="0"/>
        </w:rPr>
        <w:tab/>
        <w:t>(1)</w:t>
      </w:r>
      <w:r>
        <w:rPr>
          <w:snapToGrid w:val="0"/>
        </w:rPr>
        <w:tab/>
        <w:t>Either House of Parliament, or any committee of either of those Houses, or a joint committee of both Houses of Parliament, may refer to the Commissioner, for investigation and report, any matter which is within his jurisdiction and which that House or committee considers should be investigated by him.</w:t>
      </w:r>
    </w:p>
    <w:p>
      <w:pPr>
        <w:pStyle w:val="Subsection"/>
        <w:spacing w:before="180"/>
        <w:rPr>
          <w:snapToGrid w:val="0"/>
        </w:rPr>
      </w:pPr>
      <w:r>
        <w:rPr>
          <w:snapToGrid w:val="0"/>
        </w:rPr>
        <w:tab/>
        <w:t>(2)</w:t>
      </w:r>
      <w:r>
        <w:rPr>
          <w:snapToGrid w:val="0"/>
        </w:rPr>
        <w:tab/>
        <w:t>On any matter being referred to him under this section the Commissioner shall, as soon as may be, carry out the investigation and submit his report thereon, in the case of a matter referred —</w:t>
      </w:r>
    </w:p>
    <w:p>
      <w:pPr>
        <w:pStyle w:val="Indenta"/>
        <w:spacing w:before="60"/>
        <w:rPr>
          <w:snapToGrid w:val="0"/>
        </w:rPr>
      </w:pPr>
      <w:r>
        <w:rPr>
          <w:snapToGrid w:val="0"/>
        </w:rPr>
        <w:tab/>
        <w:t>(a)</w:t>
      </w:r>
      <w:r>
        <w:rPr>
          <w:snapToGrid w:val="0"/>
        </w:rPr>
        <w:tab/>
        <w:t>by a joint committee of both Houses of Parliament — to the President of the Legislative Council and the Speaker of the Legislative Assembly; or</w:t>
      </w:r>
    </w:p>
    <w:p>
      <w:pPr>
        <w:pStyle w:val="Indenta"/>
        <w:spacing w:before="60"/>
        <w:rPr>
          <w:snapToGrid w:val="0"/>
        </w:rPr>
      </w:pPr>
      <w:r>
        <w:rPr>
          <w:snapToGrid w:val="0"/>
        </w:rPr>
        <w:tab/>
        <w:t>(b)</w:t>
      </w:r>
      <w:r>
        <w:rPr>
          <w:snapToGrid w:val="0"/>
        </w:rPr>
        <w:tab/>
        <w:t>by the Legislative Council, or a committee thereof — to the President of the Legislative Council; or</w:t>
      </w:r>
    </w:p>
    <w:p>
      <w:pPr>
        <w:pStyle w:val="Indenta"/>
        <w:spacing w:before="60"/>
        <w:rPr>
          <w:snapToGrid w:val="0"/>
        </w:rPr>
      </w:pPr>
      <w:r>
        <w:rPr>
          <w:snapToGrid w:val="0"/>
        </w:rPr>
        <w:tab/>
        <w:t>(c)</w:t>
      </w:r>
      <w:r>
        <w:rPr>
          <w:snapToGrid w:val="0"/>
        </w:rPr>
        <w:tab/>
        <w:t>by the Legislative Assembly, or a committee thereof —to the Speaker of the Legislative Assembly.</w:t>
      </w:r>
    </w:p>
    <w:p>
      <w:pPr>
        <w:pStyle w:val="Subsection"/>
        <w:rPr>
          <w:snapToGrid w:val="0"/>
        </w:rPr>
      </w:pPr>
      <w:r>
        <w:rPr>
          <w:snapToGrid w:val="0"/>
        </w:rPr>
        <w:tab/>
        <w:t>(3)</w:t>
      </w:r>
      <w:r>
        <w:rPr>
          <w:snapToGrid w:val="0"/>
        </w:rPr>
        <w:tab/>
        <w:t>Section 14(4) does not apply to a matter referred to the Commissioner under this section, but where, in relation to that matter any person aggrieved thereby has or had such a right or remedy as is referred to in that subsection, the Commissioner may refrain from commencing any investigation into that matter until he is satisfied that that right or remedy cannot or will not be exercised or sought or, if it has been exercised or sought, the proceedings thereon have been finally concluded or abandoned.</w:t>
      </w:r>
    </w:p>
    <w:p>
      <w:pPr>
        <w:pStyle w:val="Footnotesection"/>
      </w:pPr>
      <w:r>
        <w:tab/>
        <w:t>[Section 15 amended by No. 68 of 1976 s. 5.]</w:t>
      </w:r>
    </w:p>
    <w:p>
      <w:pPr>
        <w:pStyle w:val="Heading5"/>
        <w:rPr>
          <w:snapToGrid w:val="0"/>
        </w:rPr>
      </w:pPr>
      <w:bookmarkStart w:id="24" w:name="_Toc441668319"/>
      <w:r>
        <w:rPr>
          <w:rStyle w:val="CharSectno"/>
        </w:rPr>
        <w:t>16</w:t>
      </w:r>
      <w:r>
        <w:rPr>
          <w:snapToGrid w:val="0"/>
        </w:rPr>
        <w:t>.</w:t>
      </w:r>
      <w:r>
        <w:rPr>
          <w:snapToGrid w:val="0"/>
        </w:rPr>
        <w:tab/>
        <w:t>Initiation of investigations</w:t>
      </w:r>
      <w:bookmarkEnd w:id="24"/>
    </w:p>
    <w:p>
      <w:pPr>
        <w:pStyle w:val="Subsection"/>
        <w:rPr>
          <w:snapToGrid w:val="0"/>
        </w:rPr>
      </w:pPr>
      <w:r>
        <w:rPr>
          <w:snapToGrid w:val="0"/>
        </w:rPr>
        <w:tab/>
        <w:t>(1)</w:t>
      </w:r>
      <w:r>
        <w:rPr>
          <w:snapToGrid w:val="0"/>
        </w:rPr>
        <w:tab/>
        <w:t>Without prejudice to the provisions of section 15 any investigation that the Commissioner is authorised to conduct under this Act may be so conducted, either on his own motion or on a complaint made in accordance with section 17.</w:t>
      </w:r>
    </w:p>
    <w:p>
      <w:pPr>
        <w:pStyle w:val="Subsection"/>
        <w:rPr>
          <w:snapToGrid w:val="0"/>
        </w:rPr>
      </w:pPr>
      <w:r>
        <w:rPr>
          <w:snapToGrid w:val="0"/>
        </w:rPr>
        <w:tab/>
        <w:t>(2)</w:t>
      </w:r>
      <w:r>
        <w:rPr>
          <w:snapToGrid w:val="0"/>
        </w:rPr>
        <w:tab/>
        <w:t>An investigation may be commenced as a consequence of a complaint notwithstanding that the complaint may not on its face be against any such action as is referred to in section 14(1).</w:t>
      </w:r>
    </w:p>
    <w:p>
      <w:pPr>
        <w:pStyle w:val="Heading5"/>
        <w:spacing w:before="180"/>
        <w:rPr>
          <w:snapToGrid w:val="0"/>
        </w:rPr>
      </w:pPr>
      <w:bookmarkStart w:id="25" w:name="_Toc441668320"/>
      <w:r>
        <w:rPr>
          <w:rStyle w:val="CharSectno"/>
        </w:rPr>
        <w:t>17</w:t>
      </w:r>
      <w:r>
        <w:rPr>
          <w:snapToGrid w:val="0"/>
        </w:rPr>
        <w:t>.</w:t>
      </w:r>
      <w:r>
        <w:rPr>
          <w:snapToGrid w:val="0"/>
        </w:rPr>
        <w:tab/>
        <w:t>Complaints to Commissioner</w:t>
      </w:r>
      <w:bookmarkEnd w:id="25"/>
    </w:p>
    <w:p>
      <w:pPr>
        <w:pStyle w:val="Subsection"/>
        <w:rPr>
          <w:snapToGrid w:val="0"/>
        </w:rPr>
      </w:pPr>
      <w:r>
        <w:rPr>
          <w:snapToGrid w:val="0"/>
        </w:rPr>
        <w:tab/>
        <w:t>(1)</w:t>
      </w:r>
      <w:r>
        <w:rPr>
          <w:snapToGrid w:val="0"/>
        </w:rPr>
        <w:tab/>
        <w:t>Except as otherwise provided in this section a complaint under this Act shall be made in writing by any person or by any body of persons, whether incorporated or not.</w:t>
      </w:r>
    </w:p>
    <w:p>
      <w:pPr>
        <w:pStyle w:val="Subsection"/>
        <w:rPr>
          <w:snapToGrid w:val="0"/>
        </w:rPr>
      </w:pPr>
      <w:r>
        <w:rPr>
          <w:snapToGrid w:val="0"/>
        </w:rPr>
        <w:tab/>
        <w:t>(2)</w:t>
      </w:r>
      <w:r>
        <w:rPr>
          <w:snapToGrid w:val="0"/>
        </w:rPr>
        <w:tab/>
        <w:t>When the person by whom a complaint might have been made under this Act dies or is for any reason unable to act for himself, the complaint may be made by his personal representative or by a member of his family or other individual suitable to represent him; but except as otherwise provided in this subsection a complaint shall not be entertained under this Act unless it is made by the person aggrieved himself.</w:t>
      </w:r>
    </w:p>
    <w:p>
      <w:pPr>
        <w:pStyle w:val="Subsection"/>
        <w:rPr>
          <w:snapToGrid w:val="0"/>
        </w:rPr>
      </w:pPr>
      <w:r>
        <w:rPr>
          <w:snapToGrid w:val="0"/>
        </w:rPr>
        <w:tab/>
        <w:t>(3)</w:t>
      </w:r>
      <w:r>
        <w:rPr>
          <w:snapToGrid w:val="0"/>
        </w:rPr>
        <w:tab/>
        <w:t>The provisions of any enactment prohibiting or restricting or authorising or requiring the imposition of prohibitions or restrictions on communication to any other person do not apply to any communication made for the purpose of making a complaint under this Act.</w:t>
      </w:r>
    </w:p>
    <w:p>
      <w:pPr>
        <w:pStyle w:val="Ednotesubsection"/>
      </w:pPr>
      <w:r>
        <w:tab/>
        <w:t>[(4)</w:t>
      </w:r>
      <w:r>
        <w:tab/>
        <w:t>deleted]</w:t>
      </w:r>
    </w:p>
    <w:p>
      <w:pPr>
        <w:pStyle w:val="Subsection"/>
        <w:rPr>
          <w:snapToGrid w:val="0"/>
        </w:rPr>
      </w:pPr>
      <w:r>
        <w:rPr>
          <w:snapToGrid w:val="0"/>
        </w:rPr>
        <w:tab/>
        <w:t>(5)</w:t>
      </w:r>
      <w:r>
        <w:rPr>
          <w:snapToGrid w:val="0"/>
        </w:rPr>
        <w:tab/>
        <w:t>Except where the Commissioner, in the special circumstances of a case, otherwise determines, a complaint shall not be entertained under this Act unless it is made not later than 12 months from the day on which the person aggrieved first had notice of the matters alleged in the complaint.</w:t>
      </w:r>
    </w:p>
    <w:p>
      <w:pPr>
        <w:pStyle w:val="Ednotesubsection"/>
      </w:pPr>
      <w:r>
        <w:tab/>
        <w:t>[(6)</w:t>
      </w:r>
      <w:r>
        <w:tab/>
        <w:t>Omitted under the Reprints Act 1984 s. 7(4)(e).]</w:t>
      </w:r>
    </w:p>
    <w:p>
      <w:pPr>
        <w:pStyle w:val="Footnotesection"/>
      </w:pPr>
      <w:r>
        <w:tab/>
        <w:t>[Section 17 amended by No. 124 of 1984 s. 5; No. 78 of 1996 s. 11.]</w:t>
      </w:r>
    </w:p>
    <w:p>
      <w:pPr>
        <w:pStyle w:val="Heading5"/>
        <w:rPr>
          <w:snapToGrid w:val="0"/>
        </w:rPr>
      </w:pPr>
      <w:bookmarkStart w:id="26" w:name="_Toc441668321"/>
      <w:r>
        <w:rPr>
          <w:rStyle w:val="CharSectno"/>
        </w:rPr>
        <w:t>17A</w:t>
      </w:r>
      <w:r>
        <w:rPr>
          <w:snapToGrid w:val="0"/>
        </w:rPr>
        <w:t>.</w:t>
      </w:r>
      <w:r>
        <w:rPr>
          <w:snapToGrid w:val="0"/>
        </w:rPr>
        <w:tab/>
        <w:t>Complaints by persons in custody</w:t>
      </w:r>
      <w:bookmarkEnd w:id="26"/>
    </w:p>
    <w:p>
      <w:pPr>
        <w:pStyle w:val="Subsection"/>
        <w:keepNext/>
        <w:rPr>
          <w:snapToGrid w:val="0"/>
        </w:rPr>
      </w:pPr>
      <w:r>
        <w:rPr>
          <w:snapToGrid w:val="0"/>
        </w:rPr>
        <w:tab/>
        <w:t>(1)</w:t>
      </w:r>
      <w:r>
        <w:rPr>
          <w:snapToGrid w:val="0"/>
        </w:rPr>
        <w:tab/>
        <w:t>Subject to subsection (5), a person who is detained in custody is entitled —</w:t>
      </w:r>
    </w:p>
    <w:p>
      <w:pPr>
        <w:pStyle w:val="Indenta"/>
        <w:keepNext/>
        <w:spacing w:before="70"/>
        <w:rPr>
          <w:snapToGrid w:val="0"/>
        </w:rPr>
      </w:pPr>
      <w:r>
        <w:rPr>
          <w:snapToGrid w:val="0"/>
        </w:rPr>
        <w:tab/>
        <w:t>(a)</w:t>
      </w:r>
      <w:r>
        <w:rPr>
          <w:snapToGrid w:val="0"/>
        </w:rPr>
        <w:tab/>
        <w:t>upon making a request to the officer in whose custody he is detained or to any other officer performing duties in connection with his detention —</w:t>
      </w:r>
    </w:p>
    <w:p>
      <w:pPr>
        <w:pStyle w:val="Indenti"/>
        <w:spacing w:before="70"/>
        <w:rPr>
          <w:snapToGrid w:val="0"/>
        </w:rPr>
      </w:pPr>
      <w:r>
        <w:rPr>
          <w:snapToGrid w:val="0"/>
        </w:rPr>
        <w:tab/>
        <w:t>(i)</w:t>
      </w:r>
      <w:r>
        <w:rPr>
          <w:snapToGrid w:val="0"/>
        </w:rPr>
        <w:tab/>
        <w:t>to be provided with facilities for preparing a complaint in writing under this Act, for furnishing in writing to the Commissioner after the complaint has been made any other relevant information, and for enclosing the complaint or the other information (if any) in a sealed envelope; and</w:t>
      </w:r>
    </w:p>
    <w:p>
      <w:pPr>
        <w:pStyle w:val="Indenti"/>
        <w:spacing w:before="70"/>
        <w:rPr>
          <w:snapToGrid w:val="0"/>
        </w:rPr>
      </w:pPr>
      <w:r>
        <w:rPr>
          <w:snapToGrid w:val="0"/>
        </w:rPr>
        <w:tab/>
        <w:t>(ii)</w:t>
      </w:r>
      <w:r>
        <w:rPr>
          <w:snapToGrid w:val="0"/>
        </w:rPr>
        <w:tab/>
        <w:t>to have posted to the Commissioner, without undue delay, a sealed envelope delivered by him to any such officer and addressed to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have delivered to him, without undue delay, any sealed envelope addressed to him and sent by the Commissioner that comes into the possession or under the control of any such officer.</w:t>
      </w:r>
    </w:p>
    <w:p>
      <w:pPr>
        <w:pStyle w:val="Subsection"/>
        <w:rPr>
          <w:snapToGrid w:val="0"/>
        </w:rPr>
      </w:pPr>
      <w:r>
        <w:rPr>
          <w:snapToGrid w:val="0"/>
        </w:rPr>
        <w:tab/>
        <w:t>(2)</w:t>
      </w:r>
      <w:r>
        <w:rPr>
          <w:snapToGrid w:val="0"/>
        </w:rPr>
        <w:tab/>
        <w:t>Subject to subsection (5), where a sealed envelope addressed to the Commissioner is delivered by a person detained in custody to an officer referred to in subsection (1) for posting to the Commissioner, or a sealed envelope addressed to a person so detained and sent by the Commissioner comes into the possession or under the control of any such officer, the officer shall not open the envelope, or inspect any document enclosed in the envelope.</w:t>
      </w:r>
    </w:p>
    <w:p>
      <w:pPr>
        <w:pStyle w:val="Subsection"/>
        <w:rPr>
          <w:snapToGrid w:val="0"/>
        </w:rPr>
      </w:pPr>
      <w:r>
        <w:rPr>
          <w:snapToGrid w:val="0"/>
        </w:rPr>
        <w:tab/>
        <w:t>(3)</w:t>
      </w:r>
      <w:r>
        <w:rPr>
          <w:snapToGrid w:val="0"/>
        </w:rPr>
        <w:tab/>
        <w:t>The Commissioner may make arrangements with the relevant authorities for the identification and delivery of sealed envelopes sent by the Commissioner to persons detained in custody.</w:t>
      </w:r>
    </w:p>
    <w:p>
      <w:pPr>
        <w:pStyle w:val="Subsection"/>
      </w:pPr>
      <w:r>
        <w:tab/>
        <w:t>(4)</w:t>
      </w:r>
      <w:r>
        <w:tab/>
        <w:t xml:space="preserve">In subsection (3) the </w:t>
      </w:r>
      <w:r>
        <w:rPr>
          <w:rStyle w:val="CharDefText"/>
        </w:rPr>
        <w:t>relevant authorities</w:t>
      </w:r>
      <w:r>
        <w:t xml:space="preserve"> means the Commissioner of Police, the chief executive officer of the department principally assisting the Minister administering the </w:t>
      </w:r>
      <w:r>
        <w:rPr>
          <w:i/>
        </w:rPr>
        <w:t>Prisons Act 1981</w:t>
      </w:r>
      <w:r>
        <w:t xml:space="preserve"> with the administration of that Act, the CEO as defined in the </w:t>
      </w:r>
      <w:r>
        <w:rPr>
          <w:i/>
        </w:rPr>
        <w:t>Court Security and Custodial Services Act 1999</w:t>
      </w:r>
      <w:r>
        <w:t xml:space="preserve">, the CEO as defined in the </w:t>
      </w:r>
      <w:r>
        <w:rPr>
          <w:i/>
        </w:rPr>
        <w:t>Declared Places (Mentally Impaired Accused) Act 2015</w:t>
      </w:r>
      <w:r>
        <w:t xml:space="preserve"> section 3, the CEO as defined in the </w:t>
      </w:r>
      <w:r>
        <w:rPr>
          <w:i/>
        </w:rPr>
        <w:t>Health Legislation Administration Act 1984</w:t>
      </w:r>
      <w:r>
        <w:t xml:space="preserve"> section 3 and the chief executive officer within the meaning of the </w:t>
      </w:r>
      <w:r>
        <w:rPr>
          <w:i/>
        </w:rPr>
        <w:t>Young Offenders Act 1994</w:t>
      </w:r>
      <w:r>
        <w:t>.</w:t>
      </w:r>
    </w:p>
    <w:p>
      <w:pPr>
        <w:pStyle w:val="Subsection"/>
        <w:keepNext/>
        <w:rPr>
          <w:snapToGrid w:val="0"/>
        </w:rPr>
      </w:pPr>
      <w:r>
        <w:rPr>
          <w:snapToGrid w:val="0"/>
        </w:rPr>
        <w:tab/>
        <w:t>(5)</w:t>
      </w:r>
      <w:r>
        <w:rPr>
          <w:snapToGrid w:val="0"/>
        </w:rPr>
        <w:tab/>
        <w:t>Subsections (1) and (2) —</w:t>
      </w:r>
    </w:p>
    <w:p>
      <w:pPr>
        <w:pStyle w:val="Indenta"/>
        <w:rPr>
          <w:snapToGrid w:val="0"/>
        </w:rPr>
      </w:pPr>
      <w:r>
        <w:rPr>
          <w:snapToGrid w:val="0"/>
        </w:rPr>
        <w:tab/>
        <w:t>(a)</w:t>
      </w:r>
      <w:r>
        <w:rPr>
          <w:snapToGrid w:val="0"/>
        </w:rPr>
        <w:tab/>
        <w:t xml:space="preserve">do not affect the operation of sections 67 and 68 of the </w:t>
      </w:r>
      <w:r>
        <w:rPr>
          <w:i/>
          <w:snapToGrid w:val="0"/>
        </w:rPr>
        <w:t>Prisons Act 1981</w:t>
      </w:r>
      <w:r>
        <w:rPr>
          <w:snapToGrid w:val="0"/>
        </w:rPr>
        <w:t>; and</w:t>
      </w:r>
    </w:p>
    <w:p>
      <w:pPr>
        <w:pStyle w:val="Indenta"/>
        <w:rPr>
          <w:snapToGrid w:val="0"/>
        </w:rPr>
      </w:pPr>
      <w:r>
        <w:rPr>
          <w:snapToGrid w:val="0"/>
        </w:rPr>
        <w:tab/>
        <w:t>(b)</w:t>
      </w:r>
      <w:r>
        <w:rPr>
          <w:snapToGrid w:val="0"/>
        </w:rPr>
        <w:tab/>
        <w:t>subject to paragraph (a), have effect notwithstanding anything in any other Act.</w:t>
      </w:r>
    </w:p>
    <w:p>
      <w:pPr>
        <w:pStyle w:val="Subsection"/>
        <w:spacing w:before="140"/>
      </w:pPr>
      <w:r>
        <w:tab/>
        <w:t>(5a)</w:t>
      </w:r>
      <w:r>
        <w:tab/>
        <w:t xml:space="preserve">A reference in subsection (1) to an officer in whose custody a person is detained includes a reference to a person authorised to exercise a power set out in Division 1, 2 or 3 of Schedule 2, or in Schedule 3, to the </w:t>
      </w:r>
      <w:r>
        <w:rPr>
          <w:i/>
        </w:rPr>
        <w:t>Court Security and Custodial Services Act 1999</w:t>
      </w:r>
      <w:r>
        <w:t xml:space="preserve"> in relation to the detained person.</w:t>
      </w:r>
    </w:p>
    <w:p>
      <w:pPr>
        <w:pStyle w:val="Subsection"/>
        <w:spacing w:before="140"/>
        <w:rPr>
          <w:snapToGrid w:val="0"/>
        </w:rPr>
      </w:pPr>
      <w:r>
        <w:rPr>
          <w:snapToGrid w:val="0"/>
        </w:rPr>
        <w:tab/>
        <w:t>(6)</w:t>
      </w:r>
      <w:r>
        <w:rPr>
          <w:snapToGrid w:val="0"/>
        </w:rPr>
        <w:tab/>
        <w:t>An officer referred to in subsection (1) who wilfully contravenes or fails to comply with this section is guilty of an offence.</w:t>
      </w:r>
    </w:p>
    <w:p>
      <w:pPr>
        <w:pStyle w:val="Penstart"/>
        <w:rPr>
          <w:snapToGrid w:val="0"/>
        </w:rPr>
      </w:pPr>
      <w:r>
        <w:rPr>
          <w:snapToGrid w:val="0"/>
        </w:rPr>
        <w:tab/>
        <w:t>Penalty: $200.</w:t>
      </w:r>
    </w:p>
    <w:p>
      <w:pPr>
        <w:pStyle w:val="Footnotesection"/>
      </w:pPr>
      <w:r>
        <w:tab/>
        <w:t>[Section 17A inserted by No. 124 of 1984 s. 6; amended by No. 47 of 1987 s. 26; No. 113 of 1987 s. 31; No. 78 of 1996 s. 12; No. 47 of 1999 s. 26; No. 25 of 2014 s. 75; No. 4 of 2015 s. 87(3).]</w:t>
      </w:r>
    </w:p>
    <w:p>
      <w:pPr>
        <w:pStyle w:val="Heading5"/>
        <w:rPr>
          <w:snapToGrid w:val="0"/>
        </w:rPr>
      </w:pPr>
      <w:bookmarkStart w:id="27" w:name="_Toc441668322"/>
      <w:r>
        <w:rPr>
          <w:rStyle w:val="CharSectno"/>
        </w:rPr>
        <w:t>18</w:t>
      </w:r>
      <w:r>
        <w:rPr>
          <w:snapToGrid w:val="0"/>
        </w:rPr>
        <w:t>.</w:t>
      </w:r>
      <w:r>
        <w:rPr>
          <w:snapToGrid w:val="0"/>
        </w:rPr>
        <w:tab/>
        <w:t>Refusal to investigate complaints</w:t>
      </w:r>
      <w:bookmarkEnd w:id="27"/>
    </w:p>
    <w:p>
      <w:pPr>
        <w:pStyle w:val="Subsection"/>
        <w:spacing w:before="180"/>
        <w:rPr>
          <w:snapToGrid w:val="0"/>
        </w:rPr>
      </w:pPr>
      <w:r>
        <w:rPr>
          <w:snapToGrid w:val="0"/>
        </w:rPr>
        <w:tab/>
        <w:t>(1)</w:t>
      </w:r>
      <w:r>
        <w:rPr>
          <w:snapToGrid w:val="0"/>
        </w:rPr>
        <w:tab/>
        <w:t>The Commissioner may refuse to entertain a complaint, or, having commenced to investigate a matter raised in a complaint, may refuse to continue the investigation if he is of the opinion that —</w:t>
      </w:r>
    </w:p>
    <w:p>
      <w:pPr>
        <w:pStyle w:val="Indenta"/>
        <w:spacing w:before="60"/>
        <w:rPr>
          <w:snapToGrid w:val="0"/>
        </w:rPr>
      </w:pPr>
      <w:r>
        <w:rPr>
          <w:snapToGrid w:val="0"/>
        </w:rPr>
        <w:tab/>
        <w:t>(a)</w:t>
      </w:r>
      <w:r>
        <w:rPr>
          <w:snapToGrid w:val="0"/>
        </w:rPr>
        <w:tab/>
        <w:t>the matter raised in the complaint is trivial; or</w:t>
      </w:r>
    </w:p>
    <w:p>
      <w:pPr>
        <w:pStyle w:val="Indenta"/>
        <w:spacing w:before="60"/>
        <w:rPr>
          <w:snapToGrid w:val="0"/>
        </w:rPr>
      </w:pPr>
      <w:r>
        <w:rPr>
          <w:snapToGrid w:val="0"/>
        </w:rPr>
        <w:tab/>
        <w:t>(b)</w:t>
      </w:r>
      <w:r>
        <w:rPr>
          <w:snapToGrid w:val="0"/>
        </w:rPr>
        <w:tab/>
        <w:t>the complaint is frivolous or vexatious or is not made in good faith; or</w:t>
      </w:r>
    </w:p>
    <w:p>
      <w:pPr>
        <w:pStyle w:val="Indenta"/>
        <w:spacing w:before="60"/>
        <w:rPr>
          <w:snapToGrid w:val="0"/>
        </w:rPr>
      </w:pPr>
      <w:r>
        <w:rPr>
          <w:snapToGrid w:val="0"/>
        </w:rPr>
        <w:tab/>
        <w:t>(c)</w:t>
      </w:r>
      <w:r>
        <w:rPr>
          <w:snapToGrid w:val="0"/>
        </w:rPr>
        <w:tab/>
        <w:t>the person aggrieved has not a sufficient personal interest in the matter raised in the complaint; or</w:t>
      </w:r>
    </w:p>
    <w:p>
      <w:pPr>
        <w:pStyle w:val="Indenta"/>
        <w:spacing w:before="60"/>
        <w:rPr>
          <w:snapToGrid w:val="0"/>
        </w:rPr>
      </w:pPr>
      <w:r>
        <w:rPr>
          <w:snapToGrid w:val="0"/>
        </w:rPr>
        <w:tab/>
        <w:t>(d)</w:t>
      </w:r>
      <w:r>
        <w:rPr>
          <w:snapToGrid w:val="0"/>
        </w:rPr>
        <w:tab/>
        <w:t>having regard to all the circumstances of the case, the investigation, or the continuance of the investigation of the matter raised in the complaint, is unnecessary or unjustifiable.</w:t>
      </w:r>
    </w:p>
    <w:p>
      <w:pPr>
        <w:pStyle w:val="Subsection"/>
        <w:spacing w:before="140"/>
        <w:rPr>
          <w:snapToGrid w:val="0"/>
        </w:rPr>
      </w:pPr>
      <w:r>
        <w:rPr>
          <w:snapToGrid w:val="0"/>
        </w:rPr>
        <w:tab/>
        <w:t>(2)</w:t>
      </w:r>
      <w:r>
        <w:rPr>
          <w:snapToGrid w:val="0"/>
        </w:rPr>
        <w:tab/>
        <w:t>Where, under this Act, the Commissioner is precluded from entertaining, or refuses to entertain, a complaint, or refuses to continue an investigation of any matter raised in a complaint, he shall inform the complainant of his decision and at the same time state the reasons therefor.</w:t>
      </w:r>
    </w:p>
    <w:p>
      <w:pPr>
        <w:pStyle w:val="Heading3"/>
      </w:pPr>
      <w:bookmarkStart w:id="28" w:name="_Toc441668323"/>
      <w:r>
        <w:rPr>
          <w:rStyle w:val="CharDivNo"/>
        </w:rPr>
        <w:t>Division 3A</w:t>
      </w:r>
      <w:r>
        <w:t> — </w:t>
      </w:r>
      <w:r>
        <w:rPr>
          <w:rStyle w:val="CharDivText"/>
        </w:rPr>
        <w:t>Deaths of certain children</w:t>
      </w:r>
      <w:bookmarkEnd w:id="28"/>
    </w:p>
    <w:p>
      <w:pPr>
        <w:pStyle w:val="Footnoteheading"/>
      </w:pPr>
      <w:r>
        <w:tab/>
        <w:t>[Heading inserted by No. 10 of 2009 s. 7.]</w:t>
      </w:r>
    </w:p>
    <w:p>
      <w:pPr>
        <w:pStyle w:val="Heading5"/>
      </w:pPr>
      <w:bookmarkStart w:id="29" w:name="_Toc441668324"/>
      <w:r>
        <w:rPr>
          <w:rStyle w:val="CharSectno"/>
        </w:rPr>
        <w:t>19A</w:t>
      </w:r>
      <w:r>
        <w:t>.</w:t>
      </w:r>
      <w:r>
        <w:tab/>
        <w:t>Terms used</w:t>
      </w:r>
      <w:bookmarkEnd w:id="29"/>
    </w:p>
    <w:p>
      <w:pPr>
        <w:pStyle w:val="Subsection"/>
      </w:pPr>
      <w:r>
        <w:tab/>
        <w:t>(1)</w:t>
      </w:r>
      <w:r>
        <w:tab/>
        <w:t>In this Division —</w:t>
      </w:r>
    </w:p>
    <w:p>
      <w:pPr>
        <w:pStyle w:val="Defstart"/>
      </w:pPr>
      <w:r>
        <w:rPr>
          <w:b/>
        </w:rPr>
        <w:tab/>
      </w:r>
      <w:r>
        <w:rPr>
          <w:rStyle w:val="CharDefText"/>
        </w:rPr>
        <w:t>CCS Act</w:t>
      </w:r>
      <w:r>
        <w:t xml:space="preserve"> means the </w:t>
      </w:r>
      <w:r>
        <w:rPr>
          <w:i/>
        </w:rPr>
        <w:t>Children and Community Services Act 2004</w:t>
      </w:r>
      <w:r>
        <w:rPr>
          <w:iCs/>
        </w:rPr>
        <w:t>;</w:t>
      </w:r>
    </w:p>
    <w:p>
      <w:pPr>
        <w:pStyle w:val="Defstart"/>
      </w:pPr>
      <w:r>
        <w:rPr>
          <w:b/>
        </w:rPr>
        <w:tab/>
      </w:r>
      <w:r>
        <w:rPr>
          <w:rStyle w:val="CharDefText"/>
        </w:rPr>
        <w:t>investigable death</w:t>
      </w:r>
      <w:r>
        <w:t xml:space="preserve"> has the meaning given in subsection (3).</w:t>
      </w:r>
    </w:p>
    <w:p>
      <w:pPr>
        <w:pStyle w:val="Subsection"/>
      </w:pPr>
      <w:r>
        <w:tab/>
        <w:t>(2)</w:t>
      </w:r>
      <w:r>
        <w:tab/>
        <w:t>If a term is given a meaning in the CCS Act</w:t>
      </w:r>
      <w:r>
        <w:rPr>
          <w:iCs/>
        </w:rPr>
        <w:t>, it has the same meaning in this Division unless the contrary intention appears in this</w:t>
      </w:r>
      <w:r>
        <w:t xml:space="preserve"> Division</w:t>
      </w:r>
      <w:r>
        <w:rPr>
          <w:iCs/>
        </w:rPr>
        <w:t>.</w:t>
      </w:r>
    </w:p>
    <w:p>
      <w:pPr>
        <w:pStyle w:val="Subsection"/>
      </w:pPr>
      <w:r>
        <w:tab/>
        <w:t>(3)</w:t>
      </w:r>
      <w:r>
        <w:tab/>
        <w:t>An investigable death occurs if a child dies and any of the following circumstances exists —</w:t>
      </w:r>
    </w:p>
    <w:p>
      <w:pPr>
        <w:pStyle w:val="Indenta"/>
      </w:pPr>
      <w:r>
        <w:tab/>
        <w:t>(a)</w:t>
      </w:r>
      <w:r>
        <w:tab/>
        <w:t>in the 2 years before the date of the child’s death, the CEO had received information that raised concerns about the wellbeing of the child or a child relative of the child;</w:t>
      </w:r>
    </w:p>
    <w:p>
      <w:pPr>
        <w:pStyle w:val="Indenta"/>
        <w:rPr>
          <w:iCs/>
        </w:rPr>
      </w:pPr>
      <w:r>
        <w:rPr>
          <w:iCs/>
        </w:rPr>
        <w:tab/>
        <w:t>(b)</w:t>
      </w:r>
      <w:r>
        <w:rPr>
          <w:iCs/>
        </w:rPr>
        <w:tab/>
        <w:t xml:space="preserve">in the 2 years before the date of the child’s death, the CEO, under section 32(1) of the CCS Act, had determined that action should be taken to safeguard or promote the wellbeing of </w:t>
      </w:r>
      <w:r>
        <w:t>the child or a child relative of the child</w:t>
      </w:r>
      <w:r>
        <w:rPr>
          <w:iCs/>
        </w:rPr>
        <w:t>;</w:t>
      </w:r>
    </w:p>
    <w:p>
      <w:pPr>
        <w:pStyle w:val="Indenta"/>
        <w:rPr>
          <w:iCs/>
        </w:rPr>
      </w:pPr>
      <w:r>
        <w:rPr>
          <w:iCs/>
        </w:rPr>
        <w:tab/>
        <w:t>(c)</w:t>
      </w:r>
      <w:r>
        <w:rPr>
          <w:iCs/>
        </w:rPr>
        <w:tab/>
        <w:t xml:space="preserve">in the 2 years before the date of the child’s death, any of the actions listed in section 32(1) of the CCS Act was done in respect of </w:t>
      </w:r>
      <w:r>
        <w:t>the child or a child relative of the child</w:t>
      </w:r>
      <w:r>
        <w:rPr>
          <w:iCs/>
        </w:rPr>
        <w:t>;</w:t>
      </w:r>
    </w:p>
    <w:p>
      <w:pPr>
        <w:pStyle w:val="Indenta"/>
        <w:keepNext/>
        <w:rPr>
          <w:iCs/>
        </w:rPr>
      </w:pPr>
      <w:r>
        <w:rPr>
          <w:iCs/>
        </w:rPr>
        <w:tab/>
        <w:t>(d)</w:t>
      </w:r>
      <w:r>
        <w:rPr>
          <w:iCs/>
        </w:rPr>
        <w:tab/>
        <w:t xml:space="preserve">protection proceedings are pending in respect of </w:t>
      </w:r>
      <w:r>
        <w:t>the child or a child relative of the child</w:t>
      </w:r>
      <w:r>
        <w:rPr>
          <w:iCs/>
        </w:rPr>
        <w:t>;</w:t>
      </w:r>
    </w:p>
    <w:p>
      <w:pPr>
        <w:pStyle w:val="Indenta"/>
        <w:rPr>
          <w:iCs/>
        </w:rPr>
      </w:pPr>
      <w:r>
        <w:tab/>
        <w:t>(e)</w:t>
      </w:r>
      <w:r>
        <w:tab/>
        <w:t>the child or a child relative of the child is in the CEO’s care</w:t>
      </w:r>
      <w:r>
        <w:rPr>
          <w:iCs/>
        </w:rPr>
        <w:t>.</w:t>
      </w:r>
    </w:p>
    <w:p>
      <w:pPr>
        <w:pStyle w:val="Footnotesection"/>
      </w:pPr>
      <w:r>
        <w:tab/>
        <w:t>[Section 19A inserted by No. 10 of 2009 s. 7.]</w:t>
      </w:r>
    </w:p>
    <w:p>
      <w:pPr>
        <w:pStyle w:val="Heading5"/>
      </w:pPr>
      <w:bookmarkStart w:id="30" w:name="_Toc441668325"/>
      <w:r>
        <w:rPr>
          <w:rStyle w:val="CharSectno"/>
        </w:rPr>
        <w:t>19B</w:t>
      </w:r>
      <w:r>
        <w:t>.</w:t>
      </w:r>
      <w:r>
        <w:tab/>
        <w:t>Functions as to investigable deaths</w:t>
      </w:r>
      <w:bookmarkEnd w:id="30"/>
    </w:p>
    <w:p>
      <w:pPr>
        <w:pStyle w:val="Subsection"/>
      </w:pPr>
      <w:r>
        <w:tab/>
        <w:t>(1)</w:t>
      </w:r>
      <w:r>
        <w:tab/>
        <w:t xml:space="preserve">When the advisory body called the Child Death Review Committee, taken to be established under section 27 of the CCS Act, is abolished, the Commissioner is its successor for the purposes of the </w:t>
      </w:r>
      <w:r>
        <w:rPr>
          <w:i/>
        </w:rPr>
        <w:t>State Records Act 2000</w:t>
      </w:r>
      <w:r>
        <w:t xml:space="preserve"> section 8 which applies accordingly.</w:t>
      </w:r>
    </w:p>
    <w:p>
      <w:pPr>
        <w:pStyle w:val="Subsection"/>
      </w:pPr>
      <w:r>
        <w:tab/>
        <w:t>(2)</w:t>
      </w:r>
      <w:r>
        <w:tab/>
        <w:t>The Commissioner, after taking account of any information and reasons given to the Commissioner under the CCS Act section 242A(3), may decide if the death of a child is or is not an investigable death.</w:t>
      </w:r>
    </w:p>
    <w:p>
      <w:pPr>
        <w:pStyle w:val="Subsection"/>
      </w:pPr>
      <w:r>
        <w:tab/>
        <w:t>(3)</w:t>
      </w:r>
      <w:r>
        <w:tab/>
        <w:t>The Commissioner’s functions in relation to investigable deaths are as follows —</w:t>
      </w:r>
    </w:p>
    <w:p>
      <w:pPr>
        <w:pStyle w:val="Indenta"/>
      </w:pPr>
      <w:r>
        <w:tab/>
        <w:t>(a)</w:t>
      </w:r>
      <w:r>
        <w:tab/>
        <w:t>to review the circumstances in which and why the deaths occurred;</w:t>
      </w:r>
    </w:p>
    <w:p>
      <w:pPr>
        <w:pStyle w:val="Indenta"/>
      </w:pPr>
      <w:r>
        <w:tab/>
        <w:t>(b)</w:t>
      </w:r>
      <w:r>
        <w:tab/>
        <w:t>to identify any patterns or trends in relation to the deaths;</w:t>
      </w:r>
    </w:p>
    <w:p>
      <w:pPr>
        <w:pStyle w:val="Indenta"/>
      </w:pPr>
      <w:r>
        <w:tab/>
        <w:t>(c)</w:t>
      </w:r>
      <w:r>
        <w:tab/>
        <w:t>to make recommendations to any department or authority about ways to prevent or reduce investigable deaths.</w:t>
      </w:r>
    </w:p>
    <w:p>
      <w:pPr>
        <w:pStyle w:val="Subsection"/>
      </w:pPr>
      <w:r>
        <w:tab/>
        <w:t>(4)</w:t>
      </w:r>
      <w:r>
        <w:tab/>
        <w:t>To enable the Commissioner to perform the functions in subsections (2) and (3), the Commissioner may exercise any power the Commissioner has under Division 3 in order to obtain information relevant to the death of a child.</w:t>
      </w:r>
    </w:p>
    <w:p>
      <w:pPr>
        <w:pStyle w:val="Subsection"/>
      </w:pPr>
      <w:r>
        <w:tab/>
        <w:t>(5)</w:t>
      </w:r>
      <w:r>
        <w:tab/>
        <w:t xml:space="preserve">The Commissioner may perform the functions the Commissioner has under this Act to investigate a decision or recommendation made, or an act done or omitted, in or by a department or authority to which this Act applies in the exercise of any power or function if the decision, recommendation, act or omission relates to — </w:t>
      </w:r>
    </w:p>
    <w:p>
      <w:pPr>
        <w:pStyle w:val="Indenta"/>
      </w:pPr>
      <w:r>
        <w:tab/>
        <w:t>(a)</w:t>
      </w:r>
      <w:r>
        <w:tab/>
        <w:t>a matter of administration; and</w:t>
      </w:r>
    </w:p>
    <w:p>
      <w:pPr>
        <w:pStyle w:val="Indenta"/>
      </w:pPr>
      <w:r>
        <w:tab/>
        <w:t>(b)</w:t>
      </w:r>
      <w:r>
        <w:tab/>
        <w:t>an investigable death.</w:t>
      </w:r>
    </w:p>
    <w:p>
      <w:pPr>
        <w:pStyle w:val="Footnotesection"/>
      </w:pPr>
      <w:r>
        <w:tab/>
        <w:t>[Section 19B inserted by No. 10 of 2009 s. 7.]</w:t>
      </w:r>
    </w:p>
    <w:p>
      <w:pPr>
        <w:pStyle w:val="Heading3"/>
        <w:spacing w:before="340"/>
      </w:pPr>
      <w:bookmarkStart w:id="31" w:name="_Toc441668326"/>
      <w:r>
        <w:rPr>
          <w:rStyle w:val="CharDivNo"/>
        </w:rPr>
        <w:t>Division 3</w:t>
      </w:r>
      <w:r>
        <w:rPr>
          <w:snapToGrid w:val="0"/>
        </w:rPr>
        <w:t> — </w:t>
      </w:r>
      <w:r>
        <w:rPr>
          <w:rStyle w:val="CharDivText"/>
        </w:rPr>
        <w:t>Conduct of investigations</w:t>
      </w:r>
      <w:bookmarkEnd w:id="31"/>
    </w:p>
    <w:p>
      <w:pPr>
        <w:pStyle w:val="Heading5"/>
        <w:spacing w:before="240"/>
        <w:rPr>
          <w:snapToGrid w:val="0"/>
        </w:rPr>
      </w:pPr>
      <w:bookmarkStart w:id="32" w:name="_Toc441668327"/>
      <w:r>
        <w:rPr>
          <w:rStyle w:val="CharSectno"/>
        </w:rPr>
        <w:t>19</w:t>
      </w:r>
      <w:r>
        <w:rPr>
          <w:snapToGrid w:val="0"/>
        </w:rPr>
        <w:t>.</w:t>
      </w:r>
      <w:r>
        <w:rPr>
          <w:snapToGrid w:val="0"/>
        </w:rPr>
        <w:tab/>
        <w:t>Proceedings on investigations</w:t>
      </w:r>
      <w:bookmarkEnd w:id="32"/>
    </w:p>
    <w:p>
      <w:pPr>
        <w:pStyle w:val="Subsection"/>
        <w:spacing w:before="180"/>
        <w:rPr>
          <w:snapToGrid w:val="0"/>
        </w:rPr>
      </w:pPr>
      <w:r>
        <w:rPr>
          <w:snapToGrid w:val="0"/>
        </w:rPr>
        <w:tab/>
        <w:t>(1)</w:t>
      </w:r>
      <w:r>
        <w:rPr>
          <w:snapToGrid w:val="0"/>
        </w:rPr>
        <w:tab/>
        <w:t>Subject to subsection (1a), before investigating under this Act any action taken by or on behalf of a department or authority the Commissioner shall notify the principal officer thereof and the responsible Minister in writing of his intention so to do, specifying the action in respect of which the investigation is to be conducted.</w:t>
      </w:r>
    </w:p>
    <w:p>
      <w:pPr>
        <w:pStyle w:val="Subsection"/>
        <w:spacing w:before="180"/>
        <w:rPr>
          <w:snapToGrid w:val="0"/>
        </w:rPr>
      </w:pPr>
      <w:r>
        <w:rPr>
          <w:snapToGrid w:val="0"/>
        </w:rPr>
        <w:tab/>
        <w:t>(1a)</w:t>
      </w:r>
      <w:r>
        <w:rPr>
          <w:snapToGrid w:val="0"/>
        </w:rPr>
        <w:tab/>
        <w:t>If the Commissioner is of the opinion that, because of the nature or circumstances of a complaint, the complaint could be investigated and resolved expeditiously by conducting an informal investigation then —</w:t>
      </w:r>
    </w:p>
    <w:p>
      <w:pPr>
        <w:pStyle w:val="Indenta"/>
        <w:rPr>
          <w:snapToGrid w:val="0"/>
        </w:rPr>
      </w:pPr>
      <w:r>
        <w:rPr>
          <w:snapToGrid w:val="0"/>
        </w:rPr>
        <w:tab/>
        <w:t>(a)</w:t>
      </w:r>
      <w:r>
        <w:rPr>
          <w:snapToGrid w:val="0"/>
        </w:rPr>
        <w:tab/>
        <w:t>instead of notifying the principal officer in writing the Commissioner may notify the principal officer orally; and</w:t>
      </w:r>
    </w:p>
    <w:p>
      <w:pPr>
        <w:pStyle w:val="Indenta"/>
        <w:rPr>
          <w:snapToGrid w:val="0"/>
        </w:rPr>
      </w:pPr>
      <w:r>
        <w:rPr>
          <w:snapToGrid w:val="0"/>
        </w:rPr>
        <w:tab/>
        <w:t>(b)</w:t>
      </w:r>
      <w:r>
        <w:rPr>
          <w:snapToGrid w:val="0"/>
        </w:rPr>
        <w:tab/>
        <w:t>the Commissioner may notify the responsible Minister but does not have to do so.</w:t>
      </w:r>
    </w:p>
    <w:p>
      <w:pPr>
        <w:pStyle w:val="Subsection"/>
        <w:rPr>
          <w:snapToGrid w:val="0"/>
        </w:rPr>
      </w:pPr>
      <w:r>
        <w:rPr>
          <w:snapToGrid w:val="0"/>
        </w:rPr>
        <w:tab/>
        <w:t>(2)</w:t>
      </w:r>
      <w:r>
        <w:rPr>
          <w:snapToGrid w:val="0"/>
        </w:rPr>
        <w:tab/>
        <w:t>Every investigation by the Commissioner under this Act shall be conducted in private.</w:t>
      </w:r>
    </w:p>
    <w:p>
      <w:pPr>
        <w:pStyle w:val="Subsection"/>
        <w:rPr>
          <w:snapToGrid w:val="0"/>
        </w:rPr>
      </w:pPr>
      <w:r>
        <w:rPr>
          <w:snapToGrid w:val="0"/>
        </w:rPr>
        <w:tab/>
        <w:t>(3)</w:t>
      </w:r>
      <w:r>
        <w:rPr>
          <w:snapToGrid w:val="0"/>
        </w:rPr>
        <w:tab/>
        <w:t>Subject to any Rules of Parliament made under this Act, the Commissioner is not required to hold any hearing for the purposes of an investigation, and he may obtain information from such persons and in such manner, and make such inquiries, as he thinks fit. Any person who is concerned or involved in the investigation may be represented by counsel or otherwise.</w:t>
      </w:r>
    </w:p>
    <w:p>
      <w:pPr>
        <w:pStyle w:val="Subsection"/>
        <w:rPr>
          <w:snapToGrid w:val="0"/>
        </w:rPr>
      </w:pPr>
      <w:r>
        <w:rPr>
          <w:snapToGrid w:val="0"/>
        </w:rPr>
        <w:tab/>
        <w:t>(4)</w:t>
      </w:r>
      <w:r>
        <w:rPr>
          <w:snapToGrid w:val="0"/>
        </w:rPr>
        <w:tab/>
        <w:t>If, at any time during the course of an investigation, it appears to the Commissioner that there may be grounds for making a report on that investigation that may affect or concern any department or authority to which this Act applies he shall, before making that report, afford to the principal officer thereof an opportunity to comment on the subject matter of the investigation.</w:t>
      </w:r>
    </w:p>
    <w:p>
      <w:pPr>
        <w:pStyle w:val="Subsection"/>
        <w:rPr>
          <w:snapToGrid w:val="0"/>
        </w:rPr>
      </w:pPr>
      <w:r>
        <w:rPr>
          <w:snapToGrid w:val="0"/>
        </w:rPr>
        <w:tab/>
        <w:t>(5)</w:t>
      </w:r>
      <w:r>
        <w:rPr>
          <w:snapToGrid w:val="0"/>
        </w:rPr>
        <w:tab/>
        <w:t>The Commissioner may, at any time during or after an investigation, consult any Minister of the Crown who is concerned in the subject matter of the investigation.</w:t>
      </w:r>
    </w:p>
    <w:p>
      <w:pPr>
        <w:pStyle w:val="Subsection"/>
        <w:rPr>
          <w:snapToGrid w:val="0"/>
        </w:rPr>
      </w:pPr>
      <w:r>
        <w:rPr>
          <w:snapToGrid w:val="0"/>
        </w:rPr>
        <w:tab/>
        <w:t>(6)</w:t>
      </w:r>
      <w:r>
        <w:rPr>
          <w:snapToGrid w:val="0"/>
        </w:rPr>
        <w:tab/>
        <w:t>In relation to any investigation, if a Minister of the Crown so requests or the investigation relates to any recommendation made to such a Minister, the Commissioner shall consult that Minister before forming a final opinion on any of the matters referred to in section 25(1) or (2).</w:t>
      </w:r>
    </w:p>
    <w:p>
      <w:pPr>
        <w:pStyle w:val="Subsection"/>
        <w:rPr>
          <w:snapToGrid w:val="0"/>
        </w:rPr>
      </w:pPr>
      <w:r>
        <w:rPr>
          <w:snapToGrid w:val="0"/>
        </w:rPr>
        <w:tab/>
        <w:t>(7)</w:t>
      </w:r>
      <w:r>
        <w:rPr>
          <w:snapToGrid w:val="0"/>
        </w:rPr>
        <w:tab/>
        <w:t>If, during or after an investigation, the Commissioner is of the opinion that there is evidence of any breach of duty or misconduct on the part of any member, officer, or employee of any department or authority to which this Act applies —</w:t>
      </w:r>
    </w:p>
    <w:p>
      <w:pPr>
        <w:pStyle w:val="Indenta"/>
        <w:rPr>
          <w:snapToGrid w:val="0"/>
        </w:rPr>
      </w:pPr>
      <w:r>
        <w:rPr>
          <w:snapToGrid w:val="0"/>
        </w:rPr>
        <w:tab/>
        <w:t>(a)</w:t>
      </w:r>
      <w:r>
        <w:rPr>
          <w:snapToGrid w:val="0"/>
        </w:rPr>
        <w:tab/>
        <w:t>he shall report that matter to the principal officer thereof; and</w:t>
      </w:r>
    </w:p>
    <w:p>
      <w:pPr>
        <w:pStyle w:val="Indenta"/>
        <w:rPr>
          <w:snapToGrid w:val="0"/>
        </w:rPr>
      </w:pPr>
      <w:r>
        <w:rPr>
          <w:snapToGrid w:val="0"/>
        </w:rPr>
        <w:tab/>
        <w:t>(b)</w:t>
      </w:r>
      <w:r>
        <w:rPr>
          <w:snapToGrid w:val="0"/>
        </w:rPr>
        <w:tab/>
        <w:t>he shall furnish a copy of the report to the Minister charged with the administration of that department or the enactment by which the authority is constituted</w:t>
      </w:r>
      <w:r>
        <w:t xml:space="preserve"> or, in the case of a contractor or subcontractor, to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w:t>
      </w:r>
      <w:r>
        <w:rPr>
          <w:snapToGrid w:val="0"/>
        </w:rPr>
        <w:t>.</w:t>
      </w:r>
    </w:p>
    <w:p>
      <w:pPr>
        <w:pStyle w:val="Subsection"/>
        <w:rPr>
          <w:snapToGrid w:val="0"/>
        </w:rPr>
      </w:pPr>
      <w:r>
        <w:rPr>
          <w:snapToGrid w:val="0"/>
        </w:rPr>
        <w:tab/>
        <w:t>(8)</w:t>
      </w:r>
      <w:r>
        <w:rPr>
          <w:snapToGrid w:val="0"/>
        </w:rPr>
        <w:tab/>
        <w:t>Subject to this Act and any Rules of Parliament made thereunder the Commissioner may regulate his procedure on an investigation in such manner as he thinks fit.</w:t>
      </w:r>
    </w:p>
    <w:p>
      <w:pPr>
        <w:pStyle w:val="Footnotesection"/>
      </w:pPr>
      <w:r>
        <w:tab/>
        <w:t>[Section 19 amended by No. 78 of 1996 s. 13 and 21; No. 43 of 1999 s. 20; No. 47 of 1999 s. 27; No. 4 of 2015 s. 87(4).]</w:t>
      </w:r>
    </w:p>
    <w:p>
      <w:pPr>
        <w:pStyle w:val="Heading5"/>
        <w:rPr>
          <w:snapToGrid w:val="0"/>
        </w:rPr>
      </w:pPr>
      <w:bookmarkStart w:id="33" w:name="_Toc441668328"/>
      <w:r>
        <w:rPr>
          <w:rStyle w:val="CharSectno"/>
        </w:rPr>
        <w:t>20</w:t>
      </w:r>
      <w:r>
        <w:rPr>
          <w:snapToGrid w:val="0"/>
        </w:rPr>
        <w:t>.</w:t>
      </w:r>
      <w:r>
        <w:rPr>
          <w:snapToGrid w:val="0"/>
        </w:rPr>
        <w:tab/>
        <w:t xml:space="preserve">Commissioner has powers under </w:t>
      </w:r>
      <w:r>
        <w:rPr>
          <w:i/>
          <w:iCs/>
          <w:snapToGrid w:val="0"/>
        </w:rPr>
        <w:t>Royal Commissions Act 1968</w:t>
      </w:r>
      <w:r>
        <w:rPr>
          <w:snapToGrid w:val="0"/>
        </w:rPr>
        <w:t>; privilege and secrecy provisions</w:t>
      </w:r>
      <w:bookmarkEnd w:id="33"/>
    </w:p>
    <w:p>
      <w:pPr>
        <w:pStyle w:val="Subsection"/>
        <w:keepNext/>
        <w:rPr>
          <w:snapToGrid w:val="0"/>
        </w:rPr>
      </w:pPr>
      <w:r>
        <w:rPr>
          <w:snapToGrid w:val="0"/>
        </w:rPr>
        <w:tab/>
        <w:t>(1)</w:t>
      </w:r>
      <w:r>
        <w:rPr>
          <w:snapToGrid w:val="0"/>
        </w:rPr>
        <w:tab/>
        <w:t>Where the Commissioner has decided to investigate any matter under this Act —</w:t>
      </w:r>
    </w:p>
    <w:p>
      <w:pPr>
        <w:pStyle w:val="Indenta"/>
        <w:rPr>
          <w:snapToGrid w:val="0"/>
        </w:rPr>
      </w:pPr>
      <w:r>
        <w:rPr>
          <w:snapToGrid w:val="0"/>
        </w:rPr>
        <w:tab/>
        <w:t>(a)</w:t>
      </w:r>
      <w:r>
        <w:rPr>
          <w:snapToGrid w:val="0"/>
        </w:rPr>
        <w:tab/>
        <w:t xml:space="preserve">the Commissioner has all the powers, rights and privileges that are specified in the </w:t>
      </w:r>
      <w:r>
        <w:rPr>
          <w:i/>
          <w:snapToGrid w:val="0"/>
        </w:rPr>
        <w:t>Royal Commissions Act 1968</w:t>
      </w:r>
      <w:r>
        <w:rPr>
          <w:snapToGrid w:val="0"/>
        </w:rPr>
        <w:t>, as appertaining to a Royal Commission and the Chairman thereof; and</w:t>
      </w:r>
    </w:p>
    <w:p>
      <w:pPr>
        <w:pStyle w:val="Indenta"/>
        <w:rPr>
          <w:snapToGrid w:val="0"/>
        </w:rPr>
      </w:pPr>
      <w:r>
        <w:rPr>
          <w:snapToGrid w:val="0"/>
        </w:rPr>
        <w:tab/>
        <w:t>(b)</w:t>
      </w:r>
      <w:r>
        <w:rPr>
          <w:snapToGrid w:val="0"/>
        </w:rPr>
        <w:tab/>
        <w:t>all the provisions of that Act have effect as if they were enacted in this Act and in terms made applicable to the Commissioner and that matter as if the matter were one into which a Royal Commission was appointed to inquire under that Act.</w:t>
      </w:r>
    </w:p>
    <w:p>
      <w:pPr>
        <w:pStyle w:val="Subsection"/>
        <w:keepNext/>
        <w:rPr>
          <w:snapToGrid w:val="0"/>
        </w:rPr>
      </w:pPr>
      <w:r>
        <w:rPr>
          <w:snapToGrid w:val="0"/>
        </w:rPr>
        <w:tab/>
        <w:t>(2A)</w:t>
      </w:r>
      <w:r>
        <w:rPr>
          <w:snapToGrid w:val="0"/>
        </w:rPr>
        <w:tab/>
        <w:t>No obligation to maintain secrecy or other restriction upon the disclosure of information obtained by or furnished to persons in the service of the Crown or any authority to which this Act applies, whether imposed by any enactment or by any rule of law, applies to the disclosure of information for the purposes of an investigation under this Act.</w:t>
      </w:r>
    </w:p>
    <w:p>
      <w:pPr>
        <w:pStyle w:val="Subsection"/>
        <w:keepNext/>
        <w:rPr>
          <w:snapToGrid w:val="0"/>
        </w:rPr>
      </w:pPr>
      <w:r>
        <w:rPr>
          <w:snapToGrid w:val="0"/>
        </w:rPr>
        <w:tab/>
        <w:t>(2B)</w:t>
      </w:r>
      <w:r>
        <w:rPr>
          <w:snapToGrid w:val="0"/>
        </w:rPr>
        <w:tab/>
        <w:t>The Crown or any authority to which this Act applies is not entitled in relation to any such investigation to any such privilege in respect of the production of documents or the giving of evidence as is allowed by law in legal proceedings.</w:t>
      </w:r>
    </w:p>
    <w:p>
      <w:pPr>
        <w:pStyle w:val="Subsection"/>
        <w:spacing w:before="140"/>
        <w:rPr>
          <w:snapToGrid w:val="0"/>
        </w:rPr>
      </w:pPr>
      <w:r>
        <w:rPr>
          <w:snapToGrid w:val="0"/>
        </w:rPr>
        <w:tab/>
        <w:t>(3)</w:t>
      </w:r>
      <w:r>
        <w:rPr>
          <w:snapToGrid w:val="0"/>
        </w:rPr>
        <w:tab/>
        <w:t xml:space="preserve">Subject to </w:t>
      </w:r>
      <w:r>
        <w:t xml:space="preserve">subsections (2A) and (2B), </w:t>
      </w:r>
      <w:r>
        <w:rPr>
          <w:snapToGrid w:val="0"/>
        </w:rPr>
        <w:t>a person is not compelled for the purposes of an investigation under this Act to give any evidence or produce any document that he could not be compelled to give or produce in proceedings before a court.</w:t>
      </w:r>
    </w:p>
    <w:p>
      <w:pPr>
        <w:pStyle w:val="Footnotesection"/>
        <w:spacing w:before="100"/>
        <w:ind w:left="890" w:hanging="890"/>
      </w:pPr>
      <w:r>
        <w:tab/>
        <w:t>[Section 20 amended by No. 68 of 1976 s. 6; No. 19 of 2010 s. 51.]</w:t>
      </w:r>
    </w:p>
    <w:p>
      <w:pPr>
        <w:pStyle w:val="Heading5"/>
        <w:spacing w:before="180"/>
        <w:rPr>
          <w:snapToGrid w:val="0"/>
        </w:rPr>
      </w:pPr>
      <w:bookmarkStart w:id="34" w:name="_Toc441668329"/>
      <w:r>
        <w:rPr>
          <w:rStyle w:val="CharSectno"/>
        </w:rPr>
        <w:t>21</w:t>
      </w:r>
      <w:r>
        <w:rPr>
          <w:snapToGrid w:val="0"/>
        </w:rPr>
        <w:t>.</w:t>
      </w:r>
      <w:r>
        <w:rPr>
          <w:snapToGrid w:val="0"/>
        </w:rPr>
        <w:tab/>
        <w:t>Power to enter premises</w:t>
      </w:r>
      <w:bookmarkEnd w:id="34"/>
    </w:p>
    <w:p>
      <w:pPr>
        <w:pStyle w:val="Subsection"/>
        <w:spacing w:before="140"/>
        <w:rPr>
          <w:snapToGrid w:val="0"/>
        </w:rPr>
      </w:pPr>
      <w:r>
        <w:rPr>
          <w:snapToGrid w:val="0"/>
        </w:rPr>
        <w:tab/>
      </w:r>
      <w:r>
        <w:rPr>
          <w:snapToGrid w:val="0"/>
        </w:rPr>
        <w:tab/>
        <w:t>For the purposes of conducting an investigation under this Act, the Commissioner may, at any time, enter any premises occupied or used by any department or authority to which this Act applies, and inspect those premises or anything for the time being therein.</w:t>
      </w:r>
    </w:p>
    <w:p>
      <w:pPr>
        <w:pStyle w:val="Footnotesection"/>
      </w:pPr>
      <w:r>
        <w:tab/>
        <w:t>[Section 21 amended by No. 124 of 1984 s. 7; No. 78 of 1996 s. 21; No. 10 of 1998 s. 57(2).]</w:t>
      </w:r>
    </w:p>
    <w:p>
      <w:pPr>
        <w:pStyle w:val="Heading5"/>
        <w:spacing w:before="180"/>
        <w:rPr>
          <w:snapToGrid w:val="0"/>
        </w:rPr>
      </w:pPr>
      <w:bookmarkStart w:id="35" w:name="_Toc441668330"/>
      <w:r>
        <w:rPr>
          <w:rStyle w:val="CharSectno"/>
        </w:rPr>
        <w:t>22</w:t>
      </w:r>
      <w:r>
        <w:rPr>
          <w:snapToGrid w:val="0"/>
        </w:rPr>
        <w:t>.</w:t>
      </w:r>
      <w:r>
        <w:rPr>
          <w:snapToGrid w:val="0"/>
        </w:rPr>
        <w:tab/>
        <w:t>Protection for proceedings in Cabinet</w:t>
      </w:r>
      <w:bookmarkEnd w:id="35"/>
    </w:p>
    <w:p>
      <w:pPr>
        <w:pStyle w:val="Subsection"/>
        <w:keepNext/>
        <w:spacing w:before="140"/>
        <w:rPr>
          <w:snapToGrid w:val="0"/>
        </w:rPr>
      </w:pPr>
      <w:r>
        <w:rPr>
          <w:snapToGrid w:val="0"/>
        </w:rPr>
        <w:tab/>
        <w:t>(1)</w:t>
      </w:r>
      <w:r>
        <w:rPr>
          <w:snapToGrid w:val="0"/>
        </w:rPr>
        <w:tab/>
        <w:t>A person shall not be required or authorised by virtue of this Act —</w:t>
      </w:r>
    </w:p>
    <w:p>
      <w:pPr>
        <w:pStyle w:val="Indenta"/>
        <w:spacing w:before="70"/>
        <w:rPr>
          <w:snapToGrid w:val="0"/>
        </w:rPr>
      </w:pPr>
      <w:r>
        <w:rPr>
          <w:snapToGrid w:val="0"/>
        </w:rPr>
        <w:tab/>
        <w:t>(a)</w:t>
      </w:r>
      <w:r>
        <w:rPr>
          <w:snapToGrid w:val="0"/>
        </w:rPr>
        <w:tab/>
        <w:t>to furnish any information or answer any question relating to proceedings of Cabinet or of any committee of Cabinet; or</w:t>
      </w:r>
    </w:p>
    <w:p>
      <w:pPr>
        <w:pStyle w:val="Indenta"/>
        <w:spacing w:before="70"/>
        <w:rPr>
          <w:snapToGrid w:val="0"/>
        </w:rPr>
      </w:pPr>
      <w:r>
        <w:rPr>
          <w:snapToGrid w:val="0"/>
        </w:rPr>
        <w:tab/>
        <w:t>(b)</w:t>
      </w:r>
      <w:r>
        <w:rPr>
          <w:snapToGrid w:val="0"/>
        </w:rPr>
        <w:tab/>
        <w:t>to produce or inspect so much of any document as relates to any such proceedings.</w:t>
      </w:r>
    </w:p>
    <w:p>
      <w:pPr>
        <w:pStyle w:val="Subsection"/>
        <w:spacing w:before="140"/>
        <w:rPr>
          <w:snapToGrid w:val="0"/>
        </w:rPr>
      </w:pPr>
      <w:r>
        <w:rPr>
          <w:snapToGrid w:val="0"/>
        </w:rPr>
        <w:tab/>
        <w:t>(2)</w:t>
      </w:r>
      <w:r>
        <w:rPr>
          <w:snapToGrid w:val="0"/>
        </w:rPr>
        <w:tab/>
        <w:t>For the purposes of this section a certificate issued by the Director General, Department of the Premier and Cabinet, with the approval of the Premier of the State, certifying that any information or question, or any document or part of a document, relates to any such proceedings as are referred to in subsection (1) is conclusive of the fact so certified.</w:t>
      </w:r>
    </w:p>
    <w:p>
      <w:pPr>
        <w:pStyle w:val="Heading5"/>
        <w:rPr>
          <w:snapToGrid w:val="0"/>
        </w:rPr>
      </w:pPr>
      <w:bookmarkStart w:id="36" w:name="_Toc441668331"/>
      <w:r>
        <w:rPr>
          <w:rStyle w:val="CharSectno"/>
        </w:rPr>
        <w:t>22A</w:t>
      </w:r>
      <w:r>
        <w:rPr>
          <w:snapToGrid w:val="0"/>
        </w:rPr>
        <w:t>.</w:t>
      </w:r>
      <w:r>
        <w:rPr>
          <w:snapToGrid w:val="0"/>
        </w:rPr>
        <w:tab/>
        <w:t>Consultation</w:t>
      </w:r>
      <w:bookmarkEnd w:id="36"/>
    </w:p>
    <w:p>
      <w:pPr>
        <w:pStyle w:val="Subsection"/>
        <w:rPr>
          <w:snapToGrid w:val="0"/>
        </w:rPr>
      </w:pPr>
      <w:r>
        <w:rPr>
          <w:snapToGrid w:val="0"/>
        </w:rPr>
        <w:tab/>
        <w:t>(1)</w:t>
      </w:r>
      <w:r>
        <w:rPr>
          <w:snapToGrid w:val="0"/>
        </w:rPr>
        <w:tab/>
        <w:t xml:space="preserve">The Commissioner may consult </w:t>
      </w:r>
      <w:r>
        <w:t xml:space="preserve">the Corruption and Crime Commission, the Public Sector Commissioner, </w:t>
      </w:r>
      <w:r>
        <w:rPr>
          <w:snapToGrid w:val="0"/>
        </w:rPr>
        <w:t>the Inspector of Custodial Services or the Director of Public Prosecutions concerning any complaint under this Act or any investigation under this Act.</w:t>
      </w:r>
    </w:p>
    <w:p>
      <w:pPr>
        <w:pStyle w:val="Subsection"/>
        <w:rPr>
          <w:snapToGrid w:val="0"/>
        </w:rPr>
      </w:pPr>
      <w:r>
        <w:rPr>
          <w:snapToGrid w:val="0"/>
        </w:rPr>
        <w:tab/>
        <w:t>(2)</w:t>
      </w:r>
      <w:r>
        <w:rPr>
          <w:snapToGrid w:val="0"/>
        </w:rPr>
        <w:tab/>
        <w:t>Information obtained by the Commissioner</w:t>
      </w:r>
      <w:r>
        <w:t>, the Deputy Commissioner or a member of the Commissioner’s staff</w:t>
      </w:r>
      <w:r>
        <w:rPr>
          <w:snapToGrid w:val="0"/>
        </w:rPr>
        <w:t xml:space="preserve"> in the course of, or for the purpose of, an investigation under this Act may be disclosed for the purposes of any consultation under subsection (1).</w:t>
      </w:r>
    </w:p>
    <w:p>
      <w:pPr>
        <w:pStyle w:val="Footnotesection"/>
      </w:pPr>
      <w:r>
        <w:tab/>
        <w:t>[Section 22A inserted by No. 78 of 1996 s. 14; amended by No. 43 of 1999 s. 20; No. 74 of 2003 s. 91(13); No. 78 of 2003 s. 72; No. 35 of 2014 s. 36(3).]</w:t>
      </w:r>
    </w:p>
    <w:p>
      <w:pPr>
        <w:pStyle w:val="Heading5"/>
        <w:rPr>
          <w:snapToGrid w:val="0"/>
        </w:rPr>
      </w:pPr>
      <w:bookmarkStart w:id="37" w:name="_Toc441668332"/>
      <w:r>
        <w:rPr>
          <w:rStyle w:val="CharSectno"/>
        </w:rPr>
        <w:t>22B</w:t>
      </w:r>
      <w:r>
        <w:rPr>
          <w:snapToGrid w:val="0"/>
        </w:rPr>
        <w:t>.</w:t>
      </w:r>
      <w:r>
        <w:rPr>
          <w:snapToGrid w:val="0"/>
        </w:rPr>
        <w:tab/>
        <w:t>Disclosure of certain information</w:t>
      </w:r>
      <w:bookmarkEnd w:id="37"/>
    </w:p>
    <w:p>
      <w:pPr>
        <w:pStyle w:val="Subsection"/>
        <w:rPr>
          <w:snapToGrid w:val="0"/>
        </w:rPr>
      </w:pPr>
      <w:r>
        <w:rPr>
          <w:snapToGrid w:val="0"/>
        </w:rPr>
        <w:tab/>
      </w:r>
      <w:r>
        <w:rPr>
          <w:snapToGrid w:val="0"/>
        </w:rPr>
        <w:tab/>
        <w:t xml:space="preserve">A person who is the Commissioner, the Deputy Commissioner or </w:t>
      </w:r>
      <w:r>
        <w:t>a member of the Commissioner’s staff</w:t>
      </w:r>
      <w:r>
        <w:rPr>
          <w:snapToGrid w:val="0"/>
        </w:rPr>
        <w:t xml:space="preserve"> authorised for the purposes of this section by the Commissioner or the Deputy Commissioner may disclose information obtained by the Commissioner</w:t>
      </w:r>
      <w:r>
        <w:t>, the Deputy Commissioner or a member of the Commissioner’s staff</w:t>
      </w:r>
      <w:r>
        <w:rPr>
          <w:snapToGrid w:val="0"/>
        </w:rPr>
        <w:t xml:space="preserve"> in the course of, or for the purpose of, an investigation under this Act if the information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(aa)</w:t>
      </w:r>
      <w:r>
        <w:rPr>
          <w:snapToGrid w:val="0"/>
        </w:rPr>
        <w:tab/>
        <w:t>is disclosed to a person who is —</w:t>
      </w:r>
    </w:p>
    <w:p>
      <w:pPr>
        <w:pStyle w:val="Indenti"/>
        <w:rPr>
          <w:snapToGrid w:val="0"/>
        </w:rPr>
      </w:pPr>
      <w:r>
        <w:rPr>
          <w:snapToGrid w:val="0"/>
        </w:rPr>
        <w:tab/>
        <w:t>(i)</w:t>
      </w:r>
      <w:r>
        <w:rPr>
          <w:snapToGrid w:val="0"/>
        </w:rPr>
        <w:tab/>
        <w:t>the Inspector of Custodial Services; or</w:t>
      </w:r>
    </w:p>
    <w:p>
      <w:pPr>
        <w:pStyle w:val="Indenti"/>
        <w:rPr>
          <w:snapToGrid w:val="0"/>
        </w:rPr>
      </w:pPr>
      <w:r>
        <w:rPr>
          <w:snapToGrid w:val="0"/>
        </w:rPr>
        <w:tab/>
        <w:t>(ii)</w:t>
      </w:r>
      <w:r>
        <w:rPr>
          <w:snapToGrid w:val="0"/>
        </w:rPr>
        <w:tab/>
        <w:t>a member of the staff of the Inspector authorised for the purposes of this subparagraph by the Inspector,</w:t>
      </w:r>
    </w:p>
    <w:p>
      <w:pPr>
        <w:pStyle w:val="Indenta"/>
        <w:rPr>
          <w:snapToGrid w:val="0"/>
        </w:rPr>
      </w:pPr>
      <w:r>
        <w:rPr>
          <w:snapToGrid w:val="0"/>
        </w:rPr>
        <w:tab/>
      </w:r>
      <w:r>
        <w:rPr>
          <w:snapToGrid w:val="0"/>
        </w:rPr>
        <w:tab/>
        <w:t>and concerns a matter that is relevant to the functions of the Inspector; or</w:t>
      </w:r>
    </w:p>
    <w:p>
      <w:pPr>
        <w:pStyle w:val="Indenta"/>
        <w:rPr>
          <w:snapToGrid w:val="0"/>
        </w:rPr>
      </w:pPr>
      <w:r>
        <w:rPr>
          <w:snapToGrid w:val="0"/>
        </w:rPr>
        <w:tab/>
        <w:t>(b)</w:t>
      </w:r>
      <w:r>
        <w:rPr>
          <w:snapToGrid w:val="0"/>
        </w:rPr>
        <w:tab/>
        <w:t>is disclosed to a person who is —</w:t>
      </w:r>
    </w:p>
    <w:p>
      <w:pPr>
        <w:pStyle w:val="Indenti"/>
        <w:rPr>
          <w:snapToGrid w:val="0"/>
        </w:rPr>
      </w:pPr>
      <w:r>
        <w:rPr>
          <w:snapToGrid w:val="0"/>
        </w:rPr>
        <w:tab/>
        <w:t>(i)</w:t>
      </w:r>
      <w:r>
        <w:rPr>
          <w:snapToGrid w:val="0"/>
        </w:rPr>
        <w:tab/>
        <w:t>the Director of Public Prosecutions; or</w:t>
      </w:r>
    </w:p>
    <w:p>
      <w:pPr>
        <w:pStyle w:val="Indenti"/>
        <w:rPr>
          <w:snapToGrid w:val="0"/>
        </w:rPr>
      </w:pPr>
      <w:r>
        <w:rPr>
          <w:snapToGrid w:val="0"/>
        </w:rPr>
        <w:tab/>
        <w:t>(ii)</w:t>
      </w:r>
      <w:r>
        <w:rPr>
          <w:snapToGrid w:val="0"/>
        </w:rPr>
        <w:tab/>
        <w:t>the Deputy Director of Public Prosecutions; or</w:t>
      </w:r>
    </w:p>
    <w:p>
      <w:pPr>
        <w:pStyle w:val="Indenti"/>
        <w:rPr>
          <w:snapToGrid w:val="0"/>
        </w:rPr>
      </w:pPr>
      <w:r>
        <w:rPr>
          <w:snapToGrid w:val="0"/>
        </w:rPr>
        <w:tab/>
        <w:t>(iii)</w:t>
      </w:r>
      <w:r>
        <w:rPr>
          <w:snapToGrid w:val="0"/>
        </w:rPr>
        <w:tab/>
        <w:t>a member of the staff of the Director of Public Prosecutions authorised for the purposes of this subparagraph by the Director of Public Prosecutions or the Deputy Director of Public Prosecutions,</w:t>
      </w:r>
    </w:p>
    <w:p>
      <w:pPr>
        <w:pStyle w:val="Indenta"/>
      </w:pPr>
      <w:r>
        <w:tab/>
      </w:r>
      <w:r>
        <w:tab/>
        <w:t xml:space="preserve">and concerns a matter that is relevant to the functions of any of the following — </w:t>
      </w:r>
    </w:p>
    <w:p>
      <w:pPr>
        <w:pStyle w:val="Indenti"/>
      </w:pPr>
      <w:r>
        <w:tab/>
        <w:t>(iv)</w:t>
      </w:r>
      <w:r>
        <w:tab/>
        <w:t>the Corruption and Crime Commission;</w:t>
      </w:r>
    </w:p>
    <w:p>
      <w:pPr>
        <w:pStyle w:val="Indenti"/>
      </w:pPr>
      <w:r>
        <w:tab/>
        <w:t>(v)</w:t>
      </w:r>
      <w:r>
        <w:tab/>
        <w:t>the Parliamentary Inspector;</w:t>
      </w:r>
    </w:p>
    <w:p>
      <w:pPr>
        <w:pStyle w:val="Indenti"/>
      </w:pPr>
      <w:r>
        <w:tab/>
        <w:t>(vi)</w:t>
      </w:r>
      <w:r>
        <w:tab/>
        <w:t xml:space="preserve">the Public Sector Commissioner, but only those functions under the </w:t>
      </w:r>
      <w:r>
        <w:rPr>
          <w:i/>
        </w:rPr>
        <w:t>Corruption, Crime and Misconduct Act 2003</w:t>
      </w:r>
      <w:r>
        <w:t>;</w:t>
      </w:r>
    </w:p>
    <w:p>
      <w:pPr>
        <w:pStyle w:val="Indenti"/>
        <w:keepNext/>
      </w:pPr>
      <w:r>
        <w:tab/>
        <w:t>(vii)</w:t>
      </w:r>
      <w:r>
        <w:tab/>
        <w:t>the Director of Public Prosecutions;</w:t>
      </w:r>
    </w:p>
    <w:p>
      <w:pPr>
        <w:pStyle w:val="Indenta"/>
      </w:pPr>
      <w:r>
        <w:tab/>
      </w:r>
      <w:r>
        <w:tab/>
        <w:t>or</w:t>
      </w:r>
    </w:p>
    <w:p>
      <w:pPr>
        <w:pStyle w:val="Indenta"/>
      </w:pPr>
      <w:r>
        <w:tab/>
        <w:t>(c)</w:t>
      </w:r>
      <w:r>
        <w:tab/>
        <w:t>is disclosed to —</w:t>
      </w:r>
    </w:p>
    <w:p>
      <w:pPr>
        <w:pStyle w:val="Indenti"/>
      </w:pPr>
      <w:r>
        <w:tab/>
        <w:t>(i)</w:t>
      </w:r>
      <w:r>
        <w:tab/>
      </w:r>
      <w:r>
        <w:rPr>
          <w:snapToGrid w:val="0"/>
        </w:rPr>
        <w:t>the</w:t>
      </w:r>
      <w:r>
        <w:t xml:space="preserve"> Corruption and Crime Commission; or</w:t>
      </w:r>
    </w:p>
    <w:p>
      <w:pPr>
        <w:pStyle w:val="Indenti"/>
      </w:pPr>
      <w:r>
        <w:tab/>
        <w:t>(ii)</w:t>
      </w:r>
      <w:r>
        <w:tab/>
        <w:t xml:space="preserve">a person who is an officer of the </w:t>
      </w:r>
      <w:r>
        <w:rPr>
          <w:snapToGrid w:val="0"/>
        </w:rPr>
        <w:t>Corruption</w:t>
      </w:r>
      <w:r>
        <w:t xml:space="preserve"> and Crime Commission authorised for the purposes of this subparagraph by the Corruption and Crime Commission,</w:t>
      </w:r>
    </w:p>
    <w:p>
      <w:pPr>
        <w:pStyle w:val="Indenta"/>
      </w:pPr>
      <w:r>
        <w:tab/>
      </w:r>
      <w:r>
        <w:tab/>
        <w:t>and concerns a matter that is relevant to the functions of the Corruption and Crime Commission; or</w:t>
      </w:r>
    </w:p>
    <w:p>
      <w:pPr>
        <w:pStyle w:val="Indenta"/>
        <w:keepNext/>
      </w:pPr>
      <w:r>
        <w:tab/>
        <w:t>(d)</w:t>
      </w:r>
      <w:r>
        <w:tab/>
        <w:t>is disclosed to a person who is —</w:t>
      </w:r>
    </w:p>
    <w:p>
      <w:pPr>
        <w:pStyle w:val="Indenti"/>
      </w:pPr>
      <w:r>
        <w:tab/>
        <w:t>(i)</w:t>
      </w:r>
      <w:r>
        <w:tab/>
        <w:t>the Parliamentary Inspector of the Corruption and Crime Commission; or</w:t>
      </w:r>
    </w:p>
    <w:p>
      <w:pPr>
        <w:pStyle w:val="Indenti"/>
      </w:pPr>
      <w:r>
        <w:tab/>
        <w:t>(ii)</w:t>
      </w:r>
      <w:r>
        <w:tab/>
        <w:t>an officer of the Parliamentary Inspector of the Corruption and Crime Commission authorised for the purposes of this subparagraph by the Parliamentary Inspector,</w:t>
      </w:r>
    </w:p>
    <w:p>
      <w:pPr>
        <w:pStyle w:val="Indenta"/>
        <w:rPr>
          <w:snapToGrid w:val="0"/>
        </w:rPr>
      </w:pPr>
      <w:r>
        <w:tab/>
      </w:r>
      <w:r>
        <w:tab/>
        <w:t>and concerns a matter that is relevant to the functions of the Parliamentary Inspector; or</w:t>
      </w:r>
    </w:p>
    <w:p>
      <w:pPr>
        <w:pStyle w:val="Indenta"/>
      </w:pPr>
      <w:r>
        <w:tab/>
        <w:t>(ea)</w:t>
      </w:r>
      <w:r>
        <w:tab/>
        <w:t xml:space="preserve">is disclosed to — </w:t>
      </w:r>
    </w:p>
    <w:p>
      <w:pPr>
        <w:pStyle w:val="Indenti"/>
      </w:pPr>
      <w:r>
        <w:tab/>
        <w:t>(i)</w:t>
      </w:r>
      <w:r>
        <w:tab/>
        <w:t>the Public Sector Commissioner; or</w:t>
      </w:r>
    </w:p>
    <w:p>
      <w:pPr>
        <w:pStyle w:val="Indenti"/>
      </w:pPr>
      <w:r>
        <w:tab/>
        <w:t>(ii)</w:t>
      </w:r>
      <w:r>
        <w:tab/>
        <w:t>a person who is authorised by the Public Sector Commissioner for the purposes of this subparagraph,</w:t>
      </w:r>
    </w:p>
    <w:p>
      <w:pPr>
        <w:pStyle w:val="Indenta"/>
      </w:pPr>
      <w:r>
        <w:tab/>
      </w:r>
      <w:r>
        <w:tab/>
        <w:t xml:space="preserve">and concerns a matter that is relevant to the functions of the Public Sector Commissioner under the </w:t>
      </w:r>
      <w:r>
        <w:rPr>
          <w:i/>
        </w:rPr>
        <w:t>Corruption, Crime and Misconduct Act 2003</w:t>
      </w:r>
      <w:r>
        <w:t>; or</w:t>
      </w:r>
    </w:p>
    <w:p>
      <w:pPr>
        <w:pStyle w:val="Indenta"/>
      </w:pPr>
      <w:r>
        <w:tab/>
        <w:t>(e)</w:t>
      </w:r>
      <w:r>
        <w:tab/>
        <w:t>is disclosed to a person who is —</w:t>
      </w:r>
    </w:p>
    <w:p>
      <w:pPr>
        <w:pStyle w:val="Indenti"/>
      </w:pPr>
      <w:r>
        <w:tab/>
        <w:t>(i)</w:t>
      </w:r>
      <w:r>
        <w:tab/>
        <w:t>the Commissioner for Children and Young People; or</w:t>
      </w:r>
    </w:p>
    <w:p>
      <w:pPr>
        <w:pStyle w:val="Indenti"/>
      </w:pPr>
      <w:r>
        <w:tab/>
        <w:t>(ii)</w:t>
      </w:r>
      <w:r>
        <w:tab/>
        <w:t>a member of the staff of the Commissioner for Children and Young People authorised for the purposes of this subparagraph by the Commissioner,</w:t>
      </w:r>
    </w:p>
    <w:p>
      <w:pPr>
        <w:pStyle w:val="Indenta"/>
        <w:spacing w:before="70"/>
      </w:pPr>
      <w:r>
        <w:tab/>
      </w:r>
      <w:r>
        <w:tab/>
        <w:t>and concerns a matter that is relevant to the death of a child.</w:t>
      </w:r>
    </w:p>
    <w:p>
      <w:pPr>
        <w:pStyle w:val="Footnotesection"/>
      </w:pPr>
      <w:r>
        <w:tab/>
        <w:t>[Section 22B inserted by No. 78 of 1996 s. 14; amended by No. 43 of 1999 s. 20; No. 74 of 2003 s. 91(14); No. 78 of 2003 s. 72; No. 10 of 2009 s. 8; No. 35 of 2014 s. 36(4).]</w:t>
      </w:r>
    </w:p>
    <w:p>
      <w:pPr>
        <w:pStyle w:val="Heading5"/>
        <w:rPr>
          <w:snapToGrid w:val="0"/>
        </w:rPr>
      </w:pPr>
      <w:bookmarkStart w:id="38" w:name="_Toc441668333"/>
      <w:r>
        <w:rPr>
          <w:rStyle w:val="CharSectno"/>
        </w:rPr>
        <w:t>23</w:t>
      </w:r>
      <w:r>
        <w:rPr>
          <w:snapToGrid w:val="0"/>
        </w:rPr>
        <w:t>.</w:t>
      </w:r>
      <w:r>
        <w:rPr>
          <w:snapToGrid w:val="0"/>
        </w:rPr>
        <w:tab/>
        <w:t>Secrecy</w:t>
      </w:r>
      <w:bookmarkEnd w:id="38"/>
    </w:p>
    <w:p>
      <w:pPr>
        <w:pStyle w:val="Subsection"/>
        <w:keepNext/>
        <w:rPr>
          <w:snapToGrid w:val="0"/>
        </w:rPr>
      </w:pPr>
      <w:r>
        <w:rPr>
          <w:snapToGrid w:val="0"/>
        </w:rPr>
        <w:tab/>
        <w:t>(1)</w:t>
      </w:r>
      <w:r>
        <w:rPr>
          <w:snapToGrid w:val="0"/>
        </w:rPr>
        <w:tab/>
        <w:t>Information obtained by the Commissioner</w:t>
      </w:r>
      <w:r>
        <w:t>, the Deputy Commissioner or a member of the Commissioner’s staff</w:t>
      </w:r>
      <w:r>
        <w:rPr>
          <w:snapToGrid w:val="0"/>
        </w:rPr>
        <w:t xml:space="preserve"> in the course of, or for the purpose of, an investigation under this Act, shall not be disclosed, except —</w:t>
      </w:r>
    </w:p>
    <w:p>
      <w:pPr>
        <w:pStyle w:val="Indenta"/>
        <w:rPr>
          <w:snapToGrid w:val="0"/>
        </w:rPr>
      </w:pPr>
      <w:r>
        <w:rPr>
          <w:snapToGrid w:val="0"/>
        </w:rPr>
        <w:tab/>
        <w:t>(a)</w:t>
      </w:r>
      <w:r>
        <w:rPr>
          <w:snapToGrid w:val="0"/>
        </w:rPr>
        <w:tab/>
        <w:t>for the purposes of the investigation and of any report or recommendations to be made thereon under this Act; or</w:t>
      </w:r>
    </w:p>
    <w:p>
      <w:pPr>
        <w:pStyle w:val="Indenta"/>
        <w:rPr>
          <w:snapToGrid w:val="0"/>
        </w:rPr>
      </w:pPr>
      <w:r>
        <w:rPr>
          <w:snapToGrid w:val="0"/>
        </w:rPr>
        <w:tab/>
        <w:t>(b)</w:t>
      </w:r>
      <w:r>
        <w:rPr>
          <w:snapToGrid w:val="0"/>
        </w:rPr>
        <w:tab/>
        <w:t xml:space="preserve">for the purposes of any proceedings for any perjury or any offence under the </w:t>
      </w:r>
      <w:r>
        <w:rPr>
          <w:i/>
          <w:snapToGrid w:val="0"/>
        </w:rPr>
        <w:t>Royal Commissions Act 1968</w:t>
      </w:r>
      <w:r>
        <w:rPr>
          <w:snapToGrid w:val="0"/>
        </w:rPr>
        <w:t>, or under this Act alleged to have been committed in any proceedings upon such an investigation; or</w:t>
      </w:r>
    </w:p>
    <w:p>
      <w:pPr>
        <w:pStyle w:val="Indenta"/>
        <w:rPr>
          <w:snapToGrid w:val="0"/>
        </w:rPr>
      </w:pPr>
      <w:r>
        <w:rPr>
          <w:snapToGrid w:val="0"/>
        </w:rPr>
        <w:tab/>
        <w:t>(c)</w:t>
      </w:r>
      <w:r>
        <w:rPr>
          <w:snapToGrid w:val="0"/>
        </w:rPr>
        <w:tab/>
        <w:t>as authorised by section 22A or 22B.</w:t>
      </w:r>
    </w:p>
    <w:p>
      <w:pPr>
        <w:pStyle w:val="Subsection"/>
        <w:rPr>
          <w:snapToGrid w:val="0"/>
        </w:rPr>
      </w:pPr>
      <w:r>
        <w:rPr>
          <w:snapToGrid w:val="0"/>
        </w:rPr>
        <w:tab/>
        <w:t>(1a)</w:t>
      </w:r>
      <w:r>
        <w:rPr>
          <w:snapToGrid w:val="0"/>
        </w:rPr>
        <w:tab/>
        <w:t>The Commissioner may in writing direct the person to whom a document is sent by the Commissioner not to disclose to any other person any information contained in the document except for the purposes of the investigation to which the document relates, and a person to whom such a direction is given shall comply with the direction.</w:t>
      </w:r>
    </w:p>
    <w:p>
      <w:pPr>
        <w:pStyle w:val="Subsection"/>
        <w:rPr>
          <w:snapToGrid w:val="0"/>
        </w:rPr>
      </w:pPr>
      <w:r>
        <w:rPr>
          <w:snapToGrid w:val="0"/>
        </w:rPr>
        <w:tab/>
        <w:t>(1b)</w:t>
      </w:r>
      <w:r>
        <w:rPr>
          <w:snapToGrid w:val="0"/>
        </w:rPr>
        <w:tab/>
        <w:t>Subsection (1) shall not be taken to preclude the Commissioner from disclosing information, or making a statement, to any person or to the public or a section of the public with respect to the performance of the functions of, or an investigation by, the Commissioner if, in his opinion, it is in the interests of any department or authority to which this Act applies or of any person, or is otherwise in the public interest, so to disclose that information or to make that statement.</w:t>
      </w:r>
    </w:p>
    <w:p>
      <w:pPr>
        <w:pStyle w:val="Subsection"/>
        <w:rPr>
          <w:snapToGrid w:val="0"/>
        </w:rPr>
      </w:pPr>
      <w:r>
        <w:rPr>
          <w:snapToGrid w:val="0"/>
        </w:rPr>
        <w:tab/>
        <w:t>(1c)</w:t>
      </w:r>
      <w:r>
        <w:rPr>
          <w:snapToGrid w:val="0"/>
        </w:rPr>
        <w:tab/>
        <w:t>The Commissioner shall not disclose information or make a statement under subsection (1b) with respect to a particular investigation where the disclosure of that information, or the making of that statement, is likely to interfere with the carrying out of that or any other investigation or the making of a report by him under this Act.</w:t>
      </w:r>
    </w:p>
    <w:p>
      <w:pPr>
        <w:pStyle w:val="Subsection"/>
        <w:keepNext/>
        <w:rPr>
          <w:snapToGrid w:val="0"/>
        </w:rPr>
      </w:pPr>
      <w:r>
        <w:rPr>
          <w:snapToGrid w:val="0"/>
        </w:rPr>
        <w:tab/>
        <w:t>(1d)</w:t>
      </w:r>
      <w:r>
        <w:rPr>
          <w:snapToGrid w:val="0"/>
        </w:rPr>
        <w:tab/>
        <w:t>The Commissioner shall not, in disclosing information or making a statement under subsection (1b) with respect to a particular investigation —</w:t>
      </w:r>
    </w:p>
    <w:p>
      <w:pPr>
        <w:pStyle w:val="Indenta"/>
        <w:rPr>
          <w:snapToGrid w:val="0"/>
        </w:rPr>
      </w:pPr>
      <w:r>
        <w:rPr>
          <w:snapToGrid w:val="0"/>
        </w:rPr>
        <w:tab/>
        <w:t>(a)</w:t>
      </w:r>
      <w:r>
        <w:rPr>
          <w:snapToGrid w:val="0"/>
        </w:rPr>
        <w:tab/>
        <w:t>set out opinions that are, either expressly or impliedly, critical of any department or authority to which this Act applies or any person unless the Commissioner has complied with subsection (1e) in relation to the investigation; or</w:t>
      </w:r>
    </w:p>
    <w:p>
      <w:pPr>
        <w:pStyle w:val="Indenta"/>
        <w:rPr>
          <w:snapToGrid w:val="0"/>
        </w:rPr>
      </w:pPr>
      <w:r>
        <w:rPr>
          <w:snapToGrid w:val="0"/>
        </w:rPr>
        <w:tab/>
        <w:t>(b)</w:t>
      </w:r>
      <w:r>
        <w:rPr>
          <w:snapToGrid w:val="0"/>
        </w:rPr>
        <w:tab/>
        <w:t>disclose the name of a complainant or any other matter that would enable a complainant to be identified unless it is fair and reasonable in all the circumstances to do so.</w:t>
      </w:r>
    </w:p>
    <w:p>
      <w:pPr>
        <w:pStyle w:val="Subsection"/>
        <w:spacing w:before="140"/>
        <w:rPr>
          <w:snapToGrid w:val="0"/>
        </w:rPr>
      </w:pPr>
      <w:r>
        <w:rPr>
          <w:snapToGrid w:val="0"/>
        </w:rPr>
        <w:tab/>
        <w:t>(1e)</w:t>
      </w:r>
      <w:r>
        <w:rPr>
          <w:snapToGrid w:val="0"/>
        </w:rPr>
        <w:tab/>
        <w:t>Where the Commissioner proposes to disclose information or make a statement setting out opinions referred to in subsection (1d)(a) he shall, before doing so, afford —</w:t>
      </w:r>
    </w:p>
    <w:p>
      <w:pPr>
        <w:pStyle w:val="Indenta"/>
        <w:rPr>
          <w:snapToGrid w:val="0"/>
        </w:rPr>
      </w:pPr>
      <w:r>
        <w:rPr>
          <w:snapToGrid w:val="0"/>
        </w:rPr>
        <w:tab/>
        <w:t>(a)</w:t>
      </w:r>
      <w:r>
        <w:rPr>
          <w:snapToGrid w:val="0"/>
        </w:rPr>
        <w:tab/>
        <w:t>if the opinions relate to a department or authority, the principal officer of the department or authority and the officer of that department or authority principally concerned in the complaint; or</w:t>
      </w:r>
    </w:p>
    <w:p>
      <w:pPr>
        <w:pStyle w:val="Indenta"/>
        <w:rPr>
          <w:snapToGrid w:val="0"/>
        </w:rPr>
      </w:pPr>
      <w:r>
        <w:rPr>
          <w:snapToGrid w:val="0"/>
        </w:rPr>
        <w:tab/>
        <w:t>(b)</w:t>
      </w:r>
      <w:r>
        <w:rPr>
          <w:snapToGrid w:val="0"/>
        </w:rPr>
        <w:tab/>
        <w:t>if the opinions relate to a person, that person,</w:t>
      </w:r>
    </w:p>
    <w:p>
      <w:pPr>
        <w:pStyle w:val="Subsection"/>
        <w:rPr>
          <w:snapToGrid w:val="0"/>
        </w:rPr>
      </w:pPr>
      <w:r>
        <w:rPr>
          <w:snapToGrid w:val="0"/>
        </w:rPr>
        <w:tab/>
      </w:r>
      <w:r>
        <w:rPr>
          <w:snapToGrid w:val="0"/>
        </w:rPr>
        <w:tab/>
        <w:t>the opportunity to appear before him and to make submissions, either orally or in writing, in relation to the complaint.</w:t>
      </w:r>
    </w:p>
    <w:p>
      <w:pPr>
        <w:pStyle w:val="Subsection"/>
        <w:rPr>
          <w:snapToGrid w:val="0"/>
        </w:rPr>
      </w:pPr>
      <w:r>
        <w:rPr>
          <w:snapToGrid w:val="0"/>
        </w:rPr>
        <w:tab/>
        <w:t>(1f)</w:t>
      </w:r>
      <w:r>
        <w:rPr>
          <w:snapToGrid w:val="0"/>
        </w:rPr>
        <w:tab/>
        <w:t>This section has effect notwithstanding section 19(2).</w:t>
      </w:r>
    </w:p>
    <w:p>
      <w:pPr>
        <w:pStyle w:val="Subsection"/>
        <w:rPr>
          <w:snapToGrid w:val="0"/>
        </w:rPr>
      </w:pPr>
      <w:r>
        <w:rPr>
          <w:snapToGrid w:val="0"/>
        </w:rPr>
        <w:tab/>
        <w:t>(2)</w:t>
      </w:r>
      <w:r>
        <w:rPr>
          <w:snapToGrid w:val="0"/>
        </w:rPr>
        <w:tab/>
        <w:t>Any person who discloses information contrary to the provisions of this section is guilty of an offence.</w:t>
      </w:r>
    </w:p>
    <w:p>
      <w:pPr>
        <w:pStyle w:val="Footnotesection"/>
        <w:spacing w:before="100"/>
        <w:ind w:left="890" w:hanging="890"/>
      </w:pPr>
      <w:r>
        <w:tab/>
        <w:t>[Section 23 amended by No. 68 of 1976 s. 7; No. 124 of 1984 s. 8; No. 14 of 1994 s. 19(2); No. 29 of 1996 s. 26; No. 78 of 1996 s. 15 and 21; No. 74 of 2003 s. 91(15).]</w:t>
      </w:r>
    </w:p>
    <w:p>
      <w:pPr>
        <w:pStyle w:val="Heading5"/>
        <w:rPr>
          <w:snapToGrid w:val="0"/>
        </w:rPr>
      </w:pPr>
      <w:bookmarkStart w:id="39" w:name="_Toc441668334"/>
      <w:r>
        <w:rPr>
          <w:rStyle w:val="CharSectno"/>
        </w:rPr>
        <w:t>23A</w:t>
      </w:r>
      <w:r>
        <w:rPr>
          <w:snapToGrid w:val="0"/>
        </w:rPr>
        <w:t>.</w:t>
      </w:r>
      <w:r>
        <w:rPr>
          <w:snapToGrid w:val="0"/>
        </w:rPr>
        <w:tab/>
        <w:t>Documents sent to or by Commissioner not admissible</w:t>
      </w:r>
      <w:bookmarkEnd w:id="39"/>
    </w:p>
    <w:p>
      <w:pPr>
        <w:pStyle w:val="Subsection"/>
        <w:rPr>
          <w:snapToGrid w:val="0"/>
        </w:rPr>
      </w:pPr>
      <w:r>
        <w:rPr>
          <w:snapToGrid w:val="0"/>
        </w:rPr>
        <w:tab/>
      </w:r>
      <w:r>
        <w:rPr>
          <w:snapToGrid w:val="0"/>
        </w:rPr>
        <w:tab/>
        <w:t>Any document that is sent to the Commissioner</w:t>
      </w:r>
      <w:r>
        <w:t>, the Deputy Commissioner or a member of the Commissioner’s staff</w:t>
      </w:r>
      <w:r>
        <w:rPr>
          <w:snapToGrid w:val="0"/>
        </w:rPr>
        <w:t xml:space="preserve"> or by the Commissioner</w:t>
      </w:r>
      <w:r>
        <w:t>, the Deputy Commissioner or a member of the Commissioner’s staff</w:t>
      </w:r>
      <w:r>
        <w:rPr>
          <w:snapToGrid w:val="0"/>
        </w:rPr>
        <w:t xml:space="preserve"> in the course of, or for the purposes of, an investigation under this Act and was prepared specifically for the purposes of the investigation shall be privileged and be not admissible in evidence in any proceedings other than proceedings for perjury or any offence under the </w:t>
      </w:r>
      <w:r>
        <w:rPr>
          <w:i/>
          <w:snapToGrid w:val="0"/>
        </w:rPr>
        <w:t>Royal Commissions Act 1968</w:t>
      </w:r>
      <w:r>
        <w:rPr>
          <w:snapToGrid w:val="0"/>
        </w:rPr>
        <w:t xml:space="preserve"> or under this Act alleged to have been committed in any proceedings upon such an investigation.</w:t>
      </w:r>
    </w:p>
    <w:p>
      <w:pPr>
        <w:pStyle w:val="Footnotesection"/>
        <w:spacing w:before="100"/>
        <w:ind w:left="890" w:hanging="890"/>
      </w:pPr>
      <w:r>
        <w:tab/>
        <w:t>[Section 23A inserted by No. 73 of 1976 s. 8; amended by No. 74 of 2003 s. 91(16).]</w:t>
      </w:r>
    </w:p>
    <w:p>
      <w:pPr>
        <w:pStyle w:val="Heading5"/>
        <w:rPr>
          <w:snapToGrid w:val="0"/>
        </w:rPr>
      </w:pPr>
      <w:bookmarkStart w:id="40" w:name="_Toc441668335"/>
      <w:r>
        <w:rPr>
          <w:rStyle w:val="CharSectno"/>
        </w:rPr>
        <w:t>24</w:t>
      </w:r>
      <w:r>
        <w:rPr>
          <w:snapToGrid w:val="0"/>
        </w:rPr>
        <w:t>.</w:t>
      </w:r>
      <w:r>
        <w:rPr>
          <w:snapToGrid w:val="0"/>
        </w:rPr>
        <w:tab/>
        <w:t>Obstruction</w:t>
      </w:r>
      <w:bookmarkEnd w:id="40"/>
    </w:p>
    <w:p>
      <w:pPr>
        <w:pStyle w:val="Subsection"/>
        <w:keepNext/>
        <w:spacing w:before="120"/>
        <w:rPr>
          <w:snapToGrid w:val="0"/>
        </w:rPr>
      </w:pPr>
      <w:r>
        <w:rPr>
          <w:snapToGrid w:val="0"/>
        </w:rPr>
        <w:tab/>
      </w:r>
      <w:r>
        <w:rPr>
          <w:snapToGrid w:val="0"/>
        </w:rPr>
        <w:tab/>
        <w:t>Any person who —</w:t>
      </w:r>
    </w:p>
    <w:p>
      <w:pPr>
        <w:pStyle w:val="Indenta"/>
        <w:rPr>
          <w:snapToGrid w:val="0"/>
        </w:rPr>
      </w:pPr>
      <w:r>
        <w:rPr>
          <w:snapToGrid w:val="0"/>
        </w:rPr>
        <w:tab/>
        <w:t>(a)</w:t>
      </w:r>
      <w:r>
        <w:rPr>
          <w:snapToGrid w:val="0"/>
        </w:rPr>
        <w:tab/>
        <w:t>without lawful excuse, wilfully obstructs, hinders, or resists the Commissioner or any other person in the exercise of his powers under this Act; or</w:t>
      </w:r>
    </w:p>
    <w:p>
      <w:pPr>
        <w:pStyle w:val="Indenta"/>
        <w:rPr>
          <w:snapToGrid w:val="0"/>
        </w:rPr>
      </w:pPr>
      <w:r>
        <w:rPr>
          <w:snapToGrid w:val="0"/>
        </w:rPr>
        <w:tab/>
        <w:t>(b)</w:t>
      </w:r>
      <w:r>
        <w:rPr>
          <w:snapToGrid w:val="0"/>
        </w:rPr>
        <w:tab/>
        <w:t>without lawful excuse, refuses or wilfully fails to comply with any lawful requirement of the Commissioner or any other person under this Act; or</w:t>
      </w:r>
    </w:p>
    <w:p>
      <w:pPr>
        <w:pStyle w:val="Indenta"/>
        <w:rPr>
          <w:snapToGrid w:val="0"/>
        </w:rPr>
      </w:pPr>
      <w:r>
        <w:rPr>
          <w:snapToGrid w:val="0"/>
        </w:rPr>
        <w:tab/>
        <w:t>(c)</w:t>
      </w:r>
      <w:r>
        <w:rPr>
          <w:snapToGrid w:val="0"/>
        </w:rPr>
        <w:tab/>
        <w:t>wilfully makes any false statement to, or misleads, or attempts to mislead, the Commissioner or any other person in the exercise of his powers under this Act,</w:t>
      </w:r>
    </w:p>
    <w:p>
      <w:pPr>
        <w:pStyle w:val="Subsection"/>
        <w:spacing w:before="120"/>
        <w:rPr>
          <w:snapToGrid w:val="0"/>
        </w:rPr>
      </w:pPr>
      <w:r>
        <w:rPr>
          <w:snapToGrid w:val="0"/>
        </w:rPr>
        <w:tab/>
      </w:r>
      <w:r>
        <w:rPr>
          <w:snapToGrid w:val="0"/>
        </w:rPr>
        <w:tab/>
        <w:t>is guilty of an offence.</w:t>
      </w:r>
    </w:p>
    <w:p>
      <w:pPr>
        <w:pStyle w:val="Heading3"/>
        <w:spacing w:before="180"/>
      </w:pPr>
      <w:bookmarkStart w:id="41" w:name="_Toc441668336"/>
      <w:r>
        <w:rPr>
          <w:rStyle w:val="CharDivNo"/>
        </w:rPr>
        <w:t>Division 4</w:t>
      </w:r>
      <w:r>
        <w:rPr>
          <w:snapToGrid w:val="0"/>
        </w:rPr>
        <w:t> — </w:t>
      </w:r>
      <w:r>
        <w:rPr>
          <w:rStyle w:val="CharDivText"/>
        </w:rPr>
        <w:t>Action on investigations</w:t>
      </w:r>
      <w:bookmarkEnd w:id="41"/>
    </w:p>
    <w:p>
      <w:pPr>
        <w:pStyle w:val="Heading5"/>
        <w:spacing w:before="180"/>
        <w:rPr>
          <w:snapToGrid w:val="0"/>
        </w:rPr>
      </w:pPr>
      <w:bookmarkStart w:id="42" w:name="_Toc441668337"/>
      <w:r>
        <w:rPr>
          <w:rStyle w:val="CharSectno"/>
        </w:rPr>
        <w:t>25</w:t>
      </w:r>
      <w:r>
        <w:rPr>
          <w:snapToGrid w:val="0"/>
        </w:rPr>
        <w:t>.</w:t>
      </w:r>
      <w:r>
        <w:rPr>
          <w:snapToGrid w:val="0"/>
        </w:rPr>
        <w:tab/>
        <w:t>Procedure on completion of investigation</w:t>
      </w:r>
      <w:bookmarkEnd w:id="42"/>
    </w:p>
    <w:p>
      <w:pPr>
        <w:pStyle w:val="Subsection"/>
        <w:spacing w:before="120"/>
        <w:rPr>
          <w:snapToGrid w:val="0"/>
        </w:rPr>
      </w:pPr>
      <w:r>
        <w:rPr>
          <w:snapToGrid w:val="0"/>
        </w:rPr>
        <w:tab/>
        <w:t>(1)</w:t>
      </w:r>
      <w:r>
        <w:rPr>
          <w:snapToGrid w:val="0"/>
        </w:rPr>
        <w:tab/>
        <w:t>Where, as a result of an investigation conducted under this Act (not being an investigation conducted pursuant to section 15), the Commissioner is of the opinion that the action to which the investigation relates —</w:t>
      </w:r>
    </w:p>
    <w:p>
      <w:pPr>
        <w:pStyle w:val="Indenta"/>
        <w:rPr>
          <w:snapToGrid w:val="0"/>
        </w:rPr>
      </w:pPr>
      <w:r>
        <w:rPr>
          <w:snapToGrid w:val="0"/>
        </w:rPr>
        <w:tab/>
        <w:t>(a)</w:t>
      </w:r>
      <w:r>
        <w:rPr>
          <w:snapToGrid w:val="0"/>
        </w:rPr>
        <w:tab/>
        <w:t>appears to have been taken contrary to law; or</w:t>
      </w:r>
    </w:p>
    <w:p>
      <w:pPr>
        <w:pStyle w:val="Indenta"/>
        <w:rPr>
          <w:snapToGrid w:val="0"/>
        </w:rPr>
      </w:pPr>
      <w:r>
        <w:rPr>
          <w:snapToGrid w:val="0"/>
        </w:rPr>
        <w:tab/>
        <w:t>(b)</w:t>
      </w:r>
      <w:r>
        <w:rPr>
          <w:snapToGrid w:val="0"/>
        </w:rPr>
        <w:tab/>
        <w:t>was unreasonable, unjust, oppressive, or improperly discriminatory; or</w:t>
      </w:r>
    </w:p>
    <w:p>
      <w:pPr>
        <w:pStyle w:val="Indenta"/>
        <w:rPr>
          <w:snapToGrid w:val="0"/>
        </w:rPr>
      </w:pPr>
      <w:r>
        <w:rPr>
          <w:snapToGrid w:val="0"/>
        </w:rPr>
        <w:tab/>
        <w:t>(c)</w:t>
      </w:r>
      <w:r>
        <w:rPr>
          <w:snapToGrid w:val="0"/>
        </w:rPr>
        <w:tab/>
        <w:t>was in accordance with a rule of law or a provision of an enactment or a practice that is or may be unreasonable, unjust, oppressive, or improperly discriminatory; or</w:t>
      </w:r>
    </w:p>
    <w:p>
      <w:pPr>
        <w:pStyle w:val="Indenta"/>
        <w:rPr>
          <w:snapToGrid w:val="0"/>
        </w:rPr>
      </w:pPr>
      <w:r>
        <w:rPr>
          <w:snapToGrid w:val="0"/>
        </w:rPr>
        <w:tab/>
        <w:t>(d)</w:t>
      </w:r>
      <w:r>
        <w:rPr>
          <w:snapToGrid w:val="0"/>
        </w:rPr>
        <w:tab/>
        <w:t>was taken in the exercise of a power or discretion, and was so taken for an improper purpose or on irrelevant grounds, or on the taking into account of irrelevant considerations; or</w:t>
      </w:r>
    </w:p>
    <w:p>
      <w:pPr>
        <w:pStyle w:val="Indenta"/>
        <w:rPr>
          <w:snapToGrid w:val="0"/>
        </w:rPr>
      </w:pPr>
      <w:r>
        <w:rPr>
          <w:snapToGrid w:val="0"/>
        </w:rPr>
        <w:tab/>
        <w:t>(e)</w:t>
      </w:r>
      <w:r>
        <w:rPr>
          <w:snapToGrid w:val="0"/>
        </w:rPr>
        <w:tab/>
        <w:t>was a decision that was made in the exercise of a power or discretion and the reasons for the decision were not, but should have been, given; or</w:t>
      </w:r>
    </w:p>
    <w:p>
      <w:pPr>
        <w:pStyle w:val="Indenta"/>
        <w:rPr>
          <w:snapToGrid w:val="0"/>
        </w:rPr>
      </w:pPr>
      <w:r>
        <w:rPr>
          <w:snapToGrid w:val="0"/>
        </w:rPr>
        <w:tab/>
        <w:t>(f)</w:t>
      </w:r>
      <w:r>
        <w:rPr>
          <w:snapToGrid w:val="0"/>
        </w:rPr>
        <w:tab/>
        <w:t>was based wholly or partly on a mistake of law or fact; or</w:t>
      </w:r>
    </w:p>
    <w:p>
      <w:pPr>
        <w:pStyle w:val="Indenta"/>
        <w:rPr>
          <w:snapToGrid w:val="0"/>
        </w:rPr>
      </w:pPr>
      <w:r>
        <w:rPr>
          <w:snapToGrid w:val="0"/>
        </w:rPr>
        <w:tab/>
        <w:t>(g)</w:t>
      </w:r>
      <w:r>
        <w:rPr>
          <w:snapToGrid w:val="0"/>
        </w:rPr>
        <w:tab/>
        <w:t>was wrong,</w:t>
      </w:r>
    </w:p>
    <w:p>
      <w:pPr>
        <w:pStyle w:val="Subsection"/>
        <w:rPr>
          <w:snapToGrid w:val="0"/>
        </w:rPr>
      </w:pPr>
      <w:r>
        <w:rPr>
          <w:snapToGrid w:val="0"/>
        </w:rPr>
        <w:tab/>
      </w:r>
      <w:r>
        <w:rPr>
          <w:snapToGrid w:val="0"/>
        </w:rPr>
        <w:tab/>
        <w:t>he shall, as in the circumstances of the case he thinks fit, carry out the duties imposed on him by subsection (2).</w:t>
      </w:r>
    </w:p>
    <w:p>
      <w:pPr>
        <w:pStyle w:val="Subsection"/>
        <w:keepNext/>
        <w:rPr>
          <w:snapToGrid w:val="0"/>
        </w:rPr>
      </w:pPr>
      <w:r>
        <w:rPr>
          <w:snapToGrid w:val="0"/>
        </w:rPr>
        <w:tab/>
        <w:t>(2)</w:t>
      </w:r>
      <w:r>
        <w:rPr>
          <w:snapToGrid w:val="0"/>
        </w:rPr>
        <w:tab/>
        <w:t>Where in such a case as is referred to in subsection (1) the Commissioner is of the opinion —</w:t>
      </w:r>
    </w:p>
    <w:p>
      <w:pPr>
        <w:pStyle w:val="Indenta"/>
        <w:rPr>
          <w:snapToGrid w:val="0"/>
        </w:rPr>
      </w:pPr>
      <w:r>
        <w:rPr>
          <w:snapToGrid w:val="0"/>
        </w:rPr>
        <w:tab/>
        <w:t>(a)</w:t>
      </w:r>
      <w:r>
        <w:rPr>
          <w:snapToGrid w:val="0"/>
        </w:rPr>
        <w:tab/>
        <w:t>that the subject matter of the investigation should be referred to the appropriate authority for further consideration; or</w:t>
      </w:r>
    </w:p>
    <w:p>
      <w:pPr>
        <w:pStyle w:val="Indenta"/>
        <w:rPr>
          <w:snapToGrid w:val="0"/>
        </w:rPr>
      </w:pPr>
      <w:r>
        <w:rPr>
          <w:snapToGrid w:val="0"/>
        </w:rPr>
        <w:tab/>
        <w:t>(b)</w:t>
      </w:r>
      <w:r>
        <w:rPr>
          <w:snapToGrid w:val="0"/>
        </w:rPr>
        <w:tab/>
        <w:t>that action can be, and should be, taken to rectify, or mitigate or alter the effects of, the action to which the investigation relates; or</w:t>
      </w:r>
    </w:p>
    <w:p>
      <w:pPr>
        <w:pStyle w:val="Indenta"/>
        <w:rPr>
          <w:snapToGrid w:val="0"/>
        </w:rPr>
      </w:pPr>
      <w:r>
        <w:rPr>
          <w:snapToGrid w:val="0"/>
        </w:rPr>
        <w:tab/>
        <w:t>(c)</w:t>
      </w:r>
      <w:r>
        <w:rPr>
          <w:snapToGrid w:val="0"/>
        </w:rPr>
        <w:tab/>
        <w:t>that any practice in accordance with which the action was taken should be varied; or</w:t>
      </w:r>
    </w:p>
    <w:p>
      <w:pPr>
        <w:pStyle w:val="Indenta"/>
        <w:rPr>
          <w:snapToGrid w:val="0"/>
        </w:rPr>
      </w:pPr>
      <w:r>
        <w:rPr>
          <w:snapToGrid w:val="0"/>
        </w:rPr>
        <w:tab/>
        <w:t>(d)</w:t>
      </w:r>
      <w:r>
        <w:rPr>
          <w:snapToGrid w:val="0"/>
        </w:rPr>
        <w:tab/>
        <w:t>that any law in accordance with which, or on the basis of which, the action was taken should be reconsidered; or</w:t>
      </w:r>
    </w:p>
    <w:p>
      <w:pPr>
        <w:pStyle w:val="Indenta"/>
        <w:rPr>
          <w:snapToGrid w:val="0"/>
        </w:rPr>
      </w:pPr>
      <w:r>
        <w:rPr>
          <w:snapToGrid w:val="0"/>
        </w:rPr>
        <w:tab/>
        <w:t>(e)</w:t>
      </w:r>
      <w:r>
        <w:rPr>
          <w:snapToGrid w:val="0"/>
        </w:rPr>
        <w:tab/>
        <w:t>that reasons should be given for the action; or</w:t>
      </w:r>
    </w:p>
    <w:p>
      <w:pPr>
        <w:pStyle w:val="Indenta"/>
        <w:keepNext/>
        <w:rPr>
          <w:snapToGrid w:val="0"/>
        </w:rPr>
      </w:pPr>
      <w:r>
        <w:rPr>
          <w:snapToGrid w:val="0"/>
        </w:rPr>
        <w:tab/>
        <w:t>(f)</w:t>
      </w:r>
      <w:r>
        <w:rPr>
          <w:snapToGrid w:val="0"/>
        </w:rPr>
        <w:tab/>
        <w:t>that any other steps should be taken,</w:t>
      </w:r>
    </w:p>
    <w:p>
      <w:pPr>
        <w:pStyle w:val="Subsection"/>
        <w:rPr>
          <w:snapToGrid w:val="0"/>
        </w:rPr>
      </w:pPr>
      <w:r>
        <w:rPr>
          <w:snapToGrid w:val="0"/>
        </w:rPr>
        <w:tab/>
      </w:r>
      <w:r>
        <w:rPr>
          <w:snapToGrid w:val="0"/>
        </w:rPr>
        <w:tab/>
        <w:t>the Commissioner shall report his opinion, and his reasons therefor, to the principal officer of the appropriate authority, and may make such recommendations as he thinks fit.</w:t>
      </w:r>
    </w:p>
    <w:p>
      <w:pPr>
        <w:pStyle w:val="Subsection"/>
        <w:rPr>
          <w:snapToGrid w:val="0"/>
        </w:rPr>
      </w:pPr>
      <w:r>
        <w:rPr>
          <w:snapToGrid w:val="0"/>
        </w:rPr>
        <w:tab/>
        <w:t>(3)</w:t>
      </w:r>
      <w:r>
        <w:rPr>
          <w:snapToGrid w:val="0"/>
        </w:rPr>
        <w:tab/>
        <w:t>Where the Commissioner makes any report or recommendations to the principal officer of an authority under subsection (2), he shall send a copy thereof to the responsible Minister.</w:t>
      </w:r>
    </w:p>
    <w:p>
      <w:pPr>
        <w:pStyle w:val="Subsection"/>
        <w:rPr>
          <w:snapToGrid w:val="0"/>
        </w:rPr>
      </w:pPr>
      <w:r>
        <w:rPr>
          <w:snapToGrid w:val="0"/>
        </w:rPr>
        <w:tab/>
        <w:t>(4)</w:t>
      </w:r>
      <w:r>
        <w:rPr>
          <w:snapToGrid w:val="0"/>
        </w:rPr>
        <w:tab/>
        <w:t>If under subsection (2) the Commissioner makes recommendations to the principal officer of an authority he may request that officer to notify him, within a specified time, of the steps that have been or are proposed to be taken to give effect to the recommendations, or, if no such steps have been, or are proposed to be taken, the reasons therefor.</w:t>
      </w:r>
    </w:p>
    <w:p>
      <w:pPr>
        <w:pStyle w:val="Subsection"/>
        <w:rPr>
          <w:snapToGrid w:val="0"/>
        </w:rPr>
      </w:pPr>
      <w:r>
        <w:rPr>
          <w:snapToGrid w:val="0"/>
        </w:rPr>
        <w:tab/>
        <w:t>(5)</w:t>
      </w:r>
      <w:r>
        <w:rPr>
          <w:snapToGrid w:val="0"/>
        </w:rPr>
        <w:tab/>
        <w:t>Where it appears to the Commissioner that no steps that seem to him to be appropriate have been taken within a reasonable time of his making any report or recommendations under subsection (2), the Commissioner, after considering the comments (if any) made by or on behalf of the principal officer to whom the report or recommendations were made, may, if he thinks fit, send to the Premier of the State a copy of the report and the recommendations together with a copy of any such comments.</w:t>
      </w:r>
    </w:p>
    <w:p>
      <w:pPr>
        <w:pStyle w:val="Subsection"/>
        <w:rPr>
          <w:snapToGrid w:val="0"/>
        </w:rPr>
      </w:pPr>
      <w:r>
        <w:rPr>
          <w:snapToGrid w:val="0"/>
        </w:rPr>
        <w:tab/>
        <w:t>(6)</w:t>
      </w:r>
      <w:r>
        <w:rPr>
          <w:snapToGrid w:val="0"/>
        </w:rPr>
        <w:tab/>
        <w:t>Where a copy of any report, recommendations, or comments has been sent to the Premier of the State under subsection (5), the Commissioner may lay before each House of Parliament such report on the matters to which they relate as he thinks fit.</w:t>
      </w:r>
    </w:p>
    <w:p>
      <w:pPr>
        <w:pStyle w:val="Subsection"/>
        <w:rPr>
          <w:snapToGrid w:val="0"/>
        </w:rPr>
      </w:pPr>
      <w:r>
        <w:rPr>
          <w:snapToGrid w:val="0"/>
        </w:rPr>
        <w:tab/>
        <w:t>(7)</w:t>
      </w:r>
      <w:r>
        <w:rPr>
          <w:snapToGrid w:val="0"/>
        </w:rPr>
        <w:tab/>
        <w:t>The Commissioner shall not in any report under this Act make any comment defamatory of or adverse to any person unless that person has been given an opportunity of being heard in the matter and his defence is fairly set forth in the report.</w:t>
      </w:r>
    </w:p>
    <w:p>
      <w:pPr>
        <w:pStyle w:val="Heading5"/>
        <w:keepNext w:val="0"/>
        <w:keepLines w:val="0"/>
        <w:spacing w:before="180"/>
        <w:rPr>
          <w:snapToGrid w:val="0"/>
        </w:rPr>
      </w:pPr>
      <w:bookmarkStart w:id="43" w:name="_Toc441668338"/>
      <w:r>
        <w:rPr>
          <w:rStyle w:val="CharSectno"/>
        </w:rPr>
        <w:t>26</w:t>
      </w:r>
      <w:r>
        <w:rPr>
          <w:snapToGrid w:val="0"/>
        </w:rPr>
        <w:t>.</w:t>
      </w:r>
      <w:r>
        <w:rPr>
          <w:snapToGrid w:val="0"/>
        </w:rPr>
        <w:tab/>
        <w:t>Information to complainant on investigation</w:t>
      </w:r>
      <w:bookmarkEnd w:id="43"/>
    </w:p>
    <w:p>
      <w:pPr>
        <w:pStyle w:val="Subsection"/>
        <w:spacing w:before="120"/>
        <w:rPr>
          <w:snapToGrid w:val="0"/>
        </w:rPr>
      </w:pPr>
      <w:r>
        <w:rPr>
          <w:snapToGrid w:val="0"/>
        </w:rPr>
        <w:tab/>
      </w:r>
      <w:r>
        <w:rPr>
          <w:snapToGrid w:val="0"/>
        </w:rPr>
        <w:tab/>
        <w:t>Where the Commissioner conducts an investigation on a complaint made under this Act he shall inform the complainant, in such manner and at such time as he thinks proper, of the result of the investigation and may from time to time if he thinks it proper, at any time prior to the conclusion of the investigation, inform the complainant in such manner as he thinks proper of the progress then made in the conduct of the investigation, and, where the Commissioner has made any recommendation under section 25(2) and it appears to him that steps which seem to him to be appropriate have not been taken within a reasonable time of the making of those recommendations, the Commissioner shall inform the complainant of the recommendations, making such comments thereon as he thinks proper.</w:t>
      </w:r>
    </w:p>
    <w:p>
      <w:pPr>
        <w:pStyle w:val="Footnotesection"/>
      </w:pPr>
      <w:r>
        <w:tab/>
        <w:t>[Section 26 amended by No. 68 of 1976 s. 9.]</w:t>
      </w:r>
    </w:p>
    <w:p>
      <w:pPr>
        <w:pStyle w:val="Heading3"/>
        <w:spacing w:before="280"/>
      </w:pPr>
      <w:bookmarkStart w:id="44" w:name="_Toc441668339"/>
      <w:r>
        <w:rPr>
          <w:rStyle w:val="CharDivNo"/>
        </w:rPr>
        <w:t>Division 5</w:t>
      </w:r>
      <w:r>
        <w:rPr>
          <w:snapToGrid w:val="0"/>
        </w:rPr>
        <w:t> — </w:t>
      </w:r>
      <w:r>
        <w:rPr>
          <w:rStyle w:val="CharDivText"/>
        </w:rPr>
        <w:t>Annual and other reports of the Commissioner</w:t>
      </w:r>
      <w:bookmarkEnd w:id="44"/>
    </w:p>
    <w:p>
      <w:pPr>
        <w:pStyle w:val="Heading5"/>
        <w:rPr>
          <w:snapToGrid w:val="0"/>
        </w:rPr>
      </w:pPr>
      <w:bookmarkStart w:id="45" w:name="_Toc441668340"/>
      <w:r>
        <w:rPr>
          <w:rStyle w:val="CharSectno"/>
        </w:rPr>
        <w:t>27</w:t>
      </w:r>
      <w:r>
        <w:rPr>
          <w:snapToGrid w:val="0"/>
        </w:rPr>
        <w:t>.</w:t>
      </w:r>
      <w:r>
        <w:rPr>
          <w:snapToGrid w:val="0"/>
        </w:rPr>
        <w:tab/>
        <w:t>Commissioner may report to Parliament</w:t>
      </w:r>
      <w:bookmarkEnd w:id="45"/>
    </w:p>
    <w:p>
      <w:pPr>
        <w:pStyle w:val="Subsection"/>
        <w:rPr>
          <w:snapToGrid w:val="0"/>
        </w:rPr>
      </w:pPr>
      <w:r>
        <w:rPr>
          <w:snapToGrid w:val="0"/>
        </w:rPr>
        <w:tab/>
        <w:t>(1)</w:t>
      </w:r>
      <w:r>
        <w:rPr>
          <w:snapToGrid w:val="0"/>
        </w:rPr>
        <w:tab/>
        <w:t>Notwithstanding the</w:t>
      </w:r>
      <w:r>
        <w:rPr>
          <w:i/>
          <w:snapToGrid w:val="0"/>
        </w:rPr>
        <w:t xml:space="preserve"> Financial Management Act 2006</w:t>
      </w:r>
      <w:r>
        <w:rPr>
          <w:snapToGrid w:val="0"/>
        </w:rPr>
        <w:t>, the Commissioner may at any time, if he thinks fit, lay before each House of Parliament a report on any matter arising in connection with the exercise of his functions.</w:t>
      </w:r>
    </w:p>
    <w:p>
      <w:pPr>
        <w:pStyle w:val="Subsection"/>
        <w:rPr>
          <w:snapToGrid w:val="0"/>
        </w:rPr>
      </w:pPr>
      <w:r>
        <w:rPr>
          <w:snapToGrid w:val="0"/>
        </w:rPr>
        <w:tab/>
        <w:t>(2)</w:t>
      </w:r>
      <w:r>
        <w:rPr>
          <w:snapToGrid w:val="0"/>
        </w:rPr>
        <w:tab/>
        <w:t>If neither House of Parliament is sitting at the time when the Commissioner wishes to lay a report in accordance with subsection (1) then the Commissioner may —</w:t>
      </w:r>
    </w:p>
    <w:p>
      <w:pPr>
        <w:pStyle w:val="Indenta"/>
        <w:rPr>
          <w:snapToGrid w:val="0"/>
        </w:rPr>
      </w:pPr>
      <w:r>
        <w:rPr>
          <w:snapToGrid w:val="0"/>
        </w:rPr>
        <w:tab/>
        <w:t>(a)</w:t>
      </w:r>
      <w:r>
        <w:rPr>
          <w:snapToGrid w:val="0"/>
        </w:rPr>
        <w:tab/>
        <w:t>send copies of the report to the Clerks of both Houses of Parliament; and</w:t>
      </w:r>
    </w:p>
    <w:p>
      <w:pPr>
        <w:pStyle w:val="Indenta"/>
        <w:keepNext/>
        <w:rPr>
          <w:snapToGrid w:val="0"/>
        </w:rPr>
      </w:pPr>
      <w:r>
        <w:rPr>
          <w:snapToGrid w:val="0"/>
        </w:rPr>
        <w:tab/>
        <w:t>(b)</w:t>
      </w:r>
      <w:r>
        <w:rPr>
          <w:snapToGrid w:val="0"/>
        </w:rPr>
        <w:tab/>
        <w:t>make the report available to the public.</w:t>
      </w:r>
    </w:p>
    <w:p>
      <w:pPr>
        <w:pStyle w:val="Footnotesection"/>
      </w:pPr>
      <w:r>
        <w:tab/>
        <w:t>[Section 27 inserted by No. 98 of 1985 s. 3; amended by No. 78 of 1996 s. 16; No. 77 of 2006 Sch. 1 cl. 118(1).]</w:t>
      </w:r>
    </w:p>
    <w:p>
      <w:pPr>
        <w:pStyle w:val="Ednotesection"/>
      </w:pPr>
      <w:r>
        <w:t>[</w:t>
      </w:r>
      <w:r>
        <w:rPr>
          <w:b/>
        </w:rPr>
        <w:t>28.</w:t>
      </w:r>
      <w:r>
        <w:tab/>
        <w:t>Deleted by No. 124 of 1984 s. 9.]</w:t>
      </w:r>
    </w:p>
    <w:p>
      <w:pPr>
        <w:pStyle w:val="Heading2"/>
      </w:pPr>
      <w:bookmarkStart w:id="46" w:name="_Toc441668341"/>
      <w:r>
        <w:rPr>
          <w:rStyle w:val="CharPartNo"/>
        </w:rPr>
        <w:t>Part IV</w:t>
      </w:r>
      <w:r>
        <w:rPr>
          <w:rStyle w:val="CharDivNo"/>
        </w:rPr>
        <w:t> </w:t>
      </w:r>
      <w:r>
        <w:t>—</w:t>
      </w:r>
      <w:r>
        <w:rPr>
          <w:rStyle w:val="CharDivText"/>
        </w:rPr>
        <w:t> </w:t>
      </w:r>
      <w:r>
        <w:rPr>
          <w:rStyle w:val="CharPartText"/>
        </w:rPr>
        <w:t>Miscellaneous</w:t>
      </w:r>
      <w:bookmarkEnd w:id="46"/>
    </w:p>
    <w:p>
      <w:pPr>
        <w:pStyle w:val="Heading5"/>
        <w:rPr>
          <w:snapToGrid w:val="0"/>
        </w:rPr>
      </w:pPr>
      <w:bookmarkStart w:id="47" w:name="_Toc441668342"/>
      <w:r>
        <w:rPr>
          <w:rStyle w:val="CharSectno"/>
        </w:rPr>
        <w:t>29</w:t>
      </w:r>
      <w:r>
        <w:rPr>
          <w:snapToGrid w:val="0"/>
        </w:rPr>
        <w:t>.</w:t>
      </w:r>
      <w:r>
        <w:rPr>
          <w:snapToGrid w:val="0"/>
        </w:rPr>
        <w:tab/>
        <w:t>Supreme Court may determine jurisdictional questions</w:t>
      </w:r>
      <w:bookmarkEnd w:id="47"/>
    </w:p>
    <w:p>
      <w:pPr>
        <w:pStyle w:val="Subsection"/>
        <w:spacing w:before="140"/>
        <w:rPr>
          <w:snapToGrid w:val="0"/>
        </w:rPr>
      </w:pPr>
      <w:r>
        <w:rPr>
          <w:snapToGrid w:val="0"/>
        </w:rPr>
        <w:tab/>
        <w:t>(1)</w:t>
      </w:r>
      <w:r>
        <w:rPr>
          <w:snapToGrid w:val="0"/>
        </w:rPr>
        <w:tab/>
        <w:t>Where, in the course of an investigation under this Act, the question arises as to whether the Commissioner has jurisdiction to conduct the investigation, the Commissioner, or the party the subject of the investigation, may make an application to the Supreme Court for a determination of that question, and, on the application, the Court may make such order as it considers proper.</w:t>
      </w:r>
    </w:p>
    <w:p>
      <w:pPr>
        <w:pStyle w:val="Subsection"/>
        <w:spacing w:before="140"/>
        <w:rPr>
          <w:snapToGrid w:val="0"/>
        </w:rPr>
      </w:pPr>
      <w:r>
        <w:rPr>
          <w:snapToGrid w:val="0"/>
        </w:rPr>
        <w:tab/>
        <w:t>(2)</w:t>
      </w:r>
      <w:r>
        <w:rPr>
          <w:snapToGrid w:val="0"/>
        </w:rPr>
        <w:tab/>
        <w:t>References in this section, in relation to an investigation into any action taken by or on behalf of an authority, to the party subject to the investigation shall be construed as references to that authority or the principal officer thereof.</w:t>
      </w:r>
    </w:p>
    <w:p>
      <w:pPr>
        <w:pStyle w:val="Heading5"/>
        <w:rPr>
          <w:snapToGrid w:val="0"/>
        </w:rPr>
      </w:pPr>
      <w:bookmarkStart w:id="48" w:name="_Toc441668343"/>
      <w:r>
        <w:rPr>
          <w:rStyle w:val="CharSectno"/>
        </w:rPr>
        <w:t>30</w:t>
      </w:r>
      <w:r>
        <w:rPr>
          <w:snapToGrid w:val="0"/>
        </w:rPr>
        <w:t>.</w:t>
      </w:r>
      <w:r>
        <w:rPr>
          <w:snapToGrid w:val="0"/>
        </w:rPr>
        <w:tab/>
        <w:t>Protection of Commissioner and officers</w:t>
      </w:r>
      <w:bookmarkEnd w:id="48"/>
    </w:p>
    <w:p>
      <w:pPr>
        <w:pStyle w:val="Subsection"/>
        <w:spacing w:before="140"/>
        <w:rPr>
          <w:snapToGrid w:val="0"/>
        </w:rPr>
      </w:pPr>
      <w:r>
        <w:rPr>
          <w:snapToGrid w:val="0"/>
        </w:rPr>
        <w:tab/>
        <w:t>(1)</w:t>
      </w:r>
      <w:r>
        <w:rPr>
          <w:snapToGrid w:val="0"/>
        </w:rPr>
        <w:tab/>
        <w:t>Neither the Commissioner</w:t>
      </w:r>
      <w:r>
        <w:t>, the Deputy Commissioner nor any member of the Commissioner’s staff</w:t>
      </w:r>
      <w:r>
        <w:rPr>
          <w:snapToGrid w:val="0"/>
        </w:rPr>
        <w:t xml:space="preserve"> is liable, whether on the ground of want of jurisdiction or on any other ground, to any civil or criminal proceedings to which he would have been liable apart from this section in respect of any act purporting to be done in pursuance of this Act, unless the act was done in bad faith.</w:t>
      </w:r>
    </w:p>
    <w:p>
      <w:pPr>
        <w:pStyle w:val="Subsection"/>
        <w:spacing w:before="140"/>
        <w:rPr>
          <w:snapToGrid w:val="0"/>
        </w:rPr>
      </w:pPr>
      <w:r>
        <w:rPr>
          <w:snapToGrid w:val="0"/>
        </w:rPr>
        <w:tab/>
        <w:t>(2)</w:t>
      </w:r>
      <w:r>
        <w:rPr>
          <w:snapToGrid w:val="0"/>
        </w:rPr>
        <w:tab/>
        <w:t>No civil or criminal proceedings shall be brought against the Commissioner</w:t>
      </w:r>
      <w:r>
        <w:t>, the Deputy Commissioner or any member of the Commissioner’s staff</w:t>
      </w:r>
      <w:r>
        <w:rPr>
          <w:snapToGrid w:val="0"/>
        </w:rPr>
        <w:t xml:space="preserve"> in respect of any such act as is referred to in subsection (1) without the leave of the Supreme Court, and the Supreme Court shall not give leave under this section unless it is satisfied that there is substantial ground for the contention that the person to be proceeded against has acted in bad faith.</w:t>
      </w:r>
    </w:p>
    <w:p>
      <w:pPr>
        <w:pStyle w:val="Subsection"/>
        <w:spacing w:before="140"/>
        <w:rPr>
          <w:snapToGrid w:val="0"/>
        </w:rPr>
      </w:pPr>
      <w:r>
        <w:rPr>
          <w:snapToGrid w:val="0"/>
        </w:rPr>
        <w:tab/>
        <w:t>(3)</w:t>
      </w:r>
      <w:r>
        <w:rPr>
          <w:snapToGrid w:val="0"/>
        </w:rPr>
        <w:tab/>
        <w:t>Notwithstanding anything in the foregoing provisions of this section, no prerogative writ shall be issued compelling the Commissioner to carry out any investigation, and no proceedings shall be brought against the Commissioner whereby the issue of such a writ is sought.</w:t>
      </w:r>
    </w:p>
    <w:p>
      <w:pPr>
        <w:pStyle w:val="Subsection"/>
        <w:rPr>
          <w:snapToGrid w:val="0"/>
        </w:rPr>
      </w:pPr>
      <w:r>
        <w:rPr>
          <w:snapToGrid w:val="0"/>
        </w:rPr>
        <w:tab/>
        <w:t>(4)</w:t>
      </w:r>
      <w:r>
        <w:rPr>
          <w:snapToGrid w:val="0"/>
        </w:rPr>
        <w:tab/>
        <w:t>Except as required for the purpose of proceedings referred to in section 23(1)(b), neither the Commissioner</w:t>
      </w:r>
      <w:r>
        <w:t>, the Deputy Commissioner nor any member of the Commissioner’s staff</w:t>
      </w:r>
      <w:r>
        <w:rPr>
          <w:snapToGrid w:val="0"/>
        </w:rPr>
        <w:t xml:space="preserve"> shall be called to give evidence or produce any document in any court, or in any judicial proceedings, in respect of any matter coming to his knowledge in the exercise of his functions under this Act.</w:t>
      </w:r>
    </w:p>
    <w:p>
      <w:pPr>
        <w:pStyle w:val="Footnotesection"/>
        <w:spacing w:before="100"/>
        <w:ind w:left="890" w:hanging="890"/>
      </w:pPr>
      <w:r>
        <w:tab/>
        <w:t>[Section 30 amended by No. 124 of 1984 s. 10; No. 74 of 2003 s. 91(17)</w:t>
      </w:r>
      <w:r>
        <w:noBreakHyphen/>
        <w:t>(19).]</w:t>
      </w:r>
    </w:p>
    <w:p>
      <w:pPr>
        <w:pStyle w:val="Heading5"/>
        <w:spacing w:before="180"/>
        <w:rPr>
          <w:snapToGrid w:val="0"/>
        </w:rPr>
      </w:pPr>
      <w:bookmarkStart w:id="49" w:name="_Toc441668344"/>
      <w:r>
        <w:rPr>
          <w:rStyle w:val="CharSectno"/>
        </w:rPr>
        <w:t>30A</w:t>
      </w:r>
      <w:r>
        <w:rPr>
          <w:snapToGrid w:val="0"/>
        </w:rPr>
        <w:t>.</w:t>
      </w:r>
      <w:r>
        <w:rPr>
          <w:snapToGrid w:val="0"/>
        </w:rPr>
        <w:tab/>
        <w:t>Protection of complainants etc.</w:t>
      </w:r>
      <w:bookmarkEnd w:id="49"/>
    </w:p>
    <w:p>
      <w:pPr>
        <w:pStyle w:val="Subsection"/>
        <w:keepNext/>
        <w:spacing w:before="140"/>
        <w:rPr>
          <w:snapToGrid w:val="0"/>
        </w:rPr>
      </w:pPr>
      <w:r>
        <w:rPr>
          <w:snapToGrid w:val="0"/>
        </w:rPr>
        <w:tab/>
        <w:t>(1)</w:t>
      </w:r>
      <w:r>
        <w:rPr>
          <w:snapToGrid w:val="0"/>
        </w:rPr>
        <w:tab/>
        <w:t>A person is not liable to any civil proceedings in respect of —</w:t>
      </w:r>
    </w:p>
    <w:p>
      <w:pPr>
        <w:pStyle w:val="Indenta"/>
        <w:spacing w:before="60"/>
        <w:rPr>
          <w:snapToGrid w:val="0"/>
        </w:rPr>
      </w:pPr>
      <w:r>
        <w:rPr>
          <w:snapToGrid w:val="0"/>
        </w:rPr>
        <w:tab/>
        <w:t>(a)</w:t>
      </w:r>
      <w:r>
        <w:rPr>
          <w:snapToGrid w:val="0"/>
        </w:rPr>
        <w:tab/>
        <w:t>making a complaint under this Act; or</w:t>
      </w:r>
    </w:p>
    <w:p>
      <w:pPr>
        <w:pStyle w:val="Indenta"/>
        <w:spacing w:before="60"/>
        <w:rPr>
          <w:snapToGrid w:val="0"/>
        </w:rPr>
      </w:pPr>
      <w:r>
        <w:rPr>
          <w:snapToGrid w:val="0"/>
        </w:rPr>
        <w:tab/>
        <w:t>(b)</w:t>
      </w:r>
      <w:r>
        <w:rPr>
          <w:snapToGrid w:val="0"/>
        </w:rPr>
        <w:tab/>
        <w:t>providing information in the course of, or for the purpose of, an investigation under this Act; or</w:t>
      </w:r>
    </w:p>
    <w:p>
      <w:pPr>
        <w:pStyle w:val="Indenta"/>
        <w:spacing w:before="60"/>
      </w:pPr>
      <w:r>
        <w:tab/>
        <w:t>(c)</w:t>
      </w:r>
      <w:r>
        <w:tab/>
        <w:t>providing information about the death of a child for the purposes of Part III Division 3A.</w:t>
      </w:r>
    </w:p>
    <w:p>
      <w:pPr>
        <w:pStyle w:val="Subsection"/>
        <w:spacing w:before="140"/>
        <w:rPr>
          <w:snapToGrid w:val="0"/>
        </w:rPr>
      </w:pPr>
      <w:r>
        <w:rPr>
          <w:snapToGrid w:val="0"/>
        </w:rPr>
        <w:tab/>
        <w:t>(2)</w:t>
      </w:r>
      <w:r>
        <w:rPr>
          <w:snapToGrid w:val="0"/>
        </w:rPr>
        <w:tab/>
        <w:t>Subsection (1) does not apply if the complaint was made, or the information was provided, in bad faith.</w:t>
      </w:r>
    </w:p>
    <w:p>
      <w:pPr>
        <w:pStyle w:val="Subsection"/>
        <w:spacing w:before="140"/>
        <w:rPr>
          <w:snapToGrid w:val="0"/>
        </w:rPr>
      </w:pPr>
      <w:r>
        <w:rPr>
          <w:snapToGrid w:val="0"/>
        </w:rPr>
        <w:tab/>
        <w:t>(3)</w:t>
      </w:r>
      <w:r>
        <w:rPr>
          <w:snapToGrid w:val="0"/>
        </w:rPr>
        <w:tab/>
        <w:t>No civil proceedings shall be brought against a person in respect of an act referred to in subsection (1)(a), (b) or (c) without the leave of the Supreme Court, and the Supreme Court shall not give leave unless it is satisfied that there is substantial ground for the contention that the person to be proceeded against has acted in bad faith.</w:t>
      </w:r>
    </w:p>
    <w:p>
      <w:pPr>
        <w:pStyle w:val="Footnotesection"/>
        <w:spacing w:before="100"/>
        <w:ind w:left="890" w:hanging="890"/>
      </w:pPr>
      <w:r>
        <w:tab/>
        <w:t>[Section 30A inserted by No. 78 of 1996 s. 17; amended by No. 10 of 2009 s. 9.]</w:t>
      </w:r>
    </w:p>
    <w:p>
      <w:pPr>
        <w:pStyle w:val="Heading5"/>
        <w:spacing w:before="180"/>
        <w:rPr>
          <w:snapToGrid w:val="0"/>
        </w:rPr>
      </w:pPr>
      <w:bookmarkStart w:id="50" w:name="_Toc441668345"/>
      <w:r>
        <w:rPr>
          <w:rStyle w:val="CharSectno"/>
        </w:rPr>
        <w:t>30B</w:t>
      </w:r>
      <w:r>
        <w:rPr>
          <w:snapToGrid w:val="0"/>
        </w:rPr>
        <w:t>.</w:t>
      </w:r>
      <w:r>
        <w:rPr>
          <w:snapToGrid w:val="0"/>
        </w:rPr>
        <w:tab/>
        <w:t>Victimisation</w:t>
      </w:r>
      <w:bookmarkEnd w:id="50"/>
    </w:p>
    <w:p>
      <w:pPr>
        <w:pStyle w:val="Subsection"/>
        <w:keepNext/>
        <w:spacing w:before="140"/>
        <w:rPr>
          <w:snapToGrid w:val="0"/>
        </w:rPr>
      </w:pPr>
      <w:r>
        <w:rPr>
          <w:snapToGrid w:val="0"/>
        </w:rPr>
        <w:tab/>
        <w:t>(1)</w:t>
      </w:r>
      <w:r>
        <w:rPr>
          <w:snapToGrid w:val="0"/>
        </w:rPr>
        <w:tab/>
        <w:t>A person shall not —</w:t>
      </w:r>
    </w:p>
    <w:p>
      <w:pPr>
        <w:pStyle w:val="Indenta"/>
        <w:spacing w:before="60"/>
        <w:rPr>
          <w:snapToGrid w:val="0"/>
        </w:rPr>
      </w:pPr>
      <w:r>
        <w:rPr>
          <w:snapToGrid w:val="0"/>
        </w:rPr>
        <w:tab/>
        <w:t>(a)</w:t>
      </w:r>
      <w:r>
        <w:rPr>
          <w:snapToGrid w:val="0"/>
        </w:rPr>
        <w:tab/>
        <w:t>prejudice, or threaten to prejudice, the safety or career of; or</w:t>
      </w:r>
    </w:p>
    <w:p>
      <w:pPr>
        <w:pStyle w:val="Indenta"/>
        <w:keepLines/>
        <w:spacing w:before="60"/>
        <w:rPr>
          <w:snapToGrid w:val="0"/>
        </w:rPr>
      </w:pPr>
      <w:r>
        <w:rPr>
          <w:snapToGrid w:val="0"/>
        </w:rPr>
        <w:tab/>
        <w:t>(b)</w:t>
      </w:r>
      <w:r>
        <w:rPr>
          <w:snapToGrid w:val="0"/>
        </w:rPr>
        <w:tab/>
        <w:t>intimidate or harass, or threaten to intimidate or harass; or</w:t>
      </w:r>
    </w:p>
    <w:p>
      <w:pPr>
        <w:pStyle w:val="Indenta"/>
        <w:rPr>
          <w:snapToGrid w:val="0"/>
        </w:rPr>
      </w:pPr>
      <w:r>
        <w:rPr>
          <w:snapToGrid w:val="0"/>
        </w:rPr>
        <w:tab/>
        <w:t>(c)</w:t>
      </w:r>
      <w:r>
        <w:rPr>
          <w:snapToGrid w:val="0"/>
        </w:rPr>
        <w:tab/>
        <w:t>do any act that is, or is likely to be, to the detriment of,</w:t>
      </w:r>
    </w:p>
    <w:p>
      <w:pPr>
        <w:pStyle w:val="Subsection"/>
        <w:keepNext/>
        <w:spacing w:before="80"/>
        <w:rPr>
          <w:snapToGrid w:val="0"/>
        </w:rPr>
      </w:pPr>
      <w:r>
        <w:rPr>
          <w:snapToGrid w:val="0"/>
        </w:rPr>
        <w:tab/>
      </w:r>
      <w:r>
        <w:rPr>
          <w:snapToGrid w:val="0"/>
        </w:rPr>
        <w:tab/>
        <w:t>another person because the other person —</w:t>
      </w:r>
    </w:p>
    <w:p>
      <w:pPr>
        <w:pStyle w:val="Indenta"/>
        <w:rPr>
          <w:snapToGrid w:val="0"/>
        </w:rPr>
      </w:pPr>
      <w:r>
        <w:rPr>
          <w:snapToGrid w:val="0"/>
        </w:rPr>
        <w:tab/>
        <w:t>(d)</w:t>
      </w:r>
      <w:r>
        <w:rPr>
          <w:snapToGrid w:val="0"/>
        </w:rPr>
        <w:tab/>
        <w:t>has made or will or may in the future make a complaint under this Act; or</w:t>
      </w:r>
    </w:p>
    <w:p>
      <w:pPr>
        <w:pStyle w:val="Indenta"/>
        <w:rPr>
          <w:snapToGrid w:val="0"/>
        </w:rPr>
      </w:pPr>
      <w:r>
        <w:rPr>
          <w:snapToGrid w:val="0"/>
        </w:rPr>
        <w:tab/>
        <w:t>(e)</w:t>
      </w:r>
      <w:r>
        <w:rPr>
          <w:snapToGrid w:val="0"/>
        </w:rPr>
        <w:tab/>
        <w:t>has provided, is providing or will or may in the future provide information in the course of, or for the purpose of, an investigation under this Act; or</w:t>
      </w:r>
    </w:p>
    <w:p>
      <w:pPr>
        <w:pStyle w:val="Indenta"/>
        <w:rPr>
          <w:snapToGrid w:val="0"/>
        </w:rPr>
      </w:pPr>
      <w:r>
        <w:rPr>
          <w:snapToGrid w:val="0"/>
        </w:rPr>
        <w:tab/>
        <w:t>(f)</w:t>
      </w:r>
      <w:r>
        <w:rPr>
          <w:snapToGrid w:val="0"/>
        </w:rPr>
        <w:tab/>
        <w:t>has exercised a power conferred by this Act on the other person or has performed a duty imposed by this Act on the other person or is exercising or performing, or will or may in the future exercise or perform, any such power or duty.</w:t>
      </w:r>
    </w:p>
    <w:p>
      <w:pPr>
        <w:pStyle w:val="Penstart"/>
        <w:rPr>
          <w:snapToGrid w:val="0"/>
        </w:rPr>
      </w:pPr>
      <w:r>
        <w:rPr>
          <w:snapToGrid w:val="0"/>
        </w:rPr>
        <w:tab/>
        <w:t>Penalty: $8 000 or imprisonment for 2 years.</w:t>
      </w:r>
    </w:p>
    <w:p>
      <w:pPr>
        <w:pStyle w:val="Subsection"/>
        <w:spacing w:before="120"/>
        <w:rPr>
          <w:snapToGrid w:val="0"/>
        </w:rPr>
      </w:pPr>
      <w:r>
        <w:rPr>
          <w:snapToGrid w:val="0"/>
        </w:rPr>
        <w:tab/>
        <w:t>(2)</w:t>
      </w:r>
      <w:r>
        <w:rPr>
          <w:snapToGrid w:val="0"/>
        </w:rPr>
        <w:tab/>
        <w:t>A person who attempts to commit an offence under subsection (1) commits an offence and is liable to the penalty set out in subsection (1).</w:t>
      </w:r>
    </w:p>
    <w:p>
      <w:pPr>
        <w:pStyle w:val="Subsection"/>
        <w:keepNext/>
        <w:spacing w:before="120"/>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intends that an offence under subsection (1) be committed; and</w:t>
      </w:r>
    </w:p>
    <w:p>
      <w:pPr>
        <w:pStyle w:val="Indenta"/>
        <w:rPr>
          <w:snapToGrid w:val="0"/>
        </w:rPr>
      </w:pPr>
      <w:r>
        <w:rPr>
          <w:snapToGrid w:val="0"/>
        </w:rPr>
        <w:tab/>
        <w:t>(b)</w:t>
      </w:r>
      <w:r>
        <w:rPr>
          <w:snapToGrid w:val="0"/>
        </w:rPr>
        <w:tab/>
        <w:t>incites another person to commit the offence,</w:t>
      </w:r>
    </w:p>
    <w:p>
      <w:pPr>
        <w:pStyle w:val="Subsection"/>
        <w:spacing w:before="80"/>
        <w:rPr>
          <w:snapToGrid w:val="0"/>
        </w:rPr>
      </w:pPr>
      <w:r>
        <w:rPr>
          <w:snapToGrid w:val="0"/>
        </w:rPr>
        <w:tab/>
      </w:r>
      <w:r>
        <w:rPr>
          <w:snapToGrid w:val="0"/>
        </w:rPr>
        <w:tab/>
        <w:t>commits an offence and is liable to the penalty set out in subsection (1).</w:t>
      </w:r>
    </w:p>
    <w:p>
      <w:pPr>
        <w:pStyle w:val="Footnotesection"/>
      </w:pPr>
      <w:r>
        <w:tab/>
        <w:t>[Section 30B inserted by No. 78 of 1996 s. 17.]</w:t>
      </w:r>
    </w:p>
    <w:p>
      <w:pPr>
        <w:pStyle w:val="Heading5"/>
        <w:spacing w:before="180"/>
        <w:rPr>
          <w:snapToGrid w:val="0"/>
        </w:rPr>
      </w:pPr>
      <w:bookmarkStart w:id="51" w:name="_Toc441668346"/>
      <w:r>
        <w:rPr>
          <w:rStyle w:val="CharSectno"/>
        </w:rPr>
        <w:t>31</w:t>
      </w:r>
      <w:r>
        <w:rPr>
          <w:snapToGrid w:val="0"/>
        </w:rPr>
        <w:t>.</w:t>
      </w:r>
      <w:r>
        <w:rPr>
          <w:snapToGrid w:val="0"/>
        </w:rPr>
        <w:tab/>
        <w:t>General penalty</w:t>
      </w:r>
      <w:bookmarkEnd w:id="51"/>
    </w:p>
    <w:p>
      <w:pPr>
        <w:pStyle w:val="Subsection"/>
        <w:spacing w:before="120"/>
        <w:rPr>
          <w:snapToGrid w:val="0"/>
        </w:rPr>
      </w:pPr>
      <w:r>
        <w:rPr>
          <w:snapToGrid w:val="0"/>
        </w:rPr>
        <w:tab/>
      </w:r>
      <w:r>
        <w:rPr>
          <w:snapToGrid w:val="0"/>
        </w:rPr>
        <w:tab/>
        <w:t>Unless otherwise expressly provided, a person who is guilty of an offence under this Act is liable to a penalty of $1 000.</w:t>
      </w:r>
    </w:p>
    <w:p>
      <w:pPr>
        <w:pStyle w:val="Footnotesection"/>
      </w:pPr>
      <w:r>
        <w:tab/>
        <w:t>[Section 31 inserted by No. 78 of 1996 s. 18.]</w:t>
      </w:r>
    </w:p>
    <w:p>
      <w:pPr>
        <w:pStyle w:val="Heading5"/>
        <w:spacing w:before="180"/>
        <w:rPr>
          <w:snapToGrid w:val="0"/>
        </w:rPr>
      </w:pPr>
      <w:bookmarkStart w:id="52" w:name="_Toc441668347"/>
      <w:r>
        <w:rPr>
          <w:rStyle w:val="CharSectno"/>
        </w:rPr>
        <w:t>32</w:t>
      </w:r>
      <w:r>
        <w:rPr>
          <w:snapToGrid w:val="0"/>
        </w:rPr>
        <w:t>.</w:t>
      </w:r>
      <w:r>
        <w:rPr>
          <w:snapToGrid w:val="0"/>
        </w:rPr>
        <w:tab/>
        <w:t>Expenses of Act</w:t>
      </w:r>
      <w:bookmarkEnd w:id="52"/>
    </w:p>
    <w:p>
      <w:pPr>
        <w:pStyle w:val="Subsection"/>
        <w:spacing w:before="120"/>
        <w:rPr>
          <w:snapToGrid w:val="0"/>
        </w:rPr>
      </w:pPr>
      <w:r>
        <w:rPr>
          <w:snapToGrid w:val="0"/>
        </w:rPr>
        <w:tab/>
      </w:r>
      <w:r>
        <w:rPr>
          <w:snapToGrid w:val="0"/>
        </w:rPr>
        <w:tab/>
        <w:t>Except as otherwise expressly provided in this Act the expenses incurred in the administration of this Act shall be defrayed out of moneys to be provided by Parliament for that purpose.</w:t>
      </w:r>
    </w:p>
    <w:p>
      <w:pPr>
        <w:pStyle w:val="Heading5"/>
        <w:spacing w:before="180"/>
        <w:rPr>
          <w:snapToGrid w:val="0"/>
        </w:rPr>
      </w:pPr>
      <w:bookmarkStart w:id="53" w:name="_Toc441668348"/>
      <w:r>
        <w:rPr>
          <w:rStyle w:val="CharSectno"/>
        </w:rPr>
        <w:t>33</w:t>
      </w:r>
      <w:r>
        <w:rPr>
          <w:snapToGrid w:val="0"/>
        </w:rPr>
        <w:t>.</w:t>
      </w:r>
      <w:r>
        <w:rPr>
          <w:snapToGrid w:val="0"/>
        </w:rPr>
        <w:tab/>
        <w:t>Regulations</w:t>
      </w:r>
      <w:bookmarkEnd w:id="53"/>
    </w:p>
    <w:p>
      <w:pPr>
        <w:pStyle w:val="Subsection"/>
        <w:spacing w:before="140"/>
        <w:rPr>
          <w:snapToGrid w:val="0"/>
        </w:rPr>
      </w:pPr>
      <w:r>
        <w:rPr>
          <w:snapToGrid w:val="0"/>
        </w:rPr>
        <w:tab/>
      </w:r>
      <w:r>
        <w:rPr>
          <w:snapToGrid w:val="0"/>
        </w:rPr>
        <w:tab/>
        <w:t>The Governor may make regulations for amending Schedule 1.</w:t>
      </w:r>
    </w:p>
    <w:p>
      <w:pPr>
        <w:pStyle w:val="Footnotesection"/>
      </w:pPr>
      <w:r>
        <w:tab/>
        <w:t>[Section 33 inserted by No. 78 of 1996 s. 19.]</w:t>
      </w:r>
    </w:p>
    <w:p>
      <w:pPr>
        <w:pStyle w:val="Heading5"/>
      </w:pPr>
      <w:bookmarkStart w:id="54" w:name="_Toc441668349"/>
      <w:r>
        <w:rPr>
          <w:rStyle w:val="CharSectno"/>
        </w:rPr>
        <w:t>34</w:t>
      </w:r>
      <w:r>
        <w:t>.</w:t>
      </w:r>
      <w:r>
        <w:tab/>
        <w:t>Energy and water ombudsman schemes</w:t>
      </w:r>
      <w:bookmarkEnd w:id="54"/>
    </w:p>
    <w:p>
      <w:pPr>
        <w:pStyle w:val="Subsection"/>
      </w:pPr>
      <w:r>
        <w:tab/>
        <w:t>(1)</w:t>
      </w:r>
      <w:r>
        <w:tab/>
        <w:t>The Parliamentary Commissioner may enter into an agreement with the governing body of an energy ombudsman scheme or a water ombudsman scheme under which —</w:t>
      </w:r>
    </w:p>
    <w:p>
      <w:pPr>
        <w:pStyle w:val="Indenta"/>
        <w:spacing w:before="60"/>
      </w:pPr>
      <w:r>
        <w:tab/>
        <w:t>(a)</w:t>
      </w:r>
      <w:r>
        <w:tab/>
        <w:t>the person for the time being holding or acting in the office of Parliamentary Commissioner is to serve as the ombudsman under the scheme; and</w:t>
      </w:r>
    </w:p>
    <w:p>
      <w:pPr>
        <w:pStyle w:val="Indenta"/>
        <w:spacing w:before="60"/>
      </w:pPr>
      <w:r>
        <w:tab/>
        <w:t>(b)</w:t>
      </w:r>
      <w:r>
        <w:tab/>
        <w:t>officers referred to in section 9 are to assist him or her in doing so.</w:t>
      </w:r>
    </w:p>
    <w:p>
      <w:pPr>
        <w:pStyle w:val="Subsection"/>
        <w:spacing w:before="140"/>
      </w:pPr>
      <w:r>
        <w:tab/>
        <w:t>(2)</w:t>
      </w:r>
      <w:r>
        <w:tab/>
        <w:t>The persons referred to in subsection (1)(a) and (b) may provide services in accordance with the agreement.</w:t>
      </w:r>
    </w:p>
    <w:p>
      <w:pPr>
        <w:pStyle w:val="Subsection"/>
        <w:spacing w:before="140"/>
      </w:pPr>
      <w:r>
        <w:tab/>
        <w:t>(3)</w:t>
      </w:r>
      <w:r>
        <w:tab/>
        <w:t>Section 5(9) does not apply to the rendering of services under the agreement.</w:t>
      </w:r>
    </w:p>
    <w:p>
      <w:pPr>
        <w:pStyle w:val="Subsection"/>
        <w:spacing w:before="140"/>
      </w:pPr>
      <w:r>
        <w:tab/>
        <w:t>(4)</w:t>
      </w:r>
      <w:r>
        <w:tab/>
        <w:t>The services are to be paid for by the governing body of that scheme at a rate to be provided for in the agreement.</w:t>
      </w:r>
    </w:p>
    <w:p>
      <w:pPr>
        <w:pStyle w:val="Subsection"/>
        <w:spacing w:before="140"/>
      </w:pPr>
      <w:r>
        <w:tab/>
        <w:t>(5)</w:t>
      </w:r>
      <w:r>
        <w:tab/>
        <w:t>For the purposes of this Act, the rendering of services under an agreement is not to be regarded —</w:t>
      </w:r>
    </w:p>
    <w:p>
      <w:pPr>
        <w:pStyle w:val="Indenta"/>
        <w:spacing w:before="60"/>
      </w:pPr>
      <w:r>
        <w:tab/>
        <w:t>(a)</w:t>
      </w:r>
      <w:r>
        <w:tab/>
        <w:t>as the exercise or performance of powers, functions or duties under this Act; or</w:t>
      </w:r>
    </w:p>
    <w:p>
      <w:pPr>
        <w:pStyle w:val="Indenta"/>
        <w:spacing w:before="60"/>
      </w:pPr>
      <w:r>
        <w:tab/>
        <w:t>(b)</w:t>
      </w:r>
      <w:r>
        <w:tab/>
        <w:t>as attracting the operation of section 27 or 32.</w:t>
      </w:r>
    </w:p>
    <w:p>
      <w:pPr>
        <w:pStyle w:val="Subsection"/>
        <w:spacing w:before="140"/>
      </w:pPr>
      <w:r>
        <w:tab/>
        <w:t>(6)</w:t>
      </w:r>
      <w:r>
        <w:tab/>
        <w:t>Despite subsection (5), section 30(1), (2) and (3) apply for the purpose of this section in the same way as they apply in respect of the other functions of the Commissioner.</w:t>
      </w:r>
    </w:p>
    <w:p>
      <w:pPr>
        <w:pStyle w:val="Subsection"/>
        <w:spacing w:before="140"/>
      </w:pPr>
      <w:r>
        <w:tab/>
        <w:t>(7)</w:t>
      </w:r>
      <w:r>
        <w:tab/>
        <w:t>In this section —</w:t>
      </w:r>
    </w:p>
    <w:p>
      <w:pPr>
        <w:pStyle w:val="Defstart"/>
        <w:spacing w:before="60"/>
      </w:pPr>
      <w:r>
        <w:tab/>
      </w:r>
      <w:r>
        <w:rPr>
          <w:rStyle w:val="CharDefText"/>
        </w:rPr>
        <w:t>energy ombudsman scheme</w:t>
      </w:r>
      <w:r>
        <w:t xml:space="preserve"> means a scheme approved under section 11ZPZ of the </w:t>
      </w:r>
      <w:r>
        <w:rPr>
          <w:i/>
        </w:rPr>
        <w:t>Energy Coordination Act 1994</w:t>
      </w:r>
      <w:r>
        <w:t xml:space="preserve"> or section 92 of the </w:t>
      </w:r>
      <w:r>
        <w:rPr>
          <w:i/>
        </w:rPr>
        <w:t>Electricity Industry Act 2004</w:t>
      </w:r>
      <w:r>
        <w:t>;</w:t>
      </w:r>
    </w:p>
    <w:p>
      <w:pPr>
        <w:pStyle w:val="Defstart"/>
      </w:pPr>
      <w:r>
        <w:tab/>
      </w:r>
      <w:r>
        <w:rPr>
          <w:rStyle w:val="CharDefText"/>
        </w:rPr>
        <w:t>governing body</w:t>
      </w:r>
      <w:r>
        <w:t xml:space="preserve"> of an energy ombudsman scheme or a water ombudsman scheme means the entity responsible for the operation of the scheme;</w:t>
      </w:r>
    </w:p>
    <w:p>
      <w:pPr>
        <w:pStyle w:val="Defstart"/>
      </w:pPr>
      <w:r>
        <w:tab/>
      </w:r>
      <w:r>
        <w:rPr>
          <w:rStyle w:val="CharDefText"/>
        </w:rPr>
        <w:t>water ombudsman scheme</w:t>
      </w:r>
      <w:r>
        <w:t xml:space="preserve"> means a scheme approved under the </w:t>
      </w:r>
      <w:r>
        <w:rPr>
          <w:i/>
          <w:iCs/>
        </w:rPr>
        <w:t>Water Services Act 2012</w:t>
      </w:r>
      <w:r>
        <w:t xml:space="preserve"> Part 4.</w:t>
      </w:r>
    </w:p>
    <w:p>
      <w:pPr>
        <w:pStyle w:val="Footnotesection"/>
      </w:pPr>
      <w:r>
        <w:tab/>
        <w:t>[Section 34 inserted by No. 53 of 2003 s. 34; amended by No. 33 of 2004 s. 48; No. 25 of 2012 s. 221.]</w:t>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55" w:name="_Toc441668350"/>
      <w:r>
        <w:rPr>
          <w:rStyle w:val="CharSchNo"/>
        </w:rPr>
        <w:t>Schedule 1</w:t>
      </w:r>
      <w:r>
        <w:t> — </w:t>
      </w:r>
      <w:r>
        <w:rPr>
          <w:rStyle w:val="CharSchText"/>
        </w:rPr>
        <w:t>Departments and authorities, and extent, to which this Act does not apply</w:t>
      </w:r>
      <w:bookmarkEnd w:id="55"/>
    </w:p>
    <w:p>
      <w:pPr>
        <w:pStyle w:val="yShoulderClause"/>
      </w:pPr>
      <w:r>
        <w:t>[s. 13(2)(n)]</w:t>
      </w:r>
    </w:p>
    <w:p>
      <w:pPr>
        <w:pStyle w:val="yFootnoteheading"/>
        <w:spacing w:after="120"/>
      </w:pPr>
      <w:r>
        <w:tab/>
        <w:t>[Heading inserted by No. 10 of 2009 s. 10.]</w:t>
      </w:r>
    </w:p>
    <w:tbl>
      <w:tblPr>
        <w:tblW w:w="7088" w:type="dxa"/>
        <w:tblInd w:w="57" w:type="dxa"/>
        <w:tblLayout w:type="fixed"/>
        <w:tblCellMar>
          <w:top w:w="113" w:type="dxa"/>
          <w:left w:w="57" w:type="dxa"/>
          <w:right w:w="57" w:type="dxa"/>
        </w:tblCellMar>
        <w:tblLook w:val="0000" w:firstRow="0" w:lastRow="0" w:firstColumn="0" w:lastColumn="0" w:noHBand="0" w:noVBand="0"/>
      </w:tblPr>
      <w:tblGrid>
        <w:gridCol w:w="2280"/>
        <w:gridCol w:w="4808"/>
      </w:tblGrid>
      <w:tr>
        <w:trPr>
          <w:cantSplit/>
          <w:tblHeader/>
        </w:trPr>
        <w:tc>
          <w:tcPr>
            <w:tcW w:w="2280" w:type="dxa"/>
            <w:tcBorders>
              <w:top w:val="single" w:sz="4" w:space="0" w:color="auto"/>
              <w:bottom w:val="single" w:sz="4" w:space="0" w:color="auto"/>
            </w:tcBorders>
          </w:tcPr>
          <w:p>
            <w:pPr>
              <w:pStyle w:val="yTableNAm"/>
              <w:spacing w:before="0" w:after="60"/>
              <w:rPr>
                <w:b/>
                <w:bCs/>
              </w:rPr>
            </w:pPr>
            <w:r>
              <w:rPr>
                <w:b/>
                <w:bCs/>
              </w:rPr>
              <w:t>Act establishing department or authority</w:t>
            </w:r>
          </w:p>
        </w:tc>
        <w:tc>
          <w:tcPr>
            <w:tcW w:w="4808" w:type="dxa"/>
            <w:tcBorders>
              <w:top w:val="single" w:sz="4" w:space="0" w:color="auto"/>
              <w:bottom w:val="single" w:sz="4" w:space="0" w:color="auto"/>
            </w:tcBorders>
          </w:tcPr>
          <w:p>
            <w:pPr>
              <w:pStyle w:val="yTableNAm"/>
              <w:spacing w:before="0" w:after="60"/>
              <w:rPr>
                <w:b/>
                <w:bCs/>
              </w:rPr>
            </w:pPr>
            <w:r>
              <w:rPr>
                <w:b/>
                <w:bCs/>
              </w:rPr>
              <w:t>Department or authority, and extent, to which this Act does not apply</w:t>
            </w:r>
          </w:p>
        </w:tc>
      </w:tr>
      <w:tr>
        <w:tc>
          <w:tcPr>
            <w:tcW w:w="2280" w:type="dxa"/>
          </w:tcPr>
          <w:p>
            <w:pPr>
              <w:pStyle w:val="yTableNAm"/>
            </w:pPr>
            <w:r>
              <w:rPr>
                <w:i/>
              </w:rPr>
              <w:t>Auditor General Act 2006</w:t>
            </w:r>
          </w:p>
        </w:tc>
        <w:tc>
          <w:tcPr>
            <w:tcW w:w="4808" w:type="dxa"/>
          </w:tcPr>
          <w:p>
            <w:pPr>
              <w:pStyle w:val="yTableNAm"/>
            </w:pPr>
            <w:r>
              <w:t>The Auditor General to the extent of the Auditor General’s functions other than that of chief executive officer of the department of the Public Service known as the Office of the Auditor General.</w:t>
            </w:r>
          </w:p>
        </w:tc>
      </w:tr>
      <w:tr>
        <w:trPr>
          <w:cantSplit/>
        </w:trPr>
        <w:tc>
          <w:tcPr>
            <w:tcW w:w="2280" w:type="dxa"/>
          </w:tcPr>
          <w:p>
            <w:pPr>
              <w:pStyle w:val="yTableNAm"/>
            </w:pPr>
            <w:r>
              <w:rPr>
                <w:i/>
              </w:rPr>
              <w:t>Commissioner for Children and Young People Act 2006</w:t>
            </w:r>
          </w:p>
        </w:tc>
        <w:tc>
          <w:tcPr>
            <w:tcW w:w="4808" w:type="dxa"/>
          </w:tcPr>
          <w:p>
            <w:pPr>
              <w:pStyle w:val="yTableNAm"/>
            </w:pPr>
            <w:r>
              <w:t xml:space="preserve">Commissioner for Children and Young People to the extent of the Commissioner’s functions other than that of chief employee under the </w:t>
            </w:r>
            <w:r>
              <w:rPr>
                <w:i/>
                <w:iCs/>
              </w:rPr>
              <w:t>Public Sector Management Act 1994</w:t>
            </w:r>
            <w:r>
              <w:t>.</w:t>
            </w:r>
          </w:p>
        </w:tc>
      </w:tr>
      <w:tr>
        <w:trPr>
          <w:cantSplit/>
        </w:trPr>
        <w:tc>
          <w:tcPr>
            <w:tcW w:w="2280" w:type="dxa"/>
          </w:tcPr>
          <w:p>
            <w:pPr>
              <w:pStyle w:val="yTableNAm"/>
            </w:pPr>
            <w:r>
              <w:rPr>
                <w:i/>
              </w:rPr>
              <w:t>Corruption, Crime and Misconduct Act 2003</w:t>
            </w:r>
          </w:p>
        </w:tc>
        <w:tc>
          <w:tcPr>
            <w:tcW w:w="4808" w:type="dxa"/>
          </w:tcPr>
          <w:p>
            <w:pPr>
              <w:pStyle w:val="yTableNAm"/>
            </w:pPr>
            <w:r>
              <w:t>Corruption and Crime Commission.</w:t>
            </w:r>
          </w:p>
          <w:p>
            <w:pPr>
              <w:pStyle w:val="yTableNAm"/>
            </w:pPr>
            <w:r>
              <w:t>Parliamentary Inspector of the Corruption and Crime Commission.</w:t>
            </w:r>
          </w:p>
        </w:tc>
      </w:tr>
      <w:tr>
        <w:trPr>
          <w:cantSplit/>
        </w:trPr>
        <w:tc>
          <w:tcPr>
            <w:tcW w:w="2280" w:type="dxa"/>
          </w:tcPr>
          <w:p>
            <w:pPr>
              <w:pStyle w:val="yTableNAm"/>
            </w:pPr>
            <w:r>
              <w:rPr>
                <w:i/>
              </w:rPr>
              <w:t>Director of Public Prosecutions Act 1991</w:t>
            </w:r>
          </w:p>
        </w:tc>
        <w:tc>
          <w:tcPr>
            <w:tcW w:w="4808" w:type="dxa"/>
          </w:tcPr>
          <w:p>
            <w:pPr>
              <w:pStyle w:val="yTableNAm"/>
            </w:pPr>
            <w:r>
              <w:t>Director of Public Prosecutions.</w:t>
            </w:r>
          </w:p>
          <w:p>
            <w:pPr>
              <w:pStyle w:val="yTableNAm"/>
            </w:pPr>
            <w:r>
              <w:t>Deputy Director of Public Prosecutions.</w:t>
            </w:r>
          </w:p>
        </w:tc>
      </w:tr>
      <w:tr>
        <w:trPr>
          <w:cantSplit/>
        </w:trPr>
        <w:tc>
          <w:tcPr>
            <w:tcW w:w="2280" w:type="dxa"/>
          </w:tcPr>
          <w:p>
            <w:pPr>
              <w:pStyle w:val="yTableNAm"/>
            </w:pPr>
            <w:r>
              <w:rPr>
                <w:i/>
              </w:rPr>
              <w:t>Economic Regulation Authority Act 2003</w:t>
            </w:r>
          </w:p>
        </w:tc>
        <w:tc>
          <w:tcPr>
            <w:tcW w:w="4808" w:type="dxa"/>
          </w:tcPr>
          <w:p>
            <w:pPr>
              <w:pStyle w:val="yTableNAm"/>
            </w:pPr>
            <w:r>
              <w:t xml:space="preserve">Economic Regulation Authority to the extent of its functions given by or under the </w:t>
            </w:r>
            <w:r>
              <w:rPr>
                <w:i/>
                <w:iCs/>
                <w:snapToGrid w:val="0"/>
              </w:rPr>
              <w:t>National Gas Access (WA) Act 2009</w:t>
            </w:r>
            <w:r>
              <w:t xml:space="preserve"> or referred to in the </w:t>
            </w:r>
            <w:r>
              <w:rPr>
                <w:i/>
                <w:iCs/>
              </w:rPr>
              <w:t>Railways (Access) Act 1998</w:t>
            </w:r>
            <w:r>
              <w:t xml:space="preserve"> section 20(1).</w:t>
            </w:r>
          </w:p>
        </w:tc>
      </w:tr>
      <w:tr>
        <w:trPr>
          <w:cantSplit/>
        </w:trPr>
        <w:tc>
          <w:tcPr>
            <w:tcW w:w="2280" w:type="dxa"/>
          </w:tcPr>
          <w:p>
            <w:pPr>
              <w:pStyle w:val="yTableNAm"/>
            </w:pPr>
            <w:r>
              <w:rPr>
                <w:i/>
              </w:rPr>
              <w:t>Electoral Act 1907</w:t>
            </w:r>
          </w:p>
        </w:tc>
        <w:tc>
          <w:tcPr>
            <w:tcW w:w="4808" w:type="dxa"/>
          </w:tcPr>
          <w:p>
            <w:pPr>
              <w:pStyle w:val="yTableNAm"/>
            </w:pPr>
            <w:r>
              <w:t>Electoral Commissioner to the extent of the Electoral Commissioner’s functions other than that of chief executive officer of the department of the Public Service known as the Western Australian Electoral Commission.</w:t>
            </w:r>
          </w:p>
          <w:p>
            <w:pPr>
              <w:pStyle w:val="yTableNAm"/>
            </w:pPr>
            <w:r>
              <w:t>Deputy Electoral Commissioner.</w:t>
            </w:r>
          </w:p>
        </w:tc>
      </w:tr>
      <w:tr>
        <w:trPr>
          <w:cantSplit/>
        </w:trPr>
        <w:tc>
          <w:tcPr>
            <w:tcW w:w="2280" w:type="dxa"/>
          </w:tcPr>
          <w:p>
            <w:pPr>
              <w:pStyle w:val="yTableNAm"/>
              <w:spacing w:before="60"/>
            </w:pPr>
            <w:r>
              <w:rPr>
                <w:i/>
              </w:rPr>
              <w:t>Equal Opportunity Act 1984</w:t>
            </w:r>
          </w:p>
        </w:tc>
        <w:tc>
          <w:tcPr>
            <w:tcW w:w="4808" w:type="dxa"/>
          </w:tcPr>
          <w:p>
            <w:pPr>
              <w:pStyle w:val="yTableNAm"/>
              <w:spacing w:before="60"/>
            </w:pPr>
            <w:r>
              <w:t>Commissioner for Equal Opportunity.</w:t>
            </w:r>
          </w:p>
          <w:p>
            <w:pPr>
              <w:pStyle w:val="yTableNAm"/>
              <w:spacing w:before="40"/>
            </w:pPr>
            <w:r>
              <w:t>Director of Equal Opportunity in Public Employment.</w:t>
            </w:r>
          </w:p>
        </w:tc>
      </w:tr>
      <w:tr>
        <w:trPr>
          <w:cantSplit/>
        </w:trPr>
        <w:tc>
          <w:tcPr>
            <w:tcW w:w="2280" w:type="dxa"/>
          </w:tcPr>
          <w:p>
            <w:pPr>
              <w:pStyle w:val="yTableNAm"/>
              <w:spacing w:before="60"/>
            </w:pPr>
            <w:r>
              <w:rPr>
                <w:i/>
              </w:rPr>
              <w:t>Freedom of Information Act 1992</w:t>
            </w:r>
          </w:p>
        </w:tc>
        <w:tc>
          <w:tcPr>
            <w:tcW w:w="4808" w:type="dxa"/>
          </w:tcPr>
          <w:p>
            <w:pPr>
              <w:pStyle w:val="yTableNAm"/>
              <w:spacing w:before="60"/>
            </w:pPr>
            <w:r>
              <w:t>Information Commissioner.</w:t>
            </w:r>
          </w:p>
        </w:tc>
      </w:tr>
      <w:tr>
        <w:trPr>
          <w:cantSplit/>
        </w:trPr>
        <w:tc>
          <w:tcPr>
            <w:tcW w:w="2280" w:type="dxa"/>
          </w:tcPr>
          <w:p>
            <w:pPr>
              <w:pStyle w:val="yTableNAm"/>
              <w:spacing w:before="60"/>
            </w:pPr>
            <w:r>
              <w:rPr>
                <w:i/>
              </w:rPr>
              <w:t>Inspector of Custodial Services Act 2003</w:t>
            </w:r>
          </w:p>
        </w:tc>
        <w:tc>
          <w:tcPr>
            <w:tcW w:w="4808" w:type="dxa"/>
          </w:tcPr>
          <w:p>
            <w:pPr>
              <w:pStyle w:val="yTableNAm"/>
              <w:spacing w:before="60"/>
            </w:pPr>
            <w:r>
              <w:t>Inspector of Custodial Services.</w:t>
            </w:r>
          </w:p>
        </w:tc>
      </w:tr>
      <w:tr>
        <w:trPr>
          <w:cantSplit/>
        </w:trPr>
        <w:tc>
          <w:tcPr>
            <w:tcW w:w="2280" w:type="dxa"/>
          </w:tcPr>
          <w:p>
            <w:pPr>
              <w:pStyle w:val="yTableNAm"/>
              <w:spacing w:before="60"/>
            </w:pPr>
            <w:r>
              <w:rPr>
                <w:i/>
              </w:rPr>
              <w:t>Parliamentary Commissioner Act 1971</w:t>
            </w:r>
          </w:p>
        </w:tc>
        <w:tc>
          <w:tcPr>
            <w:tcW w:w="4808" w:type="dxa"/>
          </w:tcPr>
          <w:p>
            <w:pPr>
              <w:pStyle w:val="yTableNAm"/>
              <w:spacing w:before="60"/>
            </w:pPr>
            <w:r>
              <w:t>Parliamentary Commissioner for Administrative Investigations.</w:t>
            </w:r>
          </w:p>
          <w:p>
            <w:pPr>
              <w:pStyle w:val="yTableNAm"/>
              <w:spacing w:before="40"/>
            </w:pPr>
            <w:r>
              <w:t>Deputy Parliamentary Commissioner for Administrative Investigations.</w:t>
            </w:r>
          </w:p>
        </w:tc>
      </w:tr>
      <w:tr>
        <w:trPr>
          <w:cantSplit/>
        </w:trPr>
        <w:tc>
          <w:tcPr>
            <w:tcW w:w="2280" w:type="dxa"/>
          </w:tcPr>
          <w:p>
            <w:pPr>
              <w:pStyle w:val="yTableNAm"/>
              <w:spacing w:before="60"/>
            </w:pPr>
            <w:r>
              <w:rPr>
                <w:i/>
                <w:iCs/>
              </w:rPr>
              <w:t>Public Sector Management Act 1994</w:t>
            </w:r>
          </w:p>
        </w:tc>
        <w:tc>
          <w:tcPr>
            <w:tcW w:w="4808" w:type="dxa"/>
          </w:tcPr>
          <w:p>
            <w:pPr>
              <w:pStyle w:val="yTableNAm"/>
              <w:spacing w:before="60"/>
            </w:pPr>
            <w:r>
              <w:t xml:space="preserve">Public Sector Commissioner to the extent of the Commissioner’s functions other than that of chief executive officer of the department of the Public Service principally assisting in the administration of the </w:t>
            </w:r>
            <w:r>
              <w:rPr>
                <w:i/>
                <w:iCs/>
              </w:rPr>
              <w:t>Public Sector Management Act 1994</w:t>
            </w:r>
            <w:r>
              <w:t>.</w:t>
            </w:r>
          </w:p>
        </w:tc>
      </w:tr>
      <w:tr>
        <w:trPr>
          <w:cantSplit/>
        </w:trPr>
        <w:tc>
          <w:tcPr>
            <w:tcW w:w="2280" w:type="dxa"/>
          </w:tcPr>
          <w:p>
            <w:pPr>
              <w:pStyle w:val="yTableNAm"/>
              <w:spacing w:before="60"/>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c>
          <w:tcPr>
            <w:tcW w:w="4808" w:type="dxa"/>
          </w:tcPr>
          <w:p>
            <w:pPr>
              <w:pStyle w:val="yTableNAm"/>
              <w:spacing w:before="60"/>
            </w:pPr>
            <w:r>
              <w:t xml:space="preserve">Racing and Wagering </w:t>
            </w:r>
            <w:smartTag w:uri="urn:schemas-microsoft-com:office:smarttags" w:element="State">
              <w:smartTag w:uri="urn:schemas-microsoft-com:office:smarttags" w:element="place">
                <w:r>
                  <w:t>Western Australia</w:t>
                </w:r>
              </w:smartTag>
            </w:smartTag>
            <w:r>
              <w:t>.</w:t>
            </w:r>
          </w:p>
        </w:tc>
      </w:tr>
      <w:tr>
        <w:trPr>
          <w:cantSplit/>
        </w:trPr>
        <w:tc>
          <w:tcPr>
            <w:tcW w:w="2280" w:type="dxa"/>
          </w:tcPr>
          <w:p>
            <w:pPr>
              <w:pStyle w:val="yTableNAm"/>
              <w:spacing w:before="60"/>
            </w:pPr>
            <w:r>
              <w:rPr>
                <w:i/>
              </w:rPr>
              <w:t>Royal Commissions Act 1968</w:t>
            </w:r>
          </w:p>
        </w:tc>
        <w:tc>
          <w:tcPr>
            <w:tcW w:w="4808" w:type="dxa"/>
          </w:tcPr>
          <w:p>
            <w:pPr>
              <w:pStyle w:val="yTableNAm"/>
              <w:spacing w:before="60"/>
            </w:pPr>
            <w:r>
              <w:t>Any Royal Commission.</w:t>
            </w:r>
          </w:p>
        </w:tc>
      </w:tr>
      <w:tr>
        <w:trPr>
          <w:cantSplit/>
        </w:trPr>
        <w:tc>
          <w:tcPr>
            <w:tcW w:w="2280" w:type="dxa"/>
          </w:tcPr>
          <w:p>
            <w:pPr>
              <w:pStyle w:val="yTableNAm"/>
              <w:spacing w:before="60"/>
            </w:pPr>
            <w:r>
              <w:rPr>
                <w:i/>
              </w:rPr>
              <w:t>Solicitor</w:t>
            </w:r>
            <w:r>
              <w:rPr>
                <w:i/>
              </w:rPr>
              <w:noBreakHyphen/>
              <w:t>General Act 1969</w:t>
            </w:r>
          </w:p>
        </w:tc>
        <w:tc>
          <w:tcPr>
            <w:tcW w:w="4808" w:type="dxa"/>
          </w:tcPr>
          <w:p>
            <w:pPr>
              <w:pStyle w:val="yTableNAm"/>
              <w:spacing w:before="60"/>
            </w:pPr>
            <w:r>
              <w:t>Solicitor</w:t>
            </w:r>
            <w:r>
              <w:noBreakHyphen/>
              <w:t>General.</w:t>
            </w:r>
          </w:p>
        </w:tc>
      </w:tr>
      <w:tr>
        <w:trPr>
          <w:cantSplit/>
        </w:trPr>
        <w:tc>
          <w:tcPr>
            <w:tcW w:w="2280" w:type="dxa"/>
            <w:tcBorders>
              <w:bottom w:val="single" w:sz="4" w:space="0" w:color="auto"/>
            </w:tcBorders>
          </w:tcPr>
          <w:p>
            <w:pPr>
              <w:pStyle w:val="yTableNAm"/>
              <w:spacing w:before="60"/>
            </w:pPr>
            <w:r>
              <w:rPr>
                <w:i/>
              </w:rPr>
              <w:t>State Administrative Tribunal Act 2004</w:t>
            </w:r>
          </w:p>
        </w:tc>
        <w:tc>
          <w:tcPr>
            <w:tcW w:w="4808" w:type="dxa"/>
            <w:tcBorders>
              <w:bottom w:val="single" w:sz="4" w:space="0" w:color="auto"/>
            </w:tcBorders>
          </w:tcPr>
          <w:p>
            <w:pPr>
              <w:pStyle w:val="yTableNAm"/>
              <w:spacing w:before="60"/>
            </w:pPr>
            <w:r>
              <w:t>State Administrative Tribunal.</w:t>
            </w:r>
          </w:p>
        </w:tc>
      </w:tr>
    </w:tbl>
    <w:p>
      <w:pPr>
        <w:pStyle w:val="yFootnotesection"/>
      </w:pPr>
      <w:r>
        <w:tab/>
        <w:t>[Schedule 1 inserted by No. 10 of 2009 s. 10; amended by No. 16 of 2009 s. 71; No. 39 of 2010 s. 80; No. 35 of 2014 s. 36(5).]</w:t>
      </w:r>
    </w:p>
    <w:p>
      <w:pPr>
        <w:pStyle w:val="CentredBaseLine"/>
        <w:spacing w:before="6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57" w:name="_Toc441668351"/>
      <w:r>
        <w:t>Notes</w:t>
      </w:r>
      <w:bookmarkEnd w:id="57"/>
    </w:p>
    <w:p>
      <w:pPr>
        <w:pStyle w:val="nSubsection"/>
      </w:pPr>
      <w:r>
        <w:rPr>
          <w:vertAlign w:val="superscript"/>
        </w:rPr>
        <w:t>1</w:t>
      </w:r>
      <w:r>
        <w:tab/>
        <w:t xml:space="preserve">This reprint is a compilation as at 4 March 2016 of the </w:t>
      </w:r>
      <w:r>
        <w:rPr>
          <w:i/>
          <w:noProof/>
        </w:rPr>
        <w:t>Parliamentary Commissioner Act 1971</w:t>
      </w:r>
      <w:r>
        <w:t xml:space="preserve"> and includes the amendments made by the other written laws referred to in the following table</w:t>
      </w:r>
      <w:r>
        <w:rPr>
          <w:vertAlign w:val="superscript"/>
        </w:rPr>
        <w:t> </w:t>
      </w:r>
      <w:r>
        <w:rPr>
          <w:snapToGrid w:val="0"/>
          <w:vertAlign w:val="superscript"/>
        </w:rPr>
        <w:t>1a, 4, 5</w:t>
      </w:r>
      <w:r>
        <w:t>.  The table also contains information about any reprint.</w:t>
      </w:r>
    </w:p>
    <w:p>
      <w:pPr>
        <w:pStyle w:val="nHeading3"/>
      </w:pPr>
      <w:bookmarkStart w:id="58" w:name="_Toc441668352"/>
      <w:r>
        <w:t>Compilation table</w:t>
      </w:r>
      <w:bookmarkEnd w:id="58"/>
    </w:p>
    <w:tbl>
      <w:tblPr>
        <w:tblW w:w="0" w:type="auto"/>
        <w:tblInd w:w="43" w:type="dxa"/>
        <w:tblLayout w:type="fixed"/>
        <w:tblCellMar>
          <w:left w:w="56" w:type="dxa"/>
          <w:right w:w="56" w:type="dxa"/>
        </w:tblCellMar>
        <w:tblLook w:val="0000" w:firstRow="0" w:lastRow="0" w:firstColumn="0" w:lastColumn="0" w:noHBand="0" w:noVBand="0"/>
      </w:tblPr>
      <w:tblGrid>
        <w:gridCol w:w="13"/>
        <w:gridCol w:w="2255"/>
        <w:gridCol w:w="15"/>
        <w:gridCol w:w="1119"/>
        <w:gridCol w:w="15"/>
        <w:gridCol w:w="1119"/>
        <w:gridCol w:w="15"/>
        <w:gridCol w:w="2536"/>
        <w:gridCol w:w="16"/>
      </w:tblGrid>
      <w:tr>
        <w:trPr>
          <w:gridBefore w:val="1"/>
          <w:wBefore w:w="13" w:type="dxa"/>
          <w:cantSplit/>
          <w:trHeight w:val="40"/>
          <w:tblHeader/>
        </w:trPr>
        <w:tc>
          <w:tcPr>
            <w:tcW w:w="2270"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3" w:type="dxa"/>
          <w:cantSplit/>
        </w:trPr>
        <w:tc>
          <w:tcPr>
            <w:tcW w:w="2270" w:type="dxa"/>
            <w:gridSpan w:val="2"/>
          </w:tcPr>
          <w:p>
            <w:pPr>
              <w:pStyle w:val="nTable"/>
              <w:spacing w:after="40"/>
              <w:ind w:right="113"/>
            </w:pPr>
            <w:r>
              <w:rPr>
                <w:i/>
              </w:rPr>
              <w:t>Parliamentary Commissioner Act 1971</w:t>
            </w:r>
          </w:p>
        </w:tc>
        <w:tc>
          <w:tcPr>
            <w:tcW w:w="1134" w:type="dxa"/>
            <w:gridSpan w:val="2"/>
          </w:tcPr>
          <w:p>
            <w:pPr>
              <w:pStyle w:val="nTable"/>
              <w:spacing w:after="40"/>
            </w:pPr>
            <w:r>
              <w:t>64 of 1971</w:t>
            </w:r>
          </w:p>
        </w:tc>
        <w:tc>
          <w:tcPr>
            <w:tcW w:w="1134" w:type="dxa"/>
            <w:gridSpan w:val="2"/>
          </w:tcPr>
          <w:p>
            <w:pPr>
              <w:pStyle w:val="nTable"/>
              <w:spacing w:after="40"/>
            </w:pPr>
            <w:r>
              <w:t>22 Dec 1971</w:t>
            </w:r>
          </w:p>
        </w:tc>
        <w:tc>
          <w:tcPr>
            <w:tcW w:w="2552" w:type="dxa"/>
            <w:gridSpan w:val="2"/>
          </w:tcPr>
          <w:p>
            <w:pPr>
              <w:pStyle w:val="nTable"/>
              <w:spacing w:after="40"/>
            </w:pPr>
            <w:r>
              <w:t xml:space="preserve">12 May 1972 (see s. 2 and </w:t>
            </w:r>
            <w:r>
              <w:rPr>
                <w:i/>
              </w:rPr>
              <w:t>Gazette</w:t>
            </w:r>
            <w:r>
              <w:t xml:space="preserve"> 12 May 1972 p. 1043)</w:t>
            </w:r>
          </w:p>
        </w:tc>
      </w:tr>
      <w:tr>
        <w:trPr>
          <w:gridBefore w:val="1"/>
          <w:wBefore w:w="13" w:type="dxa"/>
          <w:cantSplit/>
        </w:trPr>
        <w:tc>
          <w:tcPr>
            <w:tcW w:w="2270" w:type="dxa"/>
            <w:gridSpan w:val="2"/>
          </w:tcPr>
          <w:p>
            <w:pPr>
              <w:pStyle w:val="nTable"/>
              <w:spacing w:after="40"/>
              <w:ind w:right="113"/>
            </w:pPr>
            <w:r>
              <w:rPr>
                <w:i/>
              </w:rPr>
              <w:t>Parliamentary Commissioner Act Amendment Act 1976</w:t>
            </w:r>
          </w:p>
        </w:tc>
        <w:tc>
          <w:tcPr>
            <w:tcW w:w="1134" w:type="dxa"/>
            <w:gridSpan w:val="2"/>
          </w:tcPr>
          <w:p>
            <w:pPr>
              <w:pStyle w:val="nTable"/>
              <w:spacing w:after="40"/>
            </w:pPr>
            <w:r>
              <w:t>68 of 1976</w:t>
            </w:r>
          </w:p>
        </w:tc>
        <w:tc>
          <w:tcPr>
            <w:tcW w:w="1134" w:type="dxa"/>
            <w:gridSpan w:val="2"/>
          </w:tcPr>
          <w:p>
            <w:pPr>
              <w:pStyle w:val="nTable"/>
              <w:spacing w:after="40"/>
            </w:pPr>
            <w:r>
              <w:t>6 Oct 1976</w:t>
            </w:r>
          </w:p>
        </w:tc>
        <w:tc>
          <w:tcPr>
            <w:tcW w:w="2552" w:type="dxa"/>
            <w:gridSpan w:val="2"/>
          </w:tcPr>
          <w:p>
            <w:pPr>
              <w:pStyle w:val="nTable"/>
              <w:spacing w:after="40"/>
            </w:pPr>
            <w:r>
              <w:t>6 Oct 1976</w:t>
            </w:r>
          </w:p>
        </w:tc>
      </w:tr>
      <w:tr>
        <w:trPr>
          <w:gridBefore w:val="1"/>
          <w:wBefore w:w="13" w:type="dxa"/>
          <w:cantSplit/>
        </w:trPr>
        <w:tc>
          <w:tcPr>
            <w:tcW w:w="2270" w:type="dxa"/>
            <w:gridSpan w:val="2"/>
          </w:tcPr>
          <w:p>
            <w:pPr>
              <w:pStyle w:val="nTable"/>
              <w:spacing w:after="40"/>
              <w:ind w:right="113"/>
            </w:pPr>
            <w:r>
              <w:rPr>
                <w:i/>
              </w:rPr>
              <w:t>Parliamentary Commissioner Amendment Act 1982</w:t>
            </w:r>
          </w:p>
        </w:tc>
        <w:tc>
          <w:tcPr>
            <w:tcW w:w="1134" w:type="dxa"/>
            <w:gridSpan w:val="2"/>
          </w:tcPr>
          <w:p>
            <w:pPr>
              <w:pStyle w:val="nTable"/>
              <w:spacing w:after="40"/>
            </w:pPr>
            <w:r>
              <w:t>13 of 1982</w:t>
            </w:r>
          </w:p>
        </w:tc>
        <w:tc>
          <w:tcPr>
            <w:tcW w:w="1134" w:type="dxa"/>
            <w:gridSpan w:val="2"/>
          </w:tcPr>
          <w:p>
            <w:pPr>
              <w:pStyle w:val="nTable"/>
              <w:spacing w:after="40"/>
            </w:pPr>
            <w:r>
              <w:t>14 May 1982</w:t>
            </w:r>
          </w:p>
        </w:tc>
        <w:tc>
          <w:tcPr>
            <w:tcW w:w="2552" w:type="dxa"/>
            <w:gridSpan w:val="2"/>
          </w:tcPr>
          <w:p>
            <w:pPr>
              <w:pStyle w:val="nTable"/>
              <w:spacing w:after="40"/>
            </w:pPr>
            <w:r>
              <w:t>14 May 1982</w:t>
            </w:r>
          </w:p>
        </w:tc>
      </w:tr>
      <w:tr>
        <w:trPr>
          <w:gridBefore w:val="1"/>
          <w:wBefore w:w="13" w:type="dxa"/>
          <w:cantSplit/>
        </w:trPr>
        <w:tc>
          <w:tcPr>
            <w:tcW w:w="7090" w:type="dxa"/>
            <w:gridSpan w:val="8"/>
          </w:tcPr>
          <w:p>
            <w:pPr>
              <w:pStyle w:val="nTable"/>
              <w:spacing w:after="40"/>
            </w:pPr>
            <w:r>
              <w:rPr>
                <w:b/>
              </w:rPr>
              <w:t xml:space="preserve">Reprint of the </w:t>
            </w:r>
            <w:r>
              <w:rPr>
                <w:b/>
                <w:i/>
              </w:rPr>
              <w:t xml:space="preserve">Parliamentary Commissioner Act 1971 </w:t>
            </w:r>
            <w:r>
              <w:rPr>
                <w:b/>
              </w:rPr>
              <w:t>approved 19 Jul 1983</w:t>
            </w:r>
            <w:r>
              <w:t xml:space="preserve"> (includes amendments listed above)</w:t>
            </w:r>
          </w:p>
        </w:tc>
      </w:tr>
      <w:tr>
        <w:trPr>
          <w:gridBefore w:val="1"/>
          <w:wBefore w:w="13" w:type="dxa"/>
          <w:cantSplit/>
        </w:trPr>
        <w:tc>
          <w:tcPr>
            <w:tcW w:w="2270" w:type="dxa"/>
            <w:gridSpan w:val="2"/>
          </w:tcPr>
          <w:p>
            <w:pPr>
              <w:pStyle w:val="nTable"/>
              <w:spacing w:after="40"/>
              <w:ind w:right="113"/>
            </w:pPr>
            <w:r>
              <w:rPr>
                <w:i/>
              </w:rPr>
              <w:t>Parliamentary Commissioner Amendment Act 1984</w:t>
            </w:r>
          </w:p>
        </w:tc>
        <w:tc>
          <w:tcPr>
            <w:tcW w:w="1134" w:type="dxa"/>
            <w:gridSpan w:val="2"/>
          </w:tcPr>
          <w:p>
            <w:pPr>
              <w:pStyle w:val="nTable"/>
              <w:spacing w:after="40"/>
            </w:pPr>
            <w:r>
              <w:t>124 of 1984</w:t>
            </w:r>
          </w:p>
        </w:tc>
        <w:tc>
          <w:tcPr>
            <w:tcW w:w="1134" w:type="dxa"/>
            <w:gridSpan w:val="2"/>
          </w:tcPr>
          <w:p>
            <w:pPr>
              <w:pStyle w:val="nTable"/>
              <w:spacing w:after="40"/>
            </w:pPr>
            <w:r>
              <w:t>27 Dec 1984</w:t>
            </w:r>
          </w:p>
        </w:tc>
        <w:tc>
          <w:tcPr>
            <w:tcW w:w="2552" w:type="dxa"/>
            <w:gridSpan w:val="2"/>
          </w:tcPr>
          <w:p>
            <w:pPr>
              <w:pStyle w:val="nTable"/>
              <w:spacing w:after="40"/>
            </w:pPr>
            <w:r>
              <w:t>s. 1 and 2: 27 Dec 1984;</w:t>
            </w:r>
            <w:r>
              <w:br/>
              <w:t xml:space="preserve">Act other than s. 1 and 2: 1 Jul 1985 (see s. 2 and </w:t>
            </w:r>
            <w:r>
              <w:rPr>
                <w:i/>
              </w:rPr>
              <w:t>Gazette</w:t>
            </w:r>
            <w:r>
              <w:t xml:space="preserve"> 28 Jun 1985 p. 2291)</w:t>
            </w:r>
          </w:p>
        </w:tc>
      </w:tr>
      <w:tr>
        <w:trPr>
          <w:gridBefore w:val="1"/>
          <w:wBefore w:w="13" w:type="dxa"/>
          <w:cantSplit/>
        </w:trPr>
        <w:tc>
          <w:tcPr>
            <w:tcW w:w="2270" w:type="dxa"/>
            <w:gridSpan w:val="2"/>
          </w:tcPr>
          <w:p>
            <w:pPr>
              <w:pStyle w:val="nTable"/>
              <w:spacing w:after="40"/>
              <w:ind w:right="113"/>
            </w:pPr>
            <w:r>
              <w:rPr>
                <w:i/>
              </w:rPr>
              <w:t>Acts Amendment (Authority for Intellectually Handicapped Persons) Act 1985</w:t>
            </w:r>
            <w:r>
              <w:t xml:space="preserve"> Pt. III</w:t>
            </w:r>
          </w:p>
        </w:tc>
        <w:tc>
          <w:tcPr>
            <w:tcW w:w="1134" w:type="dxa"/>
            <w:gridSpan w:val="2"/>
          </w:tcPr>
          <w:p>
            <w:pPr>
              <w:pStyle w:val="nTable"/>
              <w:spacing w:after="40"/>
            </w:pPr>
            <w:r>
              <w:t>69 of 1985</w:t>
            </w:r>
          </w:p>
        </w:tc>
        <w:tc>
          <w:tcPr>
            <w:tcW w:w="1134" w:type="dxa"/>
            <w:gridSpan w:val="2"/>
          </w:tcPr>
          <w:p>
            <w:pPr>
              <w:pStyle w:val="nTable"/>
              <w:spacing w:after="40"/>
            </w:pPr>
            <w:r>
              <w:t>15 Nov 1985</w:t>
            </w:r>
          </w:p>
        </w:tc>
        <w:tc>
          <w:tcPr>
            <w:tcW w:w="2552" w:type="dxa"/>
            <w:gridSpan w:val="2"/>
          </w:tcPr>
          <w:p>
            <w:pPr>
              <w:pStyle w:val="nTable"/>
              <w:spacing w:after="40"/>
            </w:pPr>
            <w:r>
              <w:t xml:space="preserve">1 Jan 1986 (see s. 2 and </w:t>
            </w:r>
            <w:r>
              <w:rPr>
                <w:i/>
              </w:rPr>
              <w:t>Gazette</w:t>
            </w:r>
            <w:r>
              <w:t xml:space="preserve"> 13 Dec 1985 p. 4757)</w:t>
            </w:r>
          </w:p>
        </w:tc>
      </w:tr>
      <w:tr>
        <w:trPr>
          <w:gridBefore w:val="1"/>
          <w:wBefore w:w="13" w:type="dxa"/>
          <w:cantSplit/>
        </w:trPr>
        <w:tc>
          <w:tcPr>
            <w:tcW w:w="2270" w:type="dxa"/>
            <w:gridSpan w:val="2"/>
          </w:tcPr>
          <w:p>
            <w:pPr>
              <w:pStyle w:val="nTable"/>
              <w:spacing w:after="40"/>
              <w:ind w:right="113"/>
            </w:pPr>
            <w:r>
              <w:rPr>
                <w:i/>
              </w:rPr>
              <w:t>Acts Amendment (State Planning Commission) Act 1985</w:t>
            </w:r>
            <w:r>
              <w:t xml:space="preserve"> Pt. IV</w:t>
            </w:r>
          </w:p>
        </w:tc>
        <w:tc>
          <w:tcPr>
            <w:tcW w:w="1134" w:type="dxa"/>
            <w:gridSpan w:val="2"/>
          </w:tcPr>
          <w:p>
            <w:pPr>
              <w:pStyle w:val="nTable"/>
              <w:spacing w:after="40"/>
            </w:pPr>
            <w:r>
              <w:t>92 of 1985</w:t>
            </w:r>
          </w:p>
        </w:tc>
        <w:tc>
          <w:tcPr>
            <w:tcW w:w="1134" w:type="dxa"/>
            <w:gridSpan w:val="2"/>
          </w:tcPr>
          <w:p>
            <w:pPr>
              <w:pStyle w:val="nTable"/>
              <w:spacing w:after="40"/>
            </w:pPr>
            <w:r>
              <w:t>4 Dec 1985</w:t>
            </w:r>
          </w:p>
        </w:tc>
        <w:tc>
          <w:tcPr>
            <w:tcW w:w="2552" w:type="dxa"/>
            <w:gridSpan w:val="2"/>
          </w:tcPr>
          <w:p>
            <w:pPr>
              <w:pStyle w:val="nTable"/>
              <w:spacing w:after="40"/>
            </w:pPr>
            <w:r>
              <w:t xml:space="preserve">6 Dec 1985 (see s. 2 and </w:t>
            </w:r>
            <w:r>
              <w:rPr>
                <w:i/>
              </w:rPr>
              <w:t>Gazette</w:t>
            </w:r>
            <w:r>
              <w:t xml:space="preserve"> 6 Dec 1985 p. 4591)</w:t>
            </w:r>
          </w:p>
        </w:tc>
      </w:tr>
      <w:tr>
        <w:trPr>
          <w:gridBefore w:val="1"/>
          <w:wBefore w:w="13" w:type="dxa"/>
          <w:cantSplit/>
        </w:trPr>
        <w:tc>
          <w:tcPr>
            <w:tcW w:w="2270"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gridBefore w:val="1"/>
          <w:wBefore w:w="13" w:type="dxa"/>
          <w:cantSplit/>
        </w:trPr>
        <w:tc>
          <w:tcPr>
            <w:tcW w:w="2270" w:type="dxa"/>
            <w:gridSpan w:val="2"/>
          </w:tcPr>
          <w:p>
            <w:pPr>
              <w:pStyle w:val="nTable"/>
              <w:spacing w:after="40"/>
              <w:ind w:right="113"/>
            </w:pPr>
            <w:r>
              <w:rPr>
                <w:i/>
              </w:rPr>
              <w:t>Acts Amendment (Water Authorities) Act 1985</w:t>
            </w:r>
            <w:r>
              <w:t xml:space="preserve"> Pt. X</w:t>
            </w:r>
          </w:p>
        </w:tc>
        <w:tc>
          <w:tcPr>
            <w:tcW w:w="1134" w:type="dxa"/>
            <w:gridSpan w:val="2"/>
          </w:tcPr>
          <w:p>
            <w:pPr>
              <w:pStyle w:val="nTable"/>
              <w:spacing w:after="40"/>
            </w:pPr>
            <w:r>
              <w:t>110 of 1985</w:t>
            </w:r>
          </w:p>
        </w:tc>
        <w:tc>
          <w:tcPr>
            <w:tcW w:w="1134" w:type="dxa"/>
            <w:gridSpan w:val="2"/>
          </w:tcPr>
          <w:p>
            <w:pPr>
              <w:pStyle w:val="nTable"/>
              <w:spacing w:after="40"/>
            </w:pPr>
            <w:r>
              <w:t>17 Dec 1985</w:t>
            </w:r>
          </w:p>
        </w:tc>
        <w:tc>
          <w:tcPr>
            <w:tcW w:w="2552" w:type="dxa"/>
            <w:gridSpan w:val="2"/>
          </w:tcPr>
          <w:p>
            <w:pPr>
              <w:pStyle w:val="nTable"/>
              <w:spacing w:after="40"/>
            </w:pPr>
            <w:r>
              <w:t xml:space="preserve">14 Mar 1986 (see s. 2 and </w:t>
            </w:r>
            <w:r>
              <w:rPr>
                <w:i/>
              </w:rPr>
              <w:t>Gazette</w:t>
            </w:r>
            <w:r>
              <w:t xml:space="preserve"> 14 Mar 1986 p. 726)</w:t>
            </w:r>
          </w:p>
        </w:tc>
      </w:tr>
      <w:tr>
        <w:trPr>
          <w:gridBefore w:val="1"/>
          <w:wBefore w:w="13" w:type="dxa"/>
          <w:cantSplit/>
        </w:trPr>
        <w:tc>
          <w:tcPr>
            <w:tcW w:w="2270" w:type="dxa"/>
            <w:gridSpan w:val="2"/>
          </w:tcPr>
          <w:p>
            <w:pPr>
              <w:pStyle w:val="nTable"/>
              <w:spacing w:after="40"/>
              <w:ind w:right="113"/>
            </w:pPr>
            <w:r>
              <w:rPr>
                <w:i/>
              </w:rPr>
              <w:t>Acts Amendment (Meat Industry) Act 1985</w:t>
            </w:r>
            <w:r>
              <w:t xml:space="preserve"> Pt. IV</w:t>
            </w:r>
          </w:p>
        </w:tc>
        <w:tc>
          <w:tcPr>
            <w:tcW w:w="1134" w:type="dxa"/>
            <w:gridSpan w:val="2"/>
          </w:tcPr>
          <w:p>
            <w:pPr>
              <w:pStyle w:val="nTable"/>
              <w:spacing w:after="40"/>
            </w:pPr>
            <w:r>
              <w:t>107 of 1985</w:t>
            </w:r>
          </w:p>
        </w:tc>
        <w:tc>
          <w:tcPr>
            <w:tcW w:w="1134" w:type="dxa"/>
            <w:gridSpan w:val="2"/>
          </w:tcPr>
          <w:p>
            <w:pPr>
              <w:pStyle w:val="nTable"/>
              <w:spacing w:after="40"/>
            </w:pPr>
            <w:r>
              <w:t>7 Jan 1986</w:t>
            </w:r>
          </w:p>
        </w:tc>
        <w:tc>
          <w:tcPr>
            <w:tcW w:w="2552" w:type="dxa"/>
            <w:gridSpan w:val="2"/>
          </w:tcPr>
          <w:p>
            <w:pPr>
              <w:pStyle w:val="nTable"/>
              <w:spacing w:after="40"/>
            </w:pPr>
            <w:r>
              <w:t xml:space="preserve">1 Jul 1986 (see s. 2 and </w:t>
            </w:r>
            <w:r>
              <w:rPr>
                <w:i/>
              </w:rPr>
              <w:t>Gazette</w:t>
            </w:r>
            <w:r>
              <w:t xml:space="preserve"> 27 Jun 1986 p. 2159)</w:t>
            </w:r>
          </w:p>
        </w:tc>
      </w:tr>
      <w:tr>
        <w:trPr>
          <w:gridBefore w:val="1"/>
          <w:wBefore w:w="13" w:type="dxa"/>
          <w:cantSplit/>
        </w:trPr>
        <w:tc>
          <w:tcPr>
            <w:tcW w:w="2270" w:type="dxa"/>
            <w:gridSpan w:val="2"/>
          </w:tcPr>
          <w:p>
            <w:pPr>
              <w:pStyle w:val="nTable"/>
              <w:spacing w:after="40"/>
              <w:ind w:right="113"/>
            </w:pPr>
            <w:smartTag w:uri="urn:schemas-microsoft-com:office:smarttags" w:element="City">
              <w:smartTag w:uri="urn:schemas-microsoft-com:office:smarttags" w:element="place">
                <w:r>
                  <w:rPr>
                    <w:i/>
                  </w:rPr>
                  <w:t>Perth</w:t>
                </w:r>
              </w:smartTag>
            </w:smartTag>
            <w:r>
              <w:rPr>
                <w:i/>
              </w:rPr>
              <w:t xml:space="preserve"> Mint Amendment Act 1986</w:t>
            </w:r>
            <w:r>
              <w:t xml:space="preserve"> Pt. III</w:t>
            </w:r>
          </w:p>
        </w:tc>
        <w:tc>
          <w:tcPr>
            <w:tcW w:w="1134" w:type="dxa"/>
            <w:gridSpan w:val="2"/>
          </w:tcPr>
          <w:p>
            <w:pPr>
              <w:pStyle w:val="nTable"/>
              <w:spacing w:after="40"/>
            </w:pPr>
            <w:r>
              <w:t>39 of 1986</w:t>
            </w:r>
          </w:p>
        </w:tc>
        <w:tc>
          <w:tcPr>
            <w:tcW w:w="1134" w:type="dxa"/>
            <w:gridSpan w:val="2"/>
          </w:tcPr>
          <w:p>
            <w:pPr>
              <w:pStyle w:val="nTable"/>
              <w:spacing w:after="40"/>
            </w:pPr>
            <w:r>
              <w:t>1 Aug 1986</w:t>
            </w:r>
          </w:p>
        </w:tc>
        <w:tc>
          <w:tcPr>
            <w:tcW w:w="2552" w:type="dxa"/>
            <w:gridSpan w:val="2"/>
          </w:tcPr>
          <w:p>
            <w:pPr>
              <w:pStyle w:val="nTable"/>
              <w:spacing w:after="40"/>
            </w:pPr>
            <w:r>
              <w:t xml:space="preserve">1 Oct 1986 (see s. 2 and </w:t>
            </w:r>
            <w:r>
              <w:rPr>
                <w:i/>
              </w:rPr>
              <w:t>Gazette</w:t>
            </w:r>
            <w:r>
              <w:t xml:space="preserve"> 30 Sep 1986 p. 3769)</w:t>
            </w:r>
          </w:p>
        </w:tc>
      </w:tr>
      <w:tr>
        <w:trPr>
          <w:gridBefore w:val="1"/>
          <w:wBefore w:w="13" w:type="dxa"/>
          <w:cantSplit/>
        </w:trPr>
        <w:tc>
          <w:tcPr>
            <w:tcW w:w="2270" w:type="dxa"/>
            <w:gridSpan w:val="2"/>
          </w:tcPr>
          <w:p>
            <w:pPr>
              <w:pStyle w:val="nTable"/>
              <w:spacing w:after="40"/>
              <w:ind w:right="113"/>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2" w:type="dxa"/>
            <w:gridSpan w:val="2"/>
          </w:tcPr>
          <w:p>
            <w:pPr>
              <w:pStyle w:val="nTable"/>
              <w:spacing w:after="40"/>
            </w:pPr>
            <w:r>
              <w:t xml:space="preserve">1 Jan 1987 (see s. 2 and </w:t>
            </w:r>
            <w:r>
              <w:rPr>
                <w:i/>
              </w:rPr>
              <w:t>Gazette</w:t>
            </w:r>
            <w:r>
              <w:t xml:space="preserve"> 19 Dec 1986 p. 4859)</w:t>
            </w:r>
          </w:p>
        </w:tc>
      </w:tr>
      <w:tr>
        <w:trPr>
          <w:gridBefore w:val="1"/>
          <w:wBefore w:w="13" w:type="dxa"/>
          <w:cantSplit/>
        </w:trPr>
        <w:tc>
          <w:tcPr>
            <w:tcW w:w="2270" w:type="dxa"/>
            <w:gridSpan w:val="2"/>
          </w:tcPr>
          <w:p>
            <w:pPr>
              <w:pStyle w:val="nTable"/>
              <w:spacing w:after="40"/>
              <w:ind w:right="113"/>
            </w:pPr>
            <w:r>
              <w:rPr>
                <w:i/>
              </w:rPr>
              <w:t>Western Australian Sports Centre Trust Act 1986</w:t>
            </w:r>
            <w:r>
              <w:t xml:space="preserve"> s. 21</w:t>
            </w:r>
          </w:p>
        </w:tc>
        <w:tc>
          <w:tcPr>
            <w:tcW w:w="1134" w:type="dxa"/>
            <w:gridSpan w:val="2"/>
          </w:tcPr>
          <w:p>
            <w:pPr>
              <w:pStyle w:val="nTable"/>
              <w:spacing w:after="40"/>
            </w:pPr>
            <w:r>
              <w:t>101 of 1986</w:t>
            </w:r>
          </w:p>
        </w:tc>
        <w:tc>
          <w:tcPr>
            <w:tcW w:w="1134" w:type="dxa"/>
            <w:gridSpan w:val="2"/>
          </w:tcPr>
          <w:p>
            <w:pPr>
              <w:pStyle w:val="nTable"/>
              <w:spacing w:after="40"/>
            </w:pPr>
            <w:r>
              <w:t>12 Dec 1986</w:t>
            </w:r>
          </w:p>
        </w:tc>
        <w:tc>
          <w:tcPr>
            <w:tcW w:w="2552" w:type="dxa"/>
            <w:gridSpan w:val="2"/>
          </w:tcPr>
          <w:p>
            <w:pPr>
              <w:pStyle w:val="nTable"/>
              <w:spacing w:after="40"/>
            </w:pPr>
            <w:r>
              <w:t xml:space="preserve">24 Dec 1986 (see s. 2 and </w:t>
            </w:r>
            <w:r>
              <w:rPr>
                <w:i/>
              </w:rPr>
              <w:t>Gazette</w:t>
            </w:r>
            <w:r>
              <w:t xml:space="preserve"> 24 Dec 1986 p. 4963)</w:t>
            </w:r>
          </w:p>
        </w:tc>
      </w:tr>
      <w:tr>
        <w:trPr>
          <w:gridBefore w:val="1"/>
          <w:wBefore w:w="13" w:type="dxa"/>
          <w:cantSplit/>
        </w:trPr>
        <w:tc>
          <w:tcPr>
            <w:tcW w:w="2270" w:type="dxa"/>
            <w:gridSpan w:val="2"/>
          </w:tcPr>
          <w:p>
            <w:pPr>
              <w:pStyle w:val="nTable"/>
              <w:spacing w:after="40"/>
              <w:ind w:right="113"/>
            </w:pPr>
            <w:r>
              <w:rPr>
                <w:i/>
              </w:rPr>
              <w:t>Boxing Control Act 1987</w:t>
            </w:r>
            <w:r>
              <w:t xml:space="preserve"> s. 64</w:t>
            </w:r>
          </w:p>
        </w:tc>
        <w:tc>
          <w:tcPr>
            <w:tcW w:w="1134" w:type="dxa"/>
            <w:gridSpan w:val="2"/>
          </w:tcPr>
          <w:p>
            <w:pPr>
              <w:pStyle w:val="nTable"/>
              <w:spacing w:after="40"/>
            </w:pPr>
            <w:r>
              <w:t>2 of 1987</w:t>
            </w:r>
          </w:p>
        </w:tc>
        <w:tc>
          <w:tcPr>
            <w:tcW w:w="1134" w:type="dxa"/>
            <w:gridSpan w:val="2"/>
          </w:tcPr>
          <w:p>
            <w:pPr>
              <w:pStyle w:val="nTable"/>
              <w:spacing w:after="40"/>
            </w:pPr>
            <w:r>
              <w:t>29 May 1987</w:t>
            </w:r>
          </w:p>
        </w:tc>
        <w:tc>
          <w:tcPr>
            <w:tcW w:w="2552" w:type="dxa"/>
            <w:gridSpan w:val="2"/>
          </w:tcPr>
          <w:p>
            <w:pPr>
              <w:pStyle w:val="nTable"/>
              <w:spacing w:after="40"/>
            </w:pPr>
            <w:r>
              <w:t xml:space="preserve">22 Feb 1991 (see s. 2 and </w:t>
            </w:r>
            <w:r>
              <w:rPr>
                <w:i/>
              </w:rPr>
              <w:t>Gazette</w:t>
            </w:r>
            <w:r>
              <w:t xml:space="preserve"> 22 Feb 1991 p. 867)</w:t>
            </w:r>
          </w:p>
        </w:tc>
      </w:tr>
      <w:tr>
        <w:trPr>
          <w:gridBefore w:val="1"/>
          <w:wBefore w:w="13" w:type="dxa"/>
          <w:cantSplit/>
        </w:trPr>
        <w:tc>
          <w:tcPr>
            <w:tcW w:w="2270" w:type="dxa"/>
            <w:gridSpan w:val="2"/>
          </w:tcPr>
          <w:p>
            <w:pPr>
              <w:pStyle w:val="nTable"/>
              <w:spacing w:after="40"/>
              <w:ind w:right="113"/>
            </w:pPr>
            <w:r>
              <w:rPr>
                <w:i/>
              </w:rPr>
              <w:t>Great Southern Development Authority Act 1987</w:t>
            </w:r>
            <w:r>
              <w:t xml:space="preserve"> s. 34</w:t>
            </w:r>
          </w:p>
        </w:tc>
        <w:tc>
          <w:tcPr>
            <w:tcW w:w="1134" w:type="dxa"/>
            <w:gridSpan w:val="2"/>
          </w:tcPr>
          <w:p>
            <w:pPr>
              <w:pStyle w:val="nTable"/>
              <w:spacing w:after="40"/>
            </w:pPr>
            <w:r>
              <w:t>9 of 1987</w:t>
            </w:r>
          </w:p>
        </w:tc>
        <w:tc>
          <w:tcPr>
            <w:tcW w:w="1134" w:type="dxa"/>
            <w:gridSpan w:val="2"/>
          </w:tcPr>
          <w:p>
            <w:pPr>
              <w:pStyle w:val="nTable"/>
              <w:spacing w:after="40"/>
            </w:pPr>
            <w:r>
              <w:t>11 Jun 1987</w:t>
            </w:r>
          </w:p>
        </w:tc>
        <w:tc>
          <w:tcPr>
            <w:tcW w:w="2552" w:type="dxa"/>
            <w:gridSpan w:val="2"/>
          </w:tcPr>
          <w:p>
            <w:pPr>
              <w:pStyle w:val="nTable"/>
              <w:spacing w:after="40"/>
            </w:pPr>
            <w:r>
              <w:t xml:space="preserve">29 Apr 1988 (see s. 2 and </w:t>
            </w:r>
            <w:r>
              <w:rPr>
                <w:i/>
              </w:rPr>
              <w:t>Gazette</w:t>
            </w:r>
            <w:r>
              <w:t xml:space="preserve"> 29 Apr 1988 p. 1292)</w:t>
            </w:r>
          </w:p>
        </w:tc>
      </w:tr>
      <w:tr>
        <w:trPr>
          <w:gridBefore w:val="1"/>
          <w:wBefore w:w="13" w:type="dxa"/>
          <w:cantSplit/>
        </w:trPr>
        <w:tc>
          <w:tcPr>
            <w:tcW w:w="2270" w:type="dxa"/>
            <w:gridSpan w:val="2"/>
          </w:tcPr>
          <w:p>
            <w:pPr>
              <w:pStyle w:val="nTable"/>
              <w:spacing w:after="40"/>
              <w:ind w:right="113"/>
            </w:pPr>
            <w:r>
              <w:rPr>
                <w:i/>
              </w:rPr>
              <w:t>Occupational Health, Safety and Welfare Amendment Act 1987</w:t>
            </w:r>
            <w:r>
              <w:t xml:space="preserve"> s. 19</w:t>
            </w:r>
          </w:p>
        </w:tc>
        <w:tc>
          <w:tcPr>
            <w:tcW w:w="1134" w:type="dxa"/>
            <w:gridSpan w:val="2"/>
          </w:tcPr>
          <w:p>
            <w:pPr>
              <w:pStyle w:val="nTable"/>
              <w:spacing w:after="40"/>
            </w:pPr>
            <w:r>
              <w:t>43 of 1987</w:t>
            </w:r>
          </w:p>
        </w:tc>
        <w:tc>
          <w:tcPr>
            <w:tcW w:w="1134" w:type="dxa"/>
            <w:gridSpan w:val="2"/>
          </w:tcPr>
          <w:p>
            <w:pPr>
              <w:pStyle w:val="nTable"/>
              <w:spacing w:after="40"/>
            </w:pPr>
            <w:r>
              <w:t>6 Jul 1987</w:t>
            </w:r>
          </w:p>
        </w:tc>
        <w:tc>
          <w:tcPr>
            <w:tcW w:w="2552" w:type="dxa"/>
            <w:gridSpan w:val="2"/>
          </w:tcPr>
          <w:p>
            <w:pPr>
              <w:pStyle w:val="nTable"/>
              <w:spacing w:after="40"/>
            </w:pPr>
            <w:r>
              <w:t xml:space="preserve">16 Sep 1988 (see s. 2 and </w:t>
            </w:r>
            <w:r>
              <w:rPr>
                <w:i/>
              </w:rPr>
              <w:t>Gazette</w:t>
            </w:r>
            <w:r>
              <w:t xml:space="preserve"> 16 Sep 1988 p. 3757)</w:t>
            </w:r>
          </w:p>
        </w:tc>
      </w:tr>
      <w:tr>
        <w:trPr>
          <w:gridBefore w:val="1"/>
          <w:wBefore w:w="13" w:type="dxa"/>
          <w:cantSplit/>
        </w:trPr>
        <w:tc>
          <w:tcPr>
            <w:tcW w:w="2270" w:type="dxa"/>
            <w:gridSpan w:val="2"/>
          </w:tcPr>
          <w:p>
            <w:pPr>
              <w:pStyle w:val="nTable"/>
              <w:spacing w:after="40"/>
              <w:ind w:right="113"/>
            </w:pPr>
            <w:r>
              <w:rPr>
                <w:i/>
              </w:rPr>
              <w:t>Acts Amendment (Corrective Services) Act 1987</w:t>
            </w:r>
            <w:r>
              <w:t xml:space="preserve"> Pt. VI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rPr>
          <w:gridBefore w:val="1"/>
          <w:wBefore w:w="13" w:type="dxa"/>
          <w:cantSplit/>
        </w:trPr>
        <w:tc>
          <w:tcPr>
            <w:tcW w:w="2270" w:type="dxa"/>
            <w:gridSpan w:val="2"/>
          </w:tcPr>
          <w:p>
            <w:pPr>
              <w:pStyle w:val="nTable"/>
              <w:keepNext/>
              <w:keepLines/>
              <w:spacing w:after="40"/>
              <w:ind w:right="113"/>
            </w:pPr>
            <w:r>
              <w:rPr>
                <w:i/>
              </w:rPr>
              <w:t>Gaming Commission Act 1987</w:t>
            </w:r>
            <w:r>
              <w:t xml:space="preserve"> s. 116</w:t>
            </w:r>
          </w:p>
        </w:tc>
        <w:tc>
          <w:tcPr>
            <w:tcW w:w="1134" w:type="dxa"/>
            <w:gridSpan w:val="2"/>
          </w:tcPr>
          <w:p>
            <w:pPr>
              <w:pStyle w:val="nTable"/>
              <w:keepNext/>
              <w:keepLines/>
              <w:spacing w:after="40"/>
            </w:pPr>
            <w:r>
              <w:t>50 of 1987</w:t>
            </w:r>
          </w:p>
        </w:tc>
        <w:tc>
          <w:tcPr>
            <w:tcW w:w="1134" w:type="dxa"/>
            <w:gridSpan w:val="2"/>
          </w:tcPr>
          <w:p>
            <w:pPr>
              <w:pStyle w:val="nTable"/>
              <w:keepNext/>
              <w:keepLines/>
              <w:spacing w:after="40"/>
            </w:pPr>
            <w:r>
              <w:t>8 Oct 1987</w:t>
            </w:r>
          </w:p>
        </w:tc>
        <w:tc>
          <w:tcPr>
            <w:tcW w:w="2552" w:type="dxa"/>
            <w:gridSpan w:val="2"/>
          </w:tcPr>
          <w:p>
            <w:pPr>
              <w:pStyle w:val="nTable"/>
              <w:keepNext/>
              <w:keepLines/>
              <w:spacing w:after="40"/>
            </w:pPr>
            <w:r>
              <w:t xml:space="preserve">4 Mar 1988 (see s. 2 and </w:t>
            </w:r>
            <w:r>
              <w:rPr>
                <w:i/>
              </w:rPr>
              <w:t>Gazette</w:t>
            </w:r>
            <w:r>
              <w:t xml:space="preserve"> 4 Mar 1988 p. 665)</w:t>
            </w:r>
          </w:p>
        </w:tc>
      </w:tr>
      <w:tr>
        <w:trPr>
          <w:gridBefore w:val="1"/>
          <w:wBefore w:w="13" w:type="dxa"/>
          <w:cantSplit/>
        </w:trPr>
        <w:tc>
          <w:tcPr>
            <w:tcW w:w="2270" w:type="dxa"/>
            <w:gridSpan w:val="2"/>
          </w:tcPr>
          <w:p>
            <w:pPr>
              <w:pStyle w:val="nTable"/>
              <w:spacing w:after="40"/>
              <w:ind w:right="113"/>
            </w:pPr>
            <w:r>
              <w:rPr>
                <w:i/>
              </w:rPr>
              <w:t>Mines Regulation Amendment Act 1987</w:t>
            </w:r>
            <w:r>
              <w:t xml:space="preserve"> s. 21</w:t>
            </w:r>
          </w:p>
        </w:tc>
        <w:tc>
          <w:tcPr>
            <w:tcW w:w="1134" w:type="dxa"/>
            <w:gridSpan w:val="2"/>
          </w:tcPr>
          <w:p>
            <w:pPr>
              <w:pStyle w:val="nTable"/>
              <w:spacing w:after="40"/>
            </w:pPr>
            <w:r>
              <w:t>64 of 1987</w:t>
            </w:r>
          </w:p>
        </w:tc>
        <w:tc>
          <w:tcPr>
            <w:tcW w:w="1134" w:type="dxa"/>
            <w:gridSpan w:val="2"/>
          </w:tcPr>
          <w:p>
            <w:pPr>
              <w:pStyle w:val="nTable"/>
              <w:spacing w:after="40"/>
            </w:pPr>
            <w:r>
              <w:t>18 Nov 1987</w:t>
            </w:r>
          </w:p>
        </w:tc>
        <w:tc>
          <w:tcPr>
            <w:tcW w:w="2552" w:type="dxa"/>
            <w:gridSpan w:val="2"/>
          </w:tcPr>
          <w:p>
            <w:pPr>
              <w:pStyle w:val="nTable"/>
              <w:spacing w:after="40"/>
            </w:pPr>
            <w:r>
              <w:t xml:space="preserve">3 Jun 1988 (see s. 2 and </w:t>
            </w:r>
            <w:r>
              <w:rPr>
                <w:i/>
              </w:rPr>
              <w:t>Gazette</w:t>
            </w:r>
            <w:r>
              <w:t xml:space="preserve"> 3 Jun 1988 p. 1851)</w:t>
            </w:r>
          </w:p>
        </w:tc>
      </w:tr>
      <w:tr>
        <w:trPr>
          <w:gridBefore w:val="1"/>
          <w:wBefore w:w="13" w:type="dxa"/>
          <w:cantSplit/>
        </w:trPr>
        <w:tc>
          <w:tcPr>
            <w:tcW w:w="2270" w:type="dxa"/>
            <w:gridSpan w:val="2"/>
          </w:tcPr>
          <w:p>
            <w:pPr>
              <w:pStyle w:val="nTable"/>
              <w:spacing w:after="40"/>
              <w:ind w:right="113"/>
            </w:pPr>
            <w:r>
              <w:rPr>
                <w:i/>
              </w:rPr>
              <w:t>Minerals and Energy Research Act 1987</w:t>
            </w:r>
            <w:r>
              <w:t xml:space="preserve"> s. 42</w:t>
            </w:r>
          </w:p>
        </w:tc>
        <w:tc>
          <w:tcPr>
            <w:tcW w:w="1134" w:type="dxa"/>
            <w:gridSpan w:val="2"/>
          </w:tcPr>
          <w:p>
            <w:pPr>
              <w:pStyle w:val="nTable"/>
              <w:spacing w:after="40"/>
            </w:pPr>
            <w:r>
              <w:t>89 of 1987</w:t>
            </w:r>
          </w:p>
        </w:tc>
        <w:tc>
          <w:tcPr>
            <w:tcW w:w="1134" w:type="dxa"/>
            <w:gridSpan w:val="2"/>
          </w:tcPr>
          <w:p>
            <w:pPr>
              <w:pStyle w:val="nTable"/>
              <w:spacing w:after="40"/>
            </w:pPr>
            <w:r>
              <w:t>9 Dec 1987</w:t>
            </w:r>
          </w:p>
        </w:tc>
        <w:tc>
          <w:tcPr>
            <w:tcW w:w="2552" w:type="dxa"/>
            <w:gridSpan w:val="2"/>
          </w:tcPr>
          <w:p>
            <w:pPr>
              <w:pStyle w:val="nTable"/>
              <w:spacing w:after="40"/>
            </w:pPr>
            <w:r>
              <w:t xml:space="preserve">1 Feb 1988 (see s. 2 and </w:t>
            </w:r>
            <w:r>
              <w:rPr>
                <w:i/>
              </w:rPr>
              <w:t>Gazette</w:t>
            </w:r>
            <w:r>
              <w:t xml:space="preserve"> 15 Jan 1988 p. 67)</w:t>
            </w:r>
          </w:p>
        </w:tc>
      </w:tr>
      <w:tr>
        <w:trPr>
          <w:gridBefore w:val="1"/>
          <w:wBefore w:w="13" w:type="dxa"/>
          <w:cantSplit/>
        </w:trPr>
        <w:tc>
          <w:tcPr>
            <w:tcW w:w="2270" w:type="dxa"/>
            <w:gridSpan w:val="2"/>
          </w:tcPr>
          <w:p>
            <w:pPr>
              <w:pStyle w:val="nTable"/>
              <w:spacing w:after="40"/>
              <w:ind w:right="113"/>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 xml:space="preserve"> s. 51</w:t>
            </w:r>
          </w:p>
        </w:tc>
        <w:tc>
          <w:tcPr>
            <w:tcW w:w="1134" w:type="dxa"/>
            <w:gridSpan w:val="2"/>
          </w:tcPr>
          <w:p>
            <w:pPr>
              <w:pStyle w:val="nTable"/>
              <w:spacing w:after="40"/>
            </w:pPr>
            <w:r>
              <w:t>91 of 1987</w:t>
            </w:r>
          </w:p>
        </w:tc>
        <w:tc>
          <w:tcPr>
            <w:tcW w:w="1134" w:type="dxa"/>
            <w:gridSpan w:val="2"/>
          </w:tcPr>
          <w:p>
            <w:pPr>
              <w:pStyle w:val="nTable"/>
              <w:spacing w:after="40"/>
            </w:pPr>
            <w:r>
              <w:t>9 Dec 1987</w:t>
            </w:r>
          </w:p>
        </w:tc>
        <w:tc>
          <w:tcPr>
            <w:tcW w:w="2552" w:type="dxa"/>
            <w:gridSpan w:val="2"/>
          </w:tcPr>
          <w:p>
            <w:pPr>
              <w:pStyle w:val="nTable"/>
              <w:spacing w:after="40"/>
            </w:pPr>
            <w:r>
              <w:t xml:space="preserve">30 May 1988 (see s. 2 and </w:t>
            </w:r>
            <w:r>
              <w:rPr>
                <w:i/>
              </w:rPr>
              <w:t>Gazette</w:t>
            </w:r>
            <w:r>
              <w:t xml:space="preserve"> 30 May 1988 p. 1823)</w:t>
            </w:r>
          </w:p>
        </w:tc>
      </w:tr>
      <w:tr>
        <w:trPr>
          <w:gridBefore w:val="1"/>
          <w:wBefore w:w="13" w:type="dxa"/>
          <w:cantSplit/>
        </w:trPr>
        <w:tc>
          <w:tcPr>
            <w:tcW w:w="2270" w:type="dxa"/>
            <w:gridSpan w:val="2"/>
          </w:tcPr>
          <w:p>
            <w:pPr>
              <w:pStyle w:val="nTable"/>
              <w:spacing w:after="40"/>
              <w:ind w:right="113"/>
            </w:pPr>
            <w:r>
              <w:rPr>
                <w:i/>
              </w:rPr>
              <w:t>Gold Banking Corporation Act 1987</w:t>
            </w:r>
            <w:r>
              <w:t xml:space="preserve"> s. 79</w:t>
            </w:r>
          </w:p>
        </w:tc>
        <w:tc>
          <w:tcPr>
            <w:tcW w:w="1134" w:type="dxa"/>
            <w:gridSpan w:val="2"/>
          </w:tcPr>
          <w:p>
            <w:pPr>
              <w:pStyle w:val="nTable"/>
              <w:spacing w:after="40"/>
            </w:pPr>
            <w:r>
              <w:t>99 of 1987</w:t>
            </w:r>
          </w:p>
        </w:tc>
        <w:tc>
          <w:tcPr>
            <w:tcW w:w="1134" w:type="dxa"/>
            <w:gridSpan w:val="2"/>
          </w:tcPr>
          <w:p>
            <w:pPr>
              <w:pStyle w:val="nTable"/>
              <w:spacing w:after="40"/>
            </w:pPr>
            <w:r>
              <w:t>18 Dec 1987</w:t>
            </w:r>
          </w:p>
        </w:tc>
        <w:tc>
          <w:tcPr>
            <w:tcW w:w="2552" w:type="dxa"/>
            <w:gridSpan w:val="2"/>
          </w:tcPr>
          <w:p>
            <w:pPr>
              <w:pStyle w:val="nTable"/>
              <w:spacing w:after="40"/>
            </w:pPr>
            <w:r>
              <w:t xml:space="preserve">30 Jun 1988 (see s. 2 and </w:t>
            </w:r>
            <w:r>
              <w:rPr>
                <w:i/>
              </w:rPr>
              <w:t>Gazette</w:t>
            </w:r>
            <w:r>
              <w:t xml:space="preserve"> 30 Jun 1988 p. 2133)</w:t>
            </w:r>
          </w:p>
        </w:tc>
      </w:tr>
      <w:tr>
        <w:trPr>
          <w:gridBefore w:val="1"/>
          <w:wBefore w:w="13" w:type="dxa"/>
          <w:cantSplit/>
        </w:trPr>
        <w:tc>
          <w:tcPr>
            <w:tcW w:w="2270"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rPr>
          <w:gridBefore w:val="1"/>
          <w:wBefore w:w="13" w:type="dxa"/>
          <w:cantSplit/>
        </w:trPr>
        <w:tc>
          <w:tcPr>
            <w:tcW w:w="2270" w:type="dxa"/>
            <w:gridSpan w:val="2"/>
          </w:tcPr>
          <w:p>
            <w:pPr>
              <w:pStyle w:val="nTable"/>
              <w:spacing w:after="40"/>
              <w:ind w:right="113"/>
            </w:pPr>
            <w:r>
              <w:rPr>
                <w:i/>
              </w:rPr>
              <w:t>Acts Amendment (Retail Trading Hours) Act 1987</w:t>
            </w:r>
            <w:r>
              <w:t xml:space="preserve"> s. 11</w:t>
            </w:r>
          </w:p>
        </w:tc>
        <w:tc>
          <w:tcPr>
            <w:tcW w:w="1134" w:type="dxa"/>
            <w:gridSpan w:val="2"/>
          </w:tcPr>
          <w:p>
            <w:pPr>
              <w:pStyle w:val="nTable"/>
              <w:spacing w:after="40"/>
            </w:pPr>
            <w:r>
              <w:t>114 of 1987</w:t>
            </w:r>
          </w:p>
        </w:tc>
        <w:tc>
          <w:tcPr>
            <w:tcW w:w="1134" w:type="dxa"/>
            <w:gridSpan w:val="2"/>
          </w:tcPr>
          <w:p>
            <w:pPr>
              <w:pStyle w:val="nTable"/>
              <w:spacing w:after="40"/>
            </w:pPr>
            <w:r>
              <w:t>31 Dec 1987</w:t>
            </w:r>
          </w:p>
        </w:tc>
        <w:tc>
          <w:tcPr>
            <w:tcW w:w="2552" w:type="dxa"/>
            <w:gridSpan w:val="2"/>
          </w:tcPr>
          <w:p>
            <w:pPr>
              <w:pStyle w:val="nTable"/>
              <w:spacing w:after="40"/>
            </w:pPr>
            <w:r>
              <w:t xml:space="preserve">1 Sep 1988 (see s. 2 and </w:t>
            </w:r>
            <w:r>
              <w:rPr>
                <w:i/>
              </w:rPr>
              <w:t>Gazette</w:t>
            </w:r>
            <w:r>
              <w:t xml:space="preserve"> 12 Aug 1988 p. 2695)</w:t>
            </w:r>
          </w:p>
        </w:tc>
      </w:tr>
      <w:tr>
        <w:trPr>
          <w:gridBefore w:val="1"/>
          <w:wBefore w:w="13" w:type="dxa"/>
          <w:cantSplit/>
        </w:trPr>
        <w:tc>
          <w:tcPr>
            <w:tcW w:w="2270" w:type="dxa"/>
            <w:gridSpan w:val="2"/>
          </w:tcPr>
          <w:p>
            <w:pPr>
              <w:pStyle w:val="nTable"/>
              <w:spacing w:after="40"/>
              <w:ind w:right="113"/>
            </w:pPr>
            <w:r>
              <w:rPr>
                <w:i/>
              </w:rPr>
              <w:t>Geraldton Mid</w:t>
            </w:r>
            <w:r>
              <w:rPr>
                <w:i/>
              </w:rPr>
              <w:noBreakHyphen/>
              <w:t>West Development Authority Act 1988</w:t>
            </w:r>
            <w:r>
              <w:t xml:space="preserve"> s. 33</w:t>
            </w:r>
          </w:p>
        </w:tc>
        <w:tc>
          <w:tcPr>
            <w:tcW w:w="1134" w:type="dxa"/>
            <w:gridSpan w:val="2"/>
          </w:tcPr>
          <w:p>
            <w:pPr>
              <w:pStyle w:val="nTable"/>
              <w:spacing w:after="40"/>
            </w:pPr>
            <w:r>
              <w:t>4 of 1988</w:t>
            </w:r>
          </w:p>
        </w:tc>
        <w:tc>
          <w:tcPr>
            <w:tcW w:w="1134" w:type="dxa"/>
            <w:gridSpan w:val="2"/>
          </w:tcPr>
          <w:p>
            <w:pPr>
              <w:pStyle w:val="nTable"/>
              <w:spacing w:after="40"/>
            </w:pPr>
            <w:r>
              <w:t>30 Jun 1988</w:t>
            </w:r>
          </w:p>
        </w:tc>
        <w:tc>
          <w:tcPr>
            <w:tcW w:w="2552" w:type="dxa"/>
            <w:gridSpan w:val="2"/>
          </w:tcPr>
          <w:p>
            <w:pPr>
              <w:pStyle w:val="nTable"/>
              <w:spacing w:after="40"/>
            </w:pPr>
            <w:r>
              <w:t xml:space="preserve">22 Jul 1988 (see s. 2 and </w:t>
            </w:r>
            <w:r>
              <w:rPr>
                <w:i/>
              </w:rPr>
              <w:t>Gazette</w:t>
            </w:r>
            <w:r>
              <w:t xml:space="preserve"> 22 Jul 1988 p. 2479)</w:t>
            </w:r>
          </w:p>
        </w:tc>
      </w:tr>
      <w:tr>
        <w:trPr>
          <w:gridBefore w:val="1"/>
          <w:wBefore w:w="13" w:type="dxa"/>
          <w:cantSplit/>
        </w:trPr>
        <w:tc>
          <w:tcPr>
            <w:tcW w:w="2270" w:type="dxa"/>
            <w:gridSpan w:val="2"/>
          </w:tcPr>
          <w:p>
            <w:pPr>
              <w:pStyle w:val="nTable"/>
              <w:spacing w:after="40"/>
              <w:ind w:right="113"/>
            </w:pPr>
            <w:r>
              <w:rPr>
                <w:i/>
              </w:rPr>
              <w:t>Acts Amendment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t xml:space="preserve"> Pt. 8</w:t>
            </w:r>
          </w:p>
        </w:tc>
        <w:tc>
          <w:tcPr>
            <w:tcW w:w="1134" w:type="dxa"/>
            <w:gridSpan w:val="2"/>
          </w:tcPr>
          <w:p>
            <w:pPr>
              <w:pStyle w:val="nTable"/>
              <w:spacing w:after="40"/>
            </w:pPr>
            <w:r>
              <w:t>21 of 1988</w:t>
            </w:r>
          </w:p>
        </w:tc>
        <w:tc>
          <w:tcPr>
            <w:tcW w:w="1134" w:type="dxa"/>
            <w:gridSpan w:val="2"/>
          </w:tcPr>
          <w:p>
            <w:pPr>
              <w:pStyle w:val="nTable"/>
              <w:spacing w:after="40"/>
            </w:pPr>
            <w:r>
              <w:t>5 Oct 1988</w:t>
            </w:r>
          </w:p>
        </w:tc>
        <w:tc>
          <w:tcPr>
            <w:tcW w:w="2552" w:type="dxa"/>
            <w:gridSpan w:val="2"/>
          </w:tcPr>
          <w:p>
            <w:pPr>
              <w:pStyle w:val="nTable"/>
              <w:spacing w:after="40"/>
            </w:pPr>
            <w:r>
              <w:t xml:space="preserve">1 Mar 1989 (see s. 2 and </w:t>
            </w:r>
            <w:r>
              <w:rPr>
                <w:i/>
              </w:rPr>
              <w:t>Gazette</w:t>
            </w:r>
            <w:r>
              <w:t xml:space="preserve"> 27 Jan 1989 p. 264)</w:t>
            </w:r>
          </w:p>
        </w:tc>
      </w:tr>
      <w:tr>
        <w:trPr>
          <w:gridBefore w:val="1"/>
          <w:wBefore w:w="13" w:type="dxa"/>
          <w:cantSplit/>
        </w:trPr>
        <w:tc>
          <w:tcPr>
            <w:tcW w:w="2270" w:type="dxa"/>
            <w:gridSpan w:val="2"/>
          </w:tcPr>
          <w:p>
            <w:pPr>
              <w:pStyle w:val="nTable"/>
              <w:spacing w:after="40"/>
              <w:ind w:right="113"/>
            </w:pPr>
            <w:r>
              <w:rPr>
                <w:i/>
              </w:rPr>
              <w:t>Art Gallery Amendment Act 1988</w:t>
            </w:r>
            <w:r>
              <w:t xml:space="preserve"> s. 8</w:t>
            </w:r>
          </w:p>
        </w:tc>
        <w:tc>
          <w:tcPr>
            <w:tcW w:w="1134" w:type="dxa"/>
            <w:gridSpan w:val="2"/>
          </w:tcPr>
          <w:p>
            <w:pPr>
              <w:pStyle w:val="nTable"/>
              <w:spacing w:after="40"/>
            </w:pPr>
            <w:r>
              <w:t>59 of 1988</w:t>
            </w:r>
          </w:p>
        </w:tc>
        <w:tc>
          <w:tcPr>
            <w:tcW w:w="1134" w:type="dxa"/>
            <w:gridSpan w:val="2"/>
          </w:tcPr>
          <w:p>
            <w:pPr>
              <w:pStyle w:val="nTable"/>
              <w:spacing w:after="40"/>
            </w:pPr>
            <w:r>
              <w:t>8 Dec 1988</w:t>
            </w:r>
          </w:p>
        </w:tc>
        <w:tc>
          <w:tcPr>
            <w:tcW w:w="2552" w:type="dxa"/>
            <w:gridSpan w:val="2"/>
          </w:tcPr>
          <w:p>
            <w:pPr>
              <w:pStyle w:val="nTable"/>
              <w:spacing w:after="40"/>
            </w:pPr>
            <w:r>
              <w:t xml:space="preserve">20 Jan 1989 (see s. 2 and </w:t>
            </w:r>
            <w:r>
              <w:rPr>
                <w:i/>
              </w:rPr>
              <w:t>Gazette</w:t>
            </w:r>
            <w:r>
              <w:t xml:space="preserve"> 20 Jan 1989 p. 110)</w:t>
            </w:r>
          </w:p>
        </w:tc>
      </w:tr>
      <w:tr>
        <w:trPr>
          <w:gridBefore w:val="1"/>
          <w:wBefore w:w="13" w:type="dxa"/>
          <w:cantSplit/>
        </w:trPr>
        <w:tc>
          <w:tcPr>
            <w:tcW w:w="2270" w:type="dxa"/>
            <w:gridSpan w:val="2"/>
          </w:tcPr>
          <w:p>
            <w:pPr>
              <w:pStyle w:val="nTable"/>
              <w:spacing w:after="40"/>
              <w:ind w:right="113"/>
            </w:pPr>
            <w:r>
              <w:rPr>
                <w:i/>
              </w:rPr>
              <w:t>Horticultural Produce Commission Act 1988</w:t>
            </w:r>
            <w:r>
              <w:t xml:space="preserve"> s. 27(1)</w:t>
            </w:r>
          </w:p>
        </w:tc>
        <w:tc>
          <w:tcPr>
            <w:tcW w:w="1134" w:type="dxa"/>
            <w:gridSpan w:val="2"/>
          </w:tcPr>
          <w:p>
            <w:pPr>
              <w:pStyle w:val="nTable"/>
              <w:spacing w:after="40"/>
            </w:pPr>
            <w:r>
              <w:t>75 of 1988</w:t>
            </w:r>
          </w:p>
        </w:tc>
        <w:tc>
          <w:tcPr>
            <w:tcW w:w="1134" w:type="dxa"/>
            <w:gridSpan w:val="2"/>
          </w:tcPr>
          <w:p>
            <w:pPr>
              <w:pStyle w:val="nTable"/>
              <w:spacing w:after="40"/>
            </w:pPr>
            <w:r>
              <w:t>23 Dec 1988</w:t>
            </w:r>
          </w:p>
        </w:tc>
        <w:tc>
          <w:tcPr>
            <w:tcW w:w="2552" w:type="dxa"/>
            <w:gridSpan w:val="2"/>
          </w:tcPr>
          <w:p>
            <w:pPr>
              <w:pStyle w:val="nTable"/>
              <w:spacing w:after="40"/>
            </w:pPr>
            <w:r>
              <w:t xml:space="preserve">1 Sep 1989 (see s. 2 and </w:t>
            </w:r>
            <w:r>
              <w:rPr>
                <w:i/>
              </w:rPr>
              <w:t>Gazette</w:t>
            </w:r>
            <w:r>
              <w:t xml:space="preserve"> 1 Sep 1989 p. 3017)</w:t>
            </w:r>
          </w:p>
        </w:tc>
      </w:tr>
      <w:tr>
        <w:trPr>
          <w:gridBefore w:val="1"/>
          <w:wBefore w:w="13" w:type="dxa"/>
          <w:cantSplit/>
        </w:trPr>
        <w:tc>
          <w:tcPr>
            <w:tcW w:w="7090" w:type="dxa"/>
            <w:gridSpan w:val="8"/>
          </w:tcPr>
          <w:p>
            <w:pPr>
              <w:pStyle w:val="nTable"/>
              <w:spacing w:after="40"/>
            </w:pPr>
            <w:r>
              <w:rPr>
                <w:b/>
              </w:rPr>
              <w:t xml:space="preserve">Reprint of the </w:t>
            </w:r>
            <w:r>
              <w:rPr>
                <w:b/>
                <w:i/>
              </w:rPr>
              <w:t>Parliamentary Commissioner Act 1971</w:t>
            </w:r>
            <w:r>
              <w:rPr>
                <w:b/>
              </w:rPr>
              <w:t xml:space="preserve"> as at 31 Mar 1989</w:t>
            </w:r>
            <w:r>
              <w:t xml:space="preserve"> (includes amendments listed above except those in the </w:t>
            </w:r>
            <w:r>
              <w:rPr>
                <w:i/>
              </w:rPr>
              <w:t xml:space="preserve">Boxing Control Act 1987 </w:t>
            </w:r>
            <w:r>
              <w:t xml:space="preserve">and the </w:t>
            </w:r>
            <w:r>
              <w:rPr>
                <w:i/>
              </w:rPr>
              <w:t>Horticultural Produce Commission Act 1988</w:t>
            </w:r>
            <w:r>
              <w:t>)</w:t>
            </w:r>
          </w:p>
        </w:tc>
      </w:tr>
      <w:tr>
        <w:trPr>
          <w:gridBefore w:val="1"/>
          <w:wBefore w:w="13" w:type="dxa"/>
          <w:cantSplit/>
        </w:trPr>
        <w:tc>
          <w:tcPr>
            <w:tcW w:w="2270" w:type="dxa"/>
            <w:gridSpan w:val="2"/>
          </w:tcPr>
          <w:p>
            <w:pPr>
              <w:pStyle w:val="nTable"/>
              <w:spacing w:after="40"/>
              <w:ind w:right="113"/>
            </w:pPr>
            <w:r>
              <w:rPr>
                <w:i/>
              </w:rPr>
              <w:t>Coal Industry Superannuation Act 1989</w:t>
            </w:r>
            <w:r>
              <w:t xml:space="preserve"> s. 33(2)</w:t>
            </w:r>
          </w:p>
        </w:tc>
        <w:tc>
          <w:tcPr>
            <w:tcW w:w="1134" w:type="dxa"/>
            <w:gridSpan w:val="2"/>
          </w:tcPr>
          <w:p>
            <w:pPr>
              <w:pStyle w:val="nTable"/>
              <w:spacing w:after="40"/>
            </w:pPr>
            <w:r>
              <w:t>28 of 1989</w:t>
            </w:r>
          </w:p>
        </w:tc>
        <w:tc>
          <w:tcPr>
            <w:tcW w:w="1134" w:type="dxa"/>
            <w:gridSpan w:val="2"/>
          </w:tcPr>
          <w:p>
            <w:pPr>
              <w:pStyle w:val="nTable"/>
              <w:spacing w:after="40"/>
            </w:pPr>
            <w:r>
              <w:t>12 Dec 1989</w:t>
            </w:r>
          </w:p>
        </w:tc>
        <w:tc>
          <w:tcPr>
            <w:tcW w:w="2552" w:type="dxa"/>
            <w:gridSpan w:val="2"/>
          </w:tcPr>
          <w:p>
            <w:pPr>
              <w:pStyle w:val="nTable"/>
              <w:spacing w:after="40"/>
            </w:pPr>
            <w:r>
              <w:t xml:space="preserve">1 Jul 1990 (see s. 2 and </w:t>
            </w:r>
            <w:r>
              <w:rPr>
                <w:i/>
              </w:rPr>
              <w:t>Gazette</w:t>
            </w:r>
            <w:r>
              <w:t xml:space="preserve"> 22 Jun 1990 p. 3027)</w:t>
            </w:r>
          </w:p>
        </w:tc>
      </w:tr>
      <w:tr>
        <w:trPr>
          <w:gridBefore w:val="1"/>
          <w:wBefore w:w="13" w:type="dxa"/>
          <w:cantSplit/>
        </w:trPr>
        <w:tc>
          <w:tcPr>
            <w:tcW w:w="2270" w:type="dxa"/>
            <w:gridSpan w:val="2"/>
          </w:tcPr>
          <w:p>
            <w:pPr>
              <w:pStyle w:val="nTable"/>
              <w:spacing w:after="40"/>
              <w:ind w:right="113"/>
            </w:pPr>
            <w:r>
              <w:rPr>
                <w:i/>
              </w:rPr>
              <w:t>Acts Amendment (Parliamentary Superannuation) Act 1989</w:t>
            </w:r>
            <w:r>
              <w:t xml:space="preserve"> Pt. 4</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2" w:type="dxa"/>
            <w:gridSpan w:val="2"/>
          </w:tcPr>
          <w:p>
            <w:pPr>
              <w:pStyle w:val="nTable"/>
              <w:spacing w:after="40"/>
            </w:pPr>
            <w:r>
              <w:t>15 Dec 1989 (see s. 2)</w:t>
            </w:r>
          </w:p>
        </w:tc>
      </w:tr>
      <w:tr>
        <w:trPr>
          <w:gridBefore w:val="1"/>
          <w:wBefore w:w="13" w:type="dxa"/>
          <w:cantSplit/>
        </w:trPr>
        <w:tc>
          <w:tcPr>
            <w:tcW w:w="2270" w:type="dxa"/>
            <w:gridSpan w:val="2"/>
          </w:tcPr>
          <w:p>
            <w:pPr>
              <w:pStyle w:val="nTable"/>
              <w:spacing w:after="40"/>
              <w:ind w:right="113"/>
            </w:pPr>
            <w:r>
              <w:rPr>
                <w:i/>
              </w:rPr>
              <w:t>Acts Amendment (</w:t>
            </w:r>
            <w:smartTag w:uri="urn:schemas-microsoft-com:office:smarttags" w:element="City">
              <w:smartTag w:uri="urn:schemas-microsoft-com:office:smarttags" w:element="place">
                <w:r>
                  <w:rPr>
                    <w:i/>
                  </w:rPr>
                  <w:t>Perth</w:t>
                </w:r>
              </w:smartTag>
            </w:smartTag>
            <w:r>
              <w:rPr>
                <w:i/>
              </w:rPr>
              <w:t xml:space="preserve"> Market Authority) Act 1990</w:t>
            </w:r>
            <w:r>
              <w:t xml:space="preserve"> Pt. 6</w:t>
            </w:r>
          </w:p>
        </w:tc>
        <w:tc>
          <w:tcPr>
            <w:tcW w:w="1134" w:type="dxa"/>
            <w:gridSpan w:val="2"/>
          </w:tcPr>
          <w:p>
            <w:pPr>
              <w:pStyle w:val="nTable"/>
              <w:spacing w:after="40"/>
            </w:pPr>
            <w:r>
              <w:t>6 of 1990</w:t>
            </w:r>
          </w:p>
        </w:tc>
        <w:tc>
          <w:tcPr>
            <w:tcW w:w="1134" w:type="dxa"/>
            <w:gridSpan w:val="2"/>
          </w:tcPr>
          <w:p>
            <w:pPr>
              <w:pStyle w:val="nTable"/>
              <w:spacing w:after="40"/>
            </w:pPr>
            <w:r>
              <w:t>12 Jul 1990</w:t>
            </w:r>
          </w:p>
        </w:tc>
        <w:tc>
          <w:tcPr>
            <w:tcW w:w="2552" w:type="dxa"/>
            <w:gridSpan w:val="2"/>
          </w:tcPr>
          <w:p>
            <w:pPr>
              <w:pStyle w:val="nTable"/>
              <w:spacing w:after="40"/>
            </w:pPr>
            <w:r>
              <w:t xml:space="preserve">1 Jan 1991 (see s. 2 and </w:t>
            </w:r>
            <w:r>
              <w:rPr>
                <w:i/>
              </w:rPr>
              <w:t>Gazette</w:t>
            </w:r>
            <w:r>
              <w:t xml:space="preserve"> 21 Dec 1990 p. 6211)</w:t>
            </w:r>
          </w:p>
        </w:tc>
      </w:tr>
      <w:tr>
        <w:trPr>
          <w:gridBefore w:val="1"/>
          <w:wBefore w:w="13" w:type="dxa"/>
          <w:cantSplit/>
        </w:trPr>
        <w:tc>
          <w:tcPr>
            <w:tcW w:w="2270" w:type="dxa"/>
            <w:gridSpan w:val="2"/>
          </w:tcPr>
          <w:p>
            <w:pPr>
              <w:pStyle w:val="nTable"/>
              <w:spacing w:after="40"/>
              <w:ind w:right="113"/>
            </w:pPr>
            <w:r>
              <w:rPr>
                <w:i/>
              </w:rPr>
              <w:t>Acts Amendment (Gold Banking Corporation) Act 1990</w:t>
            </w:r>
            <w:r>
              <w:t xml:space="preserve"> Pt. 5</w:t>
            </w:r>
          </w:p>
        </w:tc>
        <w:tc>
          <w:tcPr>
            <w:tcW w:w="1134" w:type="dxa"/>
            <w:gridSpan w:val="2"/>
          </w:tcPr>
          <w:p>
            <w:pPr>
              <w:pStyle w:val="nTable"/>
              <w:spacing w:after="40"/>
            </w:pPr>
            <w:r>
              <w:t>10 of 1990</w:t>
            </w:r>
          </w:p>
        </w:tc>
        <w:tc>
          <w:tcPr>
            <w:tcW w:w="1134" w:type="dxa"/>
            <w:gridSpan w:val="2"/>
          </w:tcPr>
          <w:p>
            <w:pPr>
              <w:pStyle w:val="nTable"/>
              <w:spacing w:after="40"/>
            </w:pPr>
            <w:r>
              <w:t>31 Jul 1990</w:t>
            </w:r>
          </w:p>
        </w:tc>
        <w:tc>
          <w:tcPr>
            <w:tcW w:w="2552" w:type="dxa"/>
            <w:gridSpan w:val="2"/>
          </w:tcPr>
          <w:p>
            <w:pPr>
              <w:pStyle w:val="nTable"/>
              <w:spacing w:after="40"/>
            </w:pPr>
            <w:r>
              <w:t xml:space="preserve">28 Sep 1990 (see s. 2 and </w:t>
            </w:r>
            <w:r>
              <w:rPr>
                <w:i/>
              </w:rPr>
              <w:t>Gazette</w:t>
            </w:r>
            <w:r>
              <w:t xml:space="preserve"> 28 Sep 1990 p. 4981)</w:t>
            </w:r>
          </w:p>
        </w:tc>
      </w:tr>
      <w:tr>
        <w:trPr>
          <w:gridBefore w:val="1"/>
          <w:wBefore w:w="13" w:type="dxa"/>
          <w:cantSplit/>
        </w:trPr>
        <w:tc>
          <w:tcPr>
            <w:tcW w:w="2270" w:type="dxa"/>
            <w:gridSpan w:val="2"/>
          </w:tcPr>
          <w:p>
            <w:pPr>
              <w:pStyle w:val="nTable"/>
              <w:spacing w:after="40"/>
              <w:ind w:right="113"/>
            </w:pPr>
            <w:r>
              <w:rPr>
                <w:i/>
              </w:rPr>
              <w:t>Lotteries Commission Act 1990</w:t>
            </w:r>
            <w:r>
              <w:t xml:space="preserve"> s. 33</w:t>
            </w:r>
          </w:p>
        </w:tc>
        <w:tc>
          <w:tcPr>
            <w:tcW w:w="1134" w:type="dxa"/>
            <w:gridSpan w:val="2"/>
          </w:tcPr>
          <w:p>
            <w:pPr>
              <w:pStyle w:val="nTable"/>
              <w:spacing w:after="40"/>
            </w:pPr>
            <w:r>
              <w:t>16 of 1990</w:t>
            </w:r>
          </w:p>
        </w:tc>
        <w:tc>
          <w:tcPr>
            <w:tcW w:w="1134" w:type="dxa"/>
            <w:gridSpan w:val="2"/>
          </w:tcPr>
          <w:p>
            <w:pPr>
              <w:pStyle w:val="nTable"/>
              <w:spacing w:after="40"/>
            </w:pPr>
            <w:r>
              <w:t>31 Jul 1990</w:t>
            </w:r>
          </w:p>
        </w:tc>
        <w:tc>
          <w:tcPr>
            <w:tcW w:w="2552" w:type="dxa"/>
            <w:gridSpan w:val="2"/>
          </w:tcPr>
          <w:p>
            <w:pPr>
              <w:pStyle w:val="nTable"/>
              <w:spacing w:after="40"/>
            </w:pPr>
            <w:r>
              <w:t xml:space="preserve">1 Jan 1991 (see s. 2 and </w:t>
            </w:r>
            <w:r>
              <w:rPr>
                <w:i/>
              </w:rPr>
              <w:t>Gazette</w:t>
            </w:r>
            <w:r>
              <w:t xml:space="preserve"> 28 Dec 1990 p. 6369)</w:t>
            </w:r>
          </w:p>
        </w:tc>
      </w:tr>
      <w:tr>
        <w:trPr>
          <w:gridBefore w:val="1"/>
          <w:wBefore w:w="13" w:type="dxa"/>
          <w:cantSplit/>
        </w:trPr>
        <w:tc>
          <w:tcPr>
            <w:tcW w:w="2270" w:type="dxa"/>
            <w:gridSpan w:val="2"/>
          </w:tcPr>
          <w:p>
            <w:pPr>
              <w:pStyle w:val="nTable"/>
              <w:spacing w:after="40"/>
              <w:ind w:right="113"/>
            </w:pPr>
            <w:r>
              <w:rPr>
                <w:i/>
              </w:rPr>
              <w:t>Guardianship and Administration Act 1990</w:t>
            </w:r>
            <w:r>
              <w:t xml:space="preserve"> 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rPr>
          <w:gridBefore w:val="1"/>
          <w:wBefore w:w="13" w:type="dxa"/>
          <w:cantSplit/>
        </w:trPr>
        <w:tc>
          <w:tcPr>
            <w:tcW w:w="2270" w:type="dxa"/>
            <w:gridSpan w:val="2"/>
          </w:tcPr>
          <w:p>
            <w:pPr>
              <w:pStyle w:val="nTable"/>
              <w:spacing w:after="40"/>
              <w:ind w:right="113"/>
            </w:pPr>
            <w:r>
              <w:rPr>
                <w:i/>
              </w:rPr>
              <w:t>Goldfields</w:t>
            </w:r>
            <w:r>
              <w:rPr>
                <w:i/>
              </w:rPr>
              <w:noBreakHyphen/>
              <w:t>Esperance Development Authority Act 1990</w:t>
            </w:r>
            <w:r>
              <w:t xml:space="preserve"> s. 36</w:t>
            </w:r>
          </w:p>
        </w:tc>
        <w:tc>
          <w:tcPr>
            <w:tcW w:w="1134" w:type="dxa"/>
            <w:gridSpan w:val="2"/>
          </w:tcPr>
          <w:p>
            <w:pPr>
              <w:pStyle w:val="nTable"/>
              <w:spacing w:after="40"/>
            </w:pPr>
            <w:r>
              <w:t>39 of 1990</w:t>
            </w:r>
          </w:p>
        </w:tc>
        <w:tc>
          <w:tcPr>
            <w:tcW w:w="1134" w:type="dxa"/>
            <w:gridSpan w:val="2"/>
          </w:tcPr>
          <w:p>
            <w:pPr>
              <w:pStyle w:val="nTable"/>
              <w:spacing w:after="40"/>
            </w:pPr>
            <w:r>
              <w:t>8 Nov 1990</w:t>
            </w:r>
          </w:p>
        </w:tc>
        <w:tc>
          <w:tcPr>
            <w:tcW w:w="2552" w:type="dxa"/>
            <w:gridSpan w:val="2"/>
          </w:tcPr>
          <w:p>
            <w:pPr>
              <w:pStyle w:val="nTable"/>
              <w:spacing w:after="40"/>
            </w:pPr>
            <w:r>
              <w:t xml:space="preserve">7 Dec 1990 (see s. 2 and </w:t>
            </w:r>
            <w:r>
              <w:rPr>
                <w:i/>
              </w:rPr>
              <w:t>Gazette</w:t>
            </w:r>
            <w:r>
              <w:t xml:space="preserve"> 7 Dec 1990 p. 5979)</w:t>
            </w:r>
          </w:p>
        </w:tc>
      </w:tr>
      <w:tr>
        <w:trPr>
          <w:gridBefore w:val="1"/>
          <w:wBefore w:w="13" w:type="dxa"/>
          <w:cantSplit/>
        </w:trPr>
        <w:tc>
          <w:tcPr>
            <w:tcW w:w="2270" w:type="dxa"/>
            <w:gridSpan w:val="2"/>
          </w:tcPr>
          <w:p>
            <w:pPr>
              <w:pStyle w:val="nTable"/>
              <w:spacing w:after="40"/>
              <w:ind w:right="113"/>
            </w:pPr>
            <w:r>
              <w:rPr>
                <w:i/>
              </w:rPr>
              <w:t>State Employment and Skills Development Authority Act 1990</w:t>
            </w:r>
            <w:r>
              <w:t xml:space="preserve"> s. 48</w:t>
            </w:r>
          </w:p>
        </w:tc>
        <w:tc>
          <w:tcPr>
            <w:tcW w:w="1134" w:type="dxa"/>
            <w:gridSpan w:val="2"/>
          </w:tcPr>
          <w:p>
            <w:pPr>
              <w:pStyle w:val="nTable"/>
              <w:spacing w:after="40"/>
            </w:pPr>
            <w:r>
              <w:t>40 of 1990</w:t>
            </w:r>
          </w:p>
        </w:tc>
        <w:tc>
          <w:tcPr>
            <w:tcW w:w="1134" w:type="dxa"/>
            <w:gridSpan w:val="2"/>
          </w:tcPr>
          <w:p>
            <w:pPr>
              <w:pStyle w:val="nTable"/>
              <w:spacing w:after="40"/>
            </w:pPr>
            <w:r>
              <w:t>26 Nov 1990</w:t>
            </w:r>
          </w:p>
        </w:tc>
        <w:tc>
          <w:tcPr>
            <w:tcW w:w="2552" w:type="dxa"/>
            <w:gridSpan w:val="2"/>
          </w:tcPr>
          <w:p>
            <w:pPr>
              <w:pStyle w:val="nTable"/>
              <w:spacing w:after="40"/>
            </w:pPr>
            <w:r>
              <w:t xml:space="preserve">22 Mar 1991 (see s. 2 and </w:t>
            </w:r>
            <w:r>
              <w:rPr>
                <w:i/>
              </w:rPr>
              <w:t>Gazette</w:t>
            </w:r>
            <w:r>
              <w:t xml:space="preserve"> 22 Mar 1991 p. 1209)</w:t>
            </w:r>
          </w:p>
        </w:tc>
      </w:tr>
      <w:tr>
        <w:trPr>
          <w:gridBefore w:val="1"/>
          <w:wBefore w:w="13" w:type="dxa"/>
          <w:cantSplit/>
        </w:trPr>
        <w:tc>
          <w:tcPr>
            <w:tcW w:w="2270" w:type="dxa"/>
            <w:gridSpan w:val="2"/>
          </w:tcPr>
          <w:p>
            <w:pPr>
              <w:pStyle w:val="nTable"/>
              <w:spacing w:after="40"/>
              <w:ind w:right="113"/>
            </w:pPr>
            <w:r>
              <w:rPr>
                <w:i/>
              </w:rPr>
              <w:t>Soil and Land Conservation Amendment Act 1990</w:t>
            </w:r>
            <w:r>
              <w:t xml:space="preserve"> s. 17</w:t>
            </w:r>
          </w:p>
        </w:tc>
        <w:tc>
          <w:tcPr>
            <w:tcW w:w="1134" w:type="dxa"/>
            <w:gridSpan w:val="2"/>
          </w:tcPr>
          <w:p>
            <w:pPr>
              <w:pStyle w:val="nTable"/>
              <w:spacing w:after="40"/>
            </w:pPr>
            <w:r>
              <w:t>91 of 1990</w:t>
            </w:r>
          </w:p>
        </w:tc>
        <w:tc>
          <w:tcPr>
            <w:tcW w:w="1134" w:type="dxa"/>
            <w:gridSpan w:val="2"/>
          </w:tcPr>
          <w:p>
            <w:pPr>
              <w:pStyle w:val="nTable"/>
              <w:spacing w:after="40"/>
            </w:pPr>
            <w:r>
              <w:t>17 Dec 1990</w:t>
            </w:r>
          </w:p>
        </w:tc>
        <w:tc>
          <w:tcPr>
            <w:tcW w:w="2552" w:type="dxa"/>
            <w:gridSpan w:val="2"/>
          </w:tcPr>
          <w:p>
            <w:pPr>
              <w:pStyle w:val="nTable"/>
              <w:spacing w:after="40"/>
            </w:pPr>
            <w:r>
              <w:t xml:space="preserve">28 Oct 1995 (see s. 2 and </w:t>
            </w:r>
            <w:r>
              <w:rPr>
                <w:i/>
              </w:rPr>
              <w:t>Gazette</w:t>
            </w:r>
            <w:r>
              <w:t xml:space="preserve"> 27 Oct 1995 p. 4937)</w:t>
            </w:r>
          </w:p>
        </w:tc>
      </w:tr>
      <w:tr>
        <w:trPr>
          <w:gridBefore w:val="1"/>
          <w:wBefore w:w="13" w:type="dxa"/>
          <w:cantSplit/>
        </w:trPr>
        <w:tc>
          <w:tcPr>
            <w:tcW w:w="2270" w:type="dxa"/>
            <w:gridSpan w:val="2"/>
          </w:tcPr>
          <w:p>
            <w:pPr>
              <w:pStyle w:val="nTable"/>
              <w:spacing w:after="40"/>
              <w:ind w:right="113"/>
            </w:pPr>
            <w:r>
              <w:rPr>
                <w:i/>
              </w:rPr>
              <w:t>R &amp; I Bank Act 1990</w:t>
            </w:r>
            <w:r>
              <w:t xml:space="preserve"> s. 45(1)</w:t>
            </w:r>
          </w:p>
        </w:tc>
        <w:tc>
          <w:tcPr>
            <w:tcW w:w="1134" w:type="dxa"/>
            <w:gridSpan w:val="2"/>
          </w:tcPr>
          <w:p>
            <w:pPr>
              <w:pStyle w:val="nTable"/>
              <w:spacing w:after="40"/>
            </w:pPr>
            <w:r>
              <w:t>73 of 1990</w:t>
            </w:r>
          </w:p>
        </w:tc>
        <w:tc>
          <w:tcPr>
            <w:tcW w:w="1134" w:type="dxa"/>
            <w:gridSpan w:val="2"/>
          </w:tcPr>
          <w:p>
            <w:pPr>
              <w:pStyle w:val="nTable"/>
              <w:spacing w:after="40"/>
            </w:pPr>
            <w:r>
              <w:t>20 Dec 1990</w:t>
            </w:r>
          </w:p>
        </w:tc>
        <w:tc>
          <w:tcPr>
            <w:tcW w:w="2552" w:type="dxa"/>
            <w:gridSpan w:val="2"/>
          </w:tcPr>
          <w:p>
            <w:pPr>
              <w:pStyle w:val="nTable"/>
              <w:spacing w:after="40"/>
            </w:pPr>
            <w:r>
              <w:t xml:space="preserve">1 Jan 1991 (see s. 2(2) and </w:t>
            </w:r>
            <w:r>
              <w:rPr>
                <w:i/>
              </w:rPr>
              <w:t>Gazette</w:t>
            </w:r>
            <w:r>
              <w:t xml:space="preserve"> 28 Dec 1990 p. 6369)</w:t>
            </w:r>
          </w:p>
        </w:tc>
      </w:tr>
      <w:tr>
        <w:trPr>
          <w:gridBefore w:val="1"/>
          <w:wBefore w:w="13" w:type="dxa"/>
          <w:cantSplit/>
        </w:trPr>
        <w:tc>
          <w:tcPr>
            <w:tcW w:w="2270" w:type="dxa"/>
            <w:gridSpan w:val="2"/>
          </w:tcPr>
          <w:p>
            <w:pPr>
              <w:pStyle w:val="nTable"/>
              <w:spacing w:after="40"/>
              <w:ind w:right="113"/>
            </w:pPr>
            <w:r>
              <w:rPr>
                <w:i/>
              </w:rPr>
              <w:t>Building and Construction Industry Training Fund and Levy Collection Act 1990</w:t>
            </w:r>
            <w:r>
              <w:t xml:space="preserve"> s. 33</w:t>
            </w:r>
          </w:p>
        </w:tc>
        <w:tc>
          <w:tcPr>
            <w:tcW w:w="1134" w:type="dxa"/>
            <w:gridSpan w:val="2"/>
          </w:tcPr>
          <w:p>
            <w:pPr>
              <w:pStyle w:val="nTable"/>
              <w:spacing w:after="40"/>
            </w:pPr>
            <w:r>
              <w:t>76 of 1990</w:t>
            </w:r>
          </w:p>
        </w:tc>
        <w:tc>
          <w:tcPr>
            <w:tcW w:w="1134" w:type="dxa"/>
            <w:gridSpan w:val="2"/>
          </w:tcPr>
          <w:p>
            <w:pPr>
              <w:pStyle w:val="nTable"/>
              <w:spacing w:after="40"/>
            </w:pPr>
            <w:r>
              <w:t>20 Dec 1990</w:t>
            </w:r>
          </w:p>
        </w:tc>
        <w:tc>
          <w:tcPr>
            <w:tcW w:w="2552" w:type="dxa"/>
            <w:gridSpan w:val="2"/>
          </w:tcPr>
          <w:p>
            <w:pPr>
              <w:pStyle w:val="nTable"/>
              <w:spacing w:after="40"/>
            </w:pPr>
            <w:r>
              <w:t xml:space="preserve">1 Jul 1991 (see s. 2 and </w:t>
            </w:r>
            <w:r>
              <w:rPr>
                <w:i/>
              </w:rPr>
              <w:t>Gazette</w:t>
            </w:r>
            <w:r>
              <w:t xml:space="preserve"> 28 Jun 1991 p. 3101)</w:t>
            </w:r>
          </w:p>
        </w:tc>
      </w:tr>
      <w:tr>
        <w:trPr>
          <w:gridBefore w:val="1"/>
          <w:wBefore w:w="13" w:type="dxa"/>
          <w:cantSplit/>
        </w:trPr>
        <w:tc>
          <w:tcPr>
            <w:tcW w:w="2270" w:type="dxa"/>
            <w:gridSpan w:val="2"/>
          </w:tcPr>
          <w:p>
            <w:pPr>
              <w:pStyle w:val="nTable"/>
              <w:spacing w:after="40"/>
              <w:ind w:right="113"/>
            </w:pPr>
            <w:r>
              <w:rPr>
                <w:i/>
              </w:rPr>
              <w:t>Acts Amendment (Heritage Council) Act 1990</w:t>
            </w:r>
            <w:r>
              <w:t xml:space="preserve"> s. 4</w:t>
            </w:r>
          </w:p>
        </w:tc>
        <w:tc>
          <w:tcPr>
            <w:tcW w:w="1134" w:type="dxa"/>
            <w:gridSpan w:val="2"/>
          </w:tcPr>
          <w:p>
            <w:pPr>
              <w:pStyle w:val="nTable"/>
              <w:spacing w:after="40"/>
            </w:pPr>
            <w:r>
              <w:t>97 of 1990</w:t>
            </w:r>
          </w:p>
        </w:tc>
        <w:tc>
          <w:tcPr>
            <w:tcW w:w="1134" w:type="dxa"/>
            <w:gridSpan w:val="2"/>
          </w:tcPr>
          <w:p>
            <w:pPr>
              <w:pStyle w:val="nTable"/>
              <w:spacing w:after="40"/>
            </w:pPr>
            <w:r>
              <w:t>22 Dec 1990</w:t>
            </w:r>
          </w:p>
        </w:tc>
        <w:tc>
          <w:tcPr>
            <w:tcW w:w="2552" w:type="dxa"/>
            <w:gridSpan w:val="2"/>
          </w:tcPr>
          <w:p>
            <w:pPr>
              <w:pStyle w:val="nTable"/>
              <w:spacing w:after="40"/>
            </w:pPr>
            <w:r>
              <w:t xml:space="preserve">25 Feb 1991 (see s. 2 and </w:t>
            </w:r>
            <w:r>
              <w:rPr>
                <w:i/>
              </w:rPr>
              <w:t>Gazette</w:t>
            </w:r>
            <w:r>
              <w:t xml:space="preserve"> 22 Feb 1991 p. 868)</w:t>
            </w:r>
          </w:p>
        </w:tc>
      </w:tr>
      <w:tr>
        <w:trPr>
          <w:gridBefore w:val="1"/>
          <w:wBefore w:w="13" w:type="dxa"/>
          <w:cantSplit/>
        </w:trPr>
        <w:tc>
          <w:tcPr>
            <w:tcW w:w="2270" w:type="dxa"/>
            <w:gridSpan w:val="2"/>
          </w:tcPr>
          <w:p>
            <w:pPr>
              <w:pStyle w:val="nTable"/>
              <w:spacing w:after="40"/>
              <w:ind w:right="113"/>
            </w:pPr>
            <w:r>
              <w:rPr>
                <w:i/>
              </w:rPr>
              <w:t>Tobacco Control Act 1990</w:t>
            </w:r>
            <w:r>
              <w:t xml:space="preserve"> s. 39</w:t>
            </w:r>
          </w:p>
        </w:tc>
        <w:tc>
          <w:tcPr>
            <w:tcW w:w="1134" w:type="dxa"/>
            <w:gridSpan w:val="2"/>
          </w:tcPr>
          <w:p>
            <w:pPr>
              <w:pStyle w:val="nTable"/>
              <w:spacing w:after="40"/>
            </w:pPr>
            <w:r>
              <w:t>104 of 1990</w:t>
            </w:r>
          </w:p>
        </w:tc>
        <w:tc>
          <w:tcPr>
            <w:tcW w:w="1134" w:type="dxa"/>
            <w:gridSpan w:val="2"/>
          </w:tcPr>
          <w:p>
            <w:pPr>
              <w:pStyle w:val="nTable"/>
              <w:spacing w:after="40"/>
            </w:pPr>
            <w:r>
              <w:t>2 Jan 1991</w:t>
            </w:r>
          </w:p>
        </w:tc>
        <w:tc>
          <w:tcPr>
            <w:tcW w:w="2552" w:type="dxa"/>
            <w:gridSpan w:val="2"/>
          </w:tcPr>
          <w:p>
            <w:pPr>
              <w:pStyle w:val="nTable"/>
              <w:spacing w:after="40"/>
            </w:pPr>
            <w:r>
              <w:t xml:space="preserve">8 Feb 1991 (see s. 2(1) and </w:t>
            </w:r>
            <w:r>
              <w:rPr>
                <w:i/>
              </w:rPr>
              <w:t>Gazette</w:t>
            </w:r>
            <w:r>
              <w:t xml:space="preserve"> 8 Feb 1991 p. 575)</w:t>
            </w:r>
          </w:p>
        </w:tc>
      </w:tr>
      <w:tr>
        <w:trPr>
          <w:gridBefore w:val="1"/>
          <w:wBefore w:w="13" w:type="dxa"/>
          <w:cantSplit/>
        </w:trPr>
        <w:tc>
          <w:tcPr>
            <w:tcW w:w="2270" w:type="dxa"/>
            <w:gridSpan w:val="2"/>
          </w:tcPr>
          <w:p>
            <w:pPr>
              <w:pStyle w:val="nTable"/>
              <w:spacing w:after="40"/>
              <w:ind w:right="113"/>
            </w:pPr>
            <w:r>
              <w:rPr>
                <w:i/>
              </w:rPr>
              <w:t>State Supply Commission Act 1991</w:t>
            </w:r>
            <w:r>
              <w:t xml:space="preserve"> s. 35</w:t>
            </w:r>
          </w:p>
        </w:tc>
        <w:tc>
          <w:tcPr>
            <w:tcW w:w="1134" w:type="dxa"/>
            <w:gridSpan w:val="2"/>
          </w:tcPr>
          <w:p>
            <w:pPr>
              <w:pStyle w:val="nTable"/>
              <w:spacing w:after="40"/>
            </w:pPr>
            <w:r>
              <w:t>5 of 1991</w:t>
            </w:r>
          </w:p>
        </w:tc>
        <w:tc>
          <w:tcPr>
            <w:tcW w:w="1134" w:type="dxa"/>
            <w:gridSpan w:val="2"/>
          </w:tcPr>
          <w:p>
            <w:pPr>
              <w:pStyle w:val="nTable"/>
              <w:spacing w:after="40"/>
            </w:pPr>
            <w:r>
              <w:t>6 Jun 1991</w:t>
            </w:r>
          </w:p>
        </w:tc>
        <w:tc>
          <w:tcPr>
            <w:tcW w:w="2552" w:type="dxa"/>
            <w:gridSpan w:val="2"/>
          </w:tcPr>
          <w:p>
            <w:pPr>
              <w:pStyle w:val="nTable"/>
              <w:spacing w:after="40"/>
            </w:pPr>
            <w:r>
              <w:t xml:space="preserve">20 Sep 1991 (see s. 2 and </w:t>
            </w:r>
            <w:r>
              <w:rPr>
                <w:i/>
              </w:rPr>
              <w:t>Gazette</w:t>
            </w:r>
            <w:r>
              <w:t xml:space="preserve"> 20 Sep 1991 p. 4855)</w:t>
            </w:r>
          </w:p>
        </w:tc>
      </w:tr>
      <w:tr>
        <w:trPr>
          <w:gridBefore w:val="1"/>
          <w:wBefore w:w="13" w:type="dxa"/>
          <w:cantSplit/>
        </w:trPr>
        <w:tc>
          <w:tcPr>
            <w:tcW w:w="2270" w:type="dxa"/>
            <w:gridSpan w:val="2"/>
          </w:tcPr>
          <w:p>
            <w:pPr>
              <w:pStyle w:val="nTable"/>
              <w:spacing w:after="40"/>
              <w:ind w:right="113"/>
            </w:pPr>
            <w:r>
              <w:rPr>
                <w:i/>
              </w:rPr>
              <w:t>Human Reproductive Technology Act 1991</w:t>
            </w:r>
            <w:r>
              <w:t xml:space="preserve"> s. 62</w:t>
            </w:r>
          </w:p>
        </w:tc>
        <w:tc>
          <w:tcPr>
            <w:tcW w:w="1134" w:type="dxa"/>
            <w:gridSpan w:val="2"/>
          </w:tcPr>
          <w:p>
            <w:pPr>
              <w:pStyle w:val="nTable"/>
              <w:spacing w:after="40"/>
            </w:pPr>
            <w:r>
              <w:t>22 of 1991</w:t>
            </w:r>
          </w:p>
        </w:tc>
        <w:tc>
          <w:tcPr>
            <w:tcW w:w="1134" w:type="dxa"/>
            <w:gridSpan w:val="2"/>
          </w:tcPr>
          <w:p>
            <w:pPr>
              <w:pStyle w:val="nTable"/>
              <w:spacing w:after="40"/>
            </w:pPr>
            <w:r>
              <w:t>8 Oct 1991</w:t>
            </w:r>
          </w:p>
        </w:tc>
        <w:tc>
          <w:tcPr>
            <w:tcW w:w="2552" w:type="dxa"/>
            <w:gridSpan w:val="2"/>
          </w:tcPr>
          <w:p>
            <w:pPr>
              <w:pStyle w:val="nTable"/>
              <w:spacing w:after="40"/>
            </w:pPr>
            <w:r>
              <w:t xml:space="preserve">6 Mar 1992 (see s. 2 and </w:t>
            </w:r>
            <w:r>
              <w:rPr>
                <w:i/>
              </w:rPr>
              <w:t>Gazette</w:t>
            </w:r>
            <w:r>
              <w:t xml:space="preserve"> 6 Mar 1992 p. 1107)</w:t>
            </w:r>
          </w:p>
        </w:tc>
      </w:tr>
      <w:tr>
        <w:trPr>
          <w:gridBefore w:val="1"/>
          <w:wBefore w:w="13" w:type="dxa"/>
          <w:cantSplit/>
        </w:trPr>
        <w:tc>
          <w:tcPr>
            <w:tcW w:w="227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4" w:type="dxa"/>
            <w:gridSpan w:val="2"/>
          </w:tcPr>
          <w:p>
            <w:pPr>
              <w:pStyle w:val="nTable"/>
              <w:spacing w:after="40"/>
            </w:pPr>
            <w:r>
              <w:t>62 of 1991</w:t>
            </w:r>
          </w:p>
        </w:tc>
        <w:tc>
          <w:tcPr>
            <w:tcW w:w="1134" w:type="dxa"/>
            <w:gridSpan w:val="2"/>
          </w:tcPr>
          <w:p>
            <w:pPr>
              <w:pStyle w:val="nTable"/>
              <w:spacing w:after="40"/>
            </w:pPr>
            <w:r>
              <w:t>30 Dec 1991</w:t>
            </w:r>
          </w:p>
        </w:tc>
        <w:tc>
          <w:tcPr>
            <w:tcW w:w="2552" w:type="dxa"/>
            <w:gridSpan w:val="2"/>
          </w:tcPr>
          <w:p>
            <w:pPr>
              <w:pStyle w:val="nTable"/>
              <w:spacing w:after="40"/>
            </w:pPr>
            <w:r>
              <w:t xml:space="preserve">1 Jul 1992 (see s. 2 and </w:t>
            </w:r>
            <w:r>
              <w:rPr>
                <w:i/>
              </w:rPr>
              <w:t>Gazette</w:t>
            </w:r>
            <w:r>
              <w:t xml:space="preserve"> 1 Jul 1992 p. 2945)</w:t>
            </w:r>
          </w:p>
        </w:tc>
      </w:tr>
      <w:tr>
        <w:trPr>
          <w:gridBefore w:val="1"/>
          <w:wBefore w:w="13" w:type="dxa"/>
          <w:cantSplit/>
        </w:trPr>
        <w:tc>
          <w:tcPr>
            <w:tcW w:w="2270" w:type="dxa"/>
            <w:gridSpan w:val="2"/>
          </w:tcPr>
          <w:p>
            <w:pPr>
              <w:pStyle w:val="nTable"/>
              <w:spacing w:after="40"/>
              <w:ind w:right="113"/>
            </w:pPr>
            <w:r>
              <w:rPr>
                <w:i/>
              </w:rPr>
              <w:t>South West Development Authority Amendment Act 1992</w:t>
            </w:r>
            <w:r>
              <w:t xml:space="preserve"> s. 12(2)</w:t>
            </w:r>
          </w:p>
        </w:tc>
        <w:tc>
          <w:tcPr>
            <w:tcW w:w="1134" w:type="dxa"/>
            <w:gridSpan w:val="2"/>
          </w:tcPr>
          <w:p>
            <w:pPr>
              <w:pStyle w:val="nTable"/>
              <w:spacing w:after="40"/>
            </w:pPr>
            <w:r>
              <w:t>5 of 1992</w:t>
            </w:r>
          </w:p>
        </w:tc>
        <w:tc>
          <w:tcPr>
            <w:tcW w:w="1134" w:type="dxa"/>
            <w:gridSpan w:val="2"/>
          </w:tcPr>
          <w:p>
            <w:pPr>
              <w:pStyle w:val="nTable"/>
              <w:spacing w:after="40"/>
            </w:pPr>
            <w:r>
              <w:t>14 May 1992</w:t>
            </w:r>
          </w:p>
        </w:tc>
        <w:tc>
          <w:tcPr>
            <w:tcW w:w="2552" w:type="dxa"/>
            <w:gridSpan w:val="2"/>
          </w:tcPr>
          <w:p>
            <w:pPr>
              <w:pStyle w:val="nTable"/>
              <w:spacing w:after="40"/>
            </w:pPr>
            <w:r>
              <w:t xml:space="preserve">11 Aug 1992 (see s. 2 and </w:t>
            </w:r>
            <w:r>
              <w:rPr>
                <w:i/>
              </w:rPr>
              <w:t>Gazette</w:t>
            </w:r>
            <w:r>
              <w:t xml:space="preserve"> 11 Aug 1992 p. 3959)</w:t>
            </w:r>
          </w:p>
        </w:tc>
      </w:tr>
      <w:tr>
        <w:trPr>
          <w:gridBefore w:val="1"/>
          <w:wBefore w:w="13" w:type="dxa"/>
          <w:cantSplit/>
        </w:trPr>
        <w:tc>
          <w:tcPr>
            <w:tcW w:w="2270" w:type="dxa"/>
            <w:gridSpan w:val="2"/>
          </w:tcPr>
          <w:p>
            <w:pPr>
              <w:pStyle w:val="nTable"/>
              <w:spacing w:after="40"/>
              <w:ind w:right="113"/>
            </w:pPr>
            <w:r>
              <w:rPr>
                <w:i/>
              </w:rPr>
              <w:t>Western Australian Financial Institutions Authority Act 1992</w:t>
            </w:r>
            <w:r>
              <w:t xml:space="preserve"> s. 57</w:t>
            </w:r>
          </w:p>
        </w:tc>
        <w:tc>
          <w:tcPr>
            <w:tcW w:w="1134" w:type="dxa"/>
            <w:gridSpan w:val="2"/>
          </w:tcPr>
          <w:p>
            <w:pPr>
              <w:pStyle w:val="nTable"/>
              <w:spacing w:after="40"/>
            </w:pPr>
            <w:r>
              <w:t>29 of 1992</w:t>
            </w:r>
          </w:p>
        </w:tc>
        <w:tc>
          <w:tcPr>
            <w:tcW w:w="1134" w:type="dxa"/>
            <w:gridSpan w:val="2"/>
          </w:tcPr>
          <w:p>
            <w:pPr>
              <w:pStyle w:val="nTable"/>
              <w:spacing w:after="40"/>
            </w:pPr>
            <w:r>
              <w:t>19 Jun 1992</w:t>
            </w:r>
          </w:p>
        </w:tc>
        <w:tc>
          <w:tcPr>
            <w:tcW w:w="2552" w:type="dxa"/>
            <w:gridSpan w:val="2"/>
          </w:tcPr>
          <w:p>
            <w:pPr>
              <w:pStyle w:val="nTable"/>
              <w:spacing w:after="40"/>
            </w:pPr>
            <w:r>
              <w:t xml:space="preserve">1 Jul 1992 (see s. 2 and </w:t>
            </w:r>
            <w:r>
              <w:rPr>
                <w:i/>
              </w:rPr>
              <w:t>Gazette</w:t>
            </w:r>
            <w:r>
              <w:t xml:space="preserve"> 26 Jun 1992 p. 2643)</w:t>
            </w:r>
          </w:p>
        </w:tc>
      </w:tr>
      <w:tr>
        <w:trPr>
          <w:gridBefore w:val="1"/>
          <w:wBefore w:w="13" w:type="dxa"/>
          <w:cantSplit/>
        </w:trPr>
        <w:tc>
          <w:tcPr>
            <w:tcW w:w="227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gridSpan w:val="2"/>
          </w:tcPr>
          <w:p>
            <w:pPr>
              <w:pStyle w:val="nTable"/>
              <w:spacing w:after="40"/>
            </w:pPr>
            <w:r>
              <w:t>35 of 1992</w:t>
            </w:r>
          </w:p>
        </w:tc>
        <w:tc>
          <w:tcPr>
            <w:tcW w:w="1134" w:type="dxa"/>
            <w:gridSpan w:val="2"/>
          </w:tcPr>
          <w:p>
            <w:pPr>
              <w:pStyle w:val="nTable"/>
              <w:spacing w:after="40"/>
            </w:pPr>
            <w:r>
              <w:t>23 Jun 1992</w:t>
            </w:r>
          </w:p>
        </w:tc>
        <w:tc>
          <w:tcPr>
            <w:tcW w:w="2552" w:type="dxa"/>
            <w:gridSpan w:val="2"/>
          </w:tcPr>
          <w:p>
            <w:pPr>
              <w:pStyle w:val="nTable"/>
              <w:spacing w:after="40"/>
            </w:pPr>
            <w:r>
              <w:t xml:space="preserve">1 Jul 1992 (see s. 2(2) and </w:t>
            </w:r>
            <w:r>
              <w:rPr>
                <w:i/>
              </w:rPr>
              <w:t>Gazette</w:t>
            </w:r>
            <w:r>
              <w:t xml:space="preserve"> 30 Jun 1992 p. 2869)</w:t>
            </w:r>
          </w:p>
        </w:tc>
      </w:tr>
      <w:tr>
        <w:trPr>
          <w:gridBefore w:val="1"/>
          <w:wBefore w:w="13" w:type="dxa"/>
          <w:cantSplit/>
        </w:trPr>
        <w:tc>
          <w:tcPr>
            <w:tcW w:w="7090" w:type="dxa"/>
            <w:gridSpan w:val="8"/>
          </w:tcPr>
          <w:p>
            <w:pPr>
              <w:pStyle w:val="nTable"/>
              <w:spacing w:after="40"/>
            </w:pPr>
            <w:r>
              <w:rPr>
                <w:b/>
              </w:rPr>
              <w:t xml:space="preserve">Reprint of the </w:t>
            </w:r>
            <w:r>
              <w:rPr>
                <w:b/>
                <w:i/>
              </w:rPr>
              <w:t>Parliamentary Commissioner Act 1971</w:t>
            </w:r>
            <w:r>
              <w:rPr>
                <w:b/>
              </w:rPr>
              <w:t xml:space="preserve"> as at 21 Oct 1992</w:t>
            </w:r>
            <w:r>
              <w:t xml:space="preserve"> (includes amendments listed above except those in the </w:t>
            </w:r>
            <w:r>
              <w:rPr>
                <w:i/>
              </w:rPr>
              <w:t>Soil and Land Conservation Amendment Act 1990</w:t>
            </w:r>
            <w:r>
              <w:t>)</w:t>
            </w:r>
          </w:p>
        </w:tc>
      </w:tr>
      <w:tr>
        <w:trPr>
          <w:gridBefore w:val="1"/>
          <w:wBefore w:w="13" w:type="dxa"/>
          <w:cantSplit/>
        </w:trPr>
        <w:tc>
          <w:tcPr>
            <w:tcW w:w="2270" w:type="dxa"/>
            <w:gridSpan w:val="2"/>
          </w:tcPr>
          <w:p>
            <w:pPr>
              <w:pStyle w:val="nTable"/>
              <w:spacing w:after="40"/>
              <w:ind w:right="113"/>
            </w:pPr>
            <w:r>
              <w:rPr>
                <w:i/>
              </w:rPr>
              <w:t>Pilbara Development Commission Act 1992</w:t>
            </w:r>
            <w:r>
              <w:t xml:space="preserve"> s. 25</w:t>
            </w:r>
          </w:p>
        </w:tc>
        <w:tc>
          <w:tcPr>
            <w:tcW w:w="1134" w:type="dxa"/>
            <w:gridSpan w:val="2"/>
          </w:tcPr>
          <w:p>
            <w:pPr>
              <w:pStyle w:val="nTable"/>
              <w:spacing w:after="40"/>
            </w:pPr>
            <w:r>
              <w:t>59 of 1992</w:t>
            </w:r>
          </w:p>
        </w:tc>
        <w:tc>
          <w:tcPr>
            <w:tcW w:w="1134" w:type="dxa"/>
            <w:gridSpan w:val="2"/>
          </w:tcPr>
          <w:p>
            <w:pPr>
              <w:pStyle w:val="nTable"/>
              <w:spacing w:after="40"/>
            </w:pPr>
            <w:r>
              <w:t>11 Dec 1992</w:t>
            </w:r>
          </w:p>
        </w:tc>
        <w:tc>
          <w:tcPr>
            <w:tcW w:w="2552" w:type="dxa"/>
            <w:gridSpan w:val="2"/>
          </w:tcPr>
          <w:p>
            <w:pPr>
              <w:pStyle w:val="nTable"/>
              <w:spacing w:after="40"/>
            </w:pPr>
            <w:r>
              <w:t xml:space="preserve">1 Jul 1993 (see s. 2 and </w:t>
            </w:r>
            <w:r>
              <w:rPr>
                <w:i/>
              </w:rPr>
              <w:t>Gazette</w:t>
            </w:r>
            <w:r>
              <w:t xml:space="preserve"> 1 Jul 1993 p. 3209)</w:t>
            </w:r>
          </w:p>
        </w:tc>
      </w:tr>
      <w:tr>
        <w:trPr>
          <w:gridBefore w:val="1"/>
          <w:wBefore w:w="13" w:type="dxa"/>
          <w:cantSplit/>
        </w:trPr>
        <w:tc>
          <w:tcPr>
            <w:tcW w:w="2270" w:type="dxa"/>
            <w:gridSpan w:val="2"/>
          </w:tcPr>
          <w:p>
            <w:pPr>
              <w:pStyle w:val="nTable"/>
              <w:spacing w:after="40"/>
              <w:ind w:right="113"/>
            </w:pPr>
            <w:r>
              <w:rPr>
                <w:i/>
              </w:rPr>
              <w:t>Local Government (Superannuation) Amendment and Repeal Act 1993</w:t>
            </w:r>
            <w:r>
              <w:t xml:space="preserve"> s. 17</w:t>
            </w:r>
          </w:p>
        </w:tc>
        <w:tc>
          <w:tcPr>
            <w:tcW w:w="1134" w:type="dxa"/>
            <w:gridSpan w:val="2"/>
          </w:tcPr>
          <w:p>
            <w:pPr>
              <w:pStyle w:val="nTable"/>
              <w:spacing w:after="40"/>
            </w:pPr>
            <w:r>
              <w:t>2 of 1993</w:t>
            </w:r>
          </w:p>
        </w:tc>
        <w:tc>
          <w:tcPr>
            <w:tcW w:w="1134" w:type="dxa"/>
            <w:gridSpan w:val="2"/>
          </w:tcPr>
          <w:p>
            <w:pPr>
              <w:pStyle w:val="nTable"/>
              <w:spacing w:after="40"/>
            </w:pPr>
            <w:r>
              <w:t>18 Aug 1993</w:t>
            </w:r>
          </w:p>
        </w:tc>
        <w:tc>
          <w:tcPr>
            <w:tcW w:w="2552" w:type="dxa"/>
            <w:gridSpan w:val="2"/>
          </w:tcPr>
          <w:p>
            <w:pPr>
              <w:pStyle w:val="nTable"/>
              <w:spacing w:after="40"/>
            </w:pPr>
            <w:r>
              <w:t>1 Jul 1993 (see s. 2)</w:t>
            </w:r>
          </w:p>
        </w:tc>
      </w:tr>
      <w:tr>
        <w:trPr>
          <w:gridBefore w:val="1"/>
          <w:wBefore w:w="13" w:type="dxa"/>
          <w:cantSplit/>
        </w:trPr>
        <w:tc>
          <w:tcPr>
            <w:tcW w:w="2270"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Jul 1993 (see s. 2(1))</w:t>
            </w:r>
          </w:p>
        </w:tc>
      </w:tr>
      <w:tr>
        <w:trPr>
          <w:gridBefore w:val="1"/>
          <w:wBefore w:w="13" w:type="dxa"/>
          <w:cantSplit/>
        </w:trPr>
        <w:tc>
          <w:tcPr>
            <w:tcW w:w="2270" w:type="dxa"/>
            <w:gridSpan w:val="2"/>
          </w:tcPr>
          <w:p>
            <w:pPr>
              <w:pStyle w:val="nTable"/>
              <w:spacing w:after="40"/>
              <w:ind w:right="113"/>
            </w:pPr>
            <w:r>
              <w:rPr>
                <w:i/>
              </w:rPr>
              <w:t>Rural Adjustment and Finance Corporation Act 1993</w:t>
            </w:r>
            <w:r>
              <w:t xml:space="preserve"> s. 57</w:t>
            </w:r>
          </w:p>
        </w:tc>
        <w:tc>
          <w:tcPr>
            <w:tcW w:w="1134" w:type="dxa"/>
            <w:gridSpan w:val="2"/>
          </w:tcPr>
          <w:p>
            <w:pPr>
              <w:pStyle w:val="nTable"/>
              <w:spacing w:after="40"/>
            </w:pPr>
            <w:r>
              <w:t>10 of 1993</w:t>
            </w:r>
          </w:p>
        </w:tc>
        <w:tc>
          <w:tcPr>
            <w:tcW w:w="1134" w:type="dxa"/>
            <w:gridSpan w:val="2"/>
          </w:tcPr>
          <w:p>
            <w:pPr>
              <w:pStyle w:val="nTable"/>
              <w:spacing w:after="40"/>
            </w:pPr>
            <w:r>
              <w:t>6 Oct 1993</w:t>
            </w:r>
          </w:p>
        </w:tc>
        <w:tc>
          <w:tcPr>
            <w:tcW w:w="2552" w:type="dxa"/>
            <w:gridSpan w:val="2"/>
          </w:tcPr>
          <w:p>
            <w:pPr>
              <w:pStyle w:val="nTable"/>
              <w:spacing w:after="40"/>
            </w:pPr>
            <w:r>
              <w:t xml:space="preserve">24 Dec 1993 (see s. 2 and </w:t>
            </w:r>
            <w:r>
              <w:rPr>
                <w:i/>
              </w:rPr>
              <w:t>Gazette</w:t>
            </w:r>
            <w:r>
              <w:t xml:space="preserve"> 24 Dec 1993 p. 6796)</w:t>
            </w:r>
          </w:p>
        </w:tc>
      </w:tr>
      <w:tr>
        <w:trPr>
          <w:gridBefore w:val="1"/>
          <w:wBefore w:w="13" w:type="dxa"/>
          <w:cantSplit/>
        </w:trPr>
        <w:tc>
          <w:tcPr>
            <w:tcW w:w="2270" w:type="dxa"/>
            <w:gridSpan w:val="2"/>
          </w:tcPr>
          <w:p>
            <w:pPr>
              <w:pStyle w:val="nTable"/>
              <w:spacing w:after="40"/>
              <w:ind w:right="113"/>
            </w:pPr>
            <w:r>
              <w:rPr>
                <w:i/>
              </w:rPr>
              <w:t>Workplace Agreements Act 1993</w:t>
            </w:r>
            <w:r>
              <w:t xml:space="preserve"> s. 103</w:t>
            </w:r>
          </w:p>
        </w:tc>
        <w:tc>
          <w:tcPr>
            <w:tcW w:w="1134" w:type="dxa"/>
            <w:gridSpan w:val="2"/>
          </w:tcPr>
          <w:p>
            <w:pPr>
              <w:pStyle w:val="nTable"/>
              <w:spacing w:after="40"/>
            </w:pPr>
            <w:r>
              <w:t>13 of 1993</w:t>
            </w:r>
          </w:p>
        </w:tc>
        <w:tc>
          <w:tcPr>
            <w:tcW w:w="1134" w:type="dxa"/>
            <w:gridSpan w:val="2"/>
          </w:tcPr>
          <w:p>
            <w:pPr>
              <w:pStyle w:val="nTable"/>
              <w:spacing w:after="40"/>
            </w:pPr>
            <w:r>
              <w:t>23 Nov 1993</w:t>
            </w:r>
          </w:p>
        </w:tc>
        <w:tc>
          <w:tcPr>
            <w:tcW w:w="2552" w:type="dxa"/>
            <w:gridSpan w:val="2"/>
          </w:tcPr>
          <w:p>
            <w:pPr>
              <w:pStyle w:val="nTable"/>
              <w:spacing w:after="40"/>
            </w:pPr>
            <w:r>
              <w:t xml:space="preserve">1 Dec 1993 (see s. 2 and </w:t>
            </w:r>
            <w:r>
              <w:rPr>
                <w:i/>
              </w:rPr>
              <w:t>Gazette</w:t>
            </w:r>
            <w:r>
              <w:t xml:space="preserve"> 30 Nov 1993 p. 6439)</w:t>
            </w:r>
          </w:p>
        </w:tc>
      </w:tr>
      <w:tr>
        <w:trPr>
          <w:gridBefore w:val="1"/>
          <w:wBefore w:w="13" w:type="dxa"/>
          <w:cantSplit/>
        </w:trPr>
        <w:tc>
          <w:tcPr>
            <w:tcW w:w="2270" w:type="dxa"/>
            <w:gridSpan w:val="2"/>
          </w:tcPr>
          <w:p>
            <w:pPr>
              <w:pStyle w:val="nTable"/>
              <w:spacing w:after="40"/>
              <w:ind w:right="113"/>
            </w:pPr>
            <w:r>
              <w:rPr>
                <w:i/>
              </w:rPr>
              <w:t>Bee Industry Amendment and Repeal Act 1993</w:t>
            </w:r>
            <w:r>
              <w:t xml:space="preserve"> s. 21</w:t>
            </w:r>
          </w:p>
        </w:tc>
        <w:tc>
          <w:tcPr>
            <w:tcW w:w="1134" w:type="dxa"/>
            <w:gridSpan w:val="2"/>
          </w:tcPr>
          <w:p>
            <w:pPr>
              <w:pStyle w:val="nTable"/>
              <w:spacing w:after="40"/>
            </w:pPr>
            <w:r>
              <w:t>26 of 1993</w:t>
            </w:r>
          </w:p>
        </w:tc>
        <w:tc>
          <w:tcPr>
            <w:tcW w:w="1134" w:type="dxa"/>
            <w:gridSpan w:val="2"/>
          </w:tcPr>
          <w:p>
            <w:pPr>
              <w:pStyle w:val="nTable"/>
              <w:spacing w:after="40"/>
            </w:pPr>
            <w:r>
              <w:t>15 Dec 1993</w:t>
            </w:r>
          </w:p>
        </w:tc>
        <w:tc>
          <w:tcPr>
            <w:tcW w:w="2552" w:type="dxa"/>
            <w:gridSpan w:val="2"/>
          </w:tcPr>
          <w:p>
            <w:pPr>
              <w:pStyle w:val="nTable"/>
              <w:spacing w:after="40"/>
            </w:pPr>
            <w:r>
              <w:t xml:space="preserve">4 Feb 1994 (see s. 2 and </w:t>
            </w:r>
            <w:r>
              <w:rPr>
                <w:i/>
              </w:rPr>
              <w:t>Gazette</w:t>
            </w:r>
            <w:r>
              <w:t xml:space="preserve"> 4 Feb 1994 p. 339)</w:t>
            </w:r>
          </w:p>
        </w:tc>
      </w:tr>
      <w:tr>
        <w:trPr>
          <w:gridBefore w:val="1"/>
          <w:wBefore w:w="13" w:type="dxa"/>
          <w:cantSplit/>
        </w:trPr>
        <w:tc>
          <w:tcPr>
            <w:tcW w:w="2270" w:type="dxa"/>
            <w:gridSpan w:val="2"/>
          </w:tcPr>
          <w:p>
            <w:pPr>
              <w:pStyle w:val="nTable"/>
              <w:spacing w:after="40"/>
              <w:ind w:right="113"/>
            </w:pPr>
            <w:r>
              <w:rPr>
                <w:i/>
              </w:rPr>
              <w:t>Mines Regulation Amendment Act 1993</w:t>
            </w:r>
            <w:r>
              <w:t xml:space="preserve"> s. 12</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2" w:type="dxa"/>
            <w:gridSpan w:val="2"/>
          </w:tcPr>
          <w:p>
            <w:pPr>
              <w:pStyle w:val="nTable"/>
              <w:spacing w:after="40"/>
            </w:pPr>
            <w:r>
              <w:t xml:space="preserve">24 Dec 1993 (see s. 2 and </w:t>
            </w:r>
            <w:r>
              <w:rPr>
                <w:i/>
              </w:rPr>
              <w:t>Gazette</w:t>
            </w:r>
            <w:r>
              <w:t xml:space="preserve"> 24 Dec 1993 p. 6796)</w:t>
            </w:r>
          </w:p>
        </w:tc>
      </w:tr>
      <w:tr>
        <w:trPr>
          <w:gridBefore w:val="1"/>
          <w:wBefore w:w="13" w:type="dxa"/>
          <w:cantSplit/>
        </w:trPr>
        <w:tc>
          <w:tcPr>
            <w:tcW w:w="2270" w:type="dxa"/>
            <w:gridSpan w:val="2"/>
          </w:tcPr>
          <w:p>
            <w:pPr>
              <w:pStyle w:val="nTable"/>
              <w:spacing w:after="40"/>
              <w:ind w:right="113"/>
            </w:pPr>
            <w:r>
              <w:rPr>
                <w:i/>
              </w:rPr>
              <w:t>Disability Services Act 1993</w:t>
            </w:r>
            <w:r>
              <w:t xml:space="preserve"> s. 58</w:t>
            </w:r>
          </w:p>
        </w:tc>
        <w:tc>
          <w:tcPr>
            <w:tcW w:w="1134" w:type="dxa"/>
            <w:gridSpan w:val="2"/>
          </w:tcPr>
          <w:p>
            <w:pPr>
              <w:pStyle w:val="nTable"/>
              <w:spacing w:after="40"/>
            </w:pPr>
            <w:r>
              <w:t>36 of 1993</w:t>
            </w:r>
          </w:p>
        </w:tc>
        <w:tc>
          <w:tcPr>
            <w:tcW w:w="1134" w:type="dxa"/>
            <w:gridSpan w:val="2"/>
          </w:tcPr>
          <w:p>
            <w:pPr>
              <w:pStyle w:val="nTable"/>
              <w:spacing w:after="40"/>
            </w:pPr>
            <w:r>
              <w:t>16 Dec 1993</w:t>
            </w:r>
          </w:p>
        </w:tc>
        <w:tc>
          <w:tcPr>
            <w:tcW w:w="2552" w:type="dxa"/>
            <w:gridSpan w:val="2"/>
          </w:tcPr>
          <w:p>
            <w:pPr>
              <w:pStyle w:val="nTable"/>
              <w:spacing w:after="40"/>
            </w:pPr>
            <w:r>
              <w:t>23 Dec 1993 (see s. 2)</w:t>
            </w:r>
          </w:p>
        </w:tc>
      </w:tr>
      <w:tr>
        <w:trPr>
          <w:gridBefore w:val="1"/>
          <w:wBefore w:w="13" w:type="dxa"/>
          <w:cantSplit/>
        </w:trPr>
        <w:tc>
          <w:tcPr>
            <w:tcW w:w="2270" w:type="dxa"/>
            <w:gridSpan w:val="2"/>
          </w:tcPr>
          <w:p>
            <w:pPr>
              <w:pStyle w:val="nTable"/>
              <w:spacing w:after="40"/>
              <w:ind w:right="113"/>
            </w:pPr>
            <w:r>
              <w:rPr>
                <w:i/>
              </w:rPr>
              <w:t>Regional Development Commissions Act 1993</w:t>
            </w:r>
            <w:r>
              <w:t xml:space="preserve"> s. 44</w:t>
            </w:r>
          </w:p>
        </w:tc>
        <w:tc>
          <w:tcPr>
            <w:tcW w:w="1134" w:type="dxa"/>
            <w:gridSpan w:val="2"/>
          </w:tcPr>
          <w:p>
            <w:pPr>
              <w:pStyle w:val="nTable"/>
              <w:spacing w:after="40"/>
            </w:pPr>
            <w:r>
              <w:t>53 of 1993</w:t>
            </w:r>
          </w:p>
        </w:tc>
        <w:tc>
          <w:tcPr>
            <w:tcW w:w="1134" w:type="dxa"/>
            <w:gridSpan w:val="2"/>
          </w:tcPr>
          <w:p>
            <w:pPr>
              <w:pStyle w:val="nTable"/>
              <w:spacing w:after="40"/>
            </w:pPr>
            <w:r>
              <w:t>22 Dec 1993</w:t>
            </w:r>
          </w:p>
        </w:tc>
        <w:tc>
          <w:tcPr>
            <w:tcW w:w="2552" w:type="dxa"/>
            <w:gridSpan w:val="2"/>
          </w:tcPr>
          <w:p>
            <w:pPr>
              <w:pStyle w:val="nTable"/>
              <w:spacing w:after="40"/>
            </w:pPr>
            <w:r>
              <w:t xml:space="preserve">8 Apr 1994 (see s. 2 and </w:t>
            </w:r>
            <w:r>
              <w:rPr>
                <w:i/>
              </w:rPr>
              <w:t>Gazette</w:t>
            </w:r>
            <w:r>
              <w:t xml:space="preserve"> 8 Apr 1994 p. 1462)</w:t>
            </w:r>
          </w:p>
        </w:tc>
      </w:tr>
      <w:tr>
        <w:trPr>
          <w:gridBefore w:val="1"/>
          <w:wBefore w:w="13" w:type="dxa"/>
          <w:cantSplit/>
        </w:trPr>
        <w:tc>
          <w:tcPr>
            <w:tcW w:w="2270" w:type="dxa"/>
            <w:gridSpan w:val="2"/>
          </w:tcPr>
          <w:p>
            <w:pPr>
              <w:pStyle w:val="nTable"/>
              <w:spacing w:after="40"/>
              <w:ind w:right="113"/>
            </w:pPr>
            <w:r>
              <w:rPr>
                <w:i/>
              </w:rPr>
              <w:t>Adoption Act 1994</w:t>
            </w:r>
            <w:r>
              <w:t xml:space="preserve"> s. 145</w:t>
            </w:r>
          </w:p>
        </w:tc>
        <w:tc>
          <w:tcPr>
            <w:tcW w:w="1134" w:type="dxa"/>
            <w:gridSpan w:val="2"/>
          </w:tcPr>
          <w:p>
            <w:pPr>
              <w:pStyle w:val="nTable"/>
              <w:spacing w:after="40"/>
            </w:pPr>
            <w:r>
              <w:t>9 of 1994</w:t>
            </w:r>
          </w:p>
        </w:tc>
        <w:tc>
          <w:tcPr>
            <w:tcW w:w="1134" w:type="dxa"/>
            <w:gridSpan w:val="2"/>
          </w:tcPr>
          <w:p>
            <w:pPr>
              <w:pStyle w:val="nTable"/>
              <w:spacing w:after="40"/>
            </w:pPr>
            <w:r>
              <w:t>15 Apr 1994</w:t>
            </w:r>
          </w:p>
        </w:tc>
        <w:tc>
          <w:tcPr>
            <w:tcW w:w="2552" w:type="dxa"/>
            <w:gridSpan w:val="2"/>
          </w:tcPr>
          <w:p>
            <w:pPr>
              <w:pStyle w:val="nTable"/>
              <w:spacing w:after="40"/>
            </w:pPr>
            <w:r>
              <w:t xml:space="preserve">1 Jan 1995 (see s. 2 and </w:t>
            </w:r>
            <w:r>
              <w:rPr>
                <w:i/>
              </w:rPr>
              <w:t>Gazette</w:t>
            </w:r>
            <w:r>
              <w:t xml:space="preserve"> 25 Nov 1994 p. 5905)</w:t>
            </w:r>
          </w:p>
        </w:tc>
      </w:tr>
      <w:tr>
        <w:trPr>
          <w:gridBefore w:val="1"/>
          <w:wBefore w:w="13" w:type="dxa"/>
          <w:cantSplit/>
        </w:trPr>
        <w:tc>
          <w:tcPr>
            <w:tcW w:w="2270" w:type="dxa"/>
            <w:gridSpan w:val="2"/>
          </w:tcPr>
          <w:p>
            <w:pPr>
              <w:pStyle w:val="nTable"/>
              <w:spacing w:after="40"/>
              <w:ind w:right="113"/>
            </w:pPr>
            <w:r>
              <w:rPr>
                <w:i/>
              </w:rPr>
              <w:t>Acts Amendment (Official Corruption Commission) Act 1994</w:t>
            </w:r>
            <w:r>
              <w:t xml:space="preserve"> s. 19</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2" w:type="dxa"/>
            <w:gridSpan w:val="2"/>
          </w:tcPr>
          <w:p>
            <w:pPr>
              <w:pStyle w:val="nTable"/>
              <w:spacing w:after="40"/>
            </w:pPr>
            <w:r>
              <w:t xml:space="preserve">24 May 1994 (see s. 2 and </w:t>
            </w:r>
            <w:r>
              <w:rPr>
                <w:i/>
              </w:rPr>
              <w:t>Gazette</w:t>
            </w:r>
            <w:r>
              <w:t xml:space="preserve"> 24 May 1994 p. 2193)</w:t>
            </w:r>
          </w:p>
        </w:tc>
      </w:tr>
      <w:tr>
        <w:trPr>
          <w:gridBefore w:val="1"/>
          <w:wBefore w:w="13" w:type="dxa"/>
          <w:cantSplit/>
        </w:trPr>
        <w:tc>
          <w:tcPr>
            <w:tcW w:w="2270"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gridBefore w:val="1"/>
          <w:wBefore w:w="13" w:type="dxa"/>
          <w:cantSplit/>
        </w:trPr>
        <w:tc>
          <w:tcPr>
            <w:tcW w:w="2270" w:type="dxa"/>
            <w:gridSpan w:val="2"/>
          </w:tcPr>
          <w:p>
            <w:pPr>
              <w:pStyle w:val="nTable"/>
              <w:spacing w:after="40"/>
              <w:ind w:right="113"/>
            </w:pPr>
            <w:r>
              <w:rPr>
                <w:i/>
              </w:rPr>
              <w:t>Subiaco Redevelopment Act 1994</w:t>
            </w:r>
            <w:r>
              <w:t xml:space="preserve"> s. 67</w:t>
            </w:r>
          </w:p>
        </w:tc>
        <w:tc>
          <w:tcPr>
            <w:tcW w:w="1134" w:type="dxa"/>
            <w:gridSpan w:val="2"/>
          </w:tcPr>
          <w:p>
            <w:pPr>
              <w:pStyle w:val="nTable"/>
              <w:spacing w:after="40"/>
            </w:pPr>
            <w:r>
              <w:t>35 of 1994</w:t>
            </w:r>
          </w:p>
        </w:tc>
        <w:tc>
          <w:tcPr>
            <w:tcW w:w="1134" w:type="dxa"/>
            <w:gridSpan w:val="2"/>
          </w:tcPr>
          <w:p>
            <w:pPr>
              <w:pStyle w:val="nTable"/>
              <w:spacing w:after="40"/>
            </w:pPr>
            <w:r>
              <w:t>8 Jul 1994</w:t>
            </w:r>
          </w:p>
        </w:tc>
        <w:tc>
          <w:tcPr>
            <w:tcW w:w="2552" w:type="dxa"/>
            <w:gridSpan w:val="2"/>
          </w:tcPr>
          <w:p>
            <w:pPr>
              <w:pStyle w:val="nTable"/>
              <w:spacing w:after="40"/>
            </w:pPr>
            <w:r>
              <w:t xml:space="preserve">24 Aug 1994 (see s. 2 and </w:t>
            </w:r>
            <w:r>
              <w:rPr>
                <w:i/>
              </w:rPr>
              <w:t>Gazette</w:t>
            </w:r>
            <w:r>
              <w:t xml:space="preserve"> 23 Aug 1994 p. 4364)</w:t>
            </w:r>
          </w:p>
        </w:tc>
      </w:tr>
      <w:tr>
        <w:trPr>
          <w:gridBefore w:val="1"/>
          <w:wBefore w:w="13" w:type="dxa"/>
          <w:cantSplit/>
        </w:trPr>
        <w:tc>
          <w:tcPr>
            <w:tcW w:w="2270" w:type="dxa"/>
            <w:gridSpan w:val="2"/>
          </w:tcPr>
          <w:p>
            <w:pPr>
              <w:pStyle w:val="nTable"/>
              <w:spacing w:after="40"/>
              <w:ind w:right="113"/>
            </w:pPr>
            <w:smartTag w:uri="urn:schemas-microsoft-com:office:smarttags" w:element="City">
              <w:smartTag w:uri="urn:schemas-microsoft-com:office:smarttags" w:element="place">
                <w:r>
                  <w:rPr>
                    <w:i/>
                  </w:rPr>
                  <w:t>Perth</w:t>
                </w:r>
              </w:smartTag>
            </w:smartTag>
            <w:r>
              <w:rPr>
                <w:i/>
              </w:rPr>
              <w:t xml:space="preserve"> International Centre for Application of Solar Energy Act 1994</w:t>
            </w:r>
            <w:r>
              <w:t xml:space="preserve"> s. 35</w:t>
            </w:r>
          </w:p>
        </w:tc>
        <w:tc>
          <w:tcPr>
            <w:tcW w:w="1134" w:type="dxa"/>
            <w:gridSpan w:val="2"/>
          </w:tcPr>
          <w:p>
            <w:pPr>
              <w:pStyle w:val="nTable"/>
              <w:spacing w:after="40"/>
            </w:pPr>
            <w:r>
              <w:t>36 of 1994</w:t>
            </w:r>
          </w:p>
        </w:tc>
        <w:tc>
          <w:tcPr>
            <w:tcW w:w="1134"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rPr>
          <w:gridBefore w:val="1"/>
          <w:wBefore w:w="13" w:type="dxa"/>
          <w:cantSplit/>
        </w:trPr>
        <w:tc>
          <w:tcPr>
            <w:tcW w:w="2270" w:type="dxa"/>
            <w:gridSpan w:val="2"/>
          </w:tcPr>
          <w:p>
            <w:pPr>
              <w:pStyle w:val="nTable"/>
              <w:spacing w:after="40"/>
              <w:ind w:right="113"/>
            </w:pPr>
            <w:r>
              <w:rPr>
                <w:i/>
              </w:rPr>
              <w:t>Acts Amendment (Coal Mining Industry) Act 1994</w:t>
            </w:r>
            <w:r>
              <w:t xml:space="preserve"> s. 23</w:t>
            </w:r>
          </w:p>
        </w:tc>
        <w:tc>
          <w:tcPr>
            <w:tcW w:w="1134" w:type="dxa"/>
            <w:gridSpan w:val="2"/>
          </w:tcPr>
          <w:p>
            <w:pPr>
              <w:pStyle w:val="nTable"/>
              <w:spacing w:after="40"/>
            </w:pPr>
            <w:r>
              <w:t>45 of 1994</w:t>
            </w:r>
          </w:p>
        </w:tc>
        <w:tc>
          <w:tcPr>
            <w:tcW w:w="1134" w:type="dxa"/>
            <w:gridSpan w:val="2"/>
          </w:tcPr>
          <w:p>
            <w:pPr>
              <w:pStyle w:val="nTable"/>
              <w:spacing w:after="40"/>
            </w:pPr>
            <w:r>
              <w:t>22 Sep 1994</w:t>
            </w:r>
          </w:p>
        </w:tc>
        <w:tc>
          <w:tcPr>
            <w:tcW w:w="2552" w:type="dxa"/>
            <w:gridSpan w:val="2"/>
          </w:tcPr>
          <w:p>
            <w:pPr>
              <w:pStyle w:val="nTable"/>
              <w:spacing w:after="40"/>
            </w:pPr>
            <w:r>
              <w:t>22 Sep 1994 (see s. 2(1))</w:t>
            </w:r>
          </w:p>
        </w:tc>
      </w:tr>
      <w:tr>
        <w:trPr>
          <w:gridBefore w:val="1"/>
          <w:wBefore w:w="13" w:type="dxa"/>
          <w:cantSplit/>
        </w:trPr>
        <w:tc>
          <w:tcPr>
            <w:tcW w:w="2270" w:type="dxa"/>
            <w:gridSpan w:val="2"/>
          </w:tcPr>
          <w:p>
            <w:pPr>
              <w:pStyle w:val="nTable"/>
              <w:spacing w:after="40"/>
              <w:ind w:right="113"/>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2" w:type="dxa"/>
            <w:gridSpan w:val="2"/>
          </w:tcPr>
          <w:p>
            <w:pPr>
              <w:pStyle w:val="nTable"/>
              <w:spacing w:after="40"/>
            </w:pPr>
            <w:r>
              <w:t xml:space="preserve">9 Dec 1995 (see s. 2 and </w:t>
            </w:r>
            <w:r>
              <w:rPr>
                <w:i/>
              </w:rPr>
              <w:t>Gazette</w:t>
            </w:r>
            <w:r>
              <w:t xml:space="preserve"> 8 Dec 1995 p. 5935)</w:t>
            </w:r>
          </w:p>
        </w:tc>
      </w:tr>
      <w:tr>
        <w:trPr>
          <w:gridBefore w:val="1"/>
          <w:wBefore w:w="13" w:type="dxa"/>
          <w:cantSplit/>
        </w:trPr>
        <w:tc>
          <w:tcPr>
            <w:tcW w:w="2270"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rPr>
          <w:gridBefore w:val="1"/>
          <w:wBefore w:w="13" w:type="dxa"/>
          <w:cantSplit/>
        </w:trPr>
        <w:tc>
          <w:tcPr>
            <w:tcW w:w="2270" w:type="dxa"/>
            <w:gridSpan w:val="2"/>
          </w:tcPr>
          <w:p>
            <w:pPr>
              <w:pStyle w:val="nTable"/>
              <w:spacing w:after="40"/>
              <w:ind w:right="113"/>
            </w:pPr>
            <w:r>
              <w:rPr>
                <w:i/>
              </w:rPr>
              <w:t>Energy Corporations (Transitional and Consequential Provisions) Act 1994</w:t>
            </w:r>
            <w:r>
              <w:t xml:space="preserve"> s. 109</w:t>
            </w:r>
          </w:p>
        </w:tc>
        <w:tc>
          <w:tcPr>
            <w:tcW w:w="1134" w:type="dxa"/>
            <w:gridSpan w:val="2"/>
          </w:tcPr>
          <w:p>
            <w:pPr>
              <w:pStyle w:val="nTable"/>
              <w:spacing w:after="40"/>
            </w:pPr>
            <w:r>
              <w:t>89 of 1994</w:t>
            </w:r>
          </w:p>
        </w:tc>
        <w:tc>
          <w:tcPr>
            <w:tcW w:w="1134" w:type="dxa"/>
            <w:gridSpan w:val="2"/>
          </w:tcPr>
          <w:p>
            <w:pPr>
              <w:pStyle w:val="nTable"/>
              <w:spacing w:after="40"/>
            </w:pPr>
            <w:r>
              <w:t>15 Dec 1994</w:t>
            </w:r>
          </w:p>
        </w:tc>
        <w:tc>
          <w:tcPr>
            <w:tcW w:w="2552" w:type="dxa"/>
            <w:gridSpan w:val="2"/>
          </w:tcPr>
          <w:p>
            <w:pPr>
              <w:pStyle w:val="nTable"/>
              <w:spacing w:after="40"/>
            </w:pPr>
            <w:r>
              <w:t xml:space="preserve">1 Jan 1995 (see s. 2(2) and </w:t>
            </w:r>
            <w:r>
              <w:rPr>
                <w:i/>
              </w:rPr>
              <w:t>Gazette</w:t>
            </w:r>
            <w:r>
              <w:t xml:space="preserve"> 23 Dec 1994 p. 7069)</w:t>
            </w:r>
          </w:p>
        </w:tc>
      </w:tr>
      <w:tr>
        <w:trPr>
          <w:gridBefore w:val="1"/>
          <w:wBefore w:w="13" w:type="dxa"/>
          <w:cantSplit/>
        </w:trPr>
        <w:tc>
          <w:tcPr>
            <w:tcW w:w="2270" w:type="dxa"/>
            <w:gridSpan w:val="2"/>
          </w:tcPr>
          <w:p>
            <w:pPr>
              <w:pStyle w:val="nTable"/>
              <w:spacing w:after="40"/>
              <w:ind w:right="113"/>
            </w:pPr>
            <w:r>
              <w:rPr>
                <w:i/>
              </w:rPr>
              <w:t>Taxi Act 1994</w:t>
            </w:r>
            <w:r>
              <w:t xml:space="preserve"> s. 50</w:t>
            </w:r>
          </w:p>
        </w:tc>
        <w:tc>
          <w:tcPr>
            <w:tcW w:w="1134" w:type="dxa"/>
            <w:gridSpan w:val="2"/>
          </w:tcPr>
          <w:p>
            <w:pPr>
              <w:pStyle w:val="nTable"/>
              <w:spacing w:after="40"/>
            </w:pPr>
            <w:r>
              <w:t>83 of 1994</w:t>
            </w:r>
          </w:p>
        </w:tc>
        <w:tc>
          <w:tcPr>
            <w:tcW w:w="1134" w:type="dxa"/>
            <w:gridSpan w:val="2"/>
          </w:tcPr>
          <w:p>
            <w:pPr>
              <w:pStyle w:val="nTable"/>
              <w:spacing w:after="40"/>
            </w:pPr>
            <w:r>
              <w:t>20 Dec 1994</w:t>
            </w:r>
          </w:p>
        </w:tc>
        <w:tc>
          <w:tcPr>
            <w:tcW w:w="2552" w:type="dxa"/>
            <w:gridSpan w:val="2"/>
          </w:tcPr>
          <w:p>
            <w:pPr>
              <w:pStyle w:val="nTable"/>
              <w:spacing w:after="40"/>
            </w:pPr>
            <w:r>
              <w:t xml:space="preserve">10 Jan 1995 (see s. 2 and </w:t>
            </w:r>
            <w:r>
              <w:rPr>
                <w:i/>
              </w:rPr>
              <w:t>Gazette</w:t>
            </w:r>
            <w:r>
              <w:t xml:space="preserve"> 10 Jan 1995 p. 73)</w:t>
            </w:r>
          </w:p>
        </w:tc>
      </w:tr>
      <w:tr>
        <w:trPr>
          <w:gridBefore w:val="1"/>
          <w:wBefore w:w="13" w:type="dxa"/>
          <w:cantSplit/>
        </w:trPr>
        <w:tc>
          <w:tcPr>
            <w:tcW w:w="2270" w:type="dxa"/>
            <w:gridSpan w:val="2"/>
          </w:tcPr>
          <w:p>
            <w:pPr>
              <w:pStyle w:val="nTable"/>
              <w:spacing w:after="40"/>
              <w:ind w:right="113"/>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2" w:type="dxa"/>
            <w:gridSpan w:val="2"/>
          </w:tcPr>
          <w:p>
            <w:pPr>
              <w:pStyle w:val="nTable"/>
              <w:spacing w:after="40"/>
            </w:pPr>
            <w:r>
              <w:t xml:space="preserve">3 Feb 1995 (see s. 2 and </w:t>
            </w:r>
            <w:r>
              <w:rPr>
                <w:i/>
              </w:rPr>
              <w:t>Gazette</w:t>
            </w:r>
            <w:r>
              <w:t xml:space="preserve"> 3 Feb 1995 p. 333)</w:t>
            </w:r>
          </w:p>
        </w:tc>
      </w:tr>
      <w:tr>
        <w:trPr>
          <w:gridBefore w:val="1"/>
          <w:wBefore w:w="13" w:type="dxa"/>
          <w:cantSplit/>
        </w:trPr>
        <w:tc>
          <w:tcPr>
            <w:tcW w:w="2270" w:type="dxa"/>
            <w:gridSpan w:val="2"/>
          </w:tcPr>
          <w:p>
            <w:pPr>
              <w:pStyle w:val="nTable"/>
              <w:spacing w:after="40"/>
              <w:ind w:right="113"/>
            </w:pPr>
            <w:r>
              <w:rPr>
                <w:i/>
              </w:rPr>
              <w:t>Planning Legislation Amendment Act (No. 2) 1994</w:t>
            </w:r>
            <w:r>
              <w:t xml:space="preserve"> s. 44 and 46</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2" w:type="dxa"/>
            <w:gridSpan w:val="2"/>
          </w:tcPr>
          <w:p>
            <w:pPr>
              <w:pStyle w:val="nTable"/>
              <w:spacing w:after="40"/>
            </w:pPr>
            <w:r>
              <w:t xml:space="preserve">1 Mar 1995 (see s. 2 and </w:t>
            </w:r>
            <w:r>
              <w:rPr>
                <w:i/>
              </w:rPr>
              <w:t>Gazette</w:t>
            </w:r>
            <w:r>
              <w:t xml:space="preserve"> 21 Feb 1995 p. 567)</w:t>
            </w:r>
          </w:p>
        </w:tc>
      </w:tr>
      <w:tr>
        <w:trPr>
          <w:gridBefore w:val="1"/>
          <w:wBefore w:w="13" w:type="dxa"/>
          <w:cantSplit/>
        </w:trPr>
        <w:tc>
          <w:tcPr>
            <w:tcW w:w="2270" w:type="dxa"/>
            <w:gridSpan w:val="2"/>
          </w:tcPr>
          <w:p>
            <w:pPr>
              <w:pStyle w:val="nTable"/>
              <w:spacing w:after="40"/>
              <w:ind w:right="113"/>
            </w:pPr>
            <w:r>
              <w:rPr>
                <w:i/>
              </w:rPr>
              <w:t>Industrial Legislation Amendment Act 1995</w:t>
            </w:r>
            <w:r>
              <w:t xml:space="preserve"> s. 35</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2" w:type="dxa"/>
            <w:gridSpan w:val="2"/>
          </w:tcPr>
          <w:p>
            <w:pPr>
              <w:pStyle w:val="nTable"/>
              <w:spacing w:after="40"/>
            </w:pPr>
            <w:r>
              <w:t xml:space="preserve">1 Jan 1996 (see s. 2(2) and </w:t>
            </w:r>
            <w:r>
              <w:rPr>
                <w:i/>
              </w:rPr>
              <w:t>Gazette</w:t>
            </w:r>
            <w:r>
              <w:t xml:space="preserve"> 24 Nov 1995 p. 5389)</w:t>
            </w:r>
          </w:p>
        </w:tc>
      </w:tr>
      <w:tr>
        <w:trPr>
          <w:gridBefore w:val="1"/>
          <w:wBefore w:w="13" w:type="dxa"/>
          <w:cantSplit/>
        </w:trPr>
        <w:tc>
          <w:tcPr>
            <w:tcW w:w="7090" w:type="dxa"/>
            <w:gridSpan w:val="8"/>
          </w:tcPr>
          <w:p>
            <w:pPr>
              <w:pStyle w:val="nTable"/>
              <w:spacing w:after="40"/>
            </w:pPr>
            <w:r>
              <w:rPr>
                <w:b/>
              </w:rPr>
              <w:t xml:space="preserve">Reprint of the </w:t>
            </w:r>
            <w:r>
              <w:rPr>
                <w:b/>
                <w:i/>
              </w:rPr>
              <w:t>Parliamentary Commissioner Act 1971</w:t>
            </w:r>
            <w:r>
              <w:rPr>
                <w:b/>
              </w:rPr>
              <w:t xml:space="preserve"> as at 25 May 1995</w:t>
            </w:r>
            <w:r>
              <w:t xml:space="preserve"> </w:t>
            </w:r>
            <w:r>
              <w:br/>
              <w:t xml:space="preserve">(includes amendments listed above except those in the </w:t>
            </w:r>
            <w:r>
              <w:rPr>
                <w:i/>
              </w:rPr>
              <w:t xml:space="preserve">Mines Safety and Inspection Act 1994 </w:t>
            </w:r>
            <w:r>
              <w:t xml:space="preserve">and the </w:t>
            </w:r>
            <w:r>
              <w:rPr>
                <w:i/>
              </w:rPr>
              <w:t>Industrial Legislation Amendment Act 1995</w:t>
            </w:r>
            <w:r>
              <w:t>)</w:t>
            </w:r>
          </w:p>
        </w:tc>
      </w:tr>
      <w:tr>
        <w:trPr>
          <w:gridBefore w:val="1"/>
          <w:wBefore w:w="13" w:type="dxa"/>
          <w:cantSplit/>
        </w:trPr>
        <w:tc>
          <w:tcPr>
            <w:tcW w:w="2270" w:type="dxa"/>
            <w:gridSpan w:val="2"/>
          </w:tcPr>
          <w:p>
            <w:pPr>
              <w:pStyle w:val="nTable"/>
              <w:spacing w:after="40"/>
              <w:ind w:right="113"/>
            </w:pPr>
            <w:r>
              <w:rPr>
                <w:i/>
              </w:rPr>
              <w:t>Marketing of Potatoes Amendment Act 1995</w:t>
            </w:r>
            <w:r>
              <w:t xml:space="preserve"> s. 58(4)</w:t>
            </w:r>
          </w:p>
        </w:tc>
        <w:tc>
          <w:tcPr>
            <w:tcW w:w="1134" w:type="dxa"/>
            <w:gridSpan w:val="2"/>
          </w:tcPr>
          <w:p>
            <w:pPr>
              <w:pStyle w:val="nTable"/>
              <w:spacing w:after="40"/>
            </w:pPr>
            <w:r>
              <w:t>11 of 1995</w:t>
            </w:r>
          </w:p>
        </w:tc>
        <w:tc>
          <w:tcPr>
            <w:tcW w:w="1134" w:type="dxa"/>
            <w:gridSpan w:val="2"/>
          </w:tcPr>
          <w:p>
            <w:pPr>
              <w:pStyle w:val="nTable"/>
              <w:spacing w:after="40"/>
            </w:pPr>
            <w:r>
              <w:t>30 Jun 1995</w:t>
            </w:r>
          </w:p>
        </w:tc>
        <w:tc>
          <w:tcPr>
            <w:tcW w:w="2552" w:type="dxa"/>
            <w:gridSpan w:val="2"/>
          </w:tcPr>
          <w:p>
            <w:pPr>
              <w:pStyle w:val="nTable"/>
              <w:spacing w:after="40"/>
            </w:pPr>
            <w:r>
              <w:t xml:space="preserve">4 Sep 1995 (see s. 2 and </w:t>
            </w:r>
            <w:r>
              <w:rPr>
                <w:i/>
              </w:rPr>
              <w:t>Gazette</w:t>
            </w:r>
            <w:r>
              <w:t xml:space="preserve"> 1 Sep 1995 p. 4063)</w:t>
            </w:r>
          </w:p>
        </w:tc>
      </w:tr>
      <w:tr>
        <w:trPr>
          <w:gridBefore w:val="1"/>
          <w:wBefore w:w="13" w:type="dxa"/>
          <w:cantSplit/>
        </w:trPr>
        <w:tc>
          <w:tcPr>
            <w:tcW w:w="2270" w:type="dxa"/>
            <w:gridSpan w:val="2"/>
          </w:tcPr>
          <w:p>
            <w:pPr>
              <w:pStyle w:val="nTable"/>
              <w:spacing w:after="40"/>
              <w:ind w:right="113"/>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2" w:type="dxa"/>
            <w:gridSpan w:val="2"/>
          </w:tcPr>
          <w:p>
            <w:pPr>
              <w:pStyle w:val="nTable"/>
              <w:spacing w:after="40"/>
            </w:pPr>
            <w:r>
              <w:t xml:space="preserve">1 Oct 1995 (see s. 2 and </w:t>
            </w:r>
            <w:r>
              <w:rPr>
                <w:i/>
              </w:rPr>
              <w:t>Gazette</w:t>
            </w:r>
            <w:r>
              <w:t xml:space="preserve"> 15 Sep 1995 p. 4301)</w:t>
            </w:r>
          </w:p>
        </w:tc>
      </w:tr>
      <w:tr>
        <w:trPr>
          <w:gridBefore w:val="1"/>
          <w:wBefore w:w="13" w:type="dxa"/>
          <w:cantSplit/>
        </w:trPr>
        <w:tc>
          <w:tcPr>
            <w:tcW w:w="2270" w:type="dxa"/>
            <w:gridSpan w:val="2"/>
          </w:tcPr>
          <w:p>
            <w:pPr>
              <w:pStyle w:val="nTable"/>
              <w:spacing w:after="40"/>
              <w:ind w:right="113"/>
            </w:pPr>
            <w:r>
              <w:rPr>
                <w:i/>
              </w:rPr>
              <w:t>Acts Amendment (Racing and Betting Legislation) Act 1995</w:t>
            </w:r>
            <w:r>
              <w:t xml:space="preserve"> s. 94</w:t>
            </w:r>
          </w:p>
        </w:tc>
        <w:tc>
          <w:tcPr>
            <w:tcW w:w="1134" w:type="dxa"/>
            <w:gridSpan w:val="2"/>
          </w:tcPr>
          <w:p>
            <w:pPr>
              <w:pStyle w:val="nTable"/>
              <w:spacing w:after="40"/>
            </w:pPr>
            <w:r>
              <w:t>63 of 1995</w:t>
            </w:r>
          </w:p>
        </w:tc>
        <w:tc>
          <w:tcPr>
            <w:tcW w:w="1134" w:type="dxa"/>
            <w:gridSpan w:val="2"/>
          </w:tcPr>
          <w:p>
            <w:pPr>
              <w:pStyle w:val="nTable"/>
              <w:spacing w:after="40"/>
            </w:pPr>
            <w:r>
              <w:t>27 Dec 1995</w:t>
            </w:r>
          </w:p>
        </w:tc>
        <w:tc>
          <w:tcPr>
            <w:tcW w:w="2552" w:type="dxa"/>
            <w:gridSpan w:val="2"/>
          </w:tcPr>
          <w:p>
            <w:pPr>
              <w:pStyle w:val="nTable"/>
              <w:spacing w:after="40"/>
            </w:pPr>
            <w:r>
              <w:t xml:space="preserve">28 Jun 1996 (see s. 2 and </w:t>
            </w:r>
            <w:r>
              <w:rPr>
                <w:i/>
              </w:rPr>
              <w:t>Gazette</w:t>
            </w:r>
            <w:r>
              <w:t xml:space="preserve"> 25 Jun 1996 p. 2901)</w:t>
            </w:r>
          </w:p>
        </w:tc>
      </w:tr>
      <w:tr>
        <w:trPr>
          <w:gridBefore w:val="1"/>
          <w:wBefore w:w="13" w:type="dxa"/>
          <w:cantSplit/>
        </w:trPr>
        <w:tc>
          <w:tcPr>
            <w:tcW w:w="2270"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2" w:type="dxa"/>
            <w:gridSpan w:val="2"/>
          </w:tcPr>
          <w:p>
            <w:pPr>
              <w:pStyle w:val="nTable"/>
              <w:spacing w:after="40"/>
            </w:pPr>
            <w:r>
              <w:t xml:space="preserve">1 Jan 1996 (see s. 2(2) and </w:t>
            </w:r>
            <w:r>
              <w:rPr>
                <w:i/>
              </w:rPr>
              <w:t>Gazette</w:t>
            </w:r>
            <w:r>
              <w:t xml:space="preserve"> 29 Dec 1995 p. 6291)</w:t>
            </w:r>
          </w:p>
        </w:tc>
      </w:tr>
      <w:tr>
        <w:trPr>
          <w:gridBefore w:val="1"/>
          <w:wBefore w:w="13" w:type="dxa"/>
          <w:cantSplit/>
        </w:trPr>
        <w:tc>
          <w:tcPr>
            <w:tcW w:w="2270" w:type="dxa"/>
            <w:gridSpan w:val="2"/>
          </w:tcPr>
          <w:p>
            <w:pPr>
              <w:pStyle w:val="nTable"/>
              <w:spacing w:after="40"/>
              <w:ind w:right="113"/>
            </w:pPr>
            <w:r>
              <w:rPr>
                <w:i/>
              </w:rPr>
              <w:t>Health Services (Conciliation and Review) Act 1995</w:t>
            </w:r>
            <w:r>
              <w:t xml:space="preserve"> s. 80(6)</w:t>
            </w:r>
          </w:p>
        </w:tc>
        <w:tc>
          <w:tcPr>
            <w:tcW w:w="1134" w:type="dxa"/>
            <w:gridSpan w:val="2"/>
          </w:tcPr>
          <w:p>
            <w:pPr>
              <w:pStyle w:val="nTable"/>
              <w:spacing w:after="40"/>
            </w:pPr>
            <w:r>
              <w:t>75 of 1995</w:t>
            </w:r>
          </w:p>
        </w:tc>
        <w:tc>
          <w:tcPr>
            <w:tcW w:w="1134"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rPr>
          <w:gridBefore w:val="1"/>
          <w:wBefore w:w="13" w:type="dxa"/>
          <w:cantSplit/>
        </w:trPr>
        <w:tc>
          <w:tcPr>
            <w:tcW w:w="2270" w:type="dxa"/>
            <w:gridSpan w:val="2"/>
          </w:tcPr>
          <w:p>
            <w:pPr>
              <w:pStyle w:val="nTable"/>
              <w:spacing w:after="40"/>
              <w:ind w:right="113"/>
            </w:pPr>
            <w:r>
              <w:rPr>
                <w:i/>
              </w:rPr>
              <w:t>Guardianship and Administration Amendment Act 1996</w:t>
            </w:r>
            <w:r>
              <w:t xml:space="preserve"> s. 38</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rPr>
          <w:gridBefore w:val="1"/>
          <w:wBefore w:w="13" w:type="dxa"/>
          <w:cantSplit/>
        </w:trPr>
        <w:tc>
          <w:tcPr>
            <w:tcW w:w="2270"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wBefore w:w="13" w:type="dxa"/>
          <w:cantSplit/>
        </w:trPr>
        <w:tc>
          <w:tcPr>
            <w:tcW w:w="2270" w:type="dxa"/>
            <w:gridSpan w:val="2"/>
          </w:tcPr>
          <w:p>
            <w:pPr>
              <w:pStyle w:val="nTable"/>
              <w:spacing w:after="40"/>
              <w:ind w:right="113"/>
            </w:pPr>
            <w:r>
              <w:rPr>
                <w:i/>
              </w:rPr>
              <w:t>Official Corruption Commission Amendment Act 1996</w:t>
            </w:r>
            <w:r>
              <w:t xml:space="preserve"> s. 26</w:t>
            </w:r>
          </w:p>
        </w:tc>
        <w:tc>
          <w:tcPr>
            <w:tcW w:w="1134" w:type="dxa"/>
            <w:gridSpan w:val="2"/>
          </w:tcPr>
          <w:p>
            <w:pPr>
              <w:pStyle w:val="nTable"/>
              <w:spacing w:after="40"/>
            </w:pPr>
            <w:r>
              <w:t>29 of 1996</w:t>
            </w:r>
          </w:p>
        </w:tc>
        <w:tc>
          <w:tcPr>
            <w:tcW w:w="1134" w:type="dxa"/>
            <w:gridSpan w:val="2"/>
          </w:tcPr>
          <w:p>
            <w:pPr>
              <w:pStyle w:val="nTable"/>
              <w:spacing w:after="40"/>
            </w:pPr>
            <w:r>
              <w:t>28 Aug 1996</w:t>
            </w:r>
          </w:p>
        </w:tc>
        <w:tc>
          <w:tcPr>
            <w:tcW w:w="2552" w:type="dxa"/>
            <w:gridSpan w:val="2"/>
          </w:tcPr>
          <w:p>
            <w:pPr>
              <w:pStyle w:val="nTable"/>
              <w:spacing w:after="40"/>
            </w:pPr>
            <w:r>
              <w:t xml:space="preserve">30 Aug 1996 (see s. 2 and </w:t>
            </w:r>
            <w:r>
              <w:rPr>
                <w:i/>
              </w:rPr>
              <w:t>Gazette</w:t>
            </w:r>
            <w:r>
              <w:t xml:space="preserve"> 30 Aug 1996 p. 4365)</w:t>
            </w:r>
          </w:p>
        </w:tc>
      </w:tr>
      <w:tr>
        <w:trPr>
          <w:gridBefore w:val="1"/>
          <w:wBefore w:w="13" w:type="dxa"/>
          <w:cantSplit/>
        </w:trPr>
        <w:tc>
          <w:tcPr>
            <w:tcW w:w="2270"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rPr>
          <w:gridBefore w:val="1"/>
          <w:wBefore w:w="13" w:type="dxa"/>
          <w:cantSplit/>
        </w:trPr>
        <w:tc>
          <w:tcPr>
            <w:tcW w:w="2270" w:type="dxa"/>
            <w:gridSpan w:val="2"/>
          </w:tcPr>
          <w:p>
            <w:pPr>
              <w:pStyle w:val="nTable"/>
              <w:spacing w:after="40"/>
              <w:ind w:right="113"/>
            </w:pPr>
            <w:r>
              <w:rPr>
                <w:i/>
              </w:rPr>
              <w:t>Parliamentary Commissioner Amendment Act 1996</w:t>
            </w:r>
          </w:p>
        </w:tc>
        <w:tc>
          <w:tcPr>
            <w:tcW w:w="1134" w:type="dxa"/>
            <w:gridSpan w:val="2"/>
          </w:tcPr>
          <w:p>
            <w:pPr>
              <w:pStyle w:val="nTable"/>
              <w:spacing w:after="40"/>
            </w:pPr>
            <w:r>
              <w:t>78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w:t>
            </w:r>
          </w:p>
        </w:tc>
      </w:tr>
      <w:tr>
        <w:trPr>
          <w:gridBefore w:val="1"/>
          <w:wBefore w:w="13" w:type="dxa"/>
          <w:cantSplit/>
        </w:trPr>
        <w:tc>
          <w:tcPr>
            <w:tcW w:w="7090" w:type="dxa"/>
            <w:gridSpan w:val="8"/>
          </w:tcPr>
          <w:p>
            <w:pPr>
              <w:pStyle w:val="nTable"/>
              <w:spacing w:after="40"/>
            </w:pPr>
            <w:r>
              <w:rPr>
                <w:b/>
              </w:rPr>
              <w:t xml:space="preserve">Reprint of the </w:t>
            </w:r>
            <w:r>
              <w:rPr>
                <w:b/>
                <w:i/>
              </w:rPr>
              <w:t>Parliamentary Commissioner Act 1971</w:t>
            </w:r>
            <w:r>
              <w:rPr>
                <w:b/>
              </w:rPr>
              <w:t xml:space="preserve"> as at 20 Jan 1997</w:t>
            </w:r>
            <w:r>
              <w:t xml:space="preserve"> (includes amendments listed above)</w:t>
            </w:r>
          </w:p>
        </w:tc>
      </w:tr>
      <w:tr>
        <w:trPr>
          <w:gridBefore w:val="1"/>
          <w:wBefore w:w="13" w:type="dxa"/>
          <w:cantSplit/>
        </w:trPr>
        <w:tc>
          <w:tcPr>
            <w:tcW w:w="2270" w:type="dxa"/>
            <w:gridSpan w:val="2"/>
          </w:tcPr>
          <w:p>
            <w:pPr>
              <w:pStyle w:val="nTable"/>
              <w:spacing w:after="40"/>
              <w:ind w:right="113"/>
            </w:pPr>
            <w:r>
              <w:rPr>
                <w:i/>
              </w:rPr>
              <w:t>Acts Amendment and Repeal (Family Court) Act 1997</w:t>
            </w:r>
            <w:r>
              <w:t xml:space="preserve"> s. 34</w:t>
            </w:r>
          </w:p>
        </w:tc>
        <w:tc>
          <w:tcPr>
            <w:tcW w:w="1134" w:type="dxa"/>
            <w:gridSpan w:val="2"/>
          </w:tcPr>
          <w:p>
            <w:pPr>
              <w:pStyle w:val="nTable"/>
              <w:spacing w:after="40"/>
            </w:pPr>
            <w:r>
              <w:t>41 of 1997</w:t>
            </w:r>
          </w:p>
        </w:tc>
        <w:tc>
          <w:tcPr>
            <w:tcW w:w="1134" w:type="dxa"/>
            <w:gridSpan w:val="2"/>
          </w:tcPr>
          <w:p>
            <w:pPr>
              <w:pStyle w:val="nTable"/>
              <w:spacing w:after="40"/>
            </w:pPr>
            <w:r>
              <w:t>9 Dec 1997</w:t>
            </w:r>
          </w:p>
        </w:tc>
        <w:tc>
          <w:tcPr>
            <w:tcW w:w="2552" w:type="dxa"/>
            <w:gridSpan w:val="2"/>
          </w:tcPr>
          <w:p>
            <w:pPr>
              <w:pStyle w:val="nTable"/>
              <w:spacing w:after="40"/>
            </w:pPr>
            <w:r>
              <w:t xml:space="preserve">26 Sep 1998 (see s. 2 and </w:t>
            </w:r>
            <w:r>
              <w:rPr>
                <w:i/>
              </w:rPr>
              <w:t>Gazette</w:t>
            </w:r>
            <w:r>
              <w:t xml:space="preserve"> 25 Sep 1998 p. 5295)</w:t>
            </w:r>
          </w:p>
        </w:tc>
      </w:tr>
      <w:tr>
        <w:trPr>
          <w:gridBefore w:val="1"/>
          <w:wBefore w:w="13" w:type="dxa"/>
          <w:cantSplit/>
        </w:trPr>
        <w:tc>
          <w:tcPr>
            <w:tcW w:w="2270" w:type="dxa"/>
            <w:gridSpan w:val="2"/>
          </w:tcPr>
          <w:p>
            <w:pPr>
              <w:pStyle w:val="nTable"/>
              <w:spacing w:after="40"/>
              <w:ind w:right="113"/>
            </w:pPr>
            <w:r>
              <w:rPr>
                <w:i/>
              </w:rPr>
              <w:t>Statutes (Repeals and Minor Amendments) Act (No. 2) 1998</w:t>
            </w:r>
            <w:r>
              <w:t xml:space="preserve"> s. 57 and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Before w:val="1"/>
          <w:wBefore w:w="13" w:type="dxa"/>
          <w:cantSplit/>
        </w:trPr>
        <w:tc>
          <w:tcPr>
            <w:tcW w:w="2270" w:type="dxa"/>
            <w:gridSpan w:val="2"/>
          </w:tcPr>
          <w:p>
            <w:pPr>
              <w:pStyle w:val="nTable"/>
              <w:spacing w:after="40"/>
              <w:ind w:right="113"/>
            </w:pPr>
            <w:r>
              <w:rPr>
                <w:i/>
              </w:rPr>
              <w:t>Gas Pipelines Access (</w:t>
            </w:r>
            <w:smartTag w:uri="urn:schemas-microsoft-com:office:smarttags" w:element="State">
              <w:smartTag w:uri="urn:schemas-microsoft-com:office:smarttags" w:element="place">
                <w:r>
                  <w:rPr>
                    <w:i/>
                  </w:rPr>
                  <w:t>Western Australia</w:t>
                </w:r>
              </w:smartTag>
            </w:smartTag>
            <w:r>
              <w:rPr>
                <w:i/>
              </w:rPr>
              <w:t>) Act 1998</w:t>
            </w:r>
            <w:r>
              <w:t xml:space="preserve"> Sch. 3 Div. 8</w:t>
            </w:r>
          </w:p>
        </w:tc>
        <w:tc>
          <w:tcPr>
            <w:tcW w:w="1134" w:type="dxa"/>
            <w:gridSpan w:val="2"/>
          </w:tcPr>
          <w:p>
            <w:pPr>
              <w:pStyle w:val="nTable"/>
              <w:spacing w:after="40"/>
            </w:pPr>
            <w:r>
              <w:t>65 of 1998</w:t>
            </w:r>
          </w:p>
        </w:tc>
        <w:tc>
          <w:tcPr>
            <w:tcW w:w="1134"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rPr>
          <w:gridBefore w:val="1"/>
          <w:wBefore w:w="13" w:type="dxa"/>
          <w:cantSplit/>
        </w:trPr>
        <w:tc>
          <w:tcPr>
            <w:tcW w:w="2270" w:type="dxa"/>
            <w:gridSpan w:val="2"/>
          </w:tcPr>
          <w:p>
            <w:pPr>
              <w:pStyle w:val="nTable"/>
              <w:spacing w:after="40"/>
              <w:ind w:right="113"/>
            </w:pPr>
            <w:r>
              <w:rPr>
                <w:i/>
              </w:rPr>
              <w:t xml:space="preserve">Prisons Amendment Act 1999 </w:t>
            </w:r>
            <w:r>
              <w:t>s. 20 (Sch. 1 cl. 5)</w:t>
            </w:r>
          </w:p>
        </w:tc>
        <w:tc>
          <w:tcPr>
            <w:tcW w:w="1134" w:type="dxa"/>
            <w:gridSpan w:val="2"/>
          </w:tcPr>
          <w:p>
            <w:pPr>
              <w:pStyle w:val="nTable"/>
              <w:spacing w:after="40"/>
            </w:pPr>
            <w:r>
              <w:t>43 of 1999</w:t>
            </w:r>
          </w:p>
        </w:tc>
        <w:tc>
          <w:tcPr>
            <w:tcW w:w="1134" w:type="dxa"/>
            <w:gridSpan w:val="2"/>
          </w:tcPr>
          <w:p>
            <w:pPr>
              <w:pStyle w:val="nTable"/>
              <w:spacing w:after="40"/>
            </w:pPr>
            <w:r>
              <w:t>8 Dec 1999</w:t>
            </w:r>
          </w:p>
        </w:tc>
        <w:tc>
          <w:tcPr>
            <w:tcW w:w="2552" w:type="dxa"/>
            <w:gridSpan w:val="2"/>
          </w:tcPr>
          <w:p>
            <w:pPr>
              <w:pStyle w:val="nTable"/>
              <w:spacing w:after="40"/>
            </w:pPr>
            <w:r>
              <w:t xml:space="preserve">Sch. 1 cl. 5(1), (3) and (4): 18 Dec 1999 (see s. 2(2) and </w:t>
            </w:r>
            <w:r>
              <w:rPr>
                <w:i/>
              </w:rPr>
              <w:t>Gazette</w:t>
            </w:r>
            <w:r>
              <w:t xml:space="preserve"> 17 Dec 1999 p. 6175); </w:t>
            </w:r>
            <w:r>
              <w:br/>
              <w:t>Sch. 1 cl. 5(2) and (5)</w:t>
            </w:r>
            <w:r>
              <w:noBreakHyphen/>
              <w:t xml:space="preserve">(7): 18 Jun 2000 (see s. 2(3) and (4) and </w:t>
            </w:r>
            <w:r>
              <w:rPr>
                <w:i/>
              </w:rPr>
              <w:t>Gazette</w:t>
            </w:r>
            <w:r>
              <w:t xml:space="preserve"> 16 Jun 2000 p. 2939)</w:t>
            </w:r>
          </w:p>
        </w:tc>
      </w:tr>
      <w:tr>
        <w:trPr>
          <w:gridBefore w:val="1"/>
          <w:wBefore w:w="13" w:type="dxa"/>
          <w:cantSplit/>
        </w:trPr>
        <w:tc>
          <w:tcPr>
            <w:tcW w:w="2270" w:type="dxa"/>
            <w:gridSpan w:val="2"/>
          </w:tcPr>
          <w:p>
            <w:pPr>
              <w:pStyle w:val="nTable"/>
              <w:spacing w:after="40"/>
              <w:ind w:right="113"/>
              <w:rPr>
                <w:i/>
              </w:rPr>
            </w:pPr>
            <w:r>
              <w:rPr>
                <w:i/>
              </w:rPr>
              <w:t>Court Security and Custodial Services (Consequential Provisions) Act 1999</w:t>
            </w:r>
            <w:r>
              <w:t xml:space="preserve"> Pt. 8</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rPr>
          <w:gridBefore w:val="1"/>
          <w:wBefore w:w="13" w:type="dxa"/>
          <w:cantSplit/>
        </w:trPr>
        <w:tc>
          <w:tcPr>
            <w:tcW w:w="2270" w:type="dxa"/>
            <w:gridSpan w:val="2"/>
          </w:tcPr>
          <w:p>
            <w:pPr>
              <w:pStyle w:val="nTable"/>
              <w:spacing w:after="40"/>
              <w:ind w:right="113"/>
            </w:pPr>
            <w:r>
              <w:rPr>
                <w:i/>
              </w:rPr>
              <w:t>Railways (Access) Amendment Act 2000</w:t>
            </w:r>
            <w:r>
              <w:t xml:space="preserve"> s. 12</w:t>
            </w:r>
          </w:p>
        </w:tc>
        <w:tc>
          <w:tcPr>
            <w:tcW w:w="1134" w:type="dxa"/>
            <w:gridSpan w:val="2"/>
          </w:tcPr>
          <w:p>
            <w:pPr>
              <w:pStyle w:val="nTable"/>
              <w:spacing w:after="40"/>
            </w:pPr>
            <w:r>
              <w:t>55 of 2000</w:t>
            </w:r>
          </w:p>
        </w:tc>
        <w:tc>
          <w:tcPr>
            <w:tcW w:w="1134" w:type="dxa"/>
            <w:gridSpan w:val="2"/>
          </w:tcPr>
          <w:p>
            <w:pPr>
              <w:pStyle w:val="nTable"/>
              <w:spacing w:after="40"/>
            </w:pPr>
            <w:r>
              <w:t>28 Nov 2000</w:t>
            </w:r>
          </w:p>
        </w:tc>
        <w:tc>
          <w:tcPr>
            <w:tcW w:w="2552" w:type="dxa"/>
            <w:gridSpan w:val="2"/>
          </w:tcPr>
          <w:p>
            <w:pPr>
              <w:pStyle w:val="nTable"/>
              <w:spacing w:after="40"/>
            </w:pPr>
            <w:r>
              <w:t>28 Nov 2000 (see s. 2)</w:t>
            </w:r>
          </w:p>
        </w:tc>
      </w:tr>
      <w:tr>
        <w:trPr>
          <w:gridBefore w:val="1"/>
          <w:wBefore w:w="13" w:type="dxa"/>
          <w:cantSplit/>
        </w:trPr>
        <w:tc>
          <w:tcPr>
            <w:tcW w:w="7090" w:type="dxa"/>
            <w:gridSpan w:val="8"/>
          </w:tcPr>
          <w:p>
            <w:pPr>
              <w:pStyle w:val="nTable"/>
              <w:spacing w:after="40"/>
            </w:pPr>
            <w:r>
              <w:rPr>
                <w:b/>
              </w:rPr>
              <w:t xml:space="preserve">Reprint of the </w:t>
            </w:r>
            <w:r>
              <w:rPr>
                <w:b/>
                <w:i/>
              </w:rPr>
              <w:t>Parliamentary Commissioner Act 1971</w:t>
            </w:r>
            <w:r>
              <w:rPr>
                <w:b/>
              </w:rPr>
              <w:t xml:space="preserve"> as at 16 Mar 2001</w:t>
            </w:r>
            <w:r>
              <w:t xml:space="preserve"> (includes amendments listed above)</w:t>
            </w:r>
          </w:p>
        </w:tc>
      </w:tr>
      <w:tr>
        <w:trPr>
          <w:gridBefore w:val="1"/>
          <w:wBefore w:w="13" w:type="dxa"/>
          <w:cantSplit/>
        </w:trPr>
        <w:tc>
          <w:tcPr>
            <w:tcW w:w="2270" w:type="dxa"/>
            <w:gridSpan w:val="2"/>
          </w:tcPr>
          <w:p>
            <w:pPr>
              <w:pStyle w:val="nTable"/>
              <w:spacing w:after="40"/>
              <w:ind w:right="113"/>
            </w:pPr>
            <w:r>
              <w:rPr>
                <w:i/>
              </w:rPr>
              <w:t>Racing and Gambling Legislation Amendment and Repeal Act 2003</w:t>
            </w:r>
            <w:r>
              <w:t xml:space="preserve"> s. 22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2" w:type="dxa"/>
            <w:gridSpan w:val="2"/>
          </w:tcPr>
          <w:p>
            <w:pPr>
              <w:pStyle w:val="nTable"/>
              <w:spacing w:after="40"/>
            </w:pPr>
            <w:r>
              <w:t xml:space="preserve">1 Aug 2003 (see s. 2 and </w:t>
            </w:r>
            <w:r>
              <w:rPr>
                <w:i/>
              </w:rPr>
              <w:t>Gazette</w:t>
            </w:r>
            <w:r>
              <w:t xml:space="preserve"> 29 Jul 2003 p. 3259)</w:t>
            </w:r>
          </w:p>
        </w:tc>
      </w:tr>
      <w:tr>
        <w:trPr>
          <w:gridBefore w:val="1"/>
          <w:wBefore w:w="13" w:type="dxa"/>
          <w:cantSplit/>
        </w:trPr>
        <w:tc>
          <w:tcPr>
            <w:tcW w:w="2270" w:type="dxa"/>
            <w:gridSpan w:val="2"/>
          </w:tcPr>
          <w:p>
            <w:pPr>
              <w:pStyle w:val="nTable"/>
              <w:spacing w:after="40"/>
              <w:ind w:right="113"/>
              <w:rPr>
                <w:i/>
              </w:rPr>
            </w:pPr>
            <w:r>
              <w:rPr>
                <w:i/>
              </w:rPr>
              <w:t>Energy Legislation Amendment Act 2003</w:t>
            </w:r>
            <w:r>
              <w:t xml:space="preserve"> s. 34</w:t>
            </w:r>
          </w:p>
        </w:tc>
        <w:tc>
          <w:tcPr>
            <w:tcW w:w="1134" w:type="dxa"/>
            <w:gridSpan w:val="2"/>
          </w:tcPr>
          <w:p>
            <w:pPr>
              <w:pStyle w:val="nTable"/>
              <w:spacing w:after="40"/>
            </w:pPr>
            <w:r>
              <w:t>53 of 2003</w:t>
            </w:r>
          </w:p>
        </w:tc>
        <w:tc>
          <w:tcPr>
            <w:tcW w:w="1134" w:type="dxa"/>
            <w:gridSpan w:val="2"/>
          </w:tcPr>
          <w:p>
            <w:pPr>
              <w:pStyle w:val="nTable"/>
              <w:spacing w:after="40"/>
            </w:pPr>
            <w:r>
              <w:t>8 Oct 2003</w:t>
            </w:r>
          </w:p>
        </w:tc>
        <w:tc>
          <w:tcPr>
            <w:tcW w:w="2552" w:type="dxa"/>
            <w:gridSpan w:val="2"/>
          </w:tcPr>
          <w:p>
            <w:pPr>
              <w:pStyle w:val="nTable"/>
              <w:spacing w:after="40"/>
            </w:pPr>
            <w:r>
              <w:t xml:space="preserve">17 Apr 2004 (see s. 2(2)(b) and </w:t>
            </w:r>
            <w:r>
              <w:rPr>
                <w:i/>
              </w:rPr>
              <w:t>Gazette</w:t>
            </w:r>
            <w:r>
              <w:t xml:space="preserve"> 16 Apr 2004 p. 1209)</w:t>
            </w:r>
          </w:p>
        </w:tc>
      </w:tr>
      <w:tr>
        <w:trPr>
          <w:gridBefore w:val="1"/>
          <w:wBefore w:w="13" w:type="dxa"/>
          <w:cantSplit/>
        </w:trPr>
        <w:tc>
          <w:tcPr>
            <w:tcW w:w="2270" w:type="dxa"/>
            <w:gridSpan w:val="2"/>
          </w:tcPr>
          <w:p>
            <w:pPr>
              <w:pStyle w:val="nTable"/>
              <w:spacing w:after="40"/>
              <w:ind w:right="113"/>
              <w:rPr>
                <w:i/>
                <w:vertAlign w:val="superscript"/>
              </w:rPr>
            </w:pPr>
            <w:r>
              <w:rPr>
                <w:i/>
              </w:rPr>
              <w:t>Economic Regulation Authority Act 2003</w:t>
            </w:r>
            <w:r>
              <w:t xml:space="preserve"> Sch. 2 Div. 10</w:t>
            </w:r>
          </w:p>
        </w:tc>
        <w:tc>
          <w:tcPr>
            <w:tcW w:w="1134" w:type="dxa"/>
            <w:gridSpan w:val="2"/>
          </w:tcPr>
          <w:p>
            <w:pPr>
              <w:pStyle w:val="nTable"/>
              <w:spacing w:after="40"/>
            </w:pPr>
            <w:r>
              <w:t>67 of 2003</w:t>
            </w:r>
          </w:p>
        </w:tc>
        <w:tc>
          <w:tcPr>
            <w:tcW w:w="1134" w:type="dxa"/>
            <w:gridSpan w:val="2"/>
          </w:tcPr>
          <w:p>
            <w:pPr>
              <w:pStyle w:val="nTable"/>
              <w:spacing w:after="40"/>
            </w:pPr>
            <w:r>
              <w:t>5 Dec 2003</w:t>
            </w:r>
          </w:p>
        </w:tc>
        <w:tc>
          <w:tcPr>
            <w:tcW w:w="2552" w:type="dxa"/>
            <w:gridSpan w:val="2"/>
          </w:tcPr>
          <w:p>
            <w:pPr>
              <w:pStyle w:val="nTable"/>
              <w:spacing w:after="40"/>
            </w:pPr>
            <w:r>
              <w:t xml:space="preserve">1 Jan 2004 (see s. 2 and </w:t>
            </w:r>
            <w:r>
              <w:rPr>
                <w:i/>
              </w:rPr>
              <w:t>Gazette</w:t>
            </w:r>
            <w:r>
              <w:t xml:space="preserve"> 30 Dec 2003 p. 5723)</w:t>
            </w:r>
          </w:p>
        </w:tc>
      </w:tr>
      <w:tr>
        <w:trPr>
          <w:gridBefore w:val="1"/>
          <w:wBefore w:w="13" w:type="dxa"/>
          <w:cantSplit/>
        </w:trPr>
        <w:tc>
          <w:tcPr>
            <w:tcW w:w="2270" w:type="dxa"/>
            <w:gridSpan w:val="2"/>
          </w:tcPr>
          <w:p>
            <w:pPr>
              <w:pStyle w:val="nTable"/>
              <w:spacing w:after="40"/>
              <w:ind w:right="113"/>
            </w:pPr>
            <w:r>
              <w:rPr>
                <w:i/>
              </w:rPr>
              <w:t>Statutes (Repeals and Minor Amendments) Act 2003</w:t>
            </w:r>
            <w:r>
              <w:t xml:space="preserve"> s. 91</w:t>
            </w:r>
            <w:r>
              <w:rPr>
                <w:vertAlign w:val="superscript"/>
              </w:rPr>
              <w:t> 6</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t>15 Dec 2003 (see s. 2)</w:t>
            </w:r>
          </w:p>
        </w:tc>
      </w:tr>
      <w:tr>
        <w:trPr>
          <w:gridBefore w:val="1"/>
          <w:wBefore w:w="13" w:type="dxa"/>
          <w:cantSplit/>
        </w:trPr>
        <w:tc>
          <w:tcPr>
            <w:tcW w:w="2270" w:type="dxa"/>
            <w:gridSpan w:val="2"/>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2" w:type="dxa"/>
            <w:gridSpan w:val="2"/>
          </w:tcPr>
          <w:p>
            <w:pPr>
              <w:pStyle w:val="nTable"/>
              <w:spacing w:after="40"/>
            </w:pPr>
            <w:r>
              <w:t>15 Dec 2003 (see s. 2)</w:t>
            </w:r>
          </w:p>
        </w:tc>
      </w:tr>
      <w:tr>
        <w:trPr>
          <w:gridBefore w:val="1"/>
          <w:wBefore w:w="13" w:type="dxa"/>
          <w:cantSplit/>
        </w:trPr>
        <w:tc>
          <w:tcPr>
            <w:tcW w:w="2270" w:type="dxa"/>
            <w:gridSpan w:val="2"/>
          </w:tcPr>
          <w:p>
            <w:pPr>
              <w:pStyle w:val="nTable"/>
              <w:spacing w:after="40"/>
              <w:ind w:right="113"/>
              <w:rPr>
                <w:i/>
              </w:rPr>
            </w:pPr>
            <w:r>
              <w:rPr>
                <w:i/>
              </w:rPr>
              <w:t xml:space="preserve">Corruption and Crime Commission Amendment and Repeal Act 2003 </w:t>
            </w:r>
            <w:r>
              <w:t>s. 72</w:t>
            </w:r>
            <w:r>
              <w:noBreakHyphen/>
              <w:t>74</w:t>
            </w:r>
            <w:r>
              <w:rPr>
                <w:vertAlign w:val="superscript"/>
              </w:rPr>
              <w:t> 7</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2" w:type="dxa"/>
            <w:gridSpan w:val="2"/>
          </w:tcPr>
          <w:p>
            <w:pPr>
              <w:pStyle w:val="nTable"/>
              <w:spacing w:after="40"/>
            </w:pPr>
            <w:r>
              <w:t xml:space="preserve">s. 72(1), 73 and 74(1): 1 Jan 2004 (see s. 2 and </w:t>
            </w:r>
            <w:r>
              <w:rPr>
                <w:i/>
              </w:rPr>
              <w:t xml:space="preserve">Gazette </w:t>
            </w:r>
            <w:r>
              <w:t>30 Dec 2003 p. 5723);</w:t>
            </w:r>
            <w:r>
              <w:br/>
              <w:t xml:space="preserve">s. 72(2) and 74(2): 7 Jul 2004 (see s. 2 and </w:t>
            </w:r>
            <w:r>
              <w:rPr>
                <w:i/>
              </w:rPr>
              <w:t>Gazette</w:t>
            </w:r>
            <w:r>
              <w:t xml:space="preserve"> 6 Jul 2004 p. 2697)</w:t>
            </w:r>
          </w:p>
        </w:tc>
      </w:tr>
      <w:tr>
        <w:trPr>
          <w:gridBefore w:val="1"/>
          <w:wBefore w:w="13" w:type="dxa"/>
          <w:cantSplit/>
        </w:trPr>
        <w:tc>
          <w:tcPr>
            <w:tcW w:w="7090" w:type="dxa"/>
            <w:gridSpan w:val="8"/>
          </w:tcPr>
          <w:p>
            <w:pPr>
              <w:pStyle w:val="nTable"/>
              <w:spacing w:after="40"/>
            </w:pPr>
            <w:r>
              <w:rPr>
                <w:b/>
              </w:rPr>
              <w:t xml:space="preserve">Reprint 7: The </w:t>
            </w:r>
            <w:r>
              <w:rPr>
                <w:b/>
                <w:i/>
              </w:rPr>
              <w:t>Parliamentary Commissioner Act 1971</w:t>
            </w:r>
            <w:r>
              <w:rPr>
                <w:b/>
              </w:rPr>
              <w:t xml:space="preserve"> as at 1 Oct 2004</w:t>
            </w:r>
            <w:r>
              <w:rPr>
                <w:b/>
              </w:rPr>
              <w:br/>
            </w:r>
            <w:r>
              <w:t>(includes amendments listed above)</w:t>
            </w:r>
          </w:p>
        </w:tc>
      </w:tr>
      <w:tr>
        <w:trPr>
          <w:gridBefore w:val="1"/>
          <w:wBefore w:w="13" w:type="dxa"/>
          <w:cantSplit/>
        </w:trPr>
        <w:tc>
          <w:tcPr>
            <w:tcW w:w="2270" w:type="dxa"/>
            <w:gridSpan w:val="2"/>
          </w:tcPr>
          <w:p>
            <w:pPr>
              <w:pStyle w:val="nTable"/>
              <w:spacing w:after="40"/>
              <w:ind w:right="113"/>
            </w:pPr>
            <w:r>
              <w:rPr>
                <w:i/>
              </w:rPr>
              <w:t>Electricity Legislation Amendment Act 2004</w:t>
            </w:r>
            <w:r>
              <w:t xml:space="preserve"> Pt. 2 Div. 5</w:t>
            </w:r>
          </w:p>
        </w:tc>
        <w:tc>
          <w:tcPr>
            <w:tcW w:w="1134" w:type="dxa"/>
            <w:gridSpan w:val="2"/>
          </w:tcPr>
          <w:p>
            <w:pPr>
              <w:pStyle w:val="nTable"/>
              <w:spacing w:after="40"/>
            </w:pPr>
            <w:r>
              <w:t>33 of 2004</w:t>
            </w:r>
          </w:p>
        </w:tc>
        <w:tc>
          <w:tcPr>
            <w:tcW w:w="1134" w:type="dxa"/>
            <w:gridSpan w:val="2"/>
          </w:tcPr>
          <w:p>
            <w:pPr>
              <w:pStyle w:val="nTable"/>
              <w:spacing w:after="40"/>
            </w:pPr>
            <w:r>
              <w:t>20 Oct 2004</w:t>
            </w:r>
          </w:p>
        </w:tc>
        <w:tc>
          <w:tcPr>
            <w:tcW w:w="2552" w:type="dxa"/>
            <w:gridSpan w:val="2"/>
          </w:tcPr>
          <w:p>
            <w:pPr>
              <w:pStyle w:val="nTable"/>
              <w:spacing w:after="40"/>
            </w:pPr>
            <w:r>
              <w:t xml:space="preserve">25 Jun 2005 (see s. 2 and </w:t>
            </w:r>
            <w:r>
              <w:rPr>
                <w:i/>
              </w:rPr>
              <w:t>Gazette</w:t>
            </w:r>
            <w:r>
              <w:t xml:space="preserve"> 24 Jun 2005 p. 2751)</w:t>
            </w:r>
          </w:p>
        </w:tc>
      </w:tr>
      <w:tr>
        <w:trPr>
          <w:gridBefore w:val="1"/>
          <w:wBefore w:w="13" w:type="dxa"/>
          <w:cantSplit/>
        </w:trPr>
        <w:tc>
          <w:tcPr>
            <w:tcW w:w="2270" w:type="dxa"/>
            <w:gridSpan w:val="2"/>
          </w:tcPr>
          <w:p>
            <w:pPr>
              <w:pStyle w:val="nTable"/>
              <w:spacing w:after="40"/>
              <w:ind w:right="113"/>
            </w:pPr>
            <w:r>
              <w:rPr>
                <w:i/>
              </w:rPr>
              <w:t>State Administrative Tribunal Act 2004</w:t>
            </w:r>
            <w:r>
              <w:t xml:space="preserve"> s. 177</w:t>
            </w:r>
          </w:p>
        </w:tc>
        <w:tc>
          <w:tcPr>
            <w:tcW w:w="1134" w:type="dxa"/>
            <w:gridSpan w:val="2"/>
          </w:tcPr>
          <w:p>
            <w:pPr>
              <w:pStyle w:val="nTable"/>
              <w:spacing w:after="40"/>
            </w:pPr>
            <w:r>
              <w:t>54 of 2004</w:t>
            </w:r>
          </w:p>
        </w:tc>
        <w:tc>
          <w:tcPr>
            <w:tcW w:w="1134" w:type="dxa"/>
            <w:gridSpan w:val="2"/>
          </w:tcPr>
          <w:p>
            <w:pPr>
              <w:pStyle w:val="nTable"/>
              <w:spacing w:after="40"/>
            </w:pPr>
            <w:r>
              <w:t>23 Nov 2004</w:t>
            </w:r>
          </w:p>
        </w:tc>
        <w:tc>
          <w:tcPr>
            <w:tcW w:w="2552" w:type="dxa"/>
            <w:gridSpan w:val="2"/>
          </w:tcPr>
          <w:p>
            <w:pPr>
              <w:pStyle w:val="nTable"/>
              <w:spacing w:after="40"/>
            </w:pPr>
            <w:r>
              <w:t xml:space="preserve">1 Jan 2005 (see s. 2 and </w:t>
            </w:r>
            <w:r>
              <w:rPr>
                <w:i/>
              </w:rPr>
              <w:t>Gazette</w:t>
            </w:r>
            <w:r>
              <w:t xml:space="preserve"> 31 Dec 2004 p. 7129)</w:t>
            </w:r>
          </w:p>
        </w:tc>
      </w:tr>
      <w:tr>
        <w:trPr>
          <w:gridBefore w:val="1"/>
          <w:wBefore w:w="13" w:type="dxa"/>
          <w:cantSplit/>
        </w:trPr>
        <w:tc>
          <w:tcPr>
            <w:tcW w:w="2270"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1"/>
          <w:wBefore w:w="13" w:type="dxa"/>
          <w:cantSplit/>
        </w:trPr>
        <w:tc>
          <w:tcPr>
            <w:tcW w:w="2270" w:type="dxa"/>
            <w:gridSpan w:val="2"/>
          </w:tcPr>
          <w:p>
            <w:pPr>
              <w:pStyle w:val="nTable"/>
              <w:spacing w:after="40"/>
              <w:ind w:right="113"/>
              <w:rPr>
                <w:i/>
                <w:vertAlign w:val="superscript"/>
              </w:rPr>
            </w:pPr>
            <w:r>
              <w:rPr>
                <w:i/>
              </w:rPr>
              <w:t>State Administrative Tribunal (Conferral of Jurisdiction) Amendment and Repeal Act 2004</w:t>
            </w:r>
            <w:r>
              <w:t xml:space="preserve"> s. 1325</w:t>
            </w:r>
            <w:r>
              <w:rPr>
                <w:vertAlign w:val="superscript"/>
              </w:rPr>
              <w:t> 8</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wBefore w:w="13" w:type="dxa"/>
          <w:cantSplit/>
        </w:trPr>
        <w:tc>
          <w:tcPr>
            <w:tcW w:w="2270" w:type="dxa"/>
            <w:gridSpan w:val="2"/>
          </w:tcPr>
          <w:p>
            <w:pPr>
              <w:pStyle w:val="nTable"/>
              <w:spacing w:after="40"/>
              <w:ind w:right="113"/>
              <w:rPr>
                <w:i/>
              </w:rPr>
            </w:pPr>
            <w:r>
              <w:rPr>
                <w:i/>
                <w:snapToGrid w:val="0"/>
              </w:rPr>
              <w:t xml:space="preserve">Financial Legislation Amendment and Repeal Act 2006 </w:t>
            </w:r>
            <w:r>
              <w:rPr>
                <w:snapToGrid w:val="0"/>
              </w:rPr>
              <w:t>s. 4 and Sch. 1 cl. 118</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13" w:type="dxa"/>
          <w:cantSplit/>
        </w:trPr>
        <w:tc>
          <w:tcPr>
            <w:tcW w:w="7090" w:type="dxa"/>
            <w:gridSpan w:val="8"/>
          </w:tcPr>
          <w:p>
            <w:pPr>
              <w:pStyle w:val="nTable"/>
              <w:spacing w:after="40"/>
              <w:rPr>
                <w:snapToGrid w:val="0"/>
              </w:rPr>
            </w:pPr>
            <w:r>
              <w:rPr>
                <w:b/>
              </w:rPr>
              <w:t xml:space="preserve">Reprint 8: The </w:t>
            </w:r>
            <w:r>
              <w:rPr>
                <w:b/>
                <w:i/>
              </w:rPr>
              <w:t>Parliamentary Commissioner Act 1971</w:t>
            </w:r>
            <w:r>
              <w:rPr>
                <w:b/>
              </w:rPr>
              <w:t xml:space="preserve"> as at 3 Oct 2008 </w:t>
            </w:r>
            <w:r>
              <w:t>(includes amendments listed above)</w:t>
            </w:r>
          </w:p>
        </w:tc>
      </w:tr>
      <w:tr>
        <w:trPr>
          <w:gridBefore w:val="1"/>
          <w:wBefore w:w="13" w:type="dxa"/>
          <w:cantSplit/>
        </w:trPr>
        <w:tc>
          <w:tcPr>
            <w:tcW w:w="2270" w:type="dxa"/>
            <w:gridSpan w:val="2"/>
          </w:tcPr>
          <w:p>
            <w:pPr>
              <w:pStyle w:val="nTable"/>
              <w:spacing w:after="40"/>
              <w:ind w:right="113"/>
              <w:rPr>
                <w:iCs/>
              </w:rPr>
            </w:pPr>
            <w:r>
              <w:rPr>
                <w:i/>
                <w:snapToGrid w:val="0"/>
              </w:rPr>
              <w:t>Parliamentary Commissioner Amendment Act 2009</w:t>
            </w:r>
          </w:p>
        </w:tc>
        <w:tc>
          <w:tcPr>
            <w:tcW w:w="1134" w:type="dxa"/>
            <w:gridSpan w:val="2"/>
          </w:tcPr>
          <w:p>
            <w:pPr>
              <w:pStyle w:val="nTable"/>
              <w:spacing w:after="40"/>
            </w:pPr>
            <w:r>
              <w:rPr>
                <w:snapToGrid w:val="0"/>
              </w:rPr>
              <w:t>10 of 2009</w:t>
            </w:r>
          </w:p>
        </w:tc>
        <w:tc>
          <w:tcPr>
            <w:tcW w:w="1134" w:type="dxa"/>
            <w:gridSpan w:val="2"/>
          </w:tcPr>
          <w:p>
            <w:pPr>
              <w:pStyle w:val="nTable"/>
              <w:spacing w:after="40"/>
            </w:pPr>
            <w:r>
              <w:rPr>
                <w:snapToGrid w:val="0"/>
              </w:rPr>
              <w:t>29 Jun 2009</w:t>
            </w:r>
          </w:p>
        </w:tc>
        <w:tc>
          <w:tcPr>
            <w:tcW w:w="2552" w:type="dxa"/>
            <w:gridSpan w:val="2"/>
          </w:tcPr>
          <w:p>
            <w:pPr>
              <w:pStyle w:val="nTable"/>
              <w:spacing w:after="40"/>
            </w:pPr>
            <w:r>
              <w:rPr>
                <w:snapToGrid w:val="0"/>
              </w:rPr>
              <w:t>s. 1 and 2: 29 Jun 2009 (see s. 2(a));</w:t>
            </w:r>
            <w:r>
              <w:rPr>
                <w:snapToGrid w:val="0"/>
              </w:rPr>
              <w:br/>
              <w:t>Act other than s. 1 and 2: 30 Jun 2009 (see s. 2(b))</w:t>
            </w:r>
          </w:p>
        </w:tc>
      </w:tr>
      <w:tr>
        <w:trPr>
          <w:gridBefore w:val="1"/>
          <w:wBefore w:w="13" w:type="dxa"/>
          <w:cantSplit/>
        </w:trPr>
        <w:tc>
          <w:tcPr>
            <w:tcW w:w="2270" w:type="dxa"/>
            <w:gridSpan w:val="2"/>
          </w:tcPr>
          <w:p>
            <w:pPr>
              <w:pStyle w:val="nTable"/>
              <w:spacing w:after="40"/>
              <w:ind w:right="113"/>
              <w:rPr>
                <w:i/>
                <w:snapToGrid w:val="0"/>
              </w:rPr>
            </w:pPr>
            <w:r>
              <w:rPr>
                <w:i/>
              </w:rPr>
              <w:t>National Gas Access (WA) Act 2009</w:t>
            </w:r>
            <w:r>
              <w:rPr>
                <w:iCs/>
              </w:rPr>
              <w:t xml:space="preserve"> s. 71</w:t>
            </w:r>
          </w:p>
        </w:tc>
        <w:tc>
          <w:tcPr>
            <w:tcW w:w="1134" w:type="dxa"/>
            <w:gridSpan w:val="2"/>
          </w:tcPr>
          <w:p>
            <w:pPr>
              <w:pStyle w:val="nTable"/>
              <w:spacing w:after="40"/>
              <w:rPr>
                <w:snapToGrid w:val="0"/>
              </w:rPr>
            </w:pPr>
            <w:r>
              <w:t>16 of 2009</w:t>
            </w:r>
          </w:p>
        </w:tc>
        <w:tc>
          <w:tcPr>
            <w:tcW w:w="1134" w:type="dxa"/>
            <w:gridSpan w:val="2"/>
          </w:tcPr>
          <w:p>
            <w:pPr>
              <w:pStyle w:val="nTable"/>
              <w:spacing w:after="40"/>
              <w:rPr>
                <w:snapToGrid w:val="0"/>
              </w:rPr>
            </w:pPr>
            <w:r>
              <w:t>1 Sep 2009</w:t>
            </w:r>
          </w:p>
        </w:tc>
        <w:tc>
          <w:tcPr>
            <w:tcW w:w="2552" w:type="dxa"/>
            <w:gridSpan w:val="2"/>
          </w:tcPr>
          <w:p>
            <w:pPr>
              <w:pStyle w:val="nTable"/>
              <w:spacing w:after="40"/>
              <w:rPr>
                <w:snapToGrid w:val="0"/>
              </w:rPr>
            </w:pPr>
            <w:r>
              <w:t xml:space="preserve">1 Jan 2010 (see s. 2(b) and </w:t>
            </w:r>
            <w:r>
              <w:rPr>
                <w:i/>
                <w:iCs/>
              </w:rPr>
              <w:t>Gazette</w:t>
            </w:r>
            <w:r>
              <w:t xml:space="preserve"> 31 Dec 2009 p. 5327)</w:t>
            </w:r>
          </w:p>
        </w:tc>
      </w:tr>
      <w:tr>
        <w:trPr>
          <w:gridBefore w:val="1"/>
          <w:wBefore w:w="13" w:type="dxa"/>
          <w:cantSplit/>
        </w:trPr>
        <w:tc>
          <w:tcPr>
            <w:tcW w:w="2270" w:type="dxa"/>
            <w:gridSpan w:val="2"/>
          </w:tcPr>
          <w:p>
            <w:pPr>
              <w:pStyle w:val="nTable"/>
              <w:spacing w:after="40"/>
              <w:rPr>
                <w:iCs/>
                <w:snapToGrid w:val="0"/>
              </w:rPr>
            </w:pPr>
            <w:r>
              <w:rPr>
                <w:i/>
                <w:snapToGrid w:val="0"/>
              </w:rPr>
              <w:t>Acts Amendment (Bankruptcy) Act 2009</w:t>
            </w:r>
            <w:r>
              <w:rPr>
                <w:iCs/>
                <w:snapToGrid w:val="0"/>
              </w:rPr>
              <w:t xml:space="preserve"> s. 62</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rPr>
          <w:gridBefore w:val="1"/>
          <w:wBefore w:w="13" w:type="dxa"/>
          <w:cantSplit/>
        </w:trPr>
        <w:tc>
          <w:tcPr>
            <w:tcW w:w="2270" w:type="dxa"/>
            <w:gridSpan w:val="2"/>
          </w:tcPr>
          <w:p>
            <w:pPr>
              <w:pStyle w:val="nTable"/>
              <w:spacing w:after="40"/>
              <w:rPr>
                <w:i/>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Before w:val="1"/>
          <w:wBefore w:w="13" w:type="dxa"/>
          <w:cantSplit/>
        </w:trPr>
        <w:tc>
          <w:tcPr>
            <w:tcW w:w="2270" w:type="dxa"/>
            <w:gridSpan w:val="2"/>
          </w:tcPr>
          <w:p>
            <w:pPr>
              <w:pStyle w:val="nTable"/>
              <w:spacing w:after="40"/>
              <w:rPr>
                <w:i/>
                <w:snapToGrid w:val="0"/>
              </w:rPr>
            </w:pPr>
            <w:r>
              <w:rPr>
                <w:i/>
                <w:snapToGrid w:val="0"/>
              </w:rPr>
              <w:t>Public Sector Reform Act 2010</w:t>
            </w:r>
            <w:r>
              <w:rPr>
                <w:i/>
                <w:iCs/>
                <w:snapToGrid w:val="0"/>
              </w:rPr>
              <w:t xml:space="preserve"> </w:t>
            </w:r>
            <w:r>
              <w:rPr>
                <w:snapToGrid w:val="0"/>
              </w:rPr>
              <w:t>s. 80</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3" w:type="dxa"/>
          <w:cantSplit/>
        </w:trPr>
        <w:tc>
          <w:tcPr>
            <w:tcW w:w="7090" w:type="dxa"/>
            <w:gridSpan w:val="8"/>
          </w:tcPr>
          <w:p>
            <w:pPr>
              <w:pStyle w:val="nTable"/>
              <w:spacing w:after="40"/>
            </w:pPr>
            <w:r>
              <w:rPr>
                <w:b/>
              </w:rPr>
              <w:t xml:space="preserve">Reprint 9: The </w:t>
            </w:r>
            <w:r>
              <w:rPr>
                <w:b/>
                <w:i/>
              </w:rPr>
              <w:t>Parliamentary Commissioner Act 1971</w:t>
            </w:r>
            <w:r>
              <w:rPr>
                <w:b/>
              </w:rPr>
              <w:t xml:space="preserve"> as at 3 Dec 2010 </w:t>
            </w:r>
            <w:r>
              <w:t>(includes amendments listed above)</w:t>
            </w:r>
          </w:p>
        </w:tc>
      </w:tr>
      <w:tr>
        <w:trPr>
          <w:gridBefore w:val="1"/>
          <w:wBefore w:w="13" w:type="dxa"/>
          <w:cantSplit/>
        </w:trPr>
        <w:tc>
          <w:tcPr>
            <w:tcW w:w="2270" w:type="dxa"/>
            <w:gridSpan w:val="2"/>
          </w:tcPr>
          <w:p>
            <w:pPr>
              <w:pStyle w:val="nTable"/>
              <w:spacing w:after="40"/>
              <w:rPr>
                <w:i/>
                <w:snapToGrid w:val="0"/>
              </w:rPr>
            </w:pPr>
            <w:r>
              <w:rPr>
                <w:i/>
              </w:rPr>
              <w:t>Water Services Legislation Amendment and Repeal Act 2012</w:t>
            </w:r>
            <w:r>
              <w:t xml:space="preserve"> s. 221</w:t>
            </w:r>
          </w:p>
        </w:tc>
        <w:tc>
          <w:tcPr>
            <w:tcW w:w="1134" w:type="dxa"/>
            <w:gridSpan w:val="2"/>
          </w:tcPr>
          <w:p>
            <w:pPr>
              <w:pStyle w:val="nTable"/>
              <w:spacing w:after="40"/>
              <w:rPr>
                <w:snapToGrid w:val="0"/>
              </w:rPr>
            </w:pPr>
            <w:r>
              <w:t>25 of 2012</w:t>
            </w:r>
          </w:p>
        </w:tc>
        <w:tc>
          <w:tcPr>
            <w:tcW w:w="1134" w:type="dxa"/>
            <w:gridSpan w:val="2"/>
          </w:tcPr>
          <w:p>
            <w:pPr>
              <w:pStyle w:val="nTable"/>
              <w:spacing w:after="40"/>
              <w:rPr>
                <w:snapToGrid w:val="0"/>
              </w:rPr>
            </w:pPr>
            <w:r>
              <w:t>3 Sep 2012</w:t>
            </w:r>
          </w:p>
        </w:tc>
        <w:tc>
          <w:tcPr>
            <w:tcW w:w="2552" w:type="dxa"/>
            <w:gridSpan w:val="2"/>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16" w:type="dxa"/>
        </w:trPr>
        <w:tc>
          <w:tcPr>
            <w:tcW w:w="2268"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18</w:t>
            </w:r>
          </w:p>
        </w:tc>
        <w:tc>
          <w:tcPr>
            <w:tcW w:w="1134" w:type="dxa"/>
            <w:gridSpan w:val="2"/>
            <w:tcBorders>
              <w:top w:val="nil"/>
              <w:bottom w:val="nil"/>
            </w:tcBorders>
          </w:tcPr>
          <w:p>
            <w:pPr>
              <w:pStyle w:val="nTable"/>
              <w:spacing w:after="40"/>
              <w:rPr>
                <w:snapToGrid w:val="0"/>
              </w:rPr>
            </w:pPr>
            <w:r>
              <w:rPr>
                <w:snapToGrid w:val="0"/>
              </w:rPr>
              <w:t>25 of 2014</w:t>
            </w:r>
          </w:p>
        </w:tc>
        <w:tc>
          <w:tcPr>
            <w:tcW w:w="1134" w:type="dxa"/>
            <w:gridSpan w:val="2"/>
            <w:tcBorders>
              <w:top w:val="nil"/>
              <w:bottom w:val="nil"/>
            </w:tcBorders>
          </w:tcPr>
          <w:p>
            <w:pPr>
              <w:pStyle w:val="nTable"/>
              <w:spacing w:after="40"/>
              <w:rPr>
                <w:snapToGrid w:val="0"/>
              </w:rPr>
            </w:pPr>
            <w:r>
              <w:t>3 Nov 2014</w:t>
            </w:r>
          </w:p>
        </w:tc>
        <w:tc>
          <w:tcPr>
            <w:tcW w:w="2551" w:type="dxa"/>
            <w:gridSpan w:val="2"/>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Before w:val="1"/>
          <w:wBefore w:w="13" w:type="dxa"/>
          <w:cantSplit/>
        </w:trPr>
        <w:tc>
          <w:tcPr>
            <w:tcW w:w="2270" w:type="dxa"/>
            <w:gridSpan w:val="2"/>
          </w:tcPr>
          <w:p>
            <w:pPr>
              <w:pStyle w:val="nTable"/>
              <w:spacing w:after="40"/>
              <w:rPr>
                <w:i/>
              </w:rPr>
            </w:pPr>
            <w:r>
              <w:rPr>
                <w:i/>
                <w:snapToGrid w:val="0"/>
              </w:rPr>
              <w:t>Corruption and Crime Commission Amendment (Misconduct) Act 2014</w:t>
            </w:r>
            <w:r>
              <w:rPr>
                <w:snapToGrid w:val="0"/>
              </w:rPr>
              <w:t xml:space="preserve"> s. 36</w:t>
            </w:r>
          </w:p>
        </w:tc>
        <w:tc>
          <w:tcPr>
            <w:tcW w:w="1134" w:type="dxa"/>
            <w:gridSpan w:val="2"/>
          </w:tcPr>
          <w:p>
            <w:pPr>
              <w:pStyle w:val="nTable"/>
              <w:spacing w:after="40"/>
            </w:pPr>
            <w:r>
              <w:rPr>
                <w:snapToGrid w:val="0"/>
              </w:rPr>
              <w:t>35 of 2014</w:t>
            </w:r>
          </w:p>
        </w:tc>
        <w:tc>
          <w:tcPr>
            <w:tcW w:w="1134" w:type="dxa"/>
            <w:gridSpan w:val="2"/>
          </w:tcPr>
          <w:p>
            <w:pPr>
              <w:pStyle w:val="nTable"/>
              <w:spacing w:after="40"/>
            </w:pPr>
            <w:r>
              <w:t>9 Dec 2014</w:t>
            </w:r>
          </w:p>
        </w:tc>
        <w:tc>
          <w:tcPr>
            <w:tcW w:w="2552" w:type="dxa"/>
            <w:gridSpan w:val="2"/>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wBefore w:w="13" w:type="dxa"/>
          <w:cantSplit/>
        </w:trPr>
        <w:tc>
          <w:tcPr>
            <w:tcW w:w="2270" w:type="dxa"/>
            <w:gridSpan w:val="2"/>
            <w:shd w:val="clear" w:color="auto" w:fill="auto"/>
          </w:tcPr>
          <w:p>
            <w:pPr>
              <w:pStyle w:val="nTable"/>
              <w:spacing w:after="40"/>
              <w:rPr>
                <w:i/>
              </w:rPr>
            </w:pPr>
            <w:r>
              <w:rPr>
                <w:i/>
              </w:rPr>
              <w:t>Declared Places (Mentally Impaired Accused) Act 2015</w:t>
            </w:r>
            <w:r>
              <w:t xml:space="preserve"> s. 87</w:t>
            </w:r>
          </w:p>
        </w:tc>
        <w:tc>
          <w:tcPr>
            <w:tcW w:w="1134" w:type="dxa"/>
            <w:gridSpan w:val="2"/>
            <w:shd w:val="clear" w:color="auto" w:fill="auto"/>
          </w:tcPr>
          <w:p>
            <w:pPr>
              <w:pStyle w:val="nTable"/>
              <w:spacing w:after="40"/>
            </w:pPr>
            <w:r>
              <w:rPr>
                <w:snapToGrid w:val="0"/>
              </w:rPr>
              <w:t>4 of 2015</w:t>
            </w:r>
          </w:p>
        </w:tc>
        <w:tc>
          <w:tcPr>
            <w:tcW w:w="1134" w:type="dxa"/>
            <w:gridSpan w:val="2"/>
            <w:shd w:val="clear" w:color="auto" w:fill="auto"/>
          </w:tcPr>
          <w:p>
            <w:pPr>
              <w:pStyle w:val="nTable"/>
              <w:spacing w:after="40"/>
            </w:pPr>
            <w:r>
              <w:t>3 Mar 2015</w:t>
            </w:r>
          </w:p>
        </w:tc>
        <w:tc>
          <w:tcPr>
            <w:tcW w:w="2552"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Before w:val="1"/>
          <w:wBefore w:w="13" w:type="dxa"/>
          <w:cantSplit/>
        </w:trPr>
        <w:tc>
          <w:tcPr>
            <w:tcW w:w="7090" w:type="dxa"/>
            <w:gridSpan w:val="8"/>
            <w:tcBorders>
              <w:bottom w:val="single" w:sz="8" w:space="0" w:color="auto"/>
            </w:tcBorders>
            <w:shd w:val="clear" w:color="auto" w:fill="auto"/>
          </w:tcPr>
          <w:p>
            <w:pPr>
              <w:pStyle w:val="nTable"/>
              <w:spacing w:after="40"/>
              <w:rPr>
                <w:snapToGrid w:val="0"/>
              </w:rPr>
            </w:pPr>
            <w:r>
              <w:rPr>
                <w:b/>
                <w:snapToGrid w:val="0"/>
              </w:rPr>
              <w:t xml:space="preserve">Reprint 10: The </w:t>
            </w:r>
            <w:r>
              <w:rPr>
                <w:b/>
                <w:i/>
                <w:noProof/>
                <w:snapToGrid w:val="0"/>
              </w:rPr>
              <w:t>Parliamentary Commissioner Act 1971</w:t>
            </w:r>
            <w:r>
              <w:rPr>
                <w:b/>
                <w:snapToGrid w:val="0"/>
              </w:rPr>
              <w:t xml:space="preserve"> as at 4 Mar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59" w:name="_Toc441668353"/>
      <w:r>
        <w:t>Provisions that have not come into operation</w:t>
      </w:r>
      <w:bookmarkEnd w:id="5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i/>
              </w:rPr>
            </w:pPr>
            <w:r>
              <w:rPr>
                <w:i/>
              </w:rPr>
              <w:t xml:space="preserve">Native Title (State Provisions) Act 1999 </w:t>
            </w:r>
            <w:r>
              <w:t>s. 7.3 </w:t>
            </w:r>
            <w:r>
              <w:rPr>
                <w:vertAlign w:val="superscript"/>
              </w:rPr>
              <w:t>9</w:t>
            </w:r>
          </w:p>
        </w:tc>
        <w:tc>
          <w:tcPr>
            <w:tcW w:w="1134" w:type="dxa"/>
          </w:tcPr>
          <w:p>
            <w:pPr>
              <w:pStyle w:val="nTable"/>
              <w:spacing w:after="40"/>
            </w:pPr>
            <w:r>
              <w:t>60 of 1999</w:t>
            </w:r>
          </w:p>
        </w:tc>
        <w:tc>
          <w:tcPr>
            <w:tcW w:w="1134" w:type="dxa"/>
          </w:tcPr>
          <w:p>
            <w:pPr>
              <w:pStyle w:val="nTable"/>
              <w:spacing w:after="40"/>
            </w:pPr>
            <w:r>
              <w:t>10 Jan 2000</w:t>
            </w:r>
          </w:p>
        </w:tc>
        <w:tc>
          <w:tcPr>
            <w:tcW w:w="2551" w:type="dxa"/>
          </w:tcPr>
          <w:p>
            <w:pPr>
              <w:pStyle w:val="nTable"/>
              <w:spacing w:after="40"/>
            </w:pPr>
            <w:r>
              <w:t>Operative on earliest of commencement of Pt. 2 (except s. 2.2), Pt. 3 (except s. 3.1) and Pt. 4 (see s. 1.2)</w:t>
            </w:r>
          </w:p>
        </w:tc>
      </w:tr>
      <w:tr>
        <w:trPr>
          <w:cantSplit/>
        </w:trPr>
        <w:tc>
          <w:tcPr>
            <w:tcW w:w="2268" w:type="dxa"/>
            <w:tcBorders>
              <w:bottom w:val="single" w:sz="8" w:space="0" w:color="auto"/>
            </w:tcBorders>
            <w:shd w:val="clear" w:color="auto" w:fill="auto"/>
          </w:tcPr>
          <w:p>
            <w:pPr>
              <w:pStyle w:val="nTable"/>
              <w:spacing w:after="40"/>
              <w:ind w:right="113"/>
              <w:rPr>
                <w:i/>
              </w:rPr>
            </w:pPr>
            <w:r>
              <w:rPr>
                <w:i/>
              </w:rPr>
              <w:t>State Superannuation (Transitional and Consequential Provisions) Act 2000</w:t>
            </w:r>
            <w:r>
              <w:t xml:space="preserve"> s. 75 </w:t>
            </w:r>
            <w:r>
              <w:rPr>
                <w:vertAlign w:val="superscript"/>
              </w:rPr>
              <w:t>10</w:t>
            </w:r>
          </w:p>
        </w:tc>
        <w:tc>
          <w:tcPr>
            <w:tcW w:w="1134" w:type="dxa"/>
            <w:tcBorders>
              <w:bottom w:val="single" w:sz="8" w:space="0" w:color="auto"/>
            </w:tcBorders>
            <w:shd w:val="clear" w:color="auto" w:fill="auto"/>
          </w:tcPr>
          <w:p>
            <w:pPr>
              <w:pStyle w:val="nTable"/>
              <w:spacing w:after="40"/>
            </w:pPr>
            <w:r>
              <w:t>43 of 2000</w:t>
            </w:r>
          </w:p>
        </w:tc>
        <w:tc>
          <w:tcPr>
            <w:tcW w:w="1134" w:type="dxa"/>
            <w:tcBorders>
              <w:bottom w:val="single" w:sz="8" w:space="0" w:color="auto"/>
            </w:tcBorders>
            <w:shd w:val="clear" w:color="auto" w:fill="auto"/>
          </w:tcPr>
          <w:p>
            <w:pPr>
              <w:pStyle w:val="nTable"/>
              <w:spacing w:after="40"/>
            </w:pPr>
            <w:r>
              <w:t>2 Nov 2000</w:t>
            </w:r>
          </w:p>
        </w:tc>
        <w:tc>
          <w:tcPr>
            <w:tcW w:w="2551" w:type="dxa"/>
            <w:tcBorders>
              <w:bottom w:val="single" w:sz="8" w:space="0" w:color="auto"/>
            </w:tcBorders>
            <w:shd w:val="clear" w:color="auto" w:fill="auto"/>
          </w:tcPr>
          <w:p>
            <w:pPr>
              <w:pStyle w:val="nTable"/>
              <w:spacing w:after="40"/>
            </w:pPr>
            <w:r>
              <w:t>To be proclaimed (see s. 2(2))</w:t>
            </w:r>
          </w:p>
        </w:tc>
      </w:tr>
    </w:tbl>
    <w:p>
      <w:pPr>
        <w:pStyle w:val="nSubsection"/>
        <w:spacing w:before="120"/>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Under the </w:t>
      </w:r>
      <w:r>
        <w:rPr>
          <w:i/>
          <w:iCs/>
        </w:rPr>
        <w:t>Liquor Control Act 1988</w:t>
      </w:r>
      <w:r>
        <w:t xml:space="preserve"> Sch. 1A cl. 9 a reference to the </w:t>
      </w:r>
      <w:smartTag w:uri="urn:schemas-microsoft-com:office:smarttags" w:element="Street">
        <w:smartTag w:uri="urn:schemas-microsoft-com:office:smarttags" w:element="address">
          <w:r>
            <w:t>Liquor Licensing Court</w:t>
          </w:r>
        </w:smartTag>
      </w:smartTag>
      <w:r>
        <w:t xml:space="preserve"> is to be read and construed as a reference to the Liquor Commission.</w:t>
      </w:r>
    </w:p>
    <w:p>
      <w:pPr>
        <w:pStyle w:val="nSubsection"/>
        <w:rPr>
          <w:snapToGrid w:val="0"/>
        </w:rPr>
      </w:pPr>
      <w:r>
        <w:rPr>
          <w:snapToGrid w:val="0"/>
          <w:vertAlign w:val="superscript"/>
        </w:rPr>
        <w:t>4</w:t>
      </w:r>
      <w:r>
        <w:rPr>
          <w:snapToGrid w:val="0"/>
        </w:rPr>
        <w:tab/>
        <w:t xml:space="preserve">The amendments in the </w:t>
      </w:r>
      <w:r>
        <w:rPr>
          <w:i/>
          <w:snapToGrid w:val="0"/>
        </w:rPr>
        <w:t xml:space="preserve">R &amp; I Holdings Act 1990 </w:t>
      </w:r>
      <w:r>
        <w:rPr>
          <w:snapToGrid w:val="0"/>
        </w:rPr>
        <w:t xml:space="preserve">s. 22(3)(a)(i),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Sch. 2 it. 5, the </w:t>
      </w:r>
      <w:r>
        <w:rPr>
          <w:i/>
          <w:snapToGrid w:val="0"/>
        </w:rPr>
        <w:t>Vocational Education and Training Act 1996</w:t>
      </w:r>
      <w:r>
        <w:rPr>
          <w:snapToGrid w:val="0"/>
        </w:rPr>
        <w:t xml:space="preserve"> Sch. 3 it. 28, the </w:t>
      </w:r>
      <w:r>
        <w:rPr>
          <w:i/>
          <w:snapToGrid w:val="0"/>
        </w:rPr>
        <w:t xml:space="preserve">Acts Amendment (ICWA) Act 1996 </w:t>
      </w:r>
      <w:r>
        <w:rPr>
          <w:snapToGrid w:val="0"/>
        </w:rPr>
        <w:t xml:space="preserve">Sch. 1 it. 10 and the </w:t>
      </w:r>
      <w:r>
        <w:rPr>
          <w:i/>
          <w:snapToGrid w:val="0"/>
        </w:rPr>
        <w:t xml:space="preserve">Mental Health (Consequential Provisions) Act 1996 </w:t>
      </w:r>
      <w:r>
        <w:rPr>
          <w:snapToGrid w:val="0"/>
        </w:rPr>
        <w:t>Pt. 14 are not included because the Schedule they sought to amend had been deleted before the amendments purported to come into operation.</w:t>
      </w:r>
    </w:p>
    <w:p>
      <w:pPr>
        <w:pStyle w:val="nSubsection"/>
        <w:rPr>
          <w:snapToGrid w:val="0"/>
        </w:rPr>
      </w:pPr>
      <w:r>
        <w:rPr>
          <w:snapToGrid w:val="0"/>
          <w:vertAlign w:val="superscript"/>
        </w:rPr>
        <w:t>5</w:t>
      </w:r>
      <w:r>
        <w:rPr>
          <w:snapToGrid w:val="0"/>
        </w:rPr>
        <w:tab/>
        <w:t xml:space="preserve">The </w:t>
      </w:r>
      <w:r>
        <w:rPr>
          <w:i/>
          <w:snapToGrid w:val="0"/>
        </w:rPr>
        <w:t>Conservation and Land Management Amendment Act 1991</w:t>
      </w:r>
      <w:r>
        <w:rPr>
          <w:snapToGrid w:val="0"/>
        </w:rPr>
        <w:t xml:space="preserve"> Sch. it. 6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6</w:t>
      </w:r>
      <w:r>
        <w:tab/>
        <w:t xml:space="preserve">The </w:t>
      </w:r>
      <w:r>
        <w:rPr>
          <w:i/>
        </w:rPr>
        <w:t>Statutes (Repeals and Minor Amendments) Act 2003</w:t>
      </w:r>
      <w:r>
        <w:t xml:space="preserve"> s. 91(5) and (7) read as follows:</w:t>
      </w:r>
    </w:p>
    <w:p>
      <w:pPr>
        <w:pStyle w:val="BlankOpen"/>
        <w:rPr>
          <w:sz w:val="18"/>
          <w:szCs w:val="18"/>
        </w:rPr>
      </w:pPr>
    </w:p>
    <w:p>
      <w:pPr>
        <w:pStyle w:val="nzSubsection"/>
        <w:spacing w:before="0"/>
      </w:pPr>
      <w:r>
        <w:tab/>
        <w:t>(5)</w:t>
      </w:r>
      <w:r>
        <w:tab/>
        <w:t xml:space="preserve">The amendments made by subsections (2) and (3) do not affect the appointment, or terms and conditions of service, of a person appointed and holding office under section 9 of the </w:t>
      </w:r>
      <w:r>
        <w:rPr>
          <w:i/>
        </w:rPr>
        <w:t>Parliamentary Commissioner Act 1971</w:t>
      </w:r>
      <w:r>
        <w:t>, as in force immediately before the commencement of this section, except that the person is taken to have been appointed under section 9 of that Act, as amended by this section.</w:t>
      </w:r>
    </w:p>
    <w:p>
      <w:pPr>
        <w:pStyle w:val="nzSubsection"/>
      </w:pPr>
      <w:r>
        <w:tab/>
        <w:t>(7)</w:t>
      </w:r>
      <w:r>
        <w:tab/>
        <w:t xml:space="preserve">The purported exercises by the Governor of the power conferred by section 9(1) of the </w:t>
      </w:r>
      <w:r>
        <w:rPr>
          <w:i/>
        </w:rPr>
        <w:t>Parliamentary Commissioner Act 1971</w:t>
      </w:r>
      <w:r>
        <w:t xml:space="preserve">, as in force immediately before the commencement of this section, to appoint officers on secondment are validated and all such appointments are taken to be secondments effected by the Commissioner under section 9(2a) of the </w:t>
      </w:r>
      <w:r>
        <w:rPr>
          <w:i/>
        </w:rPr>
        <w:t xml:space="preserve">Parliamentary Commissioner Act 1971 </w:t>
      </w:r>
      <w:r>
        <w:t>as if that subsection had been in force at the time the appointments were purportedly made.</w:t>
      </w:r>
    </w:p>
    <w:p>
      <w:pPr>
        <w:pStyle w:val="BlankClose"/>
        <w:rPr>
          <w:sz w:val="18"/>
          <w:szCs w:val="18"/>
        </w:rPr>
      </w:pPr>
    </w:p>
    <w:p>
      <w:pPr>
        <w:pStyle w:val="nSubsection"/>
        <w:spacing w:before="120"/>
      </w:pPr>
      <w:r>
        <w:rPr>
          <w:vertAlign w:val="superscript"/>
        </w:rPr>
        <w:t>7</w:t>
      </w:r>
      <w:r>
        <w:tab/>
        <w:t xml:space="preserve">The </w:t>
      </w:r>
      <w:r>
        <w:rPr>
          <w:i/>
        </w:rPr>
        <w:t>Corruption and Crime Commission Amendment and Repeal Act 2003</w:t>
      </w:r>
      <w:r>
        <w:t xml:space="preserve"> s. 73 reads as follows:</w:t>
      </w:r>
    </w:p>
    <w:p>
      <w:pPr>
        <w:pStyle w:val="BlankOpen"/>
        <w:rPr>
          <w:sz w:val="18"/>
          <w:szCs w:val="18"/>
        </w:rPr>
      </w:pPr>
    </w:p>
    <w:p>
      <w:pPr>
        <w:pStyle w:val="nzHeading5"/>
        <w:spacing w:before="0"/>
      </w:pPr>
      <w:r>
        <w:rPr>
          <w:rStyle w:val="CharSectno"/>
        </w:rPr>
        <w:t>73</w:t>
      </w:r>
      <w:r>
        <w:t>.</w:t>
      </w:r>
      <w:r>
        <w:tab/>
        <w:t>Parliamentary Commissioner must refer certain investigations to CCC</w:t>
      </w:r>
    </w:p>
    <w:p>
      <w:pPr>
        <w:pStyle w:val="nzSubsection"/>
      </w:pPr>
      <w:r>
        <w:tab/>
        <w:t>(1)</w:t>
      </w:r>
      <w:r>
        <w:tab/>
        <w:t>In this section —</w:t>
      </w:r>
    </w:p>
    <w:p>
      <w:pPr>
        <w:pStyle w:val="nzDefstart"/>
      </w:pPr>
      <w:r>
        <w:rPr>
          <w:b/>
        </w:rPr>
        <w:tab/>
      </w:r>
      <w:r>
        <w:rPr>
          <w:rStyle w:val="CharDefText"/>
          <w:snapToGrid/>
        </w:rPr>
        <w:t>records</w:t>
      </w:r>
      <w:r>
        <w:rPr>
          <w:snapToGrid/>
        </w:rPr>
        <w:t xml:space="preserve"> includes</w:t>
      </w:r>
      <w:r>
        <w:t> —</w:t>
      </w:r>
    </w:p>
    <w:p>
      <w:pPr>
        <w:pStyle w:val="nzDefpara"/>
      </w:pPr>
      <w:r>
        <w:tab/>
        <w:t>(a)</w:t>
      </w:r>
      <w:r>
        <w:tab/>
        <w:t>evidence in any form; and</w:t>
      </w:r>
    </w:p>
    <w:p>
      <w:pPr>
        <w:pStyle w:val="nzDefpara"/>
      </w:pPr>
      <w:r>
        <w:tab/>
        <w:t>(b)</w:t>
      </w:r>
      <w:r>
        <w:tab/>
        <w:t>information and other things.</w:t>
      </w:r>
    </w:p>
    <w:p>
      <w:pPr>
        <w:pStyle w:val="nzSubsection"/>
      </w:pPr>
      <w:r>
        <w:tab/>
        <w:t>(2)</w:t>
      </w:r>
      <w:r>
        <w:tab/>
        <w:t>On the commencement of this Division the Parliamentary Commissioner must —</w:t>
      </w:r>
    </w:p>
    <w:p>
      <w:pPr>
        <w:pStyle w:val="nzIndenta"/>
      </w:pPr>
      <w:r>
        <w:tab/>
        <w:t>(a)</w:t>
      </w:r>
      <w:r>
        <w:tab/>
        <w:t xml:space="preserve">cease any investigation referred to in section 14(1a) of the </w:t>
      </w:r>
      <w:r>
        <w:rPr>
          <w:i/>
        </w:rPr>
        <w:t>Parliamentary Commissioner Act 1971</w:t>
      </w:r>
      <w:r>
        <w:t>;</w:t>
      </w:r>
    </w:p>
    <w:p>
      <w:pPr>
        <w:pStyle w:val="nzIndenta"/>
      </w:pPr>
      <w:r>
        <w:tab/>
        <w:t>(b)</w:t>
      </w:r>
      <w:r>
        <w:tab/>
        <w:t>refer the investigation to the CCC; and</w:t>
      </w:r>
    </w:p>
    <w:p>
      <w:pPr>
        <w:pStyle w:val="nzIndenta"/>
      </w:pPr>
      <w:r>
        <w:tab/>
        <w:t>(c)</w:t>
      </w:r>
      <w:r>
        <w:tab/>
        <w:t xml:space="preserve">transfer to the CCC any records in the possession of the Parliamentary Commissioner immediately before the commencement of this Division that relate to an investigation referred to in section 14(1a) of the </w:t>
      </w:r>
      <w:r>
        <w:rPr>
          <w:i/>
        </w:rPr>
        <w:t>Parliamentary Commissioner Act 1971</w:t>
      </w:r>
      <w:r>
        <w:t>.</w:t>
      </w:r>
    </w:p>
    <w:p>
      <w:pPr>
        <w:pStyle w:val="nzSubsection"/>
      </w:pPr>
      <w:r>
        <w:tab/>
        <w:t>(3)</w:t>
      </w:r>
      <w:r>
        <w:tab/>
        <w:t>Records transferred under subsection (1) become the records of the CCC and may be dealt with accordingly.</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9</w:t>
      </w:r>
      <w:r>
        <w:rPr>
          <w:snapToGrid w:val="0"/>
        </w:rPr>
        <w:tab/>
        <w:t xml:space="preserve">As at the date on which this reprint was prepared, the </w:t>
      </w:r>
      <w:r>
        <w:rPr>
          <w:i/>
          <w:snapToGrid w:val="0"/>
        </w:rPr>
        <w:t>Native Title (State Provisions) Act 1999</w:t>
      </w:r>
      <w:r>
        <w:rPr>
          <w:snapToGrid w:val="0"/>
        </w:rPr>
        <w:t xml:space="preserve"> s. 7.3, which gives effect to Sch. 2, had not come into operation. It reads as follows:</w:t>
      </w:r>
    </w:p>
    <w:p>
      <w:pPr>
        <w:pStyle w:val="BlankOpen"/>
      </w:pPr>
    </w:p>
    <w:p>
      <w:pPr>
        <w:pStyle w:val="nzHeading5"/>
        <w:spacing w:before="0"/>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BlankClose"/>
      </w:pPr>
    </w:p>
    <w:p>
      <w:pPr>
        <w:pStyle w:val="nSubsection"/>
        <w:rPr>
          <w:snapToGrid w:val="0"/>
        </w:rPr>
      </w:pPr>
      <w:r>
        <w:rPr>
          <w:snapToGrid w:val="0"/>
        </w:rPr>
        <w:tab/>
        <w:t>Schedule 2 cl. 48 reads: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Parliamentary Commissioner Act 1971</w:t>
      </w:r>
      <w:r>
        <w:rPr>
          <w:snapToGrid w:val="0"/>
        </w:rPr>
        <w:t xml:space="preserve"> is amended by inserting in the appropriate alphabetical position the following —</w:t>
      </w:r>
    </w:p>
    <w:p>
      <w:pPr>
        <w:pStyle w:val="MiscOpen"/>
        <w:ind w:left="1560"/>
      </w:pPr>
      <w:r>
        <w:t>“</w:t>
      </w:r>
    </w:p>
    <w:p>
      <w:pPr>
        <w:pStyle w:val="nSubsection"/>
        <w:tabs>
          <w:tab w:val="clear" w:pos="454"/>
          <w:tab w:val="left" w:pos="2127"/>
        </w:tabs>
        <w:spacing w:before="0"/>
        <w:ind w:left="2126" w:right="578" w:firstLine="0"/>
        <w:rPr>
          <w:snapToGrid w:val="0"/>
        </w:rPr>
      </w:pPr>
      <w:r>
        <w:rPr>
          <w:snapToGrid w:val="0"/>
        </w:rPr>
        <w:t xml:space="preserve">The Native Title Commission established by the </w:t>
      </w:r>
      <w:r>
        <w:rPr>
          <w:i/>
          <w:snapToGrid w:val="0"/>
        </w:rPr>
        <w:t>Native Title (State Provisions) Act 1999</w:t>
      </w:r>
      <w:r>
        <w:rPr>
          <w:snapToGrid w:val="0"/>
        </w:rPr>
        <w:t>.</w:t>
      </w:r>
    </w:p>
    <w:p>
      <w:pPr>
        <w:pStyle w:val="MiscClose"/>
        <w:ind w:right="618"/>
      </w:pPr>
      <w:r>
        <w:t>”.</w:t>
      </w:r>
    </w:p>
    <w:p>
      <w:pPr>
        <w:pStyle w:val="BlankClose"/>
      </w:pPr>
    </w:p>
    <w:p>
      <w:pPr>
        <w:pStyle w:val="nSubsection"/>
        <w:keepNext/>
        <w:keepLines/>
        <w:spacing w:before="120"/>
      </w:pPr>
      <w:r>
        <w:rPr>
          <w:vertAlign w:val="superscript"/>
        </w:rPr>
        <w:t>10</w:t>
      </w:r>
      <w:r>
        <w:tab/>
        <w:t>On the date as at which this reprint</w:t>
      </w:r>
      <w:r>
        <w:rPr>
          <w:snapToGrid w:val="0"/>
        </w:rPr>
        <w:t xml:space="preserve"> </w:t>
      </w:r>
      <w:r>
        <w:t xml:space="preserve">was prepared, the </w:t>
      </w:r>
      <w:r>
        <w:rPr>
          <w:i/>
        </w:rPr>
        <w:t xml:space="preserve">State Superannuation (Transitional and Consequential Provisions) Act 2000 </w:t>
      </w:r>
      <w:r>
        <w:t>s. 75 had not come into operation.  It reads as follows:</w:t>
      </w:r>
    </w:p>
    <w:p>
      <w:pPr>
        <w:pStyle w:val="BlankOpen"/>
      </w:pPr>
    </w:p>
    <w:p>
      <w:pPr>
        <w:pStyle w:val="nzHeading5"/>
        <w:rPr>
          <w:snapToGrid w:val="0"/>
        </w:rPr>
      </w:pPr>
      <w:r>
        <w:rPr>
          <w:snapToGrid w:val="0"/>
        </w:rPr>
        <w:t>75.</w:t>
      </w:r>
      <w:r>
        <w:rPr>
          <w:snapToGrid w:val="0"/>
        </w:rPr>
        <w:tab/>
        <w:t>Various provisions repealed</w:t>
      </w:r>
    </w:p>
    <w:p>
      <w:pPr>
        <w:pStyle w:val="nzSubsection"/>
        <w:keepNext/>
        <w:keepLines/>
      </w:pPr>
      <w:r>
        <w:rPr>
          <w:snapToGrid w:val="0"/>
        </w:rPr>
        <w:tab/>
      </w:r>
      <w:r>
        <w:tab/>
        <w:t>The provisions listed in the Table to this section are repealed.</w:t>
      </w:r>
    </w:p>
    <w:p>
      <w:pPr>
        <w:pStyle w:val="nzSubsection"/>
        <w:keepNext/>
        <w:keepLines/>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80"/>
              <w:jc w:val="center"/>
              <w:rPr>
                <w:b/>
              </w:rPr>
            </w:pPr>
            <w:r>
              <w:rPr>
                <w:b/>
              </w:rPr>
              <w:t>Act</w:t>
            </w:r>
          </w:p>
        </w:tc>
        <w:tc>
          <w:tcPr>
            <w:tcW w:w="1701" w:type="dxa"/>
          </w:tcPr>
          <w:p>
            <w:pPr>
              <w:pStyle w:val="nzTable"/>
              <w:spacing w:before="8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Parliamentary Commissioner Act 1971</w:t>
            </w:r>
          </w:p>
        </w:tc>
        <w:tc>
          <w:tcPr>
            <w:tcW w:w="1701" w:type="dxa"/>
          </w:tcPr>
          <w:p>
            <w:pPr>
              <w:pStyle w:val="nzTable"/>
              <w:jc w:val="center"/>
            </w:pPr>
            <w:r>
              <w:t>s. 10(2)</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pPr>
    </w:p>
    <w:p>
      <w:pPr>
        <w:pStyle w:val="BlankClose"/>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61" w:name="_Toc441668354"/>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Commissioner</w:t>
      </w:r>
      <w:r>
        <w:tab/>
        <w:t>4</w:t>
      </w:r>
    </w:p>
    <w:p>
      <w:pPr>
        <w:pStyle w:val="DefinedTerms"/>
      </w:pPr>
      <w:r>
        <w:t>appropriate authority</w:t>
      </w:r>
      <w:r>
        <w:tab/>
        <w:t>4</w:t>
      </w:r>
    </w:p>
    <w:p>
      <w:pPr>
        <w:pStyle w:val="DefinedTerms"/>
      </w:pPr>
      <w:r>
        <w:t>authority</w:t>
      </w:r>
      <w:r>
        <w:tab/>
        <w:t>4</w:t>
      </w:r>
    </w:p>
    <w:p>
      <w:pPr>
        <w:pStyle w:val="DefinedTerms"/>
      </w:pPr>
      <w:r>
        <w:t>body</w:t>
      </w:r>
      <w:r>
        <w:tab/>
        <w:t>4A(2)</w:t>
      </w:r>
    </w:p>
    <w:p>
      <w:pPr>
        <w:pStyle w:val="DefinedTerms"/>
      </w:pPr>
      <w:r>
        <w:t>CCS Act</w:t>
      </w:r>
      <w:r>
        <w:tab/>
        <w:t>19A(1)</w:t>
      </w:r>
    </w:p>
    <w:p>
      <w:pPr>
        <w:pStyle w:val="DefinedTerms"/>
      </w:pPr>
      <w:r>
        <w:t>Commissioner</w:t>
      </w:r>
      <w:r>
        <w:tab/>
        <w:t>4</w:t>
      </w:r>
    </w:p>
    <w:p>
      <w:pPr>
        <w:pStyle w:val="DefinedTerms"/>
      </w:pPr>
      <w:r>
        <w:t>contractor</w:t>
      </w:r>
      <w:r>
        <w:tab/>
        <w:t>4</w:t>
      </w:r>
    </w:p>
    <w:p>
      <w:pPr>
        <w:pStyle w:val="DefinedTerms"/>
      </w:pPr>
      <w:r>
        <w:t>Corruption and Crime Commission</w:t>
      </w:r>
      <w:r>
        <w:tab/>
        <w:t>4</w:t>
      </w:r>
    </w:p>
    <w:p>
      <w:pPr>
        <w:pStyle w:val="DefinedTerms"/>
      </w:pPr>
      <w:r>
        <w:t>department</w:t>
      </w:r>
      <w:r>
        <w:tab/>
        <w:t>4</w:t>
      </w:r>
    </w:p>
    <w:p>
      <w:pPr>
        <w:pStyle w:val="DefinedTerms"/>
      </w:pPr>
      <w:r>
        <w:t>Deputy Commissioner</w:t>
      </w:r>
      <w:r>
        <w:tab/>
        <w:t>4</w:t>
      </w:r>
    </w:p>
    <w:p>
      <w:pPr>
        <w:pStyle w:val="DefinedTerms"/>
      </w:pPr>
      <w:r>
        <w:t>Director of Public Prosecutions</w:t>
      </w:r>
      <w:r>
        <w:tab/>
        <w:t>4</w:t>
      </w:r>
    </w:p>
    <w:p>
      <w:pPr>
        <w:pStyle w:val="DefinedTerms"/>
      </w:pPr>
      <w:r>
        <w:t>employing authority</w:t>
      </w:r>
      <w:r>
        <w:tab/>
        <w:t>9(5)</w:t>
      </w:r>
    </w:p>
    <w:p>
      <w:pPr>
        <w:pStyle w:val="DefinedTerms"/>
      </w:pPr>
      <w:r>
        <w:t>energy ombudsman scheme</w:t>
      </w:r>
      <w:r>
        <w:tab/>
        <w:t>34(7)</w:t>
      </w:r>
    </w:p>
    <w:p>
      <w:pPr>
        <w:pStyle w:val="DefinedTerms"/>
      </w:pPr>
      <w:r>
        <w:t>established</w:t>
      </w:r>
      <w:r>
        <w:tab/>
        <w:t>4A(3)</w:t>
      </w:r>
    </w:p>
    <w:p>
      <w:pPr>
        <w:pStyle w:val="DefinedTerms"/>
      </w:pPr>
      <w:r>
        <w:t>governing body</w:t>
      </w:r>
      <w:r>
        <w:tab/>
        <w:t>34(7)</w:t>
      </w:r>
    </w:p>
    <w:p>
      <w:pPr>
        <w:pStyle w:val="DefinedTerms"/>
      </w:pPr>
      <w:r>
        <w:t>Inspector of Custodial Services</w:t>
      </w:r>
      <w:r>
        <w:tab/>
        <w:t>4</w:t>
      </w:r>
    </w:p>
    <w:p>
      <w:pPr>
        <w:pStyle w:val="DefinedTerms"/>
      </w:pPr>
      <w:r>
        <w:t>investigable death</w:t>
      </w:r>
      <w:r>
        <w:tab/>
        <w:t>19A(1)</w:t>
      </w:r>
    </w:p>
    <w:p>
      <w:pPr>
        <w:pStyle w:val="DefinedTerms"/>
      </w:pPr>
      <w:r>
        <w:t>officer of the Commissioner</w:t>
      </w:r>
      <w:r>
        <w:tab/>
        <w:t>4</w:t>
      </w:r>
    </w:p>
    <w:p>
      <w:pPr>
        <w:pStyle w:val="DefinedTerms"/>
      </w:pPr>
      <w:r>
        <w:t>officer of the Corruption and Crime Commission</w:t>
      </w:r>
      <w:r>
        <w:tab/>
        <w:t>4</w:t>
      </w:r>
    </w:p>
    <w:p>
      <w:pPr>
        <w:pStyle w:val="DefinedTerms"/>
        <w:ind w:left="1145" w:hanging="567"/>
      </w:pPr>
      <w:r>
        <w:t>officer of the Parliamentary Inspector of the Corruption and Crime  Commission</w:t>
      </w:r>
      <w:r>
        <w:tab/>
        <w:t>4</w:t>
      </w:r>
    </w:p>
    <w:p>
      <w:pPr>
        <w:pStyle w:val="DefinedTerms"/>
      </w:pPr>
      <w:r>
        <w:t>Parliamentary Inspector of the Corruption and Crime Commission</w:t>
      </w:r>
      <w:r>
        <w:tab/>
        <w:t>4</w:t>
      </w:r>
    </w:p>
    <w:p>
      <w:pPr>
        <w:pStyle w:val="DefinedTerms"/>
      </w:pPr>
      <w:r>
        <w:t>person aggrieved</w:t>
      </w:r>
      <w:r>
        <w:tab/>
        <w:t>4</w:t>
      </w:r>
    </w:p>
    <w:p>
      <w:pPr>
        <w:pStyle w:val="DefinedTerms"/>
      </w:pPr>
      <w:r>
        <w:t>principal officer</w:t>
      </w:r>
      <w:r>
        <w:tab/>
        <w:t>4</w:t>
      </w:r>
    </w:p>
    <w:p>
      <w:pPr>
        <w:pStyle w:val="DefinedTerms"/>
      </w:pPr>
      <w:r>
        <w:t>public service officer</w:t>
      </w:r>
      <w:r>
        <w:tab/>
        <w:t>4</w:t>
      </w:r>
    </w:p>
    <w:p>
      <w:pPr>
        <w:pStyle w:val="DefinedTerms"/>
      </w:pPr>
      <w:r>
        <w:t>relevant authorities</w:t>
      </w:r>
      <w:r>
        <w:tab/>
        <w:t>17A(4)</w:t>
      </w:r>
    </w:p>
    <w:p>
      <w:pPr>
        <w:pStyle w:val="DefinedTerms"/>
      </w:pPr>
      <w:r>
        <w:t>responsible Minister</w:t>
      </w:r>
      <w:r>
        <w:tab/>
        <w:t>4</w:t>
      </w:r>
    </w:p>
    <w:p>
      <w:pPr>
        <w:pStyle w:val="DefinedTerms"/>
      </w:pPr>
      <w:r>
        <w:t>staff</w:t>
      </w:r>
      <w:r>
        <w:tab/>
        <w:t>4</w:t>
      </w:r>
    </w:p>
    <w:p>
      <w:pPr>
        <w:pStyle w:val="DefinedTerms"/>
      </w:pPr>
      <w:r>
        <w:t>subcontractor</w:t>
      </w:r>
      <w:r>
        <w:tab/>
        <w:t>4</w:t>
      </w:r>
    </w:p>
    <w:p>
      <w:pPr>
        <w:pStyle w:val="DefinedTerms"/>
      </w:pPr>
      <w:r>
        <w:t>tribunal</w:t>
      </w:r>
      <w:r>
        <w:tab/>
        <w:t>4</w:t>
      </w:r>
    </w:p>
    <w:p>
      <w:pPr>
        <w:pStyle w:val="DefinedTerms"/>
      </w:pPr>
      <w:r>
        <w:t>water ombudsman scheme</w:t>
      </w:r>
      <w:r>
        <w:tab/>
        <w:t>34(7)</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99Q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y/nI/fUC&#10;AACBBgAADgAAAAAAAAAAAAAAAAAuAgAAZHJzL2Uyb0RvYy54bWxQSwECLQAUAAYACAAAACEAnxLc&#10;ytsAAAAEAQAADwAAAAAAAAAAAAAAAABPBQAAZHJzL2Rvd25yZXYueG1sUEsFBgAAAAAEAAQA8wAA&#10;AFcGAAAAAA==&#10;" stroked="f" strokeweight=".5pt">
                <v:textbox>
                  <w:txbxContent>
                    <w:p w:rsidR="00E8289A" w:rsidRDefault="00E8289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Act 1971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Act 1971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Parliamentary Commissioner Act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Act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Act 1971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Compilation"/>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Act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Parliamentary Commissioner Act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C04B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30E8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2EC0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A8FE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E4E14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928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08F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10B3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B20978"/>
    <w:lvl w:ilvl="0">
      <w:start w:val="1"/>
      <w:numFmt w:val="decimal"/>
      <w:pStyle w:val="ListNumber"/>
      <w:lvlText w:val="%1."/>
      <w:lvlJc w:val="left"/>
      <w:pPr>
        <w:tabs>
          <w:tab w:val="num" w:pos="360"/>
        </w:tabs>
        <w:ind w:left="360" w:hanging="360"/>
      </w:pPr>
    </w:lvl>
  </w:abstractNum>
  <w:abstractNum w:abstractNumId="9">
    <w:nsid w:val="FFFFFF89"/>
    <w:multiLevelType w:val="singleLevel"/>
    <w:tmpl w:val="476429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FB03F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C7768DC"/>
    <w:multiLevelType w:val="multilevel"/>
    <w:tmpl w:val="289E95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F151FFB"/>
    <w:multiLevelType w:val="multilevel"/>
    <w:tmpl w:val="32A0AC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27142836"/>
    <w:docVar w:name="WAFER_20140122153046" w:val="RemoveTocBookmarks,RemoveUnusedBookmarks,RemoveLanguageTags,UsedStyles,ResetPageSize,UpdateArrangement"/>
    <w:docVar w:name="WAFER_20140122153046_GUID" w:val="be075fa0-c250-49b5-b286-ec4e0f18dbf7"/>
    <w:docVar w:name="WAFER_20140122160735" w:val="RemoveTocBookmarks,RunningHeaders"/>
    <w:docVar w:name="WAFER_20140122160735_GUID" w:val="776999a0-7976-48ce-956b-3285012da513"/>
    <w:docVar w:name="WAFER_20141104172233" w:val="RemoveTocBookmarks,RemoveUnusedBookmarks,RemoveLanguageTags,UsedStyles,ResetPageSize,UpdateArrangement"/>
    <w:docVar w:name="WAFER_20141104172233_GUID" w:val="6eac26c5-09f8-4ae0-bc45-dcf234973bdb"/>
    <w:docVar w:name="WAFER_20150304144528" w:val="ResetPageSize,UpdateArrangement,UpdateNTable"/>
    <w:docVar w:name="WAFER_20150304144528_GUID" w:val="6419c7d9-888b-44d0-8560-23f05f749fe4"/>
    <w:docVar w:name="WAFER_20151109111857" w:val="UpdateStyles,UsedStyles"/>
    <w:docVar w:name="WAFER_20151109111857_GUID" w:val="3a22b1e0-5cee-4738-8186-498bbfac1b18"/>
    <w:docVar w:name="WAFER_20160127142836" w:val="RemoveTocBookmarks,RemoveUnusedBookmarks,RemoveLanguageTags,UsedStyles,RemoveTrackChanges"/>
    <w:docVar w:name="WAFER_20160127142836_GUID" w:val="6eb1cea1-7647-41dc-a451-161b195d47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85C88-DFAB-44AE-8FF6-64539D8D7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16291</Words>
  <Characters>76570</Characters>
  <Application>Microsoft Office Word</Application>
  <DocSecurity>0</DocSecurity>
  <Lines>2470</Lines>
  <Paragraphs>1365</Paragraphs>
  <ScaleCrop>false</ScaleCrop>
  <HeadingPairs>
    <vt:vector size="2" baseType="variant">
      <vt:variant>
        <vt:lpstr>Title</vt:lpstr>
      </vt:variant>
      <vt:variant>
        <vt:i4>1</vt:i4>
      </vt:variant>
    </vt:vector>
  </HeadingPairs>
  <TitlesOfParts>
    <vt:vector size="1" baseType="lpstr">
      <vt:lpstr>Parliamentary Commissioner Act 1971</vt:lpstr>
    </vt:vector>
  </TitlesOfParts>
  <Manager/>
  <Company/>
  <LinksUpToDate>false</LinksUpToDate>
  <CharactersWithSpaces>91496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Commissioner Act 1971 - 10-00-00</dc:title>
  <dc:subject/>
  <dc:creator/>
  <cp:keywords/>
  <dc:description/>
  <cp:lastModifiedBy>svcMRProcess</cp:lastModifiedBy>
  <cp:revision>4</cp:revision>
  <cp:lastPrinted>2016-03-16T01:33:00Z</cp:lastPrinted>
  <dcterms:created xsi:type="dcterms:W3CDTF">2020-03-02T04:32:00Z</dcterms:created>
  <dcterms:modified xsi:type="dcterms:W3CDTF">2020-03-02T04:32:00Z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1971</vt:lpwstr>
  </property>
  <property fmtid="{D5CDD505-2E9C-101B-9397-08002B2CF9AE}" pid="3" name="DocumentType">
    <vt:lpwstr>Act</vt:lpwstr>
  </property>
  <property fmtid="{D5CDD505-2E9C-101B-9397-08002B2CF9AE}" pid="4" name="OwlsUID">
    <vt:i4>572</vt:i4>
  </property>
  <property fmtid="{D5CDD505-2E9C-101B-9397-08002B2CF9AE}" pid="5" name="CommencementDate">
    <vt:lpwstr>20160304</vt:lpwstr>
  </property>
  <property fmtid="{D5CDD505-2E9C-101B-9397-08002B2CF9AE}" pid="6" name="AsAtDate">
    <vt:lpwstr>04 Mar 2016</vt:lpwstr>
  </property>
  <property fmtid="{D5CDD505-2E9C-101B-9397-08002B2CF9AE}" pid="7" name="Suffix">
    <vt:lpwstr>10-00-00</vt:lpwstr>
  </property>
  <property fmtid="{D5CDD505-2E9C-101B-9397-08002B2CF9AE}" pid="8" name="ReprintedAsAt">
    <vt:filetime>2016-03-03T16:00:00Z</vt:filetime>
  </property>
  <property fmtid="{D5CDD505-2E9C-101B-9397-08002B2CF9AE}" pid="9" name="ReprintNo">
    <vt:lpwstr>10</vt:lpwstr>
  </property>
</Properties>
</file>