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_Toc447270030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_Toc447270031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_Toc447270032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_Toc447270035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_Toc447270036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_Toc447270037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_Toc447270038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_Toc447270039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_Toc447270040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_Toc447270041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_Toc447270042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_Toc447270044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_Toc447270045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_Toc447270046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_Toc447270047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_Toc447270048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_Toc447270049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_Toc447270051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_Toc447270052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_Toc447270053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_Toc447270054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_Toc447270055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_Toc447270056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_Toc447270057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_Toc447270058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_Toc447270059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_Toc447270060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_Toc447270061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_Toc447270063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_Toc447270064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_Toc447270065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_Toc447270066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_Toc447270068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_Toc447270069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_Toc447270070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_Toc447270071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_Toc447270072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_Toc447270073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_Toc447270087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_Toc447270088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27757358"/>
      <w:bookmarkStart w:id="4" w:name="_Toc431889367"/>
      <w:bookmarkStart w:id="5" w:name="_Toc437952238"/>
      <w:bookmarkStart w:id="6" w:name="_Toc44727002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447270030"/>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447270031"/>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447270032"/>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427757362"/>
      <w:bookmarkStart w:id="11" w:name="_Toc431889371"/>
      <w:bookmarkStart w:id="12" w:name="_Toc437952242"/>
      <w:bookmarkStart w:id="13" w:name="_Toc447270033"/>
      <w:r>
        <w:rPr>
          <w:rStyle w:val="CharPartNo"/>
        </w:rPr>
        <w:t>Part I</w:t>
      </w:r>
      <w:r>
        <w:t> — </w:t>
      </w:r>
      <w:r>
        <w:rPr>
          <w:rStyle w:val="CharPartText"/>
        </w:rPr>
        <w:t>Legislature</w:t>
      </w:r>
      <w:bookmarkEnd w:id="10"/>
      <w:bookmarkEnd w:id="11"/>
      <w:bookmarkEnd w:id="12"/>
      <w:bookmarkEnd w:id="13"/>
    </w:p>
    <w:p>
      <w:pPr>
        <w:pStyle w:val="Heading3"/>
      </w:pPr>
      <w:bookmarkStart w:id="14" w:name="_Toc427757363"/>
      <w:bookmarkStart w:id="15" w:name="_Toc431889372"/>
      <w:bookmarkStart w:id="16" w:name="_Toc437952243"/>
      <w:bookmarkStart w:id="17" w:name="_Toc447270034"/>
      <w:r>
        <w:rPr>
          <w:rStyle w:val="CharDivNo"/>
        </w:rPr>
        <w:t>Division 1</w:t>
      </w:r>
      <w:r>
        <w:t> — </w:t>
      </w:r>
      <w:r>
        <w:rPr>
          <w:rStyle w:val="CharDivText"/>
        </w:rPr>
        <w:t>Legislative Council</w:t>
      </w:r>
      <w:bookmarkEnd w:id="14"/>
      <w:bookmarkEnd w:id="15"/>
      <w:bookmarkEnd w:id="16"/>
      <w:bookmarkEnd w:id="17"/>
    </w:p>
    <w:p>
      <w:pPr>
        <w:pStyle w:val="Footnoteheading"/>
      </w:pPr>
      <w:r>
        <w:tab/>
        <w:t>[Heading inserted by No. 19 of 2010 s. 44(2).]</w:t>
      </w:r>
    </w:p>
    <w:p>
      <w:pPr>
        <w:pStyle w:val="Heading5"/>
        <w:rPr>
          <w:snapToGrid w:val="0"/>
        </w:rPr>
      </w:pPr>
      <w:bookmarkStart w:id="18" w:name="_Toc447270035"/>
      <w:r>
        <w:rPr>
          <w:rStyle w:val="CharSectno"/>
        </w:rPr>
        <w:t>5</w:t>
      </w:r>
      <w:r>
        <w:rPr>
          <w:snapToGrid w:val="0"/>
        </w:rPr>
        <w:t>.</w:t>
      </w:r>
      <w:r>
        <w:rPr>
          <w:snapToGrid w:val="0"/>
        </w:rPr>
        <w:tab/>
        <w:t>Constitution of Legislative Council</w:t>
      </w:r>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447270036"/>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0" w:name="_Toc447270037"/>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1" w:name="_Toc447270038"/>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 w:name="_Toc447270039"/>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3" w:name="_Toc447270040"/>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4" w:name="_Toc447270041"/>
      <w:r>
        <w:rPr>
          <w:rStyle w:val="CharSectno"/>
        </w:rPr>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447270042"/>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6" w:name="_Toc427757372"/>
      <w:bookmarkStart w:id="27" w:name="_Toc431889381"/>
      <w:bookmarkStart w:id="28" w:name="_Toc437952252"/>
      <w:bookmarkStart w:id="29" w:name="_Toc447270043"/>
      <w:r>
        <w:rPr>
          <w:rStyle w:val="CharDivNo"/>
        </w:rPr>
        <w:t>Division 2</w:t>
      </w:r>
      <w:r>
        <w:t> — </w:t>
      </w:r>
      <w:r>
        <w:rPr>
          <w:rStyle w:val="CharDivText"/>
        </w:rPr>
        <w:t>Legislative Assembly</w:t>
      </w:r>
      <w:bookmarkEnd w:id="26"/>
      <w:bookmarkEnd w:id="27"/>
      <w:bookmarkEnd w:id="28"/>
      <w:bookmarkEnd w:id="29"/>
    </w:p>
    <w:p>
      <w:pPr>
        <w:pStyle w:val="Footnoteheading"/>
        <w:spacing w:before="140"/>
      </w:pPr>
      <w:r>
        <w:tab/>
        <w:t>[Heading inserted by No. 19 of 2010 s. 44(2).]</w:t>
      </w:r>
    </w:p>
    <w:p>
      <w:pPr>
        <w:pStyle w:val="Heading5"/>
        <w:keepNext w:val="0"/>
        <w:keepLines w:val="0"/>
        <w:spacing w:before="240"/>
      </w:pPr>
      <w:bookmarkStart w:id="30" w:name="_Toc447270044"/>
      <w:r>
        <w:rPr>
          <w:rStyle w:val="CharSectno"/>
        </w:rPr>
        <w:t>18</w:t>
      </w:r>
      <w:r>
        <w:t>.</w:t>
      </w:r>
      <w:r>
        <w:tab/>
        <w:t>Constitution of Legislative Assembly</w:t>
      </w:r>
      <w:bookmarkEnd w:id="30"/>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1" w:name="_Toc447270045"/>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2" w:name="_Toc447270046"/>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447270047"/>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447270048"/>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447270049"/>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6" w:name="_Toc427757379"/>
      <w:bookmarkStart w:id="37" w:name="_Toc431889388"/>
      <w:bookmarkStart w:id="38" w:name="_Toc437952259"/>
      <w:bookmarkStart w:id="39" w:name="_Toc447270050"/>
      <w:r>
        <w:rPr>
          <w:rStyle w:val="CharDivNo"/>
        </w:rPr>
        <w:t>Division 3</w:t>
      </w:r>
      <w:r>
        <w:t> — </w:t>
      </w:r>
      <w:r>
        <w:rPr>
          <w:rStyle w:val="CharDivText"/>
        </w:rPr>
        <w:t>General</w:t>
      </w:r>
      <w:bookmarkEnd w:id="36"/>
      <w:bookmarkEnd w:id="37"/>
      <w:bookmarkEnd w:id="38"/>
      <w:bookmarkEnd w:id="3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0" w:name="_Toc447270051"/>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1" w:name="_Toc447270052"/>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2" w:name="_Toc447270053"/>
      <w:r>
        <w:rPr>
          <w:rStyle w:val="CharSectno"/>
        </w:rPr>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3" w:name="_Toc447270054"/>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4" w:name="_Toc447270055"/>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5" w:name="_Toc447270056"/>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6" w:name="_Toc447270057"/>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7" w:name="_Toc447270058"/>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8" w:name="_Toc447270059"/>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9" w:name="_Toc447270060"/>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0" w:name="_Toc447270061"/>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1" w:name="_Toc427757391"/>
      <w:bookmarkStart w:id="52" w:name="_Toc431889400"/>
      <w:bookmarkStart w:id="53" w:name="_Toc437952271"/>
      <w:bookmarkStart w:id="54" w:name="_Toc447270062"/>
      <w:r>
        <w:rPr>
          <w:rStyle w:val="CharPartNo"/>
        </w:rPr>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447270063"/>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6" w:name="_Toc447270064"/>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447270065"/>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8" w:name="_Toc447270066"/>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9" w:name="_Toc427757396"/>
      <w:bookmarkStart w:id="60" w:name="_Toc431889405"/>
      <w:bookmarkStart w:id="61" w:name="_Toc437952276"/>
      <w:bookmarkStart w:id="62" w:name="_Toc447270067"/>
      <w:r>
        <w:rPr>
          <w:rStyle w:val="CharPartNo"/>
        </w:rPr>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447270068"/>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4" w:name="_Toc447270069"/>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447270070"/>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447270071"/>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7" w:name="_Toc447270072"/>
      <w:r>
        <w:rPr>
          <w:rStyle w:val="CharSectno"/>
        </w:rPr>
        <w:t>51</w:t>
      </w:r>
      <w:r>
        <w:rPr>
          <w:snapToGrid w:val="0"/>
        </w:rPr>
        <w:t>.</w:t>
      </w:r>
      <w:r>
        <w:rPr>
          <w:snapToGrid w:val="0"/>
        </w:rPr>
        <w:tab/>
        <w:t>No action to lie against officials of either House</w:t>
      </w:r>
      <w:bookmarkEnd w:id="6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8" w:name="_Toc447270073"/>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9" w:name="_Toc427757403"/>
      <w:bookmarkStart w:id="70" w:name="_Toc431889412"/>
      <w:bookmarkStart w:id="71" w:name="_Toc437952283"/>
      <w:bookmarkStart w:id="72" w:name="_Toc447270074"/>
      <w:r>
        <w:rPr>
          <w:rStyle w:val="CharSchNo"/>
        </w:rPr>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3" w:name="_Toc427757404"/>
      <w:bookmarkStart w:id="74" w:name="_Toc431889413"/>
      <w:bookmarkStart w:id="75" w:name="_Toc437952284"/>
      <w:bookmarkStart w:id="76" w:name="_Toc447270075"/>
      <w:r>
        <w:rPr>
          <w:rStyle w:val="CharSchNo"/>
        </w:rPr>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77" w:name="_Toc427757405"/>
      <w:bookmarkStart w:id="78" w:name="_Toc431889414"/>
      <w:bookmarkStart w:id="79" w:name="_Toc437952285"/>
      <w:bookmarkStart w:id="80" w:name="_Toc447270076"/>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by No. 19 of 2010 s. 14(3).]</w:t>
      </w:r>
    </w:p>
    <w:p>
      <w:pPr>
        <w:pStyle w:val="yHeading4"/>
        <w:spacing w:before="260"/>
        <w:rPr>
          <w:rFonts w:eastAsia="MS Mincho"/>
        </w:rPr>
      </w:pPr>
      <w:bookmarkStart w:id="81" w:name="_Toc427757406"/>
      <w:bookmarkStart w:id="82" w:name="_Toc431889415"/>
      <w:bookmarkStart w:id="83" w:name="_Toc437952286"/>
      <w:bookmarkStart w:id="84" w:name="_Toc447270077"/>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85" w:name="_Toc427757407"/>
      <w:bookmarkStart w:id="86" w:name="_Toc431889416"/>
      <w:bookmarkStart w:id="87" w:name="_Toc437952287"/>
      <w:bookmarkStart w:id="88" w:name="_Toc447270078"/>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89" w:name="_Toc427757408"/>
      <w:bookmarkStart w:id="90" w:name="_Toc431889417"/>
      <w:bookmarkStart w:id="91" w:name="_Toc437952288"/>
      <w:bookmarkStart w:id="92" w:name="_Toc447270079"/>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by No. 19 of 2010 s. 14(5).]</w:t>
      </w:r>
    </w:p>
    <w:p>
      <w:pPr>
        <w:pStyle w:val="yHeading4"/>
        <w:spacing w:before="260"/>
        <w:rPr>
          <w:rFonts w:eastAsia="MS Mincho"/>
        </w:rPr>
      </w:pPr>
      <w:bookmarkStart w:id="93" w:name="_Toc427757409"/>
      <w:bookmarkStart w:id="94" w:name="_Toc431889418"/>
      <w:bookmarkStart w:id="95" w:name="_Toc437952289"/>
      <w:bookmarkStart w:id="96" w:name="_Toc447270080"/>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97" w:name="_Toc427757410"/>
      <w:bookmarkStart w:id="98" w:name="_Toc431889419"/>
      <w:bookmarkStart w:id="99" w:name="_Toc437952290"/>
      <w:bookmarkStart w:id="100" w:name="_Toc447270081"/>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01" w:name="_Toc427757411"/>
      <w:bookmarkStart w:id="102" w:name="_Toc431889420"/>
      <w:bookmarkStart w:id="103" w:name="_Toc437952291"/>
      <w:bookmarkStart w:id="104" w:name="_Toc447270082"/>
      <w:r>
        <w:rPr>
          <w:rStyle w:val="CharSDivNo"/>
          <w:rFonts w:eastAsia="MS Mincho"/>
        </w:rPr>
        <w:t>Part 3</w:t>
      </w:r>
      <w:r>
        <w:rPr>
          <w:rFonts w:eastAsia="MS Mincho"/>
          <w:b w:val="0"/>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w:t>
      </w:r>
      <w:r>
        <w:t>.]</w:t>
      </w:r>
    </w:p>
    <w:p>
      <w:pPr>
        <w:pStyle w:val="yScheduleHeading"/>
      </w:pPr>
      <w:bookmarkStart w:id="105" w:name="_Toc427757412"/>
      <w:bookmarkStart w:id="106" w:name="_Toc431889421"/>
      <w:bookmarkStart w:id="107" w:name="_Toc437952292"/>
      <w:bookmarkStart w:id="108" w:name="_Toc447270083"/>
      <w:r>
        <w:rPr>
          <w:rStyle w:val="CharSchNo"/>
        </w:rPr>
        <w:t>Schedule VI</w:t>
      </w:r>
      <w:r>
        <w:t> — </w:t>
      </w:r>
      <w:r>
        <w:rPr>
          <w:rStyle w:val="CharSchText"/>
        </w:rPr>
        <w:t>Oaths and affirmations of office</w:t>
      </w:r>
      <w:bookmarkEnd w:id="105"/>
      <w:bookmarkEnd w:id="106"/>
      <w:bookmarkEnd w:id="107"/>
      <w:bookmarkEnd w:id="108"/>
    </w:p>
    <w:p>
      <w:pPr>
        <w:pStyle w:val="yShoulderClause"/>
      </w:pPr>
      <w:r>
        <w:t>[s. 43(4), 44A(6) &amp; 45]</w:t>
      </w:r>
    </w:p>
    <w:p>
      <w:pPr>
        <w:pStyle w:val="yFootnoteheading"/>
      </w:pPr>
      <w:r>
        <w:tab/>
        <w:t>[Heading inserted by No. 24 of 2005 s. 12.]</w:t>
      </w:r>
    </w:p>
    <w:p>
      <w:pPr>
        <w:pStyle w:val="yHeading3"/>
      </w:pPr>
      <w:bookmarkStart w:id="109" w:name="_Toc427757413"/>
      <w:bookmarkStart w:id="110" w:name="_Toc431889422"/>
      <w:bookmarkStart w:id="111" w:name="_Toc437952293"/>
      <w:bookmarkStart w:id="112" w:name="_Toc447270084"/>
      <w:r>
        <w:rPr>
          <w:rStyle w:val="CharSDivNo"/>
        </w:rPr>
        <w:t>Division 1</w:t>
      </w:r>
      <w:r>
        <w:rPr>
          <w:b w:val="0"/>
        </w:rPr>
        <w:t> — </w:t>
      </w:r>
      <w:r>
        <w:rPr>
          <w:rStyle w:val="CharSDivText"/>
        </w:rPr>
        <w:t>Holders of principal executive offices and for Parliamentary Secretaries</w:t>
      </w:r>
      <w:bookmarkEnd w:id="109"/>
      <w:bookmarkEnd w:id="110"/>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427757414"/>
      <w:bookmarkStart w:id="114" w:name="_Toc431889423"/>
      <w:bookmarkStart w:id="115" w:name="_Toc437952294"/>
      <w:bookmarkStart w:id="116" w:name="_Toc447270085"/>
      <w:r>
        <w:rPr>
          <w:rStyle w:val="CharSDivNo"/>
        </w:rPr>
        <w:t>Division 2</w:t>
      </w:r>
      <w:r>
        <w:t> — </w:t>
      </w:r>
      <w:r>
        <w:rPr>
          <w:rStyle w:val="CharSDivText"/>
        </w:rPr>
        <w:t>Members of the Executive Council</w:t>
      </w:r>
      <w:bookmarkEnd w:id="113"/>
      <w:bookmarkEnd w:id="114"/>
      <w:bookmarkEnd w:id="115"/>
      <w:bookmarkEnd w:id="1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17" w:name="_Toc427757415"/>
      <w:bookmarkStart w:id="118" w:name="_Toc431889424"/>
      <w:bookmarkStart w:id="119" w:name="_Toc437952295"/>
      <w:bookmarkStart w:id="120" w:name="_Toc447270086"/>
      <w:r>
        <w:t>Notes</w:t>
      </w:r>
      <w:bookmarkEnd w:id="117"/>
      <w:bookmarkEnd w:id="118"/>
      <w:bookmarkEnd w:id="119"/>
      <w:bookmarkEnd w:id="12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21" w:name="_Toc447270087"/>
      <w:r>
        <w:t>Compilation table</w:t>
      </w:r>
      <w:bookmarkEnd w:id="121"/>
    </w:p>
    <w:tbl>
      <w:tblPr>
        <w:tblW w:w="7162"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74"/>
      </w:tblGrid>
      <w:tr>
        <w:trPr>
          <w:gridAfter w:val="1"/>
          <w:wAfter w:w="74"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4"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74"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74"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74"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74"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74"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74"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74"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74"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74"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74"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74"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74"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74"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74"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74"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74"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74"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74"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74"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74"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74"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74"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74"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74"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74"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74"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74"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74"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74"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74"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74"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74"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74"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74"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74"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74"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74"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74"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74"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74"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74"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74"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74"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74"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74"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74"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74"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74"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74"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74"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74"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74"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74"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74"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74"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74"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74"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74"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74"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74"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74"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74"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74"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74"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74"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74"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74"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74"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74"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74"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74"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74"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74"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74"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74"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74"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74"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74"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74"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74"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74"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74"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74"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74"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74"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74"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74"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74"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74"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74"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74"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74"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74"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74"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74"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74"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74"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74"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74"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74"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74"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74"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74"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74"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74"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74"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74"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74"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74"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74"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74"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74"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74"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74"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74"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74"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74"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74"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74"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74"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74"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74"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74"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74"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74"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74"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74"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74"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74"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74"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74"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74"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74"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74"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74"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74"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74"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74"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74"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74"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74"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74"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74"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74"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74"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74"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74"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74"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74"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74"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74"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74"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74"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74"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74"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74"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74"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74"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74"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74"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74"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74"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74"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74"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74"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74"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74"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74"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74"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74"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74"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74"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74"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74"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74"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74"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74"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74"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74"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74"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74"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74"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74"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74"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74"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74"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74"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74"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74"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74"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74"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74"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74"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74"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74"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74"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74"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74"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74"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74"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74"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74"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74"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74"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74"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74"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74"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74"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74"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74"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74"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74"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74"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74"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74"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74"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74"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74"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74"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74"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74"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74"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74"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74"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74"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74"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74"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74"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74"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74"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74"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74"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74"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74"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74"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74"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74"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74"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74"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74"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74"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74"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74"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74"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74"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74"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74"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74"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74"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tcBorders>
              <w:bottom w:val="single" w:sz="4" w:space="0" w:color="auto"/>
            </w:tcBorders>
            <w:shd w:val="clear" w:color="auto" w:fill="auto"/>
          </w:tcPr>
          <w:p>
            <w:pPr>
              <w:spacing w:before="40" w:after="40"/>
              <w:rPr>
                <w:sz w:val="19"/>
              </w:rPr>
            </w:pPr>
            <w:r>
              <w:rPr>
                <w:sz w:val="19"/>
              </w:rPr>
              <w:t>40 of 2015</w:t>
            </w:r>
          </w:p>
        </w:tc>
        <w:tc>
          <w:tcPr>
            <w:tcW w:w="1138" w:type="dxa"/>
            <w:gridSpan w:val="2"/>
            <w:tcBorders>
              <w:bottom w:val="single" w:sz="4" w:space="0" w:color="auto"/>
            </w:tcBorders>
            <w:shd w:val="clear" w:color="auto" w:fill="auto"/>
          </w:tcPr>
          <w:p>
            <w:pPr>
              <w:spacing w:before="40" w:after="40"/>
              <w:rPr>
                <w:sz w:val="19"/>
              </w:rPr>
            </w:pPr>
            <w:r>
              <w:rPr>
                <w:sz w:val="19"/>
              </w:rPr>
              <w:t>8 Dec 2015</w:t>
            </w:r>
          </w:p>
        </w:tc>
        <w:tc>
          <w:tcPr>
            <w:tcW w:w="2584" w:type="dxa"/>
            <w:gridSpan w:val="2"/>
            <w:tcBorders>
              <w:bottom w:val="single" w:sz="4" w:space="0" w:color="auto"/>
            </w:tcBorders>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_Toc447270088"/>
      <w:r>
        <w:t>Provisions that have not come into operation</w:t>
      </w:r>
      <w:bookmarkEnd w:id="122"/>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84"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84"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73"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84" w:type="dxa"/>
            <w:gridSpan w:val="2"/>
          </w:tcPr>
          <w:p>
            <w:pPr>
              <w:pStyle w:val="nTable"/>
              <w:spacing w:after="40"/>
              <w:rPr>
                <w:snapToGrid w:val="0"/>
              </w:rPr>
            </w:pPr>
            <w:r>
              <w:rPr>
                <w:snapToGrid w:val="0"/>
              </w:rPr>
              <w:t>To be proclaimed (see s. 2(b))</w:t>
            </w:r>
          </w:p>
        </w:tc>
      </w:tr>
      <w:tr>
        <w:trPr>
          <w:cantSplit/>
        </w:trPr>
        <w:tc>
          <w:tcPr>
            <w:tcW w:w="2273" w:type="dxa"/>
            <w:shd w:val="clear" w:color="auto" w:fill="auto"/>
          </w:tcPr>
          <w:p>
            <w:pPr>
              <w:spacing w:before="40" w:after="40"/>
              <w:rPr>
                <w:sz w:val="19"/>
              </w:rPr>
            </w:pPr>
            <w:r>
              <w:rPr>
                <w:i/>
                <w:sz w:val="19"/>
              </w:rPr>
              <w:t>Conservation and Land Management Amendment Act 2015</w:t>
            </w:r>
            <w:r>
              <w:rPr>
                <w:sz w:val="19"/>
              </w:rPr>
              <w:t xml:space="preserve"> s. 72</w:t>
            </w:r>
            <w:r>
              <w:rPr>
                <w:sz w:val="19"/>
                <w:vertAlign w:val="superscript"/>
              </w:rPr>
              <w:t xml:space="preserve"> 56</w:t>
            </w:r>
          </w:p>
        </w:tc>
        <w:tc>
          <w:tcPr>
            <w:tcW w:w="1139" w:type="dxa"/>
            <w:shd w:val="clear" w:color="auto" w:fill="auto"/>
          </w:tcPr>
          <w:p>
            <w:pPr>
              <w:spacing w:before="40" w:after="40"/>
              <w:rPr>
                <w:sz w:val="19"/>
              </w:rPr>
            </w:pPr>
            <w:r>
              <w:rPr>
                <w:sz w:val="19"/>
              </w:rPr>
              <w:t>28 of 2015</w:t>
            </w:r>
          </w:p>
        </w:tc>
        <w:tc>
          <w:tcPr>
            <w:tcW w:w="1138" w:type="dxa"/>
            <w:shd w:val="clear" w:color="auto" w:fill="auto"/>
          </w:tcPr>
          <w:p>
            <w:pPr>
              <w:spacing w:before="40" w:after="40"/>
              <w:rPr>
                <w:sz w:val="19"/>
              </w:rPr>
            </w:pPr>
            <w:r>
              <w:rPr>
                <w:sz w:val="19"/>
              </w:rPr>
              <w:t>19 Oct 2015</w:t>
            </w:r>
          </w:p>
        </w:tc>
        <w:tc>
          <w:tcPr>
            <w:tcW w:w="2584" w:type="dxa"/>
            <w:gridSpan w:val="2"/>
            <w:shd w:val="clear" w:color="auto" w:fill="auto"/>
          </w:tcPr>
          <w:p>
            <w:pPr>
              <w:spacing w:before="40" w:after="40"/>
              <w:rPr>
                <w:sz w:val="19"/>
              </w:rPr>
            </w:pPr>
            <w:r>
              <w:rPr>
                <w:sz w:val="19"/>
              </w:rPr>
              <w:t>To be proclaimed (see s. 2(b))</w:t>
            </w:r>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single" w:sz="4" w:space="0" w:color="auto"/>
            </w:tcBorders>
          </w:tcPr>
          <w:p>
            <w:pPr>
              <w:pStyle w:val="nTable"/>
              <w:spacing w:after="40"/>
              <w:rPr>
                <w:vertAlign w:val="superscript"/>
              </w:rPr>
            </w:pPr>
            <w:r>
              <w:rPr>
                <w:i/>
                <w:noProof/>
              </w:rPr>
              <w:t xml:space="preserve">Western Australian Health Promotion Foundation Act Act 2016 </w:t>
            </w:r>
            <w:r>
              <w:rPr>
                <w:noProof/>
              </w:rPr>
              <w:t xml:space="preserve">Pt. 8 Div. 1 </w:t>
            </w:r>
            <w:r>
              <w:rPr>
                <w:noProof/>
                <w:vertAlign w:val="superscript"/>
              </w:rPr>
              <w:t>58</w:t>
            </w:r>
          </w:p>
        </w:tc>
        <w:tc>
          <w:tcPr>
            <w:tcW w:w="1139" w:type="dxa"/>
            <w:tcBorders>
              <w:top w:val="nil"/>
              <w:bottom w:val="single" w:sz="4" w:space="0" w:color="auto"/>
            </w:tcBorders>
          </w:tcPr>
          <w:p>
            <w:pPr>
              <w:pStyle w:val="nTable"/>
              <w:spacing w:after="40"/>
            </w:pPr>
            <w:r>
              <w:t>3 of 2016</w:t>
            </w:r>
          </w:p>
        </w:tc>
        <w:tc>
          <w:tcPr>
            <w:tcW w:w="1138" w:type="dxa"/>
            <w:tcBorders>
              <w:top w:val="nil"/>
              <w:bottom w:val="single" w:sz="4" w:space="0" w:color="auto"/>
            </w:tcBorders>
          </w:tcPr>
          <w:p>
            <w:pPr>
              <w:pStyle w:val="nTable"/>
              <w:spacing w:after="40"/>
            </w:pPr>
            <w:r>
              <w:t>21 Mar 2016</w:t>
            </w:r>
          </w:p>
        </w:tc>
        <w:tc>
          <w:tcPr>
            <w:tcW w:w="2555"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123" w:name="_Toc433111800"/>
      <w:bookmarkStart w:id="124" w:name="_Toc433112964"/>
      <w:bookmarkStart w:id="125" w:name="_Toc433113552"/>
      <w:r>
        <w:rPr>
          <w:rStyle w:val="CharSectno"/>
        </w:rPr>
        <w:t>72</w:t>
      </w:r>
      <w:r>
        <w:t>.</w:t>
      </w:r>
      <w:r>
        <w:tab/>
      </w:r>
      <w:r>
        <w:rPr>
          <w:i/>
        </w:rPr>
        <w:t>Constitution Acts Amendment Act 1899</w:t>
      </w:r>
      <w:r>
        <w:t xml:space="preserve"> amended</w:t>
      </w:r>
      <w:bookmarkEnd w:id="123"/>
      <w:bookmarkEnd w:id="124"/>
      <w:bookmarkEnd w:id="12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ab/>
        <w:t xml:space="preserve">The Conservation and Parks Commission established under the </w:t>
      </w:r>
      <w:r>
        <w:rPr>
          <w:i/>
        </w:rPr>
        <w:t>Conservation and Land Management Act 1984</w:t>
      </w:r>
      <w:r>
        <w:t>.</w:t>
      </w:r>
    </w:p>
    <w:p>
      <w:pPr>
        <w:pStyle w:val="nSubsection"/>
        <w:keepNext/>
        <w:keepLines/>
        <w:spacing w:before="120"/>
      </w:pPr>
      <w:r>
        <w:rPr>
          <w:snapToGrid w:val="0"/>
          <w:vertAlign w:val="superscript"/>
        </w:rPr>
        <w:t>57</w:t>
      </w:r>
      <w:r>
        <w:rPr>
          <w:snapToGrid w:val="0"/>
        </w:rPr>
        <w:tab/>
      </w:r>
      <w:r>
        <w:t>Footnote</w:t>
      </w:r>
      <w:r>
        <w:rPr>
          <w:snapToGrid w:val="0"/>
        </w:rPr>
        <w:t xml:space="preserve"> no longer applicable.</w:t>
      </w: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27" w:name="_Toc427757418"/>
      <w:bookmarkStart w:id="128" w:name="_Toc431889427"/>
      <w:bookmarkStart w:id="129" w:name="_Toc437952298"/>
      <w:bookmarkStart w:id="130" w:name="_Toc447270089"/>
      <w:r>
        <w:rPr>
          <w:sz w:val="28"/>
        </w:rPr>
        <w:t>Defined terms</w:t>
      </w:r>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2F52C-3978-405F-8313-442641395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22269</Words>
  <Characters>100437</Characters>
  <Application>Microsoft Office Word</Application>
  <DocSecurity>0</DocSecurity>
  <Lines>3719</Lines>
  <Paragraphs>2272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1899 - 20-d0-00</dc:title>
  <dc:subject/>
  <dc:creator/>
  <cp:keywords/>
  <dc:description/>
  <cp:lastModifiedBy>svcMRProcess</cp:lastModifiedBy>
  <cp:revision>4</cp:revision>
  <cp:lastPrinted>2015-12-01T08:17:00Z</cp:lastPrinted>
  <dcterms:created xsi:type="dcterms:W3CDTF">2018-08-28T00:52:00Z</dcterms:created>
  <dcterms:modified xsi:type="dcterms:W3CDTF">2018-08-28T00:53:00Z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31 Mar 2016</vt:lpwstr>
  </property>
  <property fmtid="{D5CDD505-2E9C-101B-9397-08002B2CF9AE}" pid="9" name="Suffix">
    <vt:lpwstr>20-d0-00</vt:lpwstr>
  </property>
  <property fmtid="{D5CDD505-2E9C-101B-9397-08002B2CF9AE}" pid="10" name="CommencementDate">
    <vt:lpwstr>20160331</vt:lpwstr>
  </property>
</Properties>
</file>