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Coal Industry Superannuation Act 1989</w:t>
      </w:r>
      <w:r>
        <w:rPr>
          <w:sz w:val="48"/>
        </w:rPr>
        <w:fldChar w:fldCharType="end"/>
      </w:r>
    </w:p>
    <w:p>
      <w:pPr>
        <w:pStyle w:val="ReprintNo"/>
      </w:pPr>
      <w:r>
        <w:t>Reprint 3:  The Act as at 1 April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B5518F" w:rsidRDefault="00B5518F">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B5518F" w:rsidRDefault="00B5518F">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B5518F" w:rsidRDefault="00B5518F">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B5518F" w:rsidRDefault="00B5518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_Toc449452524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_Toc449452525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_Toc449452526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Mine worker</w:t>
      </w:r>
      <w:r>
        <w:tab/>
      </w:r>
      <w:r>
        <w:fldChar w:fldCharType="begin"/>
      </w:r>
      <w:r>
        <w:instrText xml:space="preserve"> PAGEREF _Toc449452527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Superannuation for mine workers</w:t>
      </w:r>
    </w:p>
    <w:p>
      <w:pPr>
        <w:pStyle w:val="TOC8"/>
        <w:rPr>
          <w:rFonts w:asciiTheme="minorHAnsi" w:eastAsiaTheme="minorEastAsia" w:hAnsiTheme="minorHAnsi" w:cstheme="minorBidi"/>
          <w:szCs w:val="22"/>
        </w:rPr>
      </w:pPr>
      <w:r>
        <w:t>7A.</w:t>
      </w:r>
      <w:r>
        <w:tab/>
        <w:t>Superannuation rules</w:t>
      </w:r>
      <w:r>
        <w:tab/>
      </w:r>
      <w:r>
        <w:fldChar w:fldCharType="begin"/>
      </w:r>
      <w:r>
        <w:instrText xml:space="preserve"> PAGEREF _Toc449452529 \h </w:instrText>
      </w:r>
      <w:r>
        <w:fldChar w:fldCharType="separate"/>
      </w:r>
      <w:r>
        <w:t>6</w:t>
      </w:r>
      <w:r>
        <w:fldChar w:fldCharType="end"/>
      </w:r>
    </w:p>
    <w:p>
      <w:pPr>
        <w:pStyle w:val="TOC8"/>
        <w:rPr>
          <w:rFonts w:asciiTheme="minorHAnsi" w:eastAsiaTheme="minorEastAsia" w:hAnsiTheme="minorHAnsi" w:cstheme="minorBidi"/>
          <w:szCs w:val="22"/>
        </w:rPr>
      </w:pPr>
      <w:r>
        <w:t>7B.</w:t>
      </w:r>
      <w:r>
        <w:tab/>
        <w:t>Designated fund</w:t>
      </w:r>
      <w:r>
        <w:tab/>
      </w:r>
      <w:r>
        <w:fldChar w:fldCharType="begin"/>
      </w:r>
      <w:r>
        <w:instrText xml:space="preserve"> PAGEREF _Toc449452530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28</w:t>
      </w:r>
      <w:r>
        <w:rPr>
          <w:snapToGrid w:val="0"/>
        </w:rPr>
        <w:t>.</w:t>
      </w:r>
      <w:r>
        <w:rPr>
          <w:snapToGrid w:val="0"/>
        </w:rPr>
        <w:tab/>
        <w:t>Employer’s powers and liabilities in respect of termination not affected</w:t>
      </w:r>
      <w:r>
        <w:tab/>
      </w:r>
      <w:r>
        <w:fldChar w:fldCharType="begin"/>
      </w:r>
      <w:r>
        <w:instrText xml:space="preserve"> PAGEREF _Toc449452532 \h </w:instrText>
      </w:r>
      <w:r>
        <w:fldChar w:fldCharType="separate"/>
      </w:r>
      <w:r>
        <w:t>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Members’ rights to compensation not to be affected</w:t>
      </w:r>
      <w:r>
        <w:tab/>
      </w:r>
      <w:r>
        <w:fldChar w:fldCharType="begin"/>
      </w:r>
      <w:r>
        <w:instrText xml:space="preserve"> PAGEREF _Toc449452533 \h </w:instrText>
      </w:r>
      <w:r>
        <w:fldChar w:fldCharType="separate"/>
      </w:r>
      <w:r>
        <w:t>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_Toc449452534 \h </w:instrText>
      </w:r>
      <w:r>
        <w:fldChar w:fldCharType="separate"/>
      </w:r>
      <w:r>
        <w:t>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_Toc449452535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_Toc449452537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
      </w:pPr>
      <w:r>
        <w:t xml:space="preserve">Coal Industry Superannuation Act 1989 </w:t>
      </w:r>
    </w:p>
    <w:p>
      <w:pPr>
        <w:pStyle w:val="LongTitle"/>
      </w:pPr>
      <w:r>
        <w:t>An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3" w:name="_Toc445809033"/>
      <w:bookmarkStart w:id="4" w:name="_Toc449452523"/>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180"/>
        <w:rPr>
          <w:snapToGrid w:val="0"/>
        </w:rPr>
      </w:pPr>
      <w:bookmarkStart w:id="5" w:name="_Toc449452524"/>
      <w:r>
        <w:rPr>
          <w:rStyle w:val="CharSectno"/>
        </w:rPr>
        <w:t>1</w:t>
      </w:r>
      <w:r>
        <w:rPr>
          <w:snapToGrid w:val="0"/>
        </w:rPr>
        <w:t>.</w:t>
      </w:r>
      <w:r>
        <w:rPr>
          <w:snapToGrid w:val="0"/>
        </w:rPr>
        <w:tab/>
        <w:t>Short title</w:t>
      </w:r>
      <w:bookmarkEnd w:id="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6" w:name="_Toc449452525"/>
      <w:r>
        <w:rPr>
          <w:rStyle w:val="CharSectno"/>
        </w:rPr>
        <w:t>2</w:t>
      </w:r>
      <w:r>
        <w:rPr>
          <w:snapToGrid w:val="0"/>
        </w:rPr>
        <w:t>.</w:t>
      </w:r>
      <w:r>
        <w:rPr>
          <w:snapToGrid w:val="0"/>
        </w:rPr>
        <w:tab/>
        <w:t>Commencement</w:t>
      </w:r>
      <w:bookmarkEnd w:id="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7" w:name="_Toc449452526"/>
      <w:r>
        <w:rPr>
          <w:rStyle w:val="CharSectno"/>
        </w:rPr>
        <w:t>3</w:t>
      </w:r>
      <w:r>
        <w:rPr>
          <w:snapToGrid w:val="0"/>
        </w:rPr>
        <w:t>.</w:t>
      </w:r>
      <w:r>
        <w:rPr>
          <w:snapToGrid w:val="0"/>
        </w:rPr>
        <w:tab/>
        <w:t>Terms used</w:t>
      </w:r>
      <w:bookmarkEnd w:id="7"/>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pPr>
      <w:r>
        <w:tab/>
      </w:r>
      <w:r>
        <w:rPr>
          <w:rStyle w:val="CharDefText"/>
        </w:rPr>
        <w:t>employer</w:t>
      </w:r>
      <w:r>
        <w:t xml:space="preserve"> means a natural person, firm or body corporate that employs mine workers;</w:t>
      </w:r>
    </w:p>
    <w:p>
      <w:pPr>
        <w:pStyle w:val="Defstart"/>
      </w:pPr>
      <w:r>
        <w:tab/>
      </w:r>
      <w:r>
        <w:rPr>
          <w:rStyle w:val="CharDefText"/>
        </w:rPr>
        <w:t>mine worker</w:t>
      </w:r>
      <w:r>
        <w:t xml:space="preserve"> has the meaning given in section 4;</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No. 19 of 2013 s. 4 and 17.] </w:t>
      </w:r>
    </w:p>
    <w:p>
      <w:pPr>
        <w:pStyle w:val="Heading5"/>
        <w:rPr>
          <w:snapToGrid w:val="0"/>
        </w:rPr>
      </w:pPr>
      <w:bookmarkStart w:id="8" w:name="_Toc449452527"/>
      <w:r>
        <w:rPr>
          <w:rStyle w:val="CharSectno"/>
        </w:rPr>
        <w:t>4</w:t>
      </w:r>
      <w:r>
        <w:rPr>
          <w:snapToGrid w:val="0"/>
        </w:rPr>
        <w:t>.</w:t>
      </w:r>
      <w:r>
        <w:rPr>
          <w:snapToGrid w:val="0"/>
        </w:rPr>
        <w:tab/>
        <w:t>Mine worker</w:t>
      </w:r>
      <w:bookmarkEnd w:id="8"/>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pPr>
      <w:r>
        <w:rPr>
          <w:snapToGrid w:val="0"/>
        </w:rPr>
        <w:tab/>
        <w:t>(a)</w:t>
      </w:r>
      <w:r>
        <w:rPr>
          <w:snapToGrid w:val="0"/>
        </w:rPr>
        <w:tab/>
        <w:t xml:space="preserve">a person who is employed in the coal mining industry of Western Australia in terms of an </w:t>
      </w:r>
      <w:r>
        <w:t>industrial instrument; or</w:t>
      </w:r>
    </w:p>
    <w:p>
      <w:pPr>
        <w:pStyle w:val="Ednotepara"/>
        <w:rPr>
          <w:snapToGrid w:val="0"/>
        </w:rPr>
      </w:pPr>
      <w:r>
        <w:tab/>
        <w:t>[(b)</w:t>
      </w:r>
      <w:r>
        <w:tab/>
        <w:t>deleted]</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 and</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w:t>
      </w:r>
      <w:r>
        <w:rPr>
          <w:b/>
          <w:i/>
          <w:snapToGrid w:val="0"/>
        </w:rPr>
        <w:t>mine worker</w:t>
      </w:r>
      <w:r>
        <w:rPr>
          <w:snapToGrid w:val="0"/>
        </w:rPr>
        <w:t>.</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Footnotesection"/>
      </w:pPr>
      <w:r>
        <w:tab/>
        <w:t xml:space="preserve">[Section 4 amended by No. 62 of 1994 s. 109; No. 19 of 2013 s. 5; No. 33 of 2014 s. 20.] </w:t>
      </w:r>
    </w:p>
    <w:p>
      <w:pPr>
        <w:pStyle w:val="Ednotesection"/>
      </w:pPr>
      <w:r>
        <w:t>[</w:t>
      </w:r>
      <w:r>
        <w:rPr>
          <w:b/>
          <w:bCs/>
        </w:rPr>
        <w:t>5.</w:t>
      </w:r>
      <w:r>
        <w:tab/>
        <w:t>Deleted by No. 16 of 2006 s. 4.]</w:t>
      </w:r>
    </w:p>
    <w:p>
      <w:pPr>
        <w:pStyle w:val="Ednotesection"/>
      </w:pPr>
      <w:r>
        <w:t>[</w:t>
      </w:r>
      <w:r>
        <w:rPr>
          <w:b/>
        </w:rPr>
        <w:t>6.</w:t>
      </w:r>
      <w:r>
        <w:tab/>
        <w:t>Deleted by No. 46 of 1995 s. 6.]</w:t>
      </w:r>
    </w:p>
    <w:p>
      <w:pPr>
        <w:pStyle w:val="Heading2"/>
      </w:pPr>
      <w:bookmarkStart w:id="9" w:name="_Toc445809038"/>
      <w:bookmarkStart w:id="10" w:name="_Toc449452528"/>
      <w:r>
        <w:rPr>
          <w:rStyle w:val="CharPartNo"/>
        </w:rPr>
        <w:t>Part 2</w:t>
      </w:r>
      <w:r>
        <w:rPr>
          <w:rStyle w:val="CharDivNo"/>
        </w:rPr>
        <w:t> </w:t>
      </w:r>
      <w:r>
        <w:t>—</w:t>
      </w:r>
      <w:r>
        <w:rPr>
          <w:rStyle w:val="CharDivText"/>
        </w:rPr>
        <w:t> </w:t>
      </w:r>
      <w:r>
        <w:rPr>
          <w:rStyle w:val="CharPartText"/>
        </w:rPr>
        <w:t>Superannuation for mine workers</w:t>
      </w:r>
      <w:bookmarkEnd w:id="9"/>
      <w:bookmarkEnd w:id="10"/>
    </w:p>
    <w:p>
      <w:pPr>
        <w:pStyle w:val="Footnoteheading"/>
      </w:pPr>
      <w:r>
        <w:tab/>
        <w:t xml:space="preserve">[Heading inserted by No. 19 of 2013 s. 6.] </w:t>
      </w:r>
    </w:p>
    <w:p>
      <w:pPr>
        <w:pStyle w:val="Heading5"/>
      </w:pPr>
      <w:bookmarkStart w:id="11" w:name="_Toc449452529"/>
      <w:r>
        <w:rPr>
          <w:rStyle w:val="CharSectno"/>
        </w:rPr>
        <w:t>7A</w:t>
      </w:r>
      <w:r>
        <w:t>.</w:t>
      </w:r>
      <w:r>
        <w:tab/>
        <w:t>Superannuation rules</w:t>
      </w:r>
      <w:bookmarkEnd w:id="11"/>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by No. 19 of 2013 s. 6.] </w:t>
      </w:r>
    </w:p>
    <w:p>
      <w:pPr>
        <w:pStyle w:val="Heading5"/>
      </w:pPr>
      <w:bookmarkStart w:id="12" w:name="_Toc449452530"/>
      <w:r>
        <w:rPr>
          <w:rStyle w:val="CharSectno"/>
        </w:rPr>
        <w:t>7B</w:t>
      </w:r>
      <w:r>
        <w:t>.</w:t>
      </w:r>
      <w:r>
        <w:tab/>
        <w:t>Designated fund</w:t>
      </w:r>
      <w:bookmarkEnd w:id="12"/>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by No. 19 of 2013 s. 6.] </w:t>
      </w:r>
    </w:p>
    <w:p>
      <w:pPr>
        <w:pStyle w:val="Ednotepart"/>
      </w:pPr>
      <w:r>
        <w:t>[Part 3 (s. 7</w:t>
      </w:r>
      <w:r>
        <w:noBreakHyphen/>
        <w:t>28A and 28B) deleted by No. 19 of 2013 s. 18.]</w:t>
      </w:r>
    </w:p>
    <w:p>
      <w:pPr>
        <w:pStyle w:val="Heading2"/>
      </w:pPr>
      <w:bookmarkStart w:id="13" w:name="_Toc445809041"/>
      <w:bookmarkStart w:id="14" w:name="_Toc449452531"/>
      <w:r>
        <w:rPr>
          <w:rStyle w:val="CharPartNo"/>
        </w:rPr>
        <w:t>Part 4</w:t>
      </w:r>
      <w:r>
        <w:rPr>
          <w:rStyle w:val="CharDivNo"/>
        </w:rPr>
        <w:t> </w:t>
      </w:r>
      <w:r>
        <w:t>—</w:t>
      </w:r>
      <w:r>
        <w:rPr>
          <w:rStyle w:val="CharDivText"/>
        </w:rPr>
        <w:t> </w:t>
      </w:r>
      <w:r>
        <w:rPr>
          <w:rStyle w:val="CharPartText"/>
        </w:rPr>
        <w:t>Miscellaneous</w:t>
      </w:r>
      <w:bookmarkEnd w:id="13"/>
      <w:bookmarkEnd w:id="14"/>
      <w:r>
        <w:rPr>
          <w:rStyle w:val="CharPartText"/>
        </w:rPr>
        <w:t xml:space="preserve"> </w:t>
      </w:r>
    </w:p>
    <w:p>
      <w:pPr>
        <w:pStyle w:val="Heading5"/>
        <w:spacing w:before="240"/>
        <w:rPr>
          <w:snapToGrid w:val="0"/>
        </w:rPr>
      </w:pPr>
      <w:bookmarkStart w:id="15" w:name="_Toc449452532"/>
      <w:r>
        <w:rPr>
          <w:rStyle w:val="CharSectno"/>
        </w:rPr>
        <w:t>28</w:t>
      </w:r>
      <w:r>
        <w:rPr>
          <w:snapToGrid w:val="0"/>
        </w:rPr>
        <w:t>.</w:t>
      </w:r>
      <w:r>
        <w:rPr>
          <w:snapToGrid w:val="0"/>
        </w:rPr>
        <w:tab/>
        <w:t>Employer’s powers and liabilities in respect of termination not affected</w:t>
      </w:r>
      <w:bookmarkEnd w:id="15"/>
      <w:r>
        <w:rPr>
          <w:snapToGrid w:val="0"/>
        </w:rPr>
        <w:t xml:space="preserve"> </w:t>
      </w:r>
    </w:p>
    <w:p>
      <w:pPr>
        <w:pStyle w:val="Subsection"/>
        <w:spacing w:before="180"/>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spacing w:before="180"/>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 by No. 19 of 2013 s. 11.]</w:t>
      </w:r>
    </w:p>
    <w:p>
      <w:pPr>
        <w:pStyle w:val="Heading5"/>
        <w:spacing w:before="240"/>
        <w:rPr>
          <w:snapToGrid w:val="0"/>
        </w:rPr>
      </w:pPr>
      <w:bookmarkStart w:id="16" w:name="_Toc449452533"/>
      <w:r>
        <w:rPr>
          <w:rStyle w:val="CharSectno"/>
        </w:rPr>
        <w:t>29</w:t>
      </w:r>
      <w:r>
        <w:rPr>
          <w:snapToGrid w:val="0"/>
        </w:rPr>
        <w:t>.</w:t>
      </w:r>
      <w:r>
        <w:rPr>
          <w:snapToGrid w:val="0"/>
        </w:rPr>
        <w:tab/>
        <w:t>Members’ rights to compensation not to be affected</w:t>
      </w:r>
      <w:bookmarkEnd w:id="16"/>
      <w:r>
        <w:rPr>
          <w:snapToGrid w:val="0"/>
        </w:rPr>
        <w:t xml:space="preserve"> </w:t>
      </w:r>
    </w:p>
    <w:p>
      <w:pPr>
        <w:pStyle w:val="Subsection"/>
        <w:spacing w:before="180"/>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spacing w:before="180"/>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 by No. 19 of 2013 s. 12.]</w:t>
      </w:r>
    </w:p>
    <w:p>
      <w:pPr>
        <w:pStyle w:val="Ednotesection"/>
        <w:spacing w:before="240"/>
      </w:pPr>
      <w:r>
        <w:t>[</w:t>
      </w:r>
      <w:r>
        <w:rPr>
          <w:b/>
          <w:bCs/>
        </w:rPr>
        <w:t xml:space="preserve">29A, 30. </w:t>
      </w:r>
      <w:r>
        <w:t>Deleted by No. 19 of 2013 s. 19.]</w:t>
      </w:r>
    </w:p>
    <w:p>
      <w:pPr>
        <w:pStyle w:val="Heading5"/>
        <w:spacing w:before="240"/>
        <w:rPr>
          <w:snapToGrid w:val="0"/>
        </w:rPr>
      </w:pPr>
      <w:bookmarkStart w:id="17" w:name="_Toc449452534"/>
      <w:r>
        <w:rPr>
          <w:rStyle w:val="CharSectno"/>
        </w:rPr>
        <w:t>31</w:t>
      </w:r>
      <w:r>
        <w:rPr>
          <w:snapToGrid w:val="0"/>
        </w:rPr>
        <w:t>.</w:t>
      </w:r>
      <w:r>
        <w:rPr>
          <w:snapToGrid w:val="0"/>
        </w:rPr>
        <w:tab/>
        <w:t>Regulations</w:t>
      </w:r>
      <w:bookmarkEnd w:id="17"/>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(h)</w:t>
      </w:r>
      <w:r>
        <w:tab/>
        <w:t>deleted]</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 xml:space="preserve">[Section 31 amended by No. 46 of 1995 s. 15; No. 16 of 2006 s. 11; No. 19 of 2013 s. 13 and 20.] </w:t>
      </w:r>
    </w:p>
    <w:p>
      <w:pPr>
        <w:pStyle w:val="Heading5"/>
        <w:rPr>
          <w:snapToGrid w:val="0"/>
        </w:rPr>
      </w:pPr>
      <w:bookmarkStart w:id="18" w:name="_Toc449452535"/>
      <w:r>
        <w:rPr>
          <w:rStyle w:val="CharSectno"/>
        </w:rPr>
        <w:t>32</w:t>
      </w:r>
      <w:r>
        <w:rPr>
          <w:snapToGrid w:val="0"/>
        </w:rPr>
        <w:t>.</w:t>
      </w:r>
      <w:r>
        <w:rPr>
          <w:snapToGrid w:val="0"/>
        </w:rPr>
        <w:tab/>
        <w:t>Review of Act</w:t>
      </w:r>
      <w:bookmarkEnd w:id="18"/>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 No. 19 of 2013 s. 16.]</w:t>
      </w:r>
    </w:p>
    <w:p>
      <w:pPr>
        <w:pStyle w:val="Ednotepart"/>
        <w:rPr>
          <w:szCs w:val="24"/>
        </w:rPr>
      </w:pPr>
      <w:r>
        <w:rPr>
          <w:szCs w:val="24"/>
        </w:rPr>
        <w:t>[Part 5 (s. 33-35) deleted by No. 19 of 2013 s. 8.]</w:t>
      </w:r>
    </w:p>
    <w:p>
      <w:pPr>
        <w:pStyle w:val="yEdnoteschedule"/>
        <w:rPr>
          <w:sz w:val="24"/>
          <w:szCs w:val="24"/>
        </w:rPr>
      </w:pPr>
      <w:r>
        <w:rPr>
          <w:sz w:val="24"/>
          <w:szCs w:val="24"/>
        </w:rPr>
        <w:t>[Schedule 1 deleted by No. 19 of 2013 s. 14.]</w:t>
      </w:r>
    </w:p>
    <w:p>
      <w:pPr>
        <w:pStyle w:val="yEdnoteschedule"/>
        <w:rPr>
          <w:sz w:val="24"/>
          <w:szCs w:val="24"/>
        </w:rPr>
      </w:pPr>
      <w:r>
        <w:rPr>
          <w:sz w:val="24"/>
          <w:szCs w:val="24"/>
        </w:rPr>
        <w:t>[Schedule 2 deleted by No. 19 of 2013 s. 21.]</w:t>
      </w:r>
    </w:p>
    <w:p>
      <w:pPr>
        <w:pStyle w:val="yEdnoteschedule"/>
        <w:rPr>
          <w:sz w:val="24"/>
          <w:szCs w:val="24"/>
        </w:rPr>
      </w:pPr>
      <w:r>
        <w:rPr>
          <w:sz w:val="24"/>
          <w:szCs w:val="24"/>
        </w:rPr>
        <w:t>[Schedule 3 deleted by No. 19 of 2013 s. 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rPr>
          <w:snapToGrid w:val="0"/>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9" w:name="_Toc445809046"/>
      <w:bookmarkStart w:id="20" w:name="_Toc449452536"/>
      <w:r>
        <w:t>Notes</w:t>
      </w:r>
      <w:bookmarkEnd w:id="19"/>
      <w:bookmarkEnd w:id="20"/>
    </w:p>
    <w:p>
      <w:pPr>
        <w:pStyle w:val="nSubsection"/>
      </w:pPr>
      <w:r>
        <w:rPr>
          <w:vertAlign w:val="superscript"/>
        </w:rPr>
        <w:t>1</w:t>
      </w:r>
      <w:r>
        <w:tab/>
        <w:t xml:space="preserve">This reprint is a compilation as at 1 April 2016 of the </w:t>
      </w:r>
      <w:r>
        <w:rPr>
          <w:i/>
          <w:noProof/>
        </w:rPr>
        <w:t>Coal Industry Superannuation Act 1989</w:t>
      </w:r>
      <w:r>
        <w:t xml:space="preserve"> and includes the amendments made by the other written laws referred to in the following table.  The table also contains information about any reprint.</w:t>
      </w:r>
    </w:p>
    <w:p>
      <w:pPr>
        <w:pStyle w:val="nHeading3"/>
        <w:rPr>
          <w:snapToGrid w:val="0"/>
        </w:rPr>
      </w:pPr>
      <w:bookmarkStart w:id="21" w:name="_Toc449452537"/>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Coal Industry Superannuation Act 1989</w:t>
            </w:r>
          </w:p>
        </w:tc>
        <w:tc>
          <w:tcPr>
            <w:tcW w:w="1134" w:type="dxa"/>
          </w:tcPr>
          <w:p>
            <w:pPr>
              <w:pStyle w:val="nTable"/>
              <w:spacing w:after="40"/>
            </w:pPr>
            <w:r>
              <w:t>28 of 1989</w:t>
            </w:r>
          </w:p>
        </w:tc>
        <w:tc>
          <w:tcPr>
            <w:tcW w:w="1136" w:type="dxa"/>
          </w:tcPr>
          <w:p>
            <w:pPr>
              <w:pStyle w:val="nTable"/>
              <w:spacing w:after="40"/>
            </w:pPr>
            <w:r>
              <w:t>12 Dec 1989</w:t>
            </w:r>
          </w:p>
        </w:tc>
        <w:tc>
          <w:tcPr>
            <w:tcW w:w="2551" w:type="dxa"/>
          </w:tcPr>
          <w:p>
            <w:pPr>
              <w:pStyle w:val="nTable"/>
              <w:spacing w:after="40"/>
            </w:pPr>
            <w:r>
              <w:t>s. 1 and 2: 12 Dec 1989;</w:t>
            </w:r>
            <w:r>
              <w:br/>
              <w:t xml:space="preserve">Act other than s. 1 and 2: 1 Jul 1990 (see s. 2 and </w:t>
            </w:r>
            <w:r>
              <w:rPr>
                <w:i/>
              </w:rPr>
              <w:t>Gazette</w:t>
            </w:r>
            <w:r>
              <w:t xml:space="preserve"> 22 Jun 1990 p. 3027)</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Cs/>
              </w:rPr>
            </w:pPr>
            <w:r>
              <w:rPr>
                <w:i/>
              </w:rPr>
              <w:t xml:space="preserve">Acts Amendment (Coal Mining Industry) Act 1994 </w:t>
            </w:r>
            <w:r>
              <w:rPr>
                <w:iCs/>
              </w:rPr>
              <w:t>Pt. 2 and s. 19</w:t>
            </w:r>
            <w:r>
              <w:rPr>
                <w:iCs/>
                <w:vertAlign w:val="superscript"/>
              </w:rPr>
              <w:t> 2</w:t>
            </w:r>
          </w:p>
        </w:tc>
        <w:tc>
          <w:tcPr>
            <w:tcW w:w="1134" w:type="dxa"/>
          </w:tcPr>
          <w:p>
            <w:pPr>
              <w:pStyle w:val="nTable"/>
              <w:spacing w:after="40"/>
            </w:pPr>
            <w:r>
              <w:t>45 of 1994</w:t>
            </w:r>
          </w:p>
        </w:tc>
        <w:tc>
          <w:tcPr>
            <w:tcW w:w="1136" w:type="dxa"/>
          </w:tcPr>
          <w:p>
            <w:pPr>
              <w:pStyle w:val="nTable"/>
              <w:spacing w:after="40"/>
            </w:pPr>
            <w:r>
              <w:t>22 Sep 1994</w:t>
            </w:r>
          </w:p>
        </w:tc>
        <w:tc>
          <w:tcPr>
            <w:tcW w:w="2551" w:type="dxa"/>
          </w:tcPr>
          <w:p>
            <w:pPr>
              <w:pStyle w:val="nTable"/>
              <w:spacing w:after="40"/>
            </w:pPr>
            <w:r>
              <w:t>Pt. 2: 22 Sep 1994 (see s. 2(1));</w:t>
            </w:r>
            <w:r>
              <w:br/>
              <w:t xml:space="preserve">s. 19: 16 Nov 1994 (see s. 2(2) and </w:t>
            </w:r>
            <w:r>
              <w:rPr>
                <w:i/>
              </w:rPr>
              <w:t>Gazette</w:t>
            </w:r>
            <w:r>
              <w:t xml:space="preserve"> 15 Nov 1994 p. 5801)</w:t>
            </w:r>
          </w:p>
        </w:tc>
      </w:tr>
      <w:tr>
        <w:trPr>
          <w:cantSplit/>
        </w:trPr>
        <w:tc>
          <w:tcPr>
            <w:tcW w:w="2268" w:type="dxa"/>
          </w:tcPr>
          <w:p>
            <w:pPr>
              <w:pStyle w:val="nTable"/>
              <w:spacing w:after="40"/>
              <w:ind w:right="113"/>
            </w:pPr>
            <w:r>
              <w:rPr>
                <w:i/>
              </w:rPr>
              <w:t>Mines Safety and Inspection Act 1994</w:t>
            </w:r>
            <w:r>
              <w:t xml:space="preserve"> s. 109</w:t>
            </w:r>
          </w:p>
        </w:tc>
        <w:tc>
          <w:tcPr>
            <w:tcW w:w="1134" w:type="dxa"/>
          </w:tcPr>
          <w:p>
            <w:pPr>
              <w:pStyle w:val="nTable"/>
              <w:spacing w:after="40"/>
            </w:pPr>
            <w:r>
              <w:t>62 of 1994</w:t>
            </w:r>
          </w:p>
        </w:tc>
        <w:tc>
          <w:tcPr>
            <w:tcW w:w="1136"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rPr>
                <w:iCs/>
              </w:rPr>
            </w:pPr>
            <w:r>
              <w:rPr>
                <w:i/>
              </w:rPr>
              <w:t>Coal Industry Superannuation Amendment Act 1995</w:t>
            </w:r>
            <w:r>
              <w:rPr>
                <w:iCs/>
                <w:vertAlign w:val="superscript"/>
              </w:rPr>
              <w:t> 3</w:t>
            </w:r>
          </w:p>
        </w:tc>
        <w:tc>
          <w:tcPr>
            <w:tcW w:w="1134" w:type="dxa"/>
          </w:tcPr>
          <w:p>
            <w:pPr>
              <w:pStyle w:val="nTable"/>
              <w:spacing w:after="40"/>
            </w:pPr>
            <w:r>
              <w:t>46 of 1995</w:t>
            </w:r>
          </w:p>
        </w:tc>
        <w:tc>
          <w:tcPr>
            <w:tcW w:w="1136" w:type="dxa"/>
          </w:tcPr>
          <w:p>
            <w:pPr>
              <w:pStyle w:val="nTable"/>
              <w:spacing w:after="40"/>
            </w:pPr>
            <w:r>
              <w:t>1 Nov 1995</w:t>
            </w:r>
          </w:p>
        </w:tc>
        <w:tc>
          <w:tcPr>
            <w:tcW w:w="2551" w:type="dxa"/>
          </w:tcPr>
          <w:p>
            <w:pPr>
              <w:pStyle w:val="nTable"/>
              <w:spacing w:after="40"/>
            </w:pPr>
            <w:r>
              <w:t>s. 1 and 2: 1 Nov 1995;</w:t>
            </w:r>
            <w:r>
              <w:br/>
              <w:t xml:space="preserve">Act other than s. 1 and 2: 15 May 1996 (see s. 2 and </w:t>
            </w:r>
            <w:r>
              <w:rPr>
                <w:i/>
              </w:rPr>
              <w:t>Gazette</w:t>
            </w:r>
            <w:r>
              <w:t xml:space="preserve"> 14 May 1996 p. 2019)</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4538" w:type="dxa"/>
            <w:gridSpan w:val="3"/>
          </w:tcPr>
          <w:p>
            <w:pPr>
              <w:pStyle w:val="nTable"/>
              <w:spacing w:after="40"/>
              <w:rPr>
                <w:iCs/>
              </w:rPr>
            </w:pPr>
            <w:r>
              <w:rPr>
                <w:i/>
              </w:rPr>
              <w:t xml:space="preserve">Coal Industry Superannuation Act Amendment Order 2000 </w:t>
            </w:r>
            <w:r>
              <w:rPr>
                <w:iCs/>
              </w:rPr>
              <w:t xml:space="preserve">published in </w:t>
            </w:r>
            <w:r>
              <w:rPr>
                <w:i/>
              </w:rPr>
              <w:t>Gazette</w:t>
            </w:r>
            <w:r>
              <w:rPr>
                <w:iCs/>
              </w:rPr>
              <w:t xml:space="preserve"> </w:t>
            </w:r>
            <w:r>
              <w:t>29 Sep 2000 p. 5535</w:t>
            </w:r>
            <w:r>
              <w:noBreakHyphen/>
              <w:t>6</w:t>
            </w:r>
          </w:p>
        </w:tc>
        <w:tc>
          <w:tcPr>
            <w:tcW w:w="2551" w:type="dxa"/>
          </w:tcPr>
          <w:p>
            <w:pPr>
              <w:pStyle w:val="nTable"/>
              <w:spacing w:after="40"/>
            </w:pPr>
            <w:r>
              <w:t>29 Sep 2000</w:t>
            </w:r>
          </w:p>
        </w:tc>
      </w:tr>
      <w:tr>
        <w:trPr>
          <w:cantSplit/>
        </w:trPr>
        <w:tc>
          <w:tcPr>
            <w:tcW w:w="7089" w:type="dxa"/>
            <w:gridSpan w:val="4"/>
          </w:tcPr>
          <w:p>
            <w:pPr>
              <w:pStyle w:val="nTable"/>
              <w:spacing w:after="40"/>
            </w:pPr>
            <w:r>
              <w:rPr>
                <w:b/>
                <w:bCs/>
              </w:rPr>
              <w:t xml:space="preserve">Reprint of the </w:t>
            </w:r>
            <w:r>
              <w:rPr>
                <w:b/>
                <w:bCs/>
                <w:i/>
              </w:rPr>
              <w:t>Coal Industry Superannuation Act 1989</w:t>
            </w:r>
            <w:r>
              <w:rPr>
                <w:b/>
                <w:bCs/>
              </w:rPr>
              <w:t xml:space="preserve"> as at 8 Dec 2000</w:t>
            </w:r>
            <w:r>
              <w:t xml:space="preserve"> (includes amendments listed above)</w:t>
            </w:r>
          </w:p>
        </w:tc>
      </w:tr>
      <w:tr>
        <w:trPr>
          <w:cantSplit/>
        </w:trPr>
        <w:tc>
          <w:tcPr>
            <w:tcW w:w="2268" w:type="dxa"/>
          </w:tcPr>
          <w:p>
            <w:pPr>
              <w:pStyle w:val="nTable"/>
              <w:spacing w:after="40"/>
              <w:ind w:right="113"/>
            </w:pPr>
            <w:r>
              <w:rPr>
                <w:i/>
                <w:iCs/>
                <w:snapToGrid w:val="0"/>
              </w:rPr>
              <w:t>Coal Industry Superannuation Amendment Act 2006</w:t>
            </w:r>
          </w:p>
        </w:tc>
        <w:tc>
          <w:tcPr>
            <w:tcW w:w="1134" w:type="dxa"/>
          </w:tcPr>
          <w:p>
            <w:pPr>
              <w:pStyle w:val="nTable"/>
              <w:spacing w:after="40"/>
            </w:pPr>
            <w:r>
              <w:t>16 of 2006</w:t>
            </w:r>
          </w:p>
        </w:tc>
        <w:tc>
          <w:tcPr>
            <w:tcW w:w="1136" w:type="dxa"/>
          </w:tcPr>
          <w:p>
            <w:pPr>
              <w:pStyle w:val="nTable"/>
              <w:spacing w:after="40"/>
            </w:pPr>
            <w:r>
              <w:t>17 May 2006</w:t>
            </w:r>
          </w:p>
        </w:tc>
        <w:tc>
          <w:tcPr>
            <w:tcW w:w="2551" w:type="dxa"/>
          </w:tcPr>
          <w:p>
            <w:pPr>
              <w:pStyle w:val="nTable"/>
              <w:spacing w:after="40"/>
            </w:pPr>
            <w:r>
              <w:t>14 Jun 2006</w:t>
            </w:r>
          </w:p>
        </w:tc>
      </w:tr>
      <w:tr>
        <w:trPr>
          <w:cantSplit/>
        </w:trPr>
        <w:tc>
          <w:tcPr>
            <w:tcW w:w="7089" w:type="dxa"/>
            <w:gridSpan w:val="4"/>
          </w:tcPr>
          <w:p>
            <w:pPr>
              <w:pStyle w:val="nTable"/>
              <w:spacing w:after="40"/>
            </w:pPr>
            <w:r>
              <w:rPr>
                <w:b/>
                <w:bCs/>
              </w:rPr>
              <w:t xml:space="preserve">Reprint 2: The </w:t>
            </w:r>
            <w:r>
              <w:rPr>
                <w:b/>
                <w:bCs/>
                <w:i/>
              </w:rPr>
              <w:t>Coal Industry Superannuation Act 1989</w:t>
            </w:r>
            <w:r>
              <w:rPr>
                <w:b/>
                <w:bCs/>
              </w:rPr>
              <w:t xml:space="preserve"> as at 4 Aug 2006</w:t>
            </w:r>
            <w:r>
              <w:t xml:space="preserve"> (includes amendments listed above)</w:t>
            </w:r>
          </w:p>
        </w:tc>
      </w:tr>
      <w:tr>
        <w:trPr>
          <w:cantSplit/>
        </w:trPr>
        <w:tc>
          <w:tcPr>
            <w:tcW w:w="2268" w:type="dxa"/>
          </w:tcPr>
          <w:p>
            <w:pPr>
              <w:pStyle w:val="nTable"/>
              <w:spacing w:after="40"/>
              <w:ind w:right="113"/>
            </w:pPr>
            <w:r>
              <w:rPr>
                <w:i/>
                <w:snapToGrid w:val="0"/>
              </w:rPr>
              <w:t xml:space="preserve">Financial Legislation Amendment and Repeal Act 2006 </w:t>
            </w:r>
            <w:r>
              <w:rPr>
                <w:snapToGrid w:val="0"/>
              </w:rPr>
              <w:t>Sch. 1 cl. 25</w:t>
            </w:r>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snapToGrid w:val="0"/>
              </w:rPr>
            </w:pPr>
            <w:r>
              <w:rPr>
                <w:i/>
                <w:snapToGrid w:val="0"/>
              </w:rPr>
              <w:t>Coal Industry Superannuation Amendment Act 2013</w:t>
            </w:r>
          </w:p>
        </w:tc>
        <w:tc>
          <w:tcPr>
            <w:tcW w:w="1134" w:type="dxa"/>
          </w:tcPr>
          <w:p>
            <w:pPr>
              <w:pStyle w:val="nTable"/>
              <w:spacing w:after="40"/>
              <w:rPr>
                <w:snapToGrid w:val="0"/>
              </w:rPr>
            </w:pPr>
            <w:r>
              <w:rPr>
                <w:snapToGrid w:val="0"/>
              </w:rPr>
              <w:t>19 of 2013</w:t>
            </w:r>
          </w:p>
        </w:tc>
        <w:tc>
          <w:tcPr>
            <w:tcW w:w="1136" w:type="dxa"/>
          </w:tcPr>
          <w:p>
            <w:pPr>
              <w:pStyle w:val="nTable"/>
              <w:spacing w:after="40"/>
              <w:rPr>
                <w:snapToGrid w:val="0"/>
              </w:rPr>
            </w:pPr>
            <w:r>
              <w:rPr>
                <w:snapToGrid w:val="0"/>
              </w:rPr>
              <w:t>4 Nov 2013</w:t>
            </w:r>
          </w:p>
        </w:tc>
        <w:tc>
          <w:tcPr>
            <w:tcW w:w="2551" w:type="dxa"/>
          </w:tcPr>
          <w:p>
            <w:pPr>
              <w:pStyle w:val="nTable"/>
              <w:spacing w:after="40"/>
              <w:rPr>
                <w:snapToGrid w:val="0"/>
              </w:rPr>
            </w:pPr>
            <w:r>
              <w:rPr>
                <w:snapToGrid w:val="0"/>
              </w:rPr>
              <w:t>Pt. 1: 4 Nov 2013 (see s. 2(a));</w:t>
            </w:r>
            <w:r>
              <w:rPr>
                <w:snapToGrid w:val="0"/>
              </w:rPr>
              <w:br/>
              <w:t>Pt. 2: 5 Nov 2013 (see s. 2(b));</w:t>
            </w:r>
            <w:r>
              <w:rPr>
                <w:snapToGrid w:val="0"/>
              </w:rPr>
              <w:br/>
              <w:t xml:space="preserve">Pt. 3 and 4: 30 Jun 2014 (see s. 2(c) and </w:t>
            </w:r>
            <w:r>
              <w:rPr>
                <w:i/>
                <w:snapToGrid w:val="0"/>
              </w:rPr>
              <w:t>Gazette</w:t>
            </w:r>
            <w:r>
              <w:rPr>
                <w:snapToGrid w:val="0"/>
              </w:rPr>
              <w:t xml:space="preserve"> 13 Jun 2014 p. 1859);</w:t>
            </w:r>
            <w:r>
              <w:rPr>
                <w:snapToGrid w:val="0"/>
              </w:rPr>
              <w:br/>
              <w:t xml:space="preserve">Pt. 5: 31 Oct 2014 (see s. 2(c) and </w:t>
            </w:r>
            <w:r>
              <w:rPr>
                <w:i/>
                <w:snapToGrid w:val="0"/>
              </w:rPr>
              <w:t>Gazette</w:t>
            </w:r>
            <w:r>
              <w:rPr>
                <w:snapToGrid w:val="0"/>
              </w:rPr>
              <w:t xml:space="preserve"> 24 Oct 2014 p. 4119)</w:t>
            </w:r>
          </w:p>
        </w:tc>
      </w:tr>
      <w:tr>
        <w:trPr>
          <w:cantSplit/>
        </w:trPr>
        <w:tc>
          <w:tcPr>
            <w:tcW w:w="2268" w:type="dxa"/>
            <w:shd w:val="clear" w:color="auto" w:fill="auto"/>
          </w:tcPr>
          <w:p>
            <w:pPr>
              <w:pStyle w:val="nTable"/>
              <w:spacing w:after="40"/>
              <w:ind w:right="113"/>
              <w:rPr>
                <w:i/>
                <w:snapToGrid w:val="0"/>
              </w:rPr>
            </w:pPr>
            <w:r>
              <w:rPr>
                <w:i/>
                <w:snapToGrid w:val="0"/>
              </w:rPr>
              <w:t>Mines Safety and Inspection Amendment Act 2014</w:t>
            </w:r>
            <w:r>
              <w:rPr>
                <w:snapToGrid w:val="0"/>
              </w:rPr>
              <w:t xml:space="preserve"> Pt. 3</w:t>
            </w:r>
          </w:p>
        </w:tc>
        <w:tc>
          <w:tcPr>
            <w:tcW w:w="1134" w:type="dxa"/>
            <w:shd w:val="clear" w:color="auto" w:fill="auto"/>
          </w:tcPr>
          <w:p>
            <w:pPr>
              <w:pStyle w:val="nTable"/>
              <w:spacing w:after="40"/>
              <w:rPr>
                <w:snapToGrid w:val="0"/>
              </w:rPr>
            </w:pPr>
            <w:r>
              <w:rPr>
                <w:snapToGrid w:val="0"/>
              </w:rPr>
              <w:t>33 of 2014</w:t>
            </w:r>
          </w:p>
        </w:tc>
        <w:tc>
          <w:tcPr>
            <w:tcW w:w="1136" w:type="dxa"/>
            <w:shd w:val="clear" w:color="auto" w:fill="auto"/>
          </w:tcPr>
          <w:p>
            <w:pPr>
              <w:pStyle w:val="nTable"/>
              <w:spacing w:after="40"/>
              <w:rPr>
                <w:snapToGrid w:val="0"/>
              </w:rPr>
            </w:pPr>
            <w:r>
              <w:t>3 Dec 2014</w:t>
            </w:r>
          </w:p>
        </w:tc>
        <w:tc>
          <w:tcPr>
            <w:tcW w:w="2551" w:type="dxa"/>
            <w:shd w:val="clear" w:color="auto" w:fill="auto"/>
          </w:tcPr>
          <w:p>
            <w:pPr>
              <w:pStyle w:val="nTable"/>
              <w:spacing w:after="40"/>
              <w:rPr>
                <w:snapToGrid w:val="0"/>
              </w:rPr>
            </w:pPr>
            <w:r>
              <w:rPr>
                <w:snapToGrid w:val="0"/>
              </w:rPr>
              <w:t xml:space="preserve">6 Jun 2015 (see s. 2(b) and </w:t>
            </w:r>
            <w:r>
              <w:rPr>
                <w:i/>
                <w:snapToGrid w:val="0"/>
              </w:rPr>
              <w:t>Gazette</w:t>
            </w:r>
            <w:r>
              <w:rPr>
                <w:snapToGrid w:val="0"/>
              </w:rPr>
              <w:t xml:space="preserve"> 5 Jun 2015 p. 1971)</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Coal Industry Superannuation Act 1989</w:t>
            </w:r>
            <w:r>
              <w:rPr>
                <w:b/>
                <w:snapToGrid w:val="0"/>
              </w:rPr>
              <w:t xml:space="preserve"> as at 1 Apr 2016</w:t>
            </w:r>
            <w:r>
              <w:rPr>
                <w:snapToGrid w:val="0"/>
              </w:rPr>
              <w:t xml:space="preserve"> (includes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3" w:name="_Toc445809048"/>
      <w:bookmarkStart w:id="24" w:name="_Toc449452538"/>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coal mine</w:t>
      </w:r>
      <w:r>
        <w:tab/>
        <w:t>3(1)</w:t>
      </w:r>
    </w:p>
    <w:p>
      <w:pPr>
        <w:pStyle w:val="DefinedTerms"/>
      </w:pPr>
      <w:r>
        <w:t>employer</w:t>
      </w:r>
      <w:r>
        <w:tab/>
        <w:t>3(1)</w:t>
      </w:r>
    </w:p>
    <w:p>
      <w:pPr>
        <w:pStyle w:val="DefinedTerms"/>
      </w:pPr>
      <w:r>
        <w:t>industrial instrument</w:t>
      </w:r>
      <w:r>
        <w:tab/>
        <w:t>4(3)</w:t>
      </w:r>
    </w:p>
    <w:p>
      <w:pPr>
        <w:pStyle w:val="DefinedTerms"/>
      </w:pPr>
      <w:r>
        <w:t>mine worker</w:t>
      </w:r>
      <w:r>
        <w:tab/>
        <w:t>3(1), 4(1)</w:t>
      </w:r>
    </w:p>
    <w:p>
      <w:pPr>
        <w:pStyle w:val="DefinedTerms"/>
      </w:pPr>
      <w:r>
        <w:t>open cut</w:t>
      </w:r>
      <w:r>
        <w:tab/>
        <w:t>3(1)</w:t>
      </w:r>
    </w:p>
    <w:p>
      <w:pPr>
        <w:pStyle w:val="DefinedTerms"/>
      </w:pPr>
      <w:r>
        <w:t>registered organisation</w:t>
      </w:r>
      <w:r>
        <w:tab/>
        <w:t>4(3)</w:t>
      </w:r>
    </w:p>
    <w:p>
      <w:pPr>
        <w:pStyle w:val="DefinedTerms"/>
      </w:pPr>
      <w:r>
        <w:t xml:space="preserve">scheme </w:t>
      </w:r>
      <w:r>
        <w:tab/>
        <w:t>3(1)</w:t>
      </w:r>
    </w:p>
    <w:p>
      <w:pPr>
        <w:pStyle w:val="DefinedTerms"/>
      </w:pPr>
      <w:r>
        <w:t>scheme benefits</w:t>
      </w:r>
      <w:r>
        <w:tab/>
        <w:t>3(1)</w:t>
      </w:r>
    </w:p>
    <w:p>
      <w:pPr>
        <w:pStyle w:val="DefinedTerms"/>
      </w:pPr>
      <w:r>
        <w:t>scheme contributions</w:t>
      </w:r>
      <w:r>
        <w:tab/>
        <w:t>3(1)</w:t>
      </w:r>
    </w:p>
    <w:p>
      <w:pPr>
        <w:pStyle w:val="DefinedTerms"/>
      </w:pPr>
      <w:r>
        <w:t>SIS Act</w:t>
      </w:r>
      <w:r>
        <w:tab/>
        <w:t>3(1)</w:t>
      </w:r>
    </w:p>
    <w:p>
      <w:pPr>
        <w:pStyle w:val="DefinedTerms"/>
      </w:pPr>
      <w:r>
        <w:t>successor fund</w:t>
      </w:r>
      <w:r>
        <w:tab/>
        <w:t>3(1)</w:t>
      </w:r>
    </w:p>
    <w:p>
      <w:pPr>
        <w:pStyle w:val="DefinedTerms"/>
      </w:pPr>
      <w:r>
        <w:t>superannuation fund</w:t>
      </w:r>
      <w:r>
        <w:tab/>
        <w:t>3(1)</w:t>
      </w:r>
    </w:p>
    <w:p>
      <w:pPr>
        <w:pStyle w:val="DefinedTerms"/>
      </w:pPr>
      <w:r>
        <w:t>superannuation rules</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B5518F" w:rsidRDefault="00B5518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lvlText w:val="%1."/>
      <w:lvlJc w:val="left"/>
      <w:pPr>
        <w:tabs>
          <w:tab w:val="num" w:pos="1492"/>
        </w:tabs>
        <w:ind w:left="1492" w:hanging="360"/>
      </w:pPr>
    </w:lvl>
  </w:abstractNum>
  <w:abstractNum w:abstractNumId="1">
    <w:nsid w:val="FFFFFF7D"/>
    <w:multiLevelType w:val="singleLevel"/>
    <w:tmpl w:val="A07415AE"/>
    <w:lvl w:ilvl="0">
      <w:start w:val="1"/>
      <w:numFmt w:val="decimal"/>
      <w:lvlText w:val="%1."/>
      <w:lvlJc w:val="left"/>
      <w:pPr>
        <w:tabs>
          <w:tab w:val="num" w:pos="1209"/>
        </w:tabs>
        <w:ind w:left="1209" w:hanging="360"/>
      </w:pPr>
    </w:lvl>
  </w:abstractNum>
  <w:abstractNum w:abstractNumId="2">
    <w:nsid w:val="FFFFFF7E"/>
    <w:multiLevelType w:val="singleLevel"/>
    <w:tmpl w:val="A02C499E"/>
    <w:lvl w:ilvl="0">
      <w:start w:val="1"/>
      <w:numFmt w:val="decimal"/>
      <w:lvlText w:val="%1."/>
      <w:lvlJc w:val="left"/>
      <w:pPr>
        <w:tabs>
          <w:tab w:val="num" w:pos="926"/>
        </w:tabs>
        <w:ind w:left="926" w:hanging="360"/>
      </w:pPr>
    </w:lvl>
  </w:abstractNum>
  <w:abstractNum w:abstractNumId="3">
    <w:nsid w:val="FFFFFF7F"/>
    <w:multiLevelType w:val="singleLevel"/>
    <w:tmpl w:val="04B84872"/>
    <w:lvl w:ilvl="0">
      <w:start w:val="1"/>
      <w:numFmt w:val="decimal"/>
      <w:lvlText w:val="%1."/>
      <w:lvlJc w:val="left"/>
      <w:pPr>
        <w:tabs>
          <w:tab w:val="num" w:pos="643"/>
        </w:tabs>
        <w:ind w:left="643" w:hanging="360"/>
      </w:pPr>
    </w:lvl>
  </w:abstractNum>
  <w:abstractNum w:abstractNumId="4">
    <w:nsid w:val="FFFFFF80"/>
    <w:multiLevelType w:val="singleLevel"/>
    <w:tmpl w:val="05CEE89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lvlText w:val="%1."/>
      <w:lvlJc w:val="left"/>
      <w:pPr>
        <w:tabs>
          <w:tab w:val="num" w:pos="360"/>
        </w:tabs>
        <w:ind w:left="360" w:hanging="360"/>
      </w:pPr>
    </w:lvl>
  </w:abstractNum>
  <w:abstractNum w:abstractNumId="9">
    <w:nsid w:val="FFFFFF89"/>
    <w:multiLevelType w:val="singleLevel"/>
    <w:tmpl w:val="FDA666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7E0628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5A2E02A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5123938"/>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 w:name="WAFER_20150401131946" w:val="ResetPageSize,UpdateArrangement,UpdateNTable"/>
    <w:docVar w:name="WAFER_20150401131946_GUID" w:val="27fd5511-fff1-40db-8ee0-fee5b2ed6ef8"/>
    <w:docVar w:name="WAFER_20151102152734" w:val="UpdateStyles,UsedStyles"/>
    <w:docVar w:name="WAFER_20151102152734_GUID" w:val="efa6953d-971c-45aa-a126-48d4a05162cb"/>
    <w:docVar w:name="WAFER_20160315123938" w:val="RemoveTocBookmarks,RemoveUnusedBookmarks,RemoveLanguageTags,UsedStyles,RemoveTrackChanges"/>
    <w:docVar w:name="WAFER_20160315123938_GUID" w:val="38f3a875-f615-4033-bb3a-7c35be53ed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3134</Words>
  <Characters>14547</Characters>
  <Application>Microsoft Office Word</Application>
  <DocSecurity>0</DocSecurity>
  <Lines>484</Lines>
  <Paragraphs>289</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17392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1989 - 03-00-00</dc:title>
  <dc:subject/>
  <dc:creator/>
  <cp:keywords/>
  <dc:description/>
  <cp:lastModifiedBy>svcMRProcess</cp:lastModifiedBy>
  <cp:revision>4</cp:revision>
  <cp:lastPrinted>2016-04-15T02:40:00Z</cp:lastPrinted>
  <dcterms:created xsi:type="dcterms:W3CDTF">2020-03-05T01:19:00Z</dcterms:created>
  <dcterms:modified xsi:type="dcterms:W3CDTF">2020-03-05T01:19:00Z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20160401</vt:lpwstr>
  </property>
  <property fmtid="{D5CDD505-2E9C-101B-9397-08002B2CF9AE}" pid="4" name="DocumentType">
    <vt:lpwstr>Act</vt:lpwstr>
  </property>
  <property fmtid="{D5CDD505-2E9C-101B-9397-08002B2CF9AE}" pid="5" name="OwlsUID">
    <vt:i4>138</vt:i4>
  </property>
  <property fmtid="{D5CDD505-2E9C-101B-9397-08002B2CF9AE}" pid="6" name="ReprintedAsAt">
    <vt:filetime>2016-03-31T16:00:00Z</vt:filetime>
  </property>
  <property fmtid="{D5CDD505-2E9C-101B-9397-08002B2CF9AE}" pid="7" name="ReprintNo">
    <vt:lpwstr>3</vt:lpwstr>
  </property>
  <property fmtid="{D5CDD505-2E9C-101B-9397-08002B2CF9AE}" pid="8" name="AsAtDate">
    <vt:lpwstr>01 Apr 2016</vt:lpwstr>
  </property>
  <property fmtid="{D5CDD505-2E9C-101B-9397-08002B2CF9AE}" pid="9" name="Suffix">
    <vt:lpwstr>03-00-00</vt:lpwstr>
  </property>
</Properties>
</file>