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(Bayulu Restricted Area)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_Toc452022706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_Toc452022707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Bayulu Aboriginal Community</w:t>
      </w:r>
      <w:r>
        <w:tab/>
      </w:r>
      <w:r>
        <w:fldChar w:fldCharType="begin"/>
      </w:r>
      <w:r>
        <w:instrText xml:space="preserve"> PAGEREF _Toc452022708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_Toc452022709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_Toc452022710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_Toc452022711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Bayulu Aboriginal Community</w:t>
      </w:r>
      <w:r>
        <w:tab/>
      </w:r>
      <w:r>
        <w:fldChar w:fldCharType="begin"/>
      </w:r>
      <w:r>
        <w:instrText xml:space="preserve"> PAGEREF _Toc452022712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_Toc452022713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_Toc452022714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_Toc452022716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3" w:name="_Toc373408085"/>
      <w:bookmarkStart w:id="4" w:name="_Toc452022706"/>
      <w:r>
        <w:rPr>
          <w:rStyle w:val="CharSectno"/>
        </w:rPr>
        <w:t>1</w:t>
      </w:r>
      <w:r>
        <w:t>.</w:t>
      </w:r>
      <w:r>
        <w:tab/>
        <w:t>Citation</w:t>
      </w:r>
      <w:bookmarkEnd w:id="3"/>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6" w:name="_Toc373408086"/>
      <w:bookmarkStart w:id="7" w:name="_Toc452022707"/>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373408087"/>
      <w:bookmarkStart w:id="9" w:name="_Toc452022708"/>
      <w:r>
        <w:rPr>
          <w:rStyle w:val="CharSectno"/>
        </w:rPr>
        <w:t>3</w:t>
      </w:r>
      <w:r>
        <w:t>.</w:t>
      </w:r>
      <w:r>
        <w:tab/>
        <w:t>Term used: Bayulu Aboriginal Community</w:t>
      </w:r>
      <w:bookmarkEnd w:id="8"/>
      <w:bookmarkEnd w:id="9"/>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10" w:name="_Toc373408088"/>
      <w:bookmarkStart w:id="11" w:name="_Toc452022709"/>
      <w:r>
        <w:rPr>
          <w:rStyle w:val="CharSectno"/>
        </w:rPr>
        <w:t>4</w:t>
      </w:r>
      <w:r>
        <w:t>.</w:t>
      </w:r>
      <w:r>
        <w:tab/>
        <w:t>Note is not part of regulation</w:t>
      </w:r>
      <w:bookmarkEnd w:id="10"/>
      <w:bookmarkEnd w:id="11"/>
    </w:p>
    <w:p>
      <w:pPr>
        <w:pStyle w:val="Subsection"/>
      </w:pPr>
      <w:r>
        <w:tab/>
      </w:r>
      <w:r>
        <w:tab/>
        <w:t>The note after regulation 9 does not form part of these regulations.</w:t>
      </w:r>
    </w:p>
    <w:p>
      <w:pPr>
        <w:pStyle w:val="Heading5"/>
      </w:pPr>
      <w:bookmarkStart w:id="12" w:name="_Toc373408089"/>
      <w:bookmarkStart w:id="13" w:name="_Toc452022710"/>
      <w:r>
        <w:rPr>
          <w:rStyle w:val="CharSectno"/>
        </w:rPr>
        <w:t>5</w:t>
      </w:r>
      <w:r>
        <w:t>.</w:t>
      </w:r>
      <w:r>
        <w:tab/>
        <w:t>Declaration of restricted area</w:t>
      </w:r>
      <w:bookmarkEnd w:id="12"/>
      <w:bookmarkEnd w:id="13"/>
    </w:p>
    <w:p>
      <w:pPr>
        <w:pStyle w:val="Subsection"/>
      </w:pPr>
      <w:r>
        <w:tab/>
      </w:r>
      <w:r>
        <w:tab/>
        <w:t>The Bayulu Aboriginal Community is declared to be a restricted area for the purposes of section 175(1a) of the Act.</w:t>
      </w:r>
    </w:p>
    <w:p>
      <w:pPr>
        <w:pStyle w:val="Heading5"/>
      </w:pPr>
      <w:bookmarkStart w:id="14" w:name="_Toc373408090"/>
      <w:bookmarkStart w:id="15" w:name="_Toc452022711"/>
      <w:r>
        <w:rPr>
          <w:rStyle w:val="CharSectno"/>
        </w:rPr>
        <w:t>6</w:t>
      </w:r>
      <w:r>
        <w:t>.</w:t>
      </w:r>
      <w:r>
        <w:tab/>
        <w:t>Notice of restricted area</w:t>
      </w:r>
      <w:bookmarkEnd w:id="14"/>
      <w:bookmarkEnd w:id="15"/>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6" w:name="_Toc373408091"/>
      <w:bookmarkStart w:id="17" w:name="_Toc452022712"/>
      <w:r>
        <w:rPr>
          <w:rStyle w:val="CharSectno"/>
        </w:rPr>
        <w:t>7</w:t>
      </w:r>
      <w:r>
        <w:t>.</w:t>
      </w:r>
      <w:r>
        <w:tab/>
        <w:t>Prohibitions as to liquor in the Bayulu Aboriginal Community</w:t>
      </w:r>
      <w:bookmarkEnd w:id="16"/>
      <w:bookmarkEnd w:id="17"/>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8" w:name="_Toc373408092"/>
      <w:bookmarkStart w:id="19" w:name="_Toc452022713"/>
      <w:r>
        <w:rPr>
          <w:rStyle w:val="CharSectno"/>
        </w:rPr>
        <w:t>8</w:t>
      </w:r>
      <w:r>
        <w:t>.</w:t>
      </w:r>
      <w:r>
        <w:tab/>
        <w:t>Seizure and disposal of containers of liquor</w:t>
      </w:r>
      <w:bookmarkEnd w:id="18"/>
      <w:bookmarkEnd w:id="1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0" w:name="_Toc373408093"/>
      <w:bookmarkStart w:id="21" w:name="_Toc452022714"/>
      <w:r>
        <w:rPr>
          <w:rStyle w:val="CharSectno"/>
        </w:rPr>
        <w:t>9</w:t>
      </w:r>
      <w:r>
        <w:t>.</w:t>
      </w:r>
      <w:r>
        <w:tab/>
        <w:t>Period during which these regulations have effect</w:t>
      </w:r>
      <w:bookmarkEnd w:id="20"/>
      <w:bookmarkEnd w:id="21"/>
    </w:p>
    <w:p>
      <w:pPr>
        <w:pStyle w:val="Subsection"/>
      </w:pPr>
      <w:r>
        <w:tab/>
      </w:r>
      <w:r>
        <w:tab/>
        <w:t>Unless sooner repealed, these regulations have effect for the period that ends at the close of 28 December 2016.</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 xml:space="preserve">[Regulation 9 amended in Gazette </w:t>
      </w:r>
      <w:r>
        <w:rPr>
          <w:lang w:eastAsia="en-US"/>
        </w:rPr>
        <w:t>29 Nov 2013 p.</w:t>
      </w:r>
      <w:r>
        <w:rPr>
          <w:sz w:val="19"/>
        </w:rPr>
        <w:t> </w:t>
      </w:r>
      <w:r>
        <w:t>5466; 27 May 2016 p. 1549.]</w:t>
      </w:r>
    </w:p>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2" w:name="_Toc113695922"/>
      <w:bookmarkStart w:id="23" w:name="_Toc360099468"/>
      <w:bookmarkStart w:id="24" w:name="_Toc373408094"/>
      <w:bookmarkStart w:id="25" w:name="_Toc421002586"/>
      <w:bookmarkStart w:id="26" w:name="_Toc452022715"/>
      <w:r>
        <w:t>Notes</w:t>
      </w:r>
      <w:bookmarkEnd w:id="22"/>
      <w:bookmarkEnd w:id="23"/>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27" w:name="_Toc70311430"/>
      <w:bookmarkStart w:id="28" w:name="_Toc113695923"/>
      <w:bookmarkStart w:id="29" w:name="_Toc373408095"/>
      <w:bookmarkStart w:id="30" w:name="_Toc452022716"/>
      <w:r>
        <w:t>Compilation table</w:t>
      </w:r>
      <w:bookmarkEnd w:id="27"/>
      <w:bookmarkEnd w:id="28"/>
      <w:bookmarkEnd w:id="29"/>
      <w:bookmarkEnd w:id="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rPr>
                <w:rStyle w:val="CharDefText"/>
              </w:rPr>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lang w:val="en-US"/>
              </w:rPr>
              <w:t>r. 1 and 2: 29 Nov 2013 (see r. 2(a));</w:t>
            </w:r>
            <w:r>
              <w:rPr>
                <w:bCs/>
                <w:snapToGrid w:val="0"/>
                <w:lang w:val="en-US"/>
              </w:rPr>
              <w:br/>
              <w:t>Regulations other than r. 1 and 2: 30 Nov 2013 (see r. 2(b))</w:t>
            </w:r>
          </w:p>
        </w:tc>
      </w:tr>
      <w:tr>
        <w:tc>
          <w:tcPr>
            <w:tcW w:w="3118" w:type="dxa"/>
            <w:tcBorders>
              <w:top w:val="nil"/>
            </w:tcBorders>
          </w:tcPr>
          <w:p>
            <w:pPr>
              <w:pStyle w:val="nTable"/>
              <w:spacing w:after="40"/>
              <w:rPr>
                <w:i/>
              </w:rPr>
            </w:pPr>
            <w:r>
              <w:rPr>
                <w:i/>
              </w:rPr>
              <w:t>Liquor Control (Bayulu Restricted Area) Amendment Regulations 2016</w:t>
            </w:r>
          </w:p>
        </w:tc>
        <w:tc>
          <w:tcPr>
            <w:tcW w:w="1276" w:type="dxa"/>
            <w:tcBorders>
              <w:top w:val="nil"/>
            </w:tcBorders>
          </w:tcPr>
          <w:p>
            <w:pPr>
              <w:pStyle w:val="nTable"/>
              <w:spacing w:after="40"/>
            </w:pPr>
            <w:r>
              <w:t>27 May 2016 p. 1548-9</w:t>
            </w:r>
          </w:p>
        </w:tc>
        <w:tc>
          <w:tcPr>
            <w:tcW w:w="2693" w:type="dxa"/>
            <w:tcBorders>
              <w:top w:val="nil"/>
            </w:tcBorders>
          </w:tcPr>
          <w:p>
            <w:pPr>
              <w:pStyle w:val="nTable"/>
              <w:spacing w:after="40"/>
              <w:rPr>
                <w:bCs/>
                <w:snapToGrid w:val="0"/>
                <w:lang w:val="en-US"/>
              </w:rPr>
            </w:pPr>
            <w:r>
              <w:rPr>
                <w:rFonts w:ascii="Times" w:hAnsi="Times"/>
                <w:bCs/>
                <w:snapToGrid w:val="0"/>
                <w:spacing w:val="-2"/>
                <w:lang w:val="en-US"/>
              </w:rPr>
              <w:t>r. 1 and 2: 27 May 2016 (see r. 2(a));</w:t>
            </w:r>
            <w:r>
              <w:rPr>
                <w:rFonts w:ascii="Times" w:hAnsi="Times"/>
                <w:bCs/>
                <w:snapToGrid w:val="0"/>
                <w:spacing w:val="-2"/>
                <w:lang w:val="en-US"/>
              </w:rPr>
              <w:br/>
              <w:t>Regulations other than r. 1 and 2: 28 May 2016 (see r. 2(b))</w:t>
            </w:r>
          </w:p>
        </w:tc>
      </w:tr>
    </w:tbl>
    <w:p>
      <w:pPr>
        <w:pStyle w:val="nSubsection"/>
      </w:pPr>
      <w:r>
        <w:rPr>
          <w:vertAlign w:val="superscript"/>
        </w:rPr>
        <w:t>2</w:t>
      </w:r>
      <w:r>
        <w:tab/>
        <w:t>These regulations expire 28 Dec 2016 (see r. 9).</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 w:name="Coversheet"/>
    <w:bookmarkEnd w:id="3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51651"/>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864</Words>
  <Characters>4209</Characters>
  <Application>Microsoft Office Word</Application>
  <DocSecurity>0</DocSecurity>
  <Lines>150</Lines>
  <Paragraphs>101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2013 - 00-c0-00</dc:title>
  <dc:subject/>
  <dc:creator/>
  <cp:keywords/>
  <dc:description/>
  <cp:lastModifiedBy>svcMRProcess</cp:lastModifiedBy>
  <cp:revision>4</cp:revision>
  <cp:lastPrinted>2013-06-10T02:19:00Z</cp:lastPrinted>
  <dcterms:created xsi:type="dcterms:W3CDTF">2016-05-27T01:23:00Z</dcterms:created>
  <dcterms:modified xsi:type="dcterms:W3CDTF">2016-05-27T01:23:00Z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CommencementDate">
    <vt:lpwstr>20160528</vt:lpwstr>
  </property>
  <property fmtid="{D5CDD505-2E9C-101B-9397-08002B2CF9AE}" pid="4" name="DocumentType">
    <vt:lpwstr>Reg</vt:lpwstr>
  </property>
  <property fmtid="{D5CDD505-2E9C-101B-9397-08002B2CF9AE}" pid="5" name="AsAtDate">
    <vt:lpwstr>28 May 2016</vt:lpwstr>
  </property>
  <property fmtid="{D5CDD505-2E9C-101B-9397-08002B2CF9AE}" pid="6" name="Suffix">
    <vt:lpwstr>00-c0-00</vt:lpwstr>
  </property>
</Properties>
</file>