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Queen Elizabeth II Medical Centre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_Toc452548889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_Toc452548890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_Toc452548891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land</w:t>
      </w:r>
      <w:r>
        <w:tab/>
      </w:r>
      <w:r>
        <w:fldChar w:fldCharType="begin"/>
      </w:r>
      <w:r>
        <w:instrText xml:space="preserve"> PAGEREF _Toc452548892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Excision of certain land for drainage or road purposes</w:t>
      </w:r>
      <w:r>
        <w:tab/>
      </w:r>
      <w:r>
        <w:fldChar w:fldCharType="begin"/>
      </w:r>
      <w:r>
        <w:instrText xml:space="preserve"> PAGEREF _Toc452548893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Creation of reserve</w:t>
      </w:r>
      <w:r>
        <w:tab/>
      </w:r>
      <w:r>
        <w:fldChar w:fldCharType="begin"/>
      </w:r>
      <w:r>
        <w:instrText xml:space="preserve"> PAGEREF _Toc452548894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The Queen Elizabeth II Medical Centre Trust</w:t>
      </w:r>
      <w:r>
        <w:tab/>
      </w:r>
      <w:r>
        <w:fldChar w:fldCharType="begin"/>
      </w:r>
      <w:r>
        <w:instrText xml:space="preserve"> PAGEREF _Toc452548895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w:t>
      </w:r>
      <w:r>
        <w:tab/>
      </w:r>
      <w:r>
        <w:fldChar w:fldCharType="begin"/>
      </w:r>
      <w:r>
        <w:instrText xml:space="preserve"> PAGEREF _Toc452548896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Vacancies</w:t>
      </w:r>
      <w:r>
        <w:tab/>
      </w:r>
      <w:r>
        <w:fldChar w:fldCharType="begin"/>
      </w:r>
      <w:r>
        <w:instrText xml:space="preserve"> PAGEREF _Toc452548897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Trust</w:t>
      </w:r>
      <w:r>
        <w:tab/>
      </w:r>
      <w:r>
        <w:fldChar w:fldCharType="begin"/>
      </w:r>
      <w:r>
        <w:instrText xml:space="preserve"> PAGEREF _Toc452548898 \h </w:instrText>
      </w:r>
      <w:r>
        <w:fldChar w:fldCharType="separate"/>
      </w:r>
      <w:r>
        <w:t>6</w:t>
      </w:r>
      <w:r>
        <w:fldChar w:fldCharType="end"/>
      </w:r>
    </w:p>
    <w:p>
      <w:pPr>
        <w:pStyle w:val="TOC8"/>
        <w:rPr>
          <w:rFonts w:asciiTheme="minorHAnsi" w:eastAsiaTheme="minorEastAsia" w:hAnsiTheme="minorHAnsi" w:cstheme="minorBidi"/>
          <w:szCs w:val="22"/>
        </w:rPr>
      </w:pPr>
      <w:r>
        <w:t>11A.</w:t>
      </w:r>
      <w:r>
        <w:rPr>
          <w:snapToGrid w:val="0"/>
        </w:rPr>
        <w:tab/>
        <w:t>Holding meetings remotely</w:t>
      </w:r>
      <w:r>
        <w:tab/>
      </w:r>
      <w:r>
        <w:fldChar w:fldCharType="begin"/>
      </w:r>
      <w:r>
        <w:instrText xml:space="preserve"> PAGEREF _Toc452548899 \h </w:instrText>
      </w:r>
      <w:r>
        <w:fldChar w:fldCharType="separate"/>
      </w:r>
      <w:r>
        <w:t>6</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Resolution without meeting</w:t>
      </w:r>
      <w:r>
        <w:tab/>
      </w:r>
      <w:r>
        <w:fldChar w:fldCharType="begin"/>
      </w:r>
      <w:r>
        <w:instrText xml:space="preserve"> PAGEREF _Toc452548900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common seal</w:t>
      </w:r>
      <w:r>
        <w:tab/>
      </w:r>
      <w:r>
        <w:fldChar w:fldCharType="begin"/>
      </w:r>
      <w:r>
        <w:instrText xml:space="preserve"> PAGEREF _Toc452548901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_Toc452548902 \h </w:instrText>
      </w:r>
      <w:r>
        <w:fldChar w:fldCharType="separate"/>
      </w:r>
      <w:r>
        <w:t>7</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Remuneration and allowances</w:t>
      </w:r>
      <w:r>
        <w:tab/>
      </w:r>
      <w:r>
        <w:fldChar w:fldCharType="begin"/>
      </w:r>
      <w:r>
        <w:instrText xml:space="preserve"> PAGEREF _Toc452548903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Trust</w:t>
      </w:r>
      <w:r>
        <w:tab/>
      </w:r>
      <w:r>
        <w:fldChar w:fldCharType="begin"/>
      </w:r>
      <w:r>
        <w:instrText xml:space="preserve"> PAGEREF _Toc452548904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Additional land for reserve</w:t>
      </w:r>
      <w:r>
        <w:tab/>
      </w:r>
      <w:r>
        <w:fldChar w:fldCharType="begin"/>
      </w:r>
      <w:r>
        <w:instrText xml:space="preserve"> PAGEREF _Toc452548905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employees</w:t>
      </w:r>
      <w:r>
        <w:tab/>
      </w:r>
      <w:r>
        <w:fldChar w:fldCharType="begin"/>
      </w:r>
      <w:r>
        <w:instrText xml:space="preserve"> PAGEREF _Toc452548906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_Toc452548907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Teaching hospitals on reserve</w:t>
      </w:r>
      <w:r>
        <w:tab/>
      </w:r>
      <w:r>
        <w:fldChar w:fldCharType="begin"/>
      </w:r>
      <w:r>
        <w:instrText xml:space="preserve"> PAGEREF _Toc452548908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Indemnity</w:t>
      </w:r>
      <w:r>
        <w:tab/>
      </w:r>
      <w:r>
        <w:fldChar w:fldCharType="begin"/>
      </w:r>
      <w:r>
        <w:instrText xml:space="preserve"> PAGEREF _Toc452548909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Senate to apply fees and other money to reserve</w:t>
      </w:r>
      <w:r>
        <w:tab/>
      </w:r>
      <w:r>
        <w:fldChar w:fldCharType="begin"/>
      </w:r>
      <w:r>
        <w:instrText xml:space="preserve"> PAGEREF _Toc452548910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Saving</w:t>
      </w:r>
      <w:r>
        <w:tab/>
      </w:r>
      <w:r>
        <w:fldChar w:fldCharType="begin"/>
      </w:r>
      <w:r>
        <w:instrText xml:space="preserve"> PAGEREF _Toc452548911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By</w:t>
      </w:r>
      <w:r>
        <w:rPr>
          <w:snapToGrid w:val="0"/>
        </w:rPr>
        <w:noBreakHyphen/>
        <w:t>laws</w:t>
      </w:r>
      <w:r>
        <w:tab/>
      </w:r>
      <w:r>
        <w:fldChar w:fldCharType="begin"/>
      </w:r>
      <w:r>
        <w:instrText xml:space="preserve"> PAGEREF _Toc452548912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Review of Act</w:t>
      </w:r>
      <w:r>
        <w:tab/>
      </w:r>
      <w:r>
        <w:fldChar w:fldCharType="begin"/>
      </w:r>
      <w:r>
        <w:instrText xml:space="preserve"> PAGEREF _Toc452548913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Medical centre land</w:t>
      </w:r>
    </w:p>
    <w:p>
      <w:pPr>
        <w:pStyle w:val="TOC4"/>
        <w:tabs>
          <w:tab w:val="right" w:leader="dot" w:pos="7077"/>
        </w:tabs>
        <w:rPr>
          <w:rFonts w:asciiTheme="minorHAnsi" w:eastAsiaTheme="minorEastAsia" w:hAnsiTheme="minorHAnsi" w:cstheme="minorBidi"/>
          <w:b w:val="0"/>
          <w:szCs w:val="22"/>
        </w:rPr>
      </w:pPr>
      <w:r>
        <w:rPr>
          <w:rFonts w:eastAsia="MS Mincho"/>
        </w:rPr>
        <w:t>Part I</w:t>
      </w:r>
      <w:r>
        <w:rPr>
          <w:rFonts w:eastAsia="MS Mincho"/>
          <w:b w:val="0"/>
        </w:rPr>
        <w:t> </w:t>
      </w:r>
      <w:r>
        <w:rPr>
          <w:rFonts w:eastAsia="MS Mincho"/>
        </w:rPr>
        <w:t>— Original land</w:t>
      </w:r>
    </w:p>
    <w:p>
      <w:pPr>
        <w:pStyle w:val="TOC4"/>
        <w:tabs>
          <w:tab w:val="right" w:leader="dot" w:pos="7077"/>
        </w:tabs>
        <w:rPr>
          <w:rFonts w:asciiTheme="minorHAnsi" w:eastAsiaTheme="minorEastAsia" w:hAnsiTheme="minorHAnsi" w:cstheme="minorBidi"/>
          <w:b w:val="0"/>
          <w:szCs w:val="22"/>
        </w:rPr>
      </w:pPr>
      <w:r>
        <w:rPr>
          <w:rFonts w:eastAsia="MS Mincho"/>
        </w:rPr>
        <w:t>Part II — Further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_Toc452548918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_Toc452548919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3" w:name="_Toc452548889"/>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4" w:name="_Toc452548890"/>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452548891"/>
      <w:r>
        <w:rPr>
          <w:rStyle w:val="CharSectno"/>
        </w:rPr>
        <w:t>3</w:t>
      </w:r>
      <w:r>
        <w:rPr>
          <w:snapToGrid w:val="0"/>
        </w:rPr>
        <w:t>.</w:t>
      </w:r>
      <w:r>
        <w:rPr>
          <w:snapToGrid w:val="0"/>
        </w:rPr>
        <w:tab/>
        <w:t>Terms used</w:t>
      </w:r>
      <w:bookmarkEnd w:id="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6" w:name="_Toc452548892"/>
      <w:r>
        <w:rPr>
          <w:rStyle w:val="CharSectno"/>
        </w:rPr>
        <w:t>4</w:t>
      </w:r>
      <w:r>
        <w:rPr>
          <w:snapToGrid w:val="0"/>
        </w:rPr>
        <w:t>.</w:t>
      </w:r>
      <w:r>
        <w:rPr>
          <w:snapToGrid w:val="0"/>
        </w:rPr>
        <w:tab/>
        <w:t>Vesting of land</w:t>
      </w:r>
      <w:bookmarkEnd w:id="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by No. 19 of 2010 s. 51.]</w:t>
      </w:r>
    </w:p>
    <w:p>
      <w:pPr>
        <w:pStyle w:val="Heading5"/>
        <w:rPr>
          <w:snapToGrid w:val="0"/>
        </w:rPr>
      </w:pPr>
      <w:bookmarkStart w:id="7" w:name="_Toc452548893"/>
      <w:r>
        <w:rPr>
          <w:rStyle w:val="CharSectno"/>
        </w:rPr>
        <w:t>5</w:t>
      </w:r>
      <w:r>
        <w:rPr>
          <w:snapToGrid w:val="0"/>
        </w:rPr>
        <w:t>.</w:t>
      </w:r>
      <w:r>
        <w:rPr>
          <w:snapToGrid w:val="0"/>
        </w:rPr>
        <w:tab/>
        <w:t>Excision of certain land for drainage or road purposes</w:t>
      </w:r>
      <w:bookmarkEnd w:id="7"/>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8" w:name="_Toc452548894"/>
      <w:r>
        <w:rPr>
          <w:rStyle w:val="CharSectno"/>
        </w:rPr>
        <w:t>6</w:t>
      </w:r>
      <w:r>
        <w:rPr>
          <w:snapToGrid w:val="0"/>
        </w:rPr>
        <w:t>.</w:t>
      </w:r>
      <w:r>
        <w:rPr>
          <w:snapToGrid w:val="0"/>
        </w:rPr>
        <w:tab/>
        <w:t>Creation of reserve</w:t>
      </w:r>
      <w:bookmarkEnd w:id="8"/>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9" w:name="_Toc452548895"/>
      <w:r>
        <w:rPr>
          <w:rStyle w:val="CharSectno"/>
        </w:rPr>
        <w:t>7</w:t>
      </w:r>
      <w:r>
        <w:rPr>
          <w:snapToGrid w:val="0"/>
        </w:rPr>
        <w:t>.</w:t>
      </w:r>
      <w:r>
        <w:rPr>
          <w:snapToGrid w:val="0"/>
        </w:rPr>
        <w:tab/>
        <w:t>Constitution of The Queen Elizabeth II Medical Centre Trust</w:t>
      </w:r>
      <w:bookmarkEnd w:id="9"/>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by No. 6 of 1977 s. 5; No. 59 of 1985 s. 3; No. 19 of 2010 s. 51.]</w:t>
      </w:r>
    </w:p>
    <w:p>
      <w:pPr>
        <w:pStyle w:val="Heading5"/>
        <w:rPr>
          <w:snapToGrid w:val="0"/>
        </w:rPr>
      </w:pPr>
      <w:bookmarkStart w:id="10" w:name="_Toc452548896"/>
      <w:r>
        <w:rPr>
          <w:rStyle w:val="CharSectno"/>
        </w:rPr>
        <w:t>8</w:t>
      </w:r>
      <w:r>
        <w:rPr>
          <w:snapToGrid w:val="0"/>
        </w:rPr>
        <w:t>.</w:t>
      </w:r>
      <w:r>
        <w:rPr>
          <w:snapToGrid w:val="0"/>
        </w:rPr>
        <w:tab/>
        <w:t>Quorum</w:t>
      </w:r>
      <w:bookmarkEnd w:id="10"/>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by No. 6 of 2013 s. 4.]</w:t>
      </w:r>
    </w:p>
    <w:p>
      <w:pPr>
        <w:pStyle w:val="Heading5"/>
        <w:rPr>
          <w:snapToGrid w:val="0"/>
        </w:rPr>
      </w:pPr>
      <w:bookmarkStart w:id="11" w:name="_Toc452548897"/>
      <w:r>
        <w:rPr>
          <w:rStyle w:val="CharSectno"/>
        </w:rPr>
        <w:t>9</w:t>
      </w:r>
      <w:r>
        <w:rPr>
          <w:snapToGrid w:val="0"/>
        </w:rPr>
        <w:t>.</w:t>
      </w:r>
      <w:r>
        <w:rPr>
          <w:snapToGrid w:val="0"/>
        </w:rPr>
        <w:tab/>
        <w:t>Vacancies</w:t>
      </w:r>
      <w:bookmarkEnd w:id="11"/>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12" w:name="_Toc452548898"/>
      <w:r>
        <w:rPr>
          <w:rStyle w:val="CharSectno"/>
        </w:rPr>
        <w:t>10</w:t>
      </w:r>
      <w:r>
        <w:rPr>
          <w:snapToGrid w:val="0"/>
        </w:rPr>
        <w:t>.</w:t>
      </w:r>
      <w:r>
        <w:rPr>
          <w:snapToGrid w:val="0"/>
        </w:rPr>
        <w:tab/>
        <w:t>Meetings of Trust</w:t>
      </w:r>
      <w:bookmarkEnd w:id="12"/>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13" w:name="_Toc452548899"/>
      <w:r>
        <w:rPr>
          <w:rStyle w:val="CharSectno"/>
        </w:rPr>
        <w:t>11A</w:t>
      </w:r>
      <w:r>
        <w:t>.</w:t>
      </w:r>
      <w:r>
        <w:rPr>
          <w:snapToGrid w:val="0"/>
        </w:rPr>
        <w:tab/>
        <w:t>Holding meetings remotely</w:t>
      </w:r>
      <w:bookmarkEnd w:id="13"/>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by No. 6 of 2013 s. 5.]</w:t>
      </w:r>
    </w:p>
    <w:p>
      <w:pPr>
        <w:pStyle w:val="Heading5"/>
        <w:rPr>
          <w:snapToGrid w:val="0"/>
        </w:rPr>
      </w:pPr>
      <w:bookmarkStart w:id="14" w:name="_Toc452548900"/>
      <w:r>
        <w:rPr>
          <w:rStyle w:val="CharSectno"/>
        </w:rPr>
        <w:t>11B</w:t>
      </w:r>
      <w:r>
        <w:rPr>
          <w:snapToGrid w:val="0"/>
        </w:rPr>
        <w:t>.</w:t>
      </w:r>
      <w:r>
        <w:rPr>
          <w:snapToGrid w:val="0"/>
        </w:rPr>
        <w:tab/>
        <w:t>Resolution without meeting</w:t>
      </w:r>
      <w:bookmarkEnd w:id="14"/>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by No. 6 of 2013 s. 5.]</w:t>
      </w:r>
    </w:p>
    <w:p>
      <w:pPr>
        <w:pStyle w:val="Heading5"/>
        <w:rPr>
          <w:snapToGrid w:val="0"/>
        </w:rPr>
      </w:pPr>
      <w:bookmarkStart w:id="15" w:name="_Toc452548901"/>
      <w:r>
        <w:rPr>
          <w:rStyle w:val="CharSectno"/>
        </w:rPr>
        <w:t>11</w:t>
      </w:r>
      <w:r>
        <w:rPr>
          <w:snapToGrid w:val="0"/>
        </w:rPr>
        <w:t>.</w:t>
      </w:r>
      <w:r>
        <w:rPr>
          <w:snapToGrid w:val="0"/>
        </w:rPr>
        <w:tab/>
        <w:t>Use of common seal</w:t>
      </w:r>
      <w:bookmarkEnd w:id="1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16" w:name="_Toc452548902"/>
      <w:r>
        <w:rPr>
          <w:rStyle w:val="CharSectno"/>
        </w:rPr>
        <w:t>12</w:t>
      </w:r>
      <w:r>
        <w:rPr>
          <w:snapToGrid w:val="0"/>
        </w:rPr>
        <w:t>.</w:t>
      </w:r>
      <w:r>
        <w:rPr>
          <w:snapToGrid w:val="0"/>
        </w:rPr>
        <w:tab/>
        <w:t>Delegation</w:t>
      </w:r>
      <w:bookmarkEnd w:id="16"/>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17" w:name="_Toc452548903"/>
      <w:r>
        <w:rPr>
          <w:rStyle w:val="CharSectno"/>
        </w:rPr>
        <w:t>12A</w:t>
      </w:r>
      <w:r>
        <w:rPr>
          <w:snapToGrid w:val="0"/>
        </w:rPr>
        <w:t>.</w:t>
      </w:r>
      <w:r>
        <w:rPr>
          <w:snapToGrid w:val="0"/>
        </w:rPr>
        <w:tab/>
        <w:t>Remuneration and allowances</w:t>
      </w:r>
      <w:bookmarkEnd w:id="17"/>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by No. 6 of 2013 s. 6.]</w:t>
      </w:r>
    </w:p>
    <w:p>
      <w:pPr>
        <w:pStyle w:val="Heading5"/>
        <w:rPr>
          <w:snapToGrid w:val="0"/>
        </w:rPr>
      </w:pPr>
      <w:bookmarkStart w:id="18" w:name="_Toc452548904"/>
      <w:r>
        <w:rPr>
          <w:rStyle w:val="CharSectno"/>
        </w:rPr>
        <w:t>13</w:t>
      </w:r>
      <w:r>
        <w:rPr>
          <w:snapToGrid w:val="0"/>
        </w:rPr>
        <w:t>.</w:t>
      </w:r>
      <w:r>
        <w:rPr>
          <w:snapToGrid w:val="0"/>
        </w:rPr>
        <w:tab/>
        <w:t>Functions of Trust</w:t>
      </w:r>
      <w:bookmarkEnd w:id="1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 No. 6 of 2013 s. 7.]</w:t>
      </w:r>
    </w:p>
    <w:p>
      <w:pPr>
        <w:pStyle w:val="Heading5"/>
        <w:rPr>
          <w:snapToGrid w:val="0"/>
        </w:rPr>
      </w:pPr>
      <w:bookmarkStart w:id="19" w:name="_Toc452548905"/>
      <w:r>
        <w:rPr>
          <w:rStyle w:val="CharSectno"/>
        </w:rPr>
        <w:t>13A</w:t>
      </w:r>
      <w:r>
        <w:rPr>
          <w:snapToGrid w:val="0"/>
        </w:rPr>
        <w:t>.</w:t>
      </w:r>
      <w:r>
        <w:rPr>
          <w:snapToGrid w:val="0"/>
        </w:rPr>
        <w:tab/>
        <w:t>Additional land for reserve</w:t>
      </w:r>
      <w:bookmarkEnd w:id="19"/>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20" w:name="_Toc452548906"/>
      <w:r>
        <w:rPr>
          <w:rStyle w:val="CharSectno"/>
        </w:rPr>
        <w:t>14</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21" w:name="_Toc452548907"/>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Sch. 1 cl. 141.]</w:t>
      </w:r>
    </w:p>
    <w:p>
      <w:pPr>
        <w:pStyle w:val="Heading5"/>
        <w:rPr>
          <w:snapToGrid w:val="0"/>
        </w:rPr>
      </w:pPr>
      <w:bookmarkStart w:id="22" w:name="_Toc452548908"/>
      <w:r>
        <w:rPr>
          <w:rStyle w:val="CharSectno"/>
        </w:rPr>
        <w:t>16</w:t>
      </w:r>
      <w:r>
        <w:rPr>
          <w:snapToGrid w:val="0"/>
        </w:rPr>
        <w:t>.</w:t>
      </w:r>
      <w:r>
        <w:rPr>
          <w:snapToGrid w:val="0"/>
        </w:rPr>
        <w:tab/>
        <w:t>Teaching hospitals on reserve</w:t>
      </w:r>
      <w:bookmarkEnd w:id="22"/>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 and</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Sch. 3 cl. 50; No. 8 of 2009 s. 105; No. 35 of 2010 s. 141.]</w:t>
      </w:r>
    </w:p>
    <w:p>
      <w:pPr>
        <w:pStyle w:val="Heading5"/>
        <w:rPr>
          <w:snapToGrid w:val="0"/>
        </w:rPr>
      </w:pPr>
      <w:bookmarkStart w:id="23" w:name="_Toc452548909"/>
      <w:r>
        <w:rPr>
          <w:rStyle w:val="CharSectno"/>
        </w:rPr>
        <w:t>17</w:t>
      </w:r>
      <w:r>
        <w:rPr>
          <w:snapToGrid w:val="0"/>
        </w:rPr>
        <w:t>.</w:t>
      </w:r>
      <w:r>
        <w:rPr>
          <w:snapToGrid w:val="0"/>
        </w:rPr>
        <w:tab/>
        <w:t>Indemnity</w:t>
      </w:r>
      <w:bookmarkEnd w:id="23"/>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24" w:name="_Toc452548910"/>
      <w:r>
        <w:rPr>
          <w:rStyle w:val="CharSectno"/>
        </w:rPr>
        <w:t>18</w:t>
      </w:r>
      <w:r>
        <w:rPr>
          <w:snapToGrid w:val="0"/>
        </w:rPr>
        <w:t>.</w:t>
      </w:r>
      <w:r>
        <w:rPr>
          <w:snapToGrid w:val="0"/>
        </w:rPr>
        <w:tab/>
        <w:t>Power of Senate to apply fees and other money to reserve</w:t>
      </w:r>
      <w:bookmarkEnd w:id="24"/>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25" w:name="_Toc452548911"/>
      <w:r>
        <w:rPr>
          <w:rStyle w:val="CharSectno"/>
        </w:rPr>
        <w:t>19</w:t>
      </w:r>
      <w:r>
        <w:rPr>
          <w:snapToGrid w:val="0"/>
        </w:rPr>
        <w:t>.</w:t>
      </w:r>
      <w:r>
        <w:rPr>
          <w:snapToGrid w:val="0"/>
        </w:rPr>
        <w:tab/>
        <w:t>Saving</w:t>
      </w:r>
      <w:bookmarkEnd w:id="25"/>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26" w:name="_Toc452548912"/>
      <w:r>
        <w:rPr>
          <w:rStyle w:val="CharSectno"/>
        </w:rPr>
        <w:t>20</w:t>
      </w:r>
      <w:r>
        <w:rPr>
          <w:snapToGrid w:val="0"/>
        </w:rPr>
        <w:t>.</w:t>
      </w:r>
      <w:r>
        <w:rPr>
          <w:snapToGrid w:val="0"/>
        </w:rPr>
        <w:tab/>
        <w:t>By</w:t>
      </w:r>
      <w:r>
        <w:rPr>
          <w:snapToGrid w:val="0"/>
        </w:rPr>
        <w:noBreakHyphen/>
        <w:t>laws</w:t>
      </w:r>
      <w:bookmarkEnd w:id="26"/>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 No. 6 of 2013 s. 8.]</w:t>
      </w:r>
    </w:p>
    <w:p>
      <w:pPr>
        <w:pStyle w:val="Heading5"/>
        <w:rPr>
          <w:snapToGrid w:val="0"/>
        </w:rPr>
      </w:pPr>
      <w:bookmarkStart w:id="27" w:name="_Toc452548913"/>
      <w:r>
        <w:rPr>
          <w:rStyle w:val="CharSectno"/>
        </w:rPr>
        <w:t>21</w:t>
      </w:r>
      <w:r>
        <w:rPr>
          <w:snapToGrid w:val="0"/>
        </w:rPr>
        <w:t>.</w:t>
      </w:r>
      <w:r>
        <w:rPr>
          <w:snapToGrid w:val="0"/>
        </w:rPr>
        <w:tab/>
        <w:t>Review of Act</w:t>
      </w:r>
      <w:bookmarkEnd w:id="27"/>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8" w:name="_Toc424292297"/>
      <w:bookmarkStart w:id="29" w:name="_Toc435022945"/>
      <w:bookmarkStart w:id="30" w:name="_Toc452548882"/>
      <w:bookmarkStart w:id="31" w:name="_Toc452548914"/>
      <w:r>
        <w:rPr>
          <w:rStyle w:val="CharSchNo"/>
          <w:rFonts w:eastAsia="MS Mincho"/>
        </w:rPr>
        <w:t>Schedule</w:t>
      </w:r>
      <w:r>
        <w:rPr>
          <w:rFonts w:eastAsia="MS Mincho"/>
        </w:rPr>
        <w:t> — </w:t>
      </w:r>
      <w:r>
        <w:rPr>
          <w:rStyle w:val="CharSchText"/>
          <w:rFonts w:eastAsia="MS Mincho"/>
        </w:rPr>
        <w:t>Medical centre land</w:t>
      </w:r>
      <w:bookmarkEnd w:id="28"/>
      <w:bookmarkEnd w:id="29"/>
      <w:bookmarkEnd w:id="30"/>
      <w:bookmarkEnd w:id="31"/>
    </w:p>
    <w:p>
      <w:pPr>
        <w:pStyle w:val="yShoulderClause"/>
        <w:rPr>
          <w:rFonts w:eastAsia="MS Mincho"/>
        </w:rPr>
      </w:pPr>
      <w:r>
        <w:rPr>
          <w:rFonts w:eastAsia="MS Mincho"/>
        </w:rPr>
        <w:t>[s. 4, 5 and 6]</w:t>
      </w:r>
    </w:p>
    <w:p>
      <w:pPr>
        <w:pStyle w:val="yFootnotesection"/>
      </w:pPr>
      <w:r>
        <w:tab/>
        <w:t>[Heading inserted by No. 19 of 2010 s. 27(2).]</w:t>
      </w:r>
    </w:p>
    <w:p>
      <w:pPr>
        <w:pStyle w:val="yHeading3"/>
        <w:rPr>
          <w:rFonts w:eastAsia="MS Mincho"/>
        </w:rPr>
      </w:pPr>
      <w:bookmarkStart w:id="32" w:name="_Toc424292298"/>
      <w:bookmarkStart w:id="33" w:name="_Toc435022946"/>
      <w:bookmarkStart w:id="34" w:name="_Toc452548883"/>
      <w:bookmarkStart w:id="35" w:name="_Toc45254891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32"/>
      <w:bookmarkEnd w:id="33"/>
      <w:bookmarkEnd w:id="34"/>
      <w:bookmarkEnd w:id="35"/>
    </w:p>
    <w:p>
      <w:pPr>
        <w:pStyle w:val="yFootnotesection"/>
      </w:pPr>
      <w:r>
        <w:tab/>
        <w:t>[Heading inserted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36" w:name="_Toc424292299"/>
      <w:bookmarkStart w:id="37" w:name="_Toc435022947"/>
      <w:bookmarkStart w:id="38" w:name="_Toc452548884"/>
      <w:bookmarkStart w:id="39" w:name="_Toc452548916"/>
      <w:r>
        <w:rPr>
          <w:rStyle w:val="CharSDivNo"/>
          <w:rFonts w:eastAsia="MS Mincho"/>
        </w:rPr>
        <w:t>Part II</w:t>
      </w:r>
      <w:r>
        <w:rPr>
          <w:rFonts w:eastAsia="MS Mincho"/>
        </w:rPr>
        <w:t> — </w:t>
      </w:r>
      <w:r>
        <w:rPr>
          <w:rStyle w:val="CharSDivNo"/>
          <w:rFonts w:eastAsia="MS Mincho"/>
        </w:rPr>
        <w:t>Further land</w:t>
      </w:r>
      <w:bookmarkEnd w:id="36"/>
      <w:bookmarkEnd w:id="37"/>
      <w:bookmarkEnd w:id="38"/>
      <w:bookmarkEnd w:id="39"/>
    </w:p>
    <w:p>
      <w:pPr>
        <w:pStyle w:val="yFootnotesection"/>
      </w:pPr>
      <w:r>
        <w:tab/>
        <w:t>[Heading inserted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1" w:name="_Toc424292300"/>
      <w:bookmarkStart w:id="42" w:name="_Toc435022948"/>
      <w:bookmarkStart w:id="43" w:name="_Toc452548885"/>
      <w:bookmarkStart w:id="44" w:name="_Toc452548917"/>
      <w:r>
        <w:t>Notes</w:t>
      </w:r>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 w:name="_Toc452548918"/>
      <w:r>
        <w:rPr>
          <w:snapToGrid w:val="0"/>
        </w:rPr>
        <w:t>Compilation table</w:t>
      </w:r>
      <w:bookmarkEnd w:id="4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smartTag w:uri="urn:schemas-microsoft-com:office:smarttags" w:element="City">
              <w:smartTag w:uri="urn:schemas-microsoft-com:office:smarttags" w:element="place">
                <w:r>
                  <w:rPr>
                    <w:i/>
                  </w:rPr>
                  <w:t>Perth</w:t>
                </w:r>
              </w:smartTag>
            </w:smartTag>
            <w:r>
              <w:rPr>
                <w:i/>
              </w:rPr>
              <w:t xml:space="preserve"> Medical Centre Act 1966</w:t>
            </w:r>
            <w:r>
              <w:rPr>
                <w:vertAlign w:val="superscript"/>
              </w:rPr>
              <w:t> 4</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2</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 </w:t>
            </w:r>
            <w:r>
              <w:rPr>
                <w:vertAlign w:val="superscript"/>
              </w:rPr>
              <w:t>5</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 w:name="_Toc402966387"/>
      <w:bookmarkStart w:id="47" w:name="_Toc436042042"/>
      <w:bookmarkStart w:id="48" w:name="_Toc452373592"/>
      <w:bookmarkStart w:id="49" w:name="_Toc452548919"/>
      <w:r>
        <w:rPr>
          <w:snapToGrid w:val="0"/>
        </w:rPr>
        <w:t>Provisions that have not come into operation</w:t>
      </w:r>
      <w:bookmarkEnd w:id="46"/>
      <w:bookmarkEnd w:id="47"/>
      <w:bookmarkEnd w:id="48"/>
      <w:bookmarkEnd w:id="4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301</w:t>
            </w:r>
            <w:r>
              <w:rPr>
                <w:snapToGrid w:val="0"/>
                <w:vertAlign w:val="superscript"/>
              </w:rPr>
              <w:t> 6</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keepNext/>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p>
    <w:p>
      <w:pPr>
        <w:pStyle w:val="nSubsection"/>
        <w:spacing w:before="200"/>
        <w:rPr>
          <w:snapToGrid w:val="0"/>
        </w:rPr>
      </w:pPr>
      <w:r>
        <w:rPr>
          <w:vertAlign w:val="superscript"/>
        </w:rPr>
        <w:t>6</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301</w:t>
      </w:r>
      <w:r>
        <w:rPr>
          <w:i/>
        </w:rPr>
        <w:t xml:space="preserve"> </w:t>
      </w:r>
      <w:r>
        <w:rPr>
          <w:snapToGrid w:val="0"/>
        </w:rPr>
        <w:t>had not come into operation.  It reads as follows:</w:t>
      </w:r>
    </w:p>
    <w:p>
      <w:pPr>
        <w:pStyle w:val="BlankOpen"/>
      </w:pPr>
    </w:p>
    <w:p>
      <w:pPr>
        <w:pStyle w:val="nzHeading5"/>
      </w:pPr>
      <w:bookmarkStart w:id="50" w:name="_Toc451509711"/>
      <w:r>
        <w:rPr>
          <w:rStyle w:val="CharSectno"/>
        </w:rPr>
        <w:t>301</w:t>
      </w:r>
      <w:r>
        <w:t>.</w:t>
      </w:r>
      <w:r>
        <w:tab/>
      </w:r>
      <w:r>
        <w:rPr>
          <w:i/>
        </w:rPr>
        <w:t>Queen Elizabeth II Medical Centre Act 1966</w:t>
      </w:r>
      <w:r>
        <w:rPr>
          <w:b w:val="0"/>
        </w:rPr>
        <w:t xml:space="preserve"> </w:t>
      </w:r>
      <w:r>
        <w:t>amended</w:t>
      </w:r>
      <w:bookmarkEnd w:id="50"/>
    </w:p>
    <w:p>
      <w:pPr>
        <w:pStyle w:val="nzSubsection"/>
      </w:pPr>
      <w:r>
        <w:tab/>
        <w:t>(1)</w:t>
      </w:r>
      <w:r>
        <w:tab/>
        <w:t xml:space="preserve">This section amends the </w:t>
      </w:r>
      <w:r>
        <w:rPr>
          <w:i/>
        </w:rPr>
        <w:t>Queen Elizabeth II Medical Centre Act 1966</w:t>
      </w:r>
      <w:r>
        <w:t>.</w:t>
      </w:r>
    </w:p>
    <w:p>
      <w:pPr>
        <w:pStyle w:val="nzSubsection"/>
      </w:pPr>
      <w:r>
        <w:tab/>
        <w:t>(2)</w:t>
      </w:r>
      <w:r>
        <w:tab/>
        <w:t>Delete section 13(2e) and insert:</w:t>
      </w:r>
    </w:p>
    <w:p>
      <w:pPr>
        <w:pStyle w:val="BlankOpen"/>
      </w:pPr>
    </w:p>
    <w:p>
      <w:pPr>
        <w:pStyle w:val="nzSubsection"/>
      </w:pPr>
      <w:r>
        <w:tab/>
        <w:t>(2e)</w:t>
      </w:r>
      <w:r>
        <w:tab/>
        <w:t>While a setting aside and delegation under subsection (2a) are in force, the delegate, for the purposes for which the site was set aside, has all the powers delegated to the delegate under subsection (2a) in respect of the site as if those powers had been conferred on the delegate by this Act.</w:t>
      </w:r>
    </w:p>
    <w:p>
      <w:pPr>
        <w:pStyle w:val="BlankClose"/>
      </w:pPr>
    </w:p>
    <w:p>
      <w:pPr>
        <w:pStyle w:val="nzSubsection"/>
      </w:pPr>
      <w:r>
        <w:tab/>
        <w:t>(3)</w:t>
      </w:r>
      <w:r>
        <w:tab/>
        <w:t>Delete section 13(2g)(b)(i) and insert:</w:t>
      </w:r>
    </w:p>
    <w:p>
      <w:pPr>
        <w:pStyle w:val="BlankOpen"/>
      </w:pPr>
    </w:p>
    <w:p>
      <w:pPr>
        <w:pStyle w:val="nzIndenti"/>
      </w:pPr>
      <w:r>
        <w:tab/>
        <w:t>(i)</w:t>
      </w:r>
      <w:r>
        <w:tab/>
        <w:t>to the delegate under the regulations; or</w:t>
      </w:r>
    </w:p>
    <w:p>
      <w:pPr>
        <w:pStyle w:val="BlankClose"/>
      </w:pPr>
    </w:p>
    <w:p>
      <w:pPr>
        <w:pStyle w:val="nzSubsection"/>
      </w:pPr>
      <w:r>
        <w:tab/>
        <w:t>(4)</w:t>
      </w:r>
      <w:r>
        <w:tab/>
        <w:t>Delete section 16.</w:t>
      </w:r>
    </w:p>
    <w:p>
      <w:pPr>
        <w:pStyle w:val="nzSubsection"/>
      </w:pPr>
      <w:r>
        <w:tab/>
        <w:t>(5)</w:t>
      </w:r>
      <w:r>
        <w:tab/>
        <w:t>In section 19(1) delete “</w:t>
      </w:r>
      <w:r>
        <w:rPr>
          <w:i/>
        </w:rPr>
        <w:t>Hospitals and Health Services Act 1927</w:t>
      </w:r>
      <w:r>
        <w:t>,” and insert:</w:t>
      </w:r>
    </w:p>
    <w:p>
      <w:pPr>
        <w:pStyle w:val="BlankOpen"/>
      </w:pPr>
    </w:p>
    <w:p>
      <w:pPr>
        <w:pStyle w:val="nzSubsection"/>
      </w:pPr>
      <w:r>
        <w:tab/>
      </w:r>
      <w:r>
        <w:tab/>
      </w:r>
      <w:r>
        <w:rPr>
          <w:i/>
          <w:szCs w:val="24"/>
        </w:rPr>
        <w:t>Private Hospitals and Health Services Act 1927</w:t>
      </w:r>
      <w:r>
        <w:rPr>
          <w:szCs w:val="24"/>
        </w:rPr>
        <w:t xml:space="preserve">, the </w:t>
      </w:r>
      <w:r>
        <w:rPr>
          <w:i/>
          <w:szCs w:val="24"/>
        </w:rPr>
        <w:t>Health Services Act 2016</w:t>
      </w:r>
      <w:r>
        <w:rPr>
          <w:szCs w:val="24"/>
        </w:rPr>
        <w:t>,</w:t>
      </w:r>
    </w:p>
    <w:p>
      <w:pPr>
        <w:pStyle w:val="BlankClose"/>
      </w:pPr>
    </w:p>
    <w:p>
      <w:pPr>
        <w:pStyle w:val="nzSubsection"/>
        <w:keepNext/>
      </w:pPr>
      <w:r>
        <w:tab/>
        <w:t>(6)</w:t>
      </w:r>
      <w:r>
        <w:tab/>
        <w:t>In section 20(1) and (1a) delete “Trust may, with the approval of the Governor, make by</w:t>
      </w:r>
      <w:r>
        <w:noBreakHyphen/>
        <w:t>laws” and insert:</w:t>
      </w:r>
    </w:p>
    <w:p>
      <w:pPr>
        <w:pStyle w:val="BlankOpen"/>
      </w:pPr>
    </w:p>
    <w:p>
      <w:pPr>
        <w:pStyle w:val="nzSubsection"/>
      </w:pPr>
      <w:r>
        <w:tab/>
      </w:r>
      <w:r>
        <w:tab/>
        <w:t>Governor may make regulations</w:t>
      </w:r>
    </w:p>
    <w:p>
      <w:pPr>
        <w:pStyle w:val="BlankClose"/>
      </w:pPr>
    </w:p>
    <w:p>
      <w:pPr>
        <w:pStyle w:val="nzSubsection"/>
      </w:pPr>
      <w:r>
        <w:tab/>
        <w:t>(7)</w:t>
      </w:r>
      <w:r>
        <w:tab/>
        <w:t>In the provisions listed in the Table:</w:t>
      </w:r>
    </w:p>
    <w:p>
      <w:pPr>
        <w:pStyle w:val="nzIndenta"/>
      </w:pPr>
      <w:r>
        <w:tab/>
        <w:t>(a)</w:t>
      </w:r>
      <w:r>
        <w:tab/>
        <w:t>delete “by</w:t>
      </w:r>
      <w:r>
        <w:noBreakHyphen/>
        <w:t>laws” (each occurrence) and insert:</w:t>
      </w:r>
    </w:p>
    <w:p>
      <w:pPr>
        <w:pStyle w:val="BlankOpen"/>
      </w:pPr>
    </w:p>
    <w:p>
      <w:pPr>
        <w:pStyle w:val="nzIndenta"/>
      </w:pPr>
      <w:r>
        <w:tab/>
      </w:r>
      <w:r>
        <w:tab/>
        <w:t>regulations</w:t>
      </w:r>
    </w:p>
    <w:p>
      <w:pPr>
        <w:pStyle w:val="BlankClose"/>
      </w:pPr>
    </w:p>
    <w:p>
      <w:pPr>
        <w:pStyle w:val="nzIndenta"/>
      </w:pPr>
      <w:r>
        <w:tab/>
        <w:t>(b)</w:t>
      </w:r>
      <w:r>
        <w:tab/>
        <w:t>delete “by</w:t>
      </w:r>
      <w:r>
        <w:noBreakHyphen/>
        <w:t>law” (each occurrence) and insert:</w:t>
      </w:r>
    </w:p>
    <w:p>
      <w:pPr>
        <w:pStyle w:val="BlankOpen"/>
      </w:pPr>
    </w:p>
    <w:p>
      <w:pPr>
        <w:pStyle w:val="nzIndenta"/>
      </w:pPr>
      <w:r>
        <w:tab/>
      </w:r>
      <w:r>
        <w:tab/>
        <w:t>regulation</w:t>
      </w:r>
    </w:p>
    <w:p>
      <w:pPr>
        <w:pStyle w:val="BlankClose"/>
      </w:pPr>
    </w:p>
    <w:p>
      <w:pPr>
        <w:pStyle w:val="THeading"/>
        <w:keepLines/>
        <w:widowControl w:val="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widowControl w:val="0"/>
            </w:pPr>
            <w:r>
              <w:t>s. 20(1a)(i), (k), (m), (n), (p), (q), (r), (s) and (t)</w:t>
            </w:r>
          </w:p>
        </w:tc>
        <w:tc>
          <w:tcPr>
            <w:tcW w:w="3402" w:type="dxa"/>
          </w:tcPr>
          <w:p>
            <w:pPr>
              <w:pStyle w:val="TableAm"/>
              <w:keepNext/>
              <w:keepLines/>
              <w:widowControl w:val="0"/>
              <w:rPr>
                <w:b/>
                <w:i/>
              </w:rPr>
            </w:pPr>
            <w:r>
              <w:t xml:space="preserve">s. 20(1b) def. of </w:t>
            </w:r>
            <w:r>
              <w:rPr>
                <w:b/>
                <w:i/>
              </w:rPr>
              <w:t>specified</w:t>
            </w:r>
          </w:p>
        </w:tc>
      </w:tr>
      <w:tr>
        <w:trPr>
          <w:cantSplit/>
          <w:jc w:val="center"/>
        </w:trPr>
        <w:tc>
          <w:tcPr>
            <w:tcW w:w="3402" w:type="dxa"/>
          </w:tcPr>
          <w:p>
            <w:pPr>
              <w:pStyle w:val="TableAm"/>
              <w:keepNext/>
              <w:keepLines/>
              <w:widowControl w:val="0"/>
            </w:pPr>
            <w:r>
              <w:t>s. 20(1c)</w:t>
            </w:r>
          </w:p>
        </w:tc>
        <w:tc>
          <w:tcPr>
            <w:tcW w:w="3402" w:type="dxa"/>
          </w:tcPr>
          <w:p>
            <w:pPr>
              <w:pStyle w:val="TableAm"/>
              <w:keepNext/>
              <w:keepLines/>
              <w:widowControl w:val="0"/>
            </w:pPr>
            <w:r>
              <w:t>s. 20(1d)</w:t>
            </w:r>
          </w:p>
        </w:tc>
      </w:tr>
      <w:tr>
        <w:trPr>
          <w:cantSplit/>
          <w:jc w:val="center"/>
        </w:trPr>
        <w:tc>
          <w:tcPr>
            <w:tcW w:w="3402" w:type="dxa"/>
          </w:tcPr>
          <w:p>
            <w:pPr>
              <w:pStyle w:val="TableAm"/>
            </w:pPr>
            <w:r>
              <w:t>s. 20(1e)</w:t>
            </w:r>
          </w:p>
        </w:tc>
        <w:tc>
          <w:tcPr>
            <w:tcW w:w="3402" w:type="dxa"/>
          </w:tcPr>
          <w:p>
            <w:pPr>
              <w:pStyle w:val="TableAm"/>
            </w:pPr>
            <w:r>
              <w:t>s. 20(2)</w:t>
            </w:r>
          </w:p>
        </w:tc>
      </w:tr>
      <w:tr>
        <w:trPr>
          <w:cantSplit/>
          <w:jc w:val="center"/>
        </w:trPr>
        <w:tc>
          <w:tcPr>
            <w:tcW w:w="3402" w:type="dxa"/>
          </w:tcPr>
          <w:p>
            <w:pPr>
              <w:pStyle w:val="TableAm"/>
            </w:pPr>
            <w:r>
              <w:t>s. 20(3)</w:t>
            </w:r>
          </w:p>
        </w:tc>
        <w:tc>
          <w:tcPr>
            <w:tcW w:w="3402" w:type="dxa"/>
          </w:tcPr>
          <w:p>
            <w:pPr>
              <w:pStyle w:val="TableAm"/>
            </w:pPr>
            <w:r>
              <w:t>s. 20(4)</w:t>
            </w:r>
          </w:p>
        </w:tc>
      </w:tr>
    </w:tbl>
    <w:p>
      <w:pPr>
        <w:pStyle w:val="nzSectAltNote"/>
      </w:pPr>
      <w:r>
        <w:tab/>
        <w:t>Note:</w:t>
      </w:r>
      <w:r>
        <w:tab/>
        <w:t>The heading to amended section 20 is to read:</w:t>
      </w:r>
    </w:p>
    <w:p>
      <w:pPr>
        <w:pStyle w:val="nzSectAltHeading"/>
      </w:pPr>
      <w:r>
        <w:rPr>
          <w:b w:val="0"/>
        </w:rPr>
        <w:tab/>
      </w:r>
      <w:r>
        <w:rPr>
          <w:b w:val="0"/>
        </w:rPr>
        <w:tab/>
      </w:r>
      <w:r>
        <w:t>Regulations</w:t>
      </w:r>
    </w:p>
    <w:p>
      <w:pPr>
        <w:pStyle w:val="BlankClose"/>
        <w:rPr>
          <w:snapToGrid w:val="0"/>
        </w:rPr>
      </w:pPr>
    </w:p>
    <w:p>
      <w:pPr>
        <w:pStyle w:val="BlankClose"/>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delegate</w:t>
      </w:r>
      <w:r>
        <w:tab/>
        <w:t>13(2a)</w:t>
      </w:r>
    </w:p>
    <w:p>
      <w:pPr>
        <w:pStyle w:val="DefinedTerms"/>
      </w:pPr>
      <w:r>
        <w:t>former delegate</w:t>
      </w:r>
      <w:r>
        <w:tab/>
        <w:t>13(2l)</w:t>
      </w:r>
    </w:p>
    <w:p>
      <w:pPr>
        <w:pStyle w:val="DefinedTerms"/>
      </w:pPr>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reserve</w:t>
      </w:r>
      <w:r>
        <w:tab/>
        <w:t>3(1)</w:t>
      </w:r>
    </w:p>
    <w:p>
      <w:pPr>
        <w:pStyle w:val="DefinedTerms"/>
      </w:pPr>
      <w:r>
        <w:t>Schedule</w:t>
      </w:r>
      <w:r>
        <w:tab/>
        <w:t>3(1)</w:t>
      </w:r>
    </w:p>
    <w:p>
      <w:pPr>
        <w:pStyle w:val="DefinedTerms"/>
      </w:pPr>
      <w:r>
        <w:t>Senate</w:t>
      </w:r>
      <w:r>
        <w:tab/>
        <w:t>3(1)</w:t>
      </w:r>
    </w:p>
    <w:p>
      <w:pPr>
        <w:pStyle w:val="DefinedTerms"/>
      </w:pPr>
      <w:r>
        <w:t>site</w:t>
      </w:r>
      <w:r>
        <w:tab/>
        <w:t>13(2a)</w:t>
      </w:r>
    </w:p>
    <w:p>
      <w:pPr>
        <w:pStyle w:val="DefinedTerms"/>
      </w:pPr>
      <w:r>
        <w:t>specified</w:t>
      </w:r>
      <w:r>
        <w:tab/>
        <w:t>20(1b)</w:t>
      </w:r>
    </w:p>
    <w:p>
      <w:pPr>
        <w:pStyle w:val="DefinedTerms"/>
      </w:pPr>
      <w:r>
        <w:t>teaching hospital</w:t>
      </w:r>
      <w:r>
        <w:tab/>
        <w:t>16(8)</w:t>
      </w:r>
    </w:p>
    <w:p>
      <w:pPr>
        <w:pStyle w:val="DefinedTerms"/>
      </w:pPr>
      <w:r>
        <w:t>Trust</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230"/>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8774</Words>
  <Characters>40715</Characters>
  <Application>Microsoft Office Word</Application>
  <DocSecurity>0</DocSecurity>
  <Lines>1163</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1966 - 05-b0-02</dc:title>
  <dc:subject/>
  <dc:creator/>
  <cp:keywords/>
  <dc:description/>
  <cp:lastModifiedBy>svcMRProcess</cp:lastModifiedBy>
  <cp:revision>4</cp:revision>
  <cp:lastPrinted>2013-12-18T23:50:00Z</cp:lastPrinted>
  <dcterms:created xsi:type="dcterms:W3CDTF">2018-09-07T15:15:00Z</dcterms:created>
  <dcterms:modified xsi:type="dcterms:W3CDTF">2018-09-07T15:15:00Z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20160526</vt:lpwstr>
  </property>
  <property fmtid="{D5CDD505-2E9C-101B-9397-08002B2CF9AE}" pid="4" name="DocumentType">
    <vt:lpwstr>Act</vt:lpwstr>
  </property>
  <property fmtid="{D5CDD505-2E9C-101B-9397-08002B2CF9AE}" pid="5" name="OwlsUID">
    <vt:i4>650</vt:i4>
  </property>
  <property fmtid="{D5CDD505-2E9C-101B-9397-08002B2CF9AE}" pid="6" name="ReprintNo">
    <vt:lpwstr>5</vt:lpwstr>
  </property>
  <property fmtid="{D5CDD505-2E9C-101B-9397-08002B2CF9AE}" pid="7" name="ReprintedAsAt">
    <vt:filetime>2013-12-12T16:00:00Z</vt:filetime>
  </property>
  <property fmtid="{D5CDD505-2E9C-101B-9397-08002B2CF9AE}" pid="8" name="AsAtDate">
    <vt:lpwstr>26 May 2016</vt:lpwstr>
  </property>
  <property fmtid="{D5CDD505-2E9C-101B-9397-08002B2CF9AE}" pid="9" name="Suffix">
    <vt:lpwstr>05-b0-02</vt:lpwstr>
  </property>
</Properties>
</file>