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Health Service By-laws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Metropolitan Health Service By-laws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_Toc434412220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_Toc434412221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_Toc434412222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_Toc434412223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 </w:t>
      </w:r>
      <w:r>
        <w:t>Behaviour on site</w:t>
      </w:r>
    </w:p>
    <w:p>
      <w:pPr>
        <w:pStyle w:val="TOC8"/>
        <w:rPr>
          <w:rFonts w:asciiTheme="minorHAnsi" w:eastAsiaTheme="minorEastAsia" w:hAnsiTheme="minorHAnsi" w:cstheme="minorBidi"/>
          <w:szCs w:val="22"/>
        </w:rPr>
      </w:pPr>
      <w:r>
        <w:t>4B.</w:t>
      </w:r>
      <w:r>
        <w:tab/>
        <w:t>No entry without cause</w:t>
      </w:r>
      <w:r>
        <w:tab/>
      </w:r>
      <w:r>
        <w:fldChar w:fldCharType="begin"/>
      </w:r>
      <w:r>
        <w:instrText xml:space="preserve"> PAGEREF _Toc434412225 \h </w:instrText>
      </w:r>
      <w:r>
        <w:fldChar w:fldCharType="separate"/>
      </w:r>
      <w:r>
        <w:t>4</w:t>
      </w:r>
      <w:r>
        <w:fldChar w:fldCharType="end"/>
      </w:r>
    </w:p>
    <w:p>
      <w:pPr>
        <w:pStyle w:val="TOC8"/>
        <w:rPr>
          <w:rFonts w:asciiTheme="minorHAnsi" w:eastAsiaTheme="minorEastAsia" w:hAnsiTheme="minorHAnsi" w:cstheme="minorBidi"/>
          <w:szCs w:val="22"/>
        </w:rPr>
      </w:pPr>
      <w:r>
        <w:t>4C.</w:t>
      </w:r>
      <w:r>
        <w:tab/>
        <w:t>Directions as to use of certain areas</w:t>
      </w:r>
      <w:r>
        <w:tab/>
      </w:r>
      <w:r>
        <w:fldChar w:fldCharType="begin"/>
      </w:r>
      <w:r>
        <w:instrText xml:space="preserve"> PAGEREF _Toc434412226 \h </w:instrText>
      </w:r>
      <w:r>
        <w:fldChar w:fldCharType="separate"/>
      </w:r>
      <w:r>
        <w:t>4</w:t>
      </w:r>
      <w:r>
        <w:fldChar w:fldCharType="end"/>
      </w:r>
    </w:p>
    <w:p>
      <w:pPr>
        <w:pStyle w:val="TOC8"/>
        <w:rPr>
          <w:rFonts w:asciiTheme="minorHAnsi" w:eastAsiaTheme="minorEastAsia" w:hAnsiTheme="minorHAnsi" w:cstheme="minorBidi"/>
          <w:szCs w:val="22"/>
        </w:rPr>
      </w:pPr>
      <w:r>
        <w:t>4D.</w:t>
      </w:r>
      <w:r>
        <w:tab/>
        <w:t>Prohibited items</w:t>
      </w:r>
      <w:r>
        <w:tab/>
      </w:r>
      <w:r>
        <w:fldChar w:fldCharType="begin"/>
      </w:r>
      <w:r>
        <w:instrText xml:space="preserve"> PAGEREF _Toc434412227 \h </w:instrText>
      </w:r>
      <w:r>
        <w:fldChar w:fldCharType="separate"/>
      </w:r>
      <w:r>
        <w:t>4</w:t>
      </w:r>
      <w:r>
        <w:fldChar w:fldCharType="end"/>
      </w:r>
    </w:p>
    <w:p>
      <w:pPr>
        <w:pStyle w:val="TOC8"/>
        <w:rPr>
          <w:rFonts w:asciiTheme="minorHAnsi" w:eastAsiaTheme="minorEastAsia" w:hAnsiTheme="minorHAnsi" w:cstheme="minorBidi"/>
          <w:szCs w:val="22"/>
        </w:rPr>
      </w:pPr>
      <w:r>
        <w:t>4.</w:t>
      </w:r>
      <w:r>
        <w:tab/>
        <w:t>Smoking</w:t>
      </w:r>
      <w:r>
        <w:tab/>
      </w:r>
      <w:r>
        <w:fldChar w:fldCharType="begin"/>
      </w:r>
      <w:r>
        <w:instrText xml:space="preserve"> PAGEREF _Toc434412228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may be directed to leave site</w:t>
      </w:r>
      <w:r>
        <w:tab/>
      </w:r>
      <w:r>
        <w:fldChar w:fldCharType="begin"/>
      </w:r>
      <w:r>
        <w:instrText xml:space="preserve"> PAGEREF _Toc434412229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 </w:t>
      </w:r>
      <w:r>
        <w:t>Parking</w:t>
      </w:r>
    </w:p>
    <w:p>
      <w:pPr>
        <w:pStyle w:val="TOC8"/>
        <w:rPr>
          <w:rFonts w:asciiTheme="minorHAnsi" w:eastAsiaTheme="minorEastAsia" w:hAnsiTheme="minorHAnsi" w:cstheme="minorBidi"/>
          <w:szCs w:val="22"/>
        </w:rPr>
      </w:pPr>
      <w:r>
        <w:t>6.</w:t>
      </w:r>
      <w:r>
        <w:tab/>
        <w:t>Parking to be in parking spaces only</w:t>
      </w:r>
      <w:r>
        <w:tab/>
      </w:r>
      <w:r>
        <w:fldChar w:fldCharType="begin"/>
      </w:r>
      <w:r>
        <w:instrText xml:space="preserve"> PAGEREF _Toc434412231 \h </w:instrText>
      </w:r>
      <w:r>
        <w:fldChar w:fldCharType="separate"/>
      </w:r>
      <w:r>
        <w:t>7</w:t>
      </w:r>
      <w:r>
        <w:fldChar w:fldCharType="end"/>
      </w:r>
    </w:p>
    <w:p>
      <w:pPr>
        <w:pStyle w:val="TOC8"/>
        <w:rPr>
          <w:rFonts w:asciiTheme="minorHAnsi" w:eastAsiaTheme="minorEastAsia" w:hAnsiTheme="minorHAnsi" w:cstheme="minorBidi"/>
          <w:szCs w:val="22"/>
        </w:rPr>
      </w:pPr>
      <w:r>
        <w:t>7.</w:t>
      </w:r>
      <w:r>
        <w:tab/>
        <w:t>Signs to be obeyed</w:t>
      </w:r>
      <w:r>
        <w:tab/>
      </w:r>
      <w:r>
        <w:fldChar w:fldCharType="begin"/>
      </w:r>
      <w:r>
        <w:instrText xml:space="preserve"> PAGEREF _Toc434412232 \h </w:instrText>
      </w:r>
      <w:r>
        <w:fldChar w:fldCharType="separate"/>
      </w:r>
      <w:r>
        <w:t>7</w:t>
      </w:r>
      <w:r>
        <w:fldChar w:fldCharType="end"/>
      </w:r>
    </w:p>
    <w:p>
      <w:pPr>
        <w:pStyle w:val="TOC8"/>
        <w:rPr>
          <w:rFonts w:asciiTheme="minorHAnsi" w:eastAsiaTheme="minorEastAsia" w:hAnsiTheme="minorHAnsi" w:cstheme="minorBidi"/>
          <w:szCs w:val="22"/>
        </w:rPr>
      </w:pPr>
      <w:r>
        <w:t>8.</w:t>
      </w:r>
      <w:r>
        <w:tab/>
        <w:t>Parking in parking spaces</w:t>
      </w:r>
      <w:r>
        <w:tab/>
      </w:r>
      <w:r>
        <w:fldChar w:fldCharType="begin"/>
      </w:r>
      <w:r>
        <w:instrText xml:space="preserve"> PAGEREF _Toc434412233 \h </w:instrText>
      </w:r>
      <w:r>
        <w:fldChar w:fldCharType="separate"/>
      </w:r>
      <w:r>
        <w:t>7</w:t>
      </w:r>
      <w:r>
        <w:fldChar w:fldCharType="end"/>
      </w:r>
    </w:p>
    <w:p>
      <w:pPr>
        <w:pStyle w:val="TOC8"/>
        <w:rPr>
          <w:rFonts w:asciiTheme="minorHAnsi" w:eastAsiaTheme="minorEastAsia" w:hAnsiTheme="minorHAnsi" w:cstheme="minorBidi"/>
          <w:szCs w:val="22"/>
        </w:rPr>
      </w:pPr>
      <w:r>
        <w:t>9.</w:t>
      </w:r>
      <w:r>
        <w:tab/>
        <w:t>Permit</w:t>
      </w:r>
      <w:r>
        <w:tab/>
      </w:r>
      <w:r>
        <w:fldChar w:fldCharType="begin"/>
      </w:r>
      <w:r>
        <w:instrText xml:space="preserve"> PAGEREF _Toc434412234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permit fees</w:t>
      </w:r>
      <w:r>
        <w:tab/>
      </w:r>
      <w:r>
        <w:fldChar w:fldCharType="begin"/>
      </w:r>
      <w:r>
        <w:instrText xml:space="preserve"> PAGEREF _Toc434412235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_Toc434412237 \h </w:instrText>
      </w:r>
      <w:r>
        <w:fldChar w:fldCharType="separate"/>
      </w:r>
      <w:r>
        <w:t>11</w:t>
      </w:r>
      <w:r>
        <w:fldChar w:fldCharType="end"/>
      </w:r>
    </w:p>
    <w:p>
      <w:pPr>
        <w:pStyle w:val="TOC8"/>
        <w:rPr>
          <w:rFonts w:asciiTheme="minorHAnsi" w:eastAsiaTheme="minorEastAsia" w:hAnsiTheme="minorHAnsi" w:cstheme="minorBidi"/>
          <w:szCs w:val="22"/>
        </w:rPr>
      </w:pPr>
      <w:r>
        <w:t>12.</w:t>
      </w:r>
      <w:r>
        <w:tab/>
        <w:t>Infringement notices</w:t>
      </w:r>
      <w:r>
        <w:tab/>
      </w:r>
      <w:r>
        <w:fldChar w:fldCharType="begin"/>
      </w:r>
      <w:r>
        <w:instrText xml:space="preserve"> PAGEREF _Toc434412238 \h </w:instrText>
      </w:r>
      <w:r>
        <w:fldChar w:fldCharType="separate"/>
      </w:r>
      <w:r>
        <w:t>11</w:t>
      </w:r>
      <w:r>
        <w:fldChar w:fldCharType="end"/>
      </w:r>
    </w:p>
    <w:p>
      <w:pPr>
        <w:pStyle w:val="TOC8"/>
        <w:rPr>
          <w:rFonts w:asciiTheme="minorHAnsi" w:eastAsiaTheme="minorEastAsia" w:hAnsiTheme="minorHAnsi" w:cstheme="minorBidi"/>
          <w:szCs w:val="22"/>
        </w:rPr>
      </w:pPr>
      <w:r>
        <w:t>13.</w:t>
      </w:r>
      <w:r>
        <w:tab/>
        <w:t>Withdrawal of infringement notice</w:t>
      </w:r>
      <w:r>
        <w:tab/>
      </w:r>
      <w:r>
        <w:fldChar w:fldCharType="begin"/>
      </w:r>
      <w:r>
        <w:instrText xml:space="preserve"> PAGEREF _Toc434412239 \h </w:instrText>
      </w:r>
      <w:r>
        <w:fldChar w:fldCharType="separate"/>
      </w:r>
      <w:r>
        <w:t>12</w:t>
      </w:r>
      <w:r>
        <w:fldChar w:fldCharType="end"/>
      </w:r>
    </w:p>
    <w:p>
      <w:pPr>
        <w:pStyle w:val="TOC8"/>
        <w:rPr>
          <w:rFonts w:asciiTheme="minorHAnsi" w:eastAsiaTheme="minorEastAsia" w:hAnsiTheme="minorHAnsi" w:cstheme="minorBidi"/>
          <w:szCs w:val="22"/>
        </w:rPr>
      </w:pPr>
      <w:r>
        <w:t>14.</w:t>
      </w:r>
      <w:r>
        <w:tab/>
        <w:t>Authorised persons to produce certificate</w:t>
      </w:r>
      <w:r>
        <w:tab/>
      </w:r>
      <w:r>
        <w:fldChar w:fldCharType="begin"/>
      </w:r>
      <w:r>
        <w:instrText xml:space="preserve"> PAGEREF _Toc434412240 \h </w:instrText>
      </w:r>
      <w:r>
        <w:fldChar w:fldCharType="separate"/>
      </w:r>
      <w:r>
        <w:t>13</w:t>
      </w:r>
      <w:r>
        <w:fldChar w:fldCharType="end"/>
      </w:r>
    </w:p>
    <w:p>
      <w:pPr>
        <w:pStyle w:val="TOC8"/>
        <w:rPr>
          <w:rFonts w:asciiTheme="minorHAnsi" w:eastAsiaTheme="minorEastAsia" w:hAnsiTheme="minorHAnsi" w:cstheme="minorBidi"/>
          <w:szCs w:val="22"/>
        </w:rPr>
      </w:pPr>
      <w:r>
        <w:t>15.</w:t>
      </w:r>
      <w:r>
        <w:tab/>
        <w:t>Authorised persons only to endorse and alter infringement notices</w:t>
      </w:r>
      <w:r>
        <w:tab/>
      </w:r>
      <w:r>
        <w:fldChar w:fldCharType="begin"/>
      </w:r>
      <w:r>
        <w:instrText xml:space="preserve"> PAGEREF _Toc434412241 \h </w:instrText>
      </w:r>
      <w:r>
        <w:fldChar w:fldCharType="separate"/>
      </w:r>
      <w:r>
        <w:t>13</w:t>
      </w:r>
      <w:r>
        <w:fldChar w:fldCharType="end"/>
      </w:r>
    </w:p>
    <w:p>
      <w:pPr>
        <w:pStyle w:val="TOC8"/>
        <w:rPr>
          <w:rFonts w:asciiTheme="minorHAnsi" w:eastAsiaTheme="minorEastAsia" w:hAnsiTheme="minorHAnsi" w:cstheme="minorBidi"/>
          <w:szCs w:val="22"/>
        </w:rPr>
      </w:pPr>
      <w:r>
        <w:t>16.</w:t>
      </w:r>
      <w:r>
        <w:tab/>
        <w:t>Restriction on removal of infringement notices</w:t>
      </w:r>
      <w:r>
        <w:tab/>
      </w:r>
      <w:r>
        <w:fldChar w:fldCharType="begin"/>
      </w:r>
      <w:r>
        <w:instrText xml:space="preserve"> PAGEREF _Toc434412242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Metropolitan Health Service sites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_Toc434412248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3" w:name="_Toc430771719"/>
      <w:bookmarkStart w:id="4" w:name="_Toc434412219"/>
      <w:r>
        <w:rPr>
          <w:rStyle w:val="CharPartNo"/>
        </w:rPr>
        <w:t>Part 1</w:t>
      </w:r>
      <w:r>
        <w:rPr>
          <w:b w:val="0"/>
        </w:rPr>
        <w:t> — </w:t>
      </w:r>
      <w:r>
        <w:rPr>
          <w:rStyle w:val="CharPartText"/>
        </w:rPr>
        <w:t>Preliminary</w:t>
      </w:r>
      <w:bookmarkEnd w:id="3"/>
      <w:bookmarkEnd w:id="4"/>
    </w:p>
    <w:p>
      <w:pPr>
        <w:pStyle w:val="Footnoteheading"/>
      </w:pPr>
      <w:r>
        <w:tab/>
        <w:t>[Heading inserted in Gazette 26 Nov 2010 p. 5939.]</w:t>
      </w:r>
    </w:p>
    <w:p>
      <w:pPr>
        <w:pStyle w:val="Heading5"/>
      </w:pPr>
      <w:bookmarkStart w:id="5" w:name="_Toc434412220"/>
      <w:r>
        <w:rPr>
          <w:rStyle w:val="CharSectno"/>
        </w:rPr>
        <w:t>1</w:t>
      </w:r>
      <w:r>
        <w:t>.</w:t>
      </w:r>
      <w:r>
        <w:tab/>
        <w:t>Citation</w:t>
      </w:r>
      <w:bookmarkEnd w:id="5"/>
    </w:p>
    <w:p>
      <w:pPr>
        <w:pStyle w:val="Subsection"/>
        <w:ind w:right="990"/>
        <w:rPr>
          <w:i/>
        </w:rPr>
      </w:pPr>
      <w:r>
        <w:tab/>
      </w:r>
      <w:r>
        <w:tab/>
      </w:r>
      <w:bookmarkStart w:id="6" w:name="Start_Cursor"/>
      <w:bookmarkEnd w:id="6"/>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7" w:name="_Toc43441222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8" w:name="_Toc434412222"/>
      <w:r>
        <w:rPr>
          <w:rStyle w:val="CharSectno"/>
        </w:rPr>
        <w:t>3</w:t>
      </w:r>
      <w:r>
        <w:t>.</w:t>
      </w:r>
      <w:r>
        <w:tab/>
        <w:t>Terms used</w:t>
      </w:r>
      <w:bookmarkEnd w:id="8"/>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Name">
        <w:r>
          <w:t>Rockingham</w:t>
        </w:r>
      </w:smartTag>
      <w:r>
        <w:t xml:space="preserve"> General Hospital; or</w:t>
      </w:r>
    </w:p>
    <w:p>
      <w:pPr>
        <w:pStyle w:val="Defpara"/>
      </w:pPr>
      <w:r>
        <w:tab/>
        <w:t>(d)</w:t>
      </w:r>
      <w:r>
        <w:tab/>
        <w:t>the Murray District Hospital;</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Name">
        <w:r>
          <w:t>Rockingham</w:t>
        </w:r>
      </w:smartTag>
      <w:r>
        <w:t xml:space="preserve"> General Hospital; and</w:t>
      </w:r>
    </w:p>
    <w:p>
      <w:pPr>
        <w:pStyle w:val="Defpara"/>
      </w:pPr>
      <w:r>
        <w:tab/>
        <w:t>(d)</w:t>
      </w:r>
      <w:r>
        <w:tab/>
        <w:t>Murray District Hospital,</w:t>
      </w:r>
    </w:p>
    <w:p>
      <w:pPr>
        <w:pStyle w:val="Defstart"/>
      </w:pPr>
      <w:r>
        <w:tab/>
        <w:t>being the land described in Schedule 1;</w:t>
      </w:r>
    </w:p>
    <w:p>
      <w:pPr>
        <w:pStyle w:val="Defstart"/>
      </w:pPr>
      <w:r>
        <w:tab/>
      </w:r>
      <w:r>
        <w:rPr>
          <w:rStyle w:val="CharDefText"/>
        </w:rPr>
        <w:t>vehicle</w:t>
      </w:r>
      <w:r>
        <w:t xml:space="preserve"> has the meaning given in the </w:t>
      </w:r>
      <w:r>
        <w:rPr>
          <w:i/>
        </w:rPr>
        <w:t xml:space="preserve">Road Traffic (Administration) Act 2008 </w:t>
      </w:r>
      <w:r>
        <w:t>section 4.</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 8 Jan 2015 p. 185</w:t>
      </w:r>
      <w:r>
        <w:noBreakHyphen/>
        <w:t>6; 18 Sep 2015 p. 3799</w:t>
      </w:r>
      <w:r>
        <w:noBreakHyphen/>
        <w:t>800.]</w:t>
      </w:r>
    </w:p>
    <w:p>
      <w:pPr>
        <w:pStyle w:val="Heading5"/>
      </w:pPr>
      <w:bookmarkStart w:id="9" w:name="_Toc434412223"/>
      <w:r>
        <w:rPr>
          <w:rStyle w:val="CharSectno"/>
        </w:rPr>
        <w:t>4A</w:t>
      </w:r>
      <w:r>
        <w:t>.</w:t>
      </w:r>
      <w:r>
        <w:tab/>
        <w:t>Appointment of authorised persons</w:t>
      </w:r>
      <w:bookmarkEnd w:id="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10" w:name="_Toc430771724"/>
      <w:bookmarkStart w:id="11" w:name="_Toc434412224"/>
      <w:r>
        <w:rPr>
          <w:rStyle w:val="CharPartNo"/>
        </w:rPr>
        <w:t>Part 2</w:t>
      </w:r>
      <w:r>
        <w:rPr>
          <w:b w:val="0"/>
        </w:rPr>
        <w:t> — </w:t>
      </w:r>
      <w:r>
        <w:rPr>
          <w:rStyle w:val="CharPartText"/>
        </w:rPr>
        <w:t>Behaviour on site</w:t>
      </w:r>
      <w:bookmarkEnd w:id="10"/>
      <w:bookmarkEnd w:id="11"/>
    </w:p>
    <w:p>
      <w:pPr>
        <w:pStyle w:val="Footnoteheading"/>
      </w:pPr>
      <w:r>
        <w:tab/>
        <w:t>[Heading inserted in Gazette 26 Nov 2010 p. 5939.]</w:t>
      </w:r>
    </w:p>
    <w:p>
      <w:pPr>
        <w:pStyle w:val="Heading5"/>
      </w:pPr>
      <w:bookmarkStart w:id="12" w:name="_Toc434412225"/>
      <w:r>
        <w:rPr>
          <w:rStyle w:val="CharSectno"/>
        </w:rPr>
        <w:t>4B</w:t>
      </w:r>
      <w:r>
        <w:t>.</w:t>
      </w:r>
      <w:r>
        <w:tab/>
        <w:t>No entry without cause</w:t>
      </w:r>
      <w:bookmarkEnd w:id="12"/>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13" w:name="_Toc434412226"/>
      <w:r>
        <w:rPr>
          <w:rStyle w:val="CharSectno"/>
        </w:rPr>
        <w:t>4C</w:t>
      </w:r>
      <w:r>
        <w:t>.</w:t>
      </w:r>
      <w:r>
        <w:tab/>
        <w:t>Directions as to use of certain areas</w:t>
      </w:r>
      <w:bookmarkEnd w:id="13"/>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14" w:name="_Toc434412227"/>
      <w:r>
        <w:rPr>
          <w:rStyle w:val="CharSectno"/>
        </w:rPr>
        <w:t>4D</w:t>
      </w:r>
      <w:r>
        <w:t>.</w:t>
      </w:r>
      <w:r>
        <w:tab/>
        <w:t>Prohibited items</w:t>
      </w:r>
      <w:bookmarkEnd w:id="1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15" w:name="_Toc434412228"/>
      <w:r>
        <w:rPr>
          <w:rStyle w:val="CharSectno"/>
        </w:rPr>
        <w:t>4</w:t>
      </w:r>
      <w:r>
        <w:t>.</w:t>
      </w:r>
      <w:r>
        <w:tab/>
        <w:t>Smoking</w:t>
      </w:r>
      <w:bookmarkEnd w:id="1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6" w:name="_Toc434412229"/>
      <w:r>
        <w:rPr>
          <w:rStyle w:val="CharSectno"/>
        </w:rPr>
        <w:t>5</w:t>
      </w:r>
      <w:r>
        <w:t>.</w:t>
      </w:r>
      <w:r>
        <w:tab/>
        <w:t>Persons may be directed to leave site</w:t>
      </w:r>
      <w:bookmarkEnd w:id="1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17" w:name="_Toc430771730"/>
      <w:bookmarkStart w:id="18" w:name="_Toc434412230"/>
      <w:r>
        <w:rPr>
          <w:rStyle w:val="CharPartNo"/>
        </w:rPr>
        <w:t>Part 3</w:t>
      </w:r>
      <w:r>
        <w:rPr>
          <w:b w:val="0"/>
        </w:rPr>
        <w:t> — </w:t>
      </w:r>
      <w:r>
        <w:rPr>
          <w:rStyle w:val="CharPartText"/>
        </w:rPr>
        <w:t>Parking</w:t>
      </w:r>
      <w:bookmarkEnd w:id="17"/>
      <w:bookmarkEnd w:id="18"/>
    </w:p>
    <w:p>
      <w:pPr>
        <w:pStyle w:val="Footnoteheading"/>
      </w:pPr>
      <w:r>
        <w:tab/>
        <w:t>[Heading inserted in Gazette 26 Nov 2010 p. 5939.]</w:t>
      </w:r>
    </w:p>
    <w:p>
      <w:pPr>
        <w:pStyle w:val="Heading5"/>
      </w:pPr>
      <w:bookmarkStart w:id="19" w:name="_Toc434412231"/>
      <w:r>
        <w:rPr>
          <w:rStyle w:val="CharSectno"/>
        </w:rPr>
        <w:t>6</w:t>
      </w:r>
      <w:r>
        <w:t>.</w:t>
      </w:r>
      <w:r>
        <w:tab/>
        <w:t>Parking to be in parking spaces only</w:t>
      </w:r>
      <w:bookmarkEnd w:id="19"/>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20" w:name="_Toc434412232"/>
      <w:r>
        <w:rPr>
          <w:rStyle w:val="CharSectno"/>
        </w:rPr>
        <w:t>7</w:t>
      </w:r>
      <w:r>
        <w:t>.</w:t>
      </w:r>
      <w:r>
        <w:tab/>
        <w:t>Signs to be obeyed</w:t>
      </w:r>
      <w:bookmarkEnd w:id="20"/>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21" w:name="_Toc434412233"/>
      <w:r>
        <w:rPr>
          <w:rStyle w:val="CharSectno"/>
        </w:rPr>
        <w:t>8</w:t>
      </w:r>
      <w:r>
        <w:t>.</w:t>
      </w:r>
      <w:r>
        <w:tab/>
        <w:t>Parking in parking spaces</w:t>
      </w:r>
      <w:bookmarkEnd w:id="21"/>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ageBreakBefore/>
        <w:spacing w:before="0"/>
      </w:pPr>
      <w:r>
        <w:tab/>
        <w:t>(3)</w:t>
      </w:r>
      <w:r>
        <w:tab/>
        <w:t>A person must not park, stand or move a vehicle in a parking space or a parking facility contrary to a direction in a sign.</w:t>
      </w:r>
    </w:p>
    <w:p>
      <w:pPr>
        <w:pStyle w:val="Penstart"/>
      </w:pPr>
      <w:r>
        <w:tab/>
        <w:t>Penalty: a fine of $50.</w:t>
      </w:r>
    </w:p>
    <w:p>
      <w:pPr>
        <w:pStyle w:val="Footnotesection"/>
      </w:pPr>
      <w:r>
        <w:tab/>
        <w:t>[By-law 8 inserted in Gazette 26 Nov 2010 p. 5940; amended in Gazette 18 Feb 2011 p. 582.]</w:t>
      </w:r>
    </w:p>
    <w:p>
      <w:pPr>
        <w:pStyle w:val="Heading5"/>
      </w:pPr>
      <w:bookmarkStart w:id="22" w:name="_Toc434412234"/>
      <w:r>
        <w:rPr>
          <w:rStyle w:val="CharSectno"/>
        </w:rPr>
        <w:t>9</w:t>
      </w:r>
      <w:r>
        <w:t>.</w:t>
      </w:r>
      <w:r>
        <w:tab/>
        <w:t>Permit</w:t>
      </w:r>
      <w:bookmarkEnd w:id="22"/>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ageBreakBefore/>
        <w:spacing w:before="0"/>
      </w:pPr>
      <w:bookmarkStart w:id="23" w:name="_Toc434412235"/>
      <w:r>
        <w:rPr>
          <w:rStyle w:val="CharSectno"/>
        </w:rPr>
        <w:t>10</w:t>
      </w:r>
      <w:r>
        <w:t>.</w:t>
      </w:r>
      <w:r>
        <w:tab/>
        <w:t>Refund of permit fees</w:t>
      </w:r>
      <w:bookmarkEnd w:id="23"/>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24" w:name="_Toc430771736"/>
      <w:bookmarkStart w:id="25" w:name="_Toc434412236"/>
      <w:r>
        <w:rPr>
          <w:rStyle w:val="CharPartNo"/>
        </w:rPr>
        <w:t>Part 4</w:t>
      </w:r>
      <w:r>
        <w:t> — </w:t>
      </w:r>
      <w:r>
        <w:rPr>
          <w:rStyle w:val="CharPartText"/>
        </w:rPr>
        <w:t>Infringement notices</w:t>
      </w:r>
      <w:bookmarkEnd w:id="24"/>
      <w:bookmarkEnd w:id="25"/>
    </w:p>
    <w:p>
      <w:pPr>
        <w:pStyle w:val="Footnoteheading"/>
      </w:pPr>
      <w:r>
        <w:tab/>
        <w:t>[Heading inserted in Gazette 26 Nov 2010 p. 5942.]</w:t>
      </w:r>
    </w:p>
    <w:p>
      <w:pPr>
        <w:pStyle w:val="Heading5"/>
      </w:pPr>
      <w:bookmarkStart w:id="26" w:name="_Toc434412237"/>
      <w:r>
        <w:rPr>
          <w:rStyle w:val="CharSectno"/>
        </w:rPr>
        <w:t>11</w:t>
      </w:r>
      <w:r>
        <w:t>.</w:t>
      </w:r>
      <w:r>
        <w:tab/>
        <w:t>Terms used</w:t>
      </w:r>
      <w:bookmarkEnd w:id="26"/>
    </w:p>
    <w:p>
      <w:pPr>
        <w:pStyle w:val="Subsection"/>
      </w:pPr>
      <w:r>
        <w:tab/>
      </w:r>
      <w:r>
        <w:tab/>
        <w:t xml:space="preserve">In this Part — </w:t>
      </w:r>
    </w:p>
    <w:p>
      <w:pPr>
        <w:pStyle w:val="Defstart"/>
      </w:pPr>
      <w:r>
        <w:tab/>
      </w:r>
      <w:r>
        <w:rPr>
          <w:rStyle w:val="CharDefText"/>
        </w:rPr>
        <w:t>alleged offender</w:t>
      </w:r>
      <w:r>
        <w:t xml:space="preserve"> includes the responsible person for a vehicle to which an infringement notice is attached;</w:t>
      </w:r>
    </w:p>
    <w:p>
      <w:pPr>
        <w:pStyle w:val="Defstart"/>
      </w:pPr>
      <w:r>
        <w:tab/>
      </w:r>
      <w:r>
        <w:rPr>
          <w:rStyle w:val="CharDefText"/>
        </w:rPr>
        <w:t>infringement notice</w:t>
      </w:r>
      <w:r>
        <w:t xml:space="preserve"> means an infringement notice under by</w:t>
      </w:r>
      <w:r>
        <w:noBreakHyphen/>
        <w:t>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 amended in Gazette 8 Jan 2015 p. 186.]</w:t>
      </w:r>
    </w:p>
    <w:p>
      <w:pPr>
        <w:pStyle w:val="Heading5"/>
      </w:pPr>
      <w:bookmarkStart w:id="27" w:name="_Toc434412238"/>
      <w:r>
        <w:rPr>
          <w:rStyle w:val="CharSectno"/>
        </w:rPr>
        <w:t>12</w:t>
      </w:r>
      <w:r>
        <w:t>.</w:t>
      </w:r>
      <w:r>
        <w:tab/>
        <w:t>Infringement notices</w:t>
      </w:r>
      <w:bookmarkEnd w:id="27"/>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28" w:name="_Toc434412239"/>
      <w:r>
        <w:rPr>
          <w:rStyle w:val="CharSectno"/>
        </w:rPr>
        <w:t>13</w:t>
      </w:r>
      <w:r>
        <w:t>.</w:t>
      </w:r>
      <w:r>
        <w:tab/>
        <w:t>Withdrawal of infringement notice</w:t>
      </w:r>
      <w:bookmarkEnd w:id="28"/>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29" w:name="_Toc434412240"/>
      <w:r>
        <w:rPr>
          <w:rStyle w:val="CharSectno"/>
        </w:rPr>
        <w:t>14</w:t>
      </w:r>
      <w:r>
        <w:t>.</w:t>
      </w:r>
      <w:r>
        <w:tab/>
        <w:t>Authorised persons to produce certificate</w:t>
      </w:r>
      <w:bookmarkEnd w:id="29"/>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30" w:name="_Toc434412241"/>
      <w:r>
        <w:rPr>
          <w:rStyle w:val="CharSectno"/>
        </w:rPr>
        <w:t>15</w:t>
      </w:r>
      <w:r>
        <w:t>.</w:t>
      </w:r>
      <w:r>
        <w:tab/>
        <w:t>Authorised persons only to endorse and alter infringement notices</w:t>
      </w:r>
      <w:bookmarkEnd w:id="30"/>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31" w:name="_Toc434412242"/>
      <w:r>
        <w:rPr>
          <w:rStyle w:val="CharSectno"/>
        </w:rPr>
        <w:t>16</w:t>
      </w:r>
      <w:r>
        <w:t>.</w:t>
      </w:r>
      <w:r>
        <w:tab/>
        <w:t>Restriction on removal of infringement notices</w:t>
      </w:r>
      <w:bookmarkEnd w:id="31"/>
    </w:p>
    <w:p>
      <w:pPr>
        <w:pStyle w:val="Subsection"/>
      </w:pPr>
      <w:r>
        <w:tab/>
      </w:r>
      <w:r>
        <w:tab/>
        <w:t xml:space="preserve">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 amended in Gazette 8 Jan 2015 p. 186.]</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32" w:name="_Toc430771743"/>
      <w:bookmarkStart w:id="33" w:name="_Toc434412243"/>
      <w:r>
        <w:rPr>
          <w:rStyle w:val="CharSchNo"/>
        </w:rPr>
        <w:t>Schedule 1</w:t>
      </w:r>
      <w:r>
        <w:rPr>
          <w:rStyle w:val="CharSDivNo"/>
        </w:rPr>
        <w:t> </w:t>
      </w:r>
      <w:r>
        <w:t>—</w:t>
      </w:r>
      <w:r>
        <w:rPr>
          <w:rStyle w:val="CharSDivText"/>
        </w:rPr>
        <w:t> </w:t>
      </w:r>
      <w:r>
        <w:rPr>
          <w:rStyle w:val="CharSchText"/>
        </w:rPr>
        <w:t>Metropolitan Health Service sites</w:t>
      </w:r>
      <w:bookmarkEnd w:id="32"/>
      <w:bookmarkEnd w:id="33"/>
    </w:p>
    <w:p>
      <w:pPr>
        <w:pStyle w:val="yShoulderClause"/>
        <w:spacing w:after="120"/>
      </w:pPr>
      <w:r>
        <w:t>[bl. 3]</w:t>
      </w:r>
    </w:p>
    <w:tbl>
      <w:tblPr>
        <w:tblW w:w="0" w:type="auto"/>
        <w:tblInd w:w="250" w:type="dxa"/>
        <w:tblLook w:val="0000" w:firstRow="0" w:lastRow="0" w:firstColumn="0" w:lastColumn="0" w:noHBand="0" w:noVBand="0"/>
      </w:tblPr>
      <w:tblGrid>
        <w:gridCol w:w="1011"/>
        <w:gridCol w:w="6052"/>
      </w:tblGrid>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r>
        <w:tc>
          <w:tcPr>
            <w:tcW w:w="7063" w:type="dxa"/>
            <w:gridSpan w:val="2"/>
          </w:tcPr>
          <w:p>
            <w:pPr>
              <w:pStyle w:val="yTable"/>
              <w:spacing w:before="120" w:after="120"/>
            </w:pPr>
            <w:r>
              <w:rPr>
                <w:b/>
                <w:bCs/>
                <w:sz w:val="24"/>
                <w:u w:val="single"/>
              </w:rPr>
              <w:t>Murray District Hospital</w:t>
            </w:r>
          </w:p>
        </w:tc>
      </w:tr>
      <w:tr>
        <w:tc>
          <w:tcPr>
            <w:tcW w:w="1011" w:type="dxa"/>
          </w:tcPr>
          <w:p>
            <w:pPr>
              <w:pStyle w:val="yTable"/>
            </w:pPr>
          </w:p>
        </w:tc>
        <w:tc>
          <w:tcPr>
            <w:tcW w:w="6052" w:type="dxa"/>
          </w:tcPr>
          <w:p>
            <w:pPr>
              <w:pStyle w:val="yTable"/>
              <w:ind w:left="601" w:hanging="601"/>
            </w:pPr>
            <w:r>
              <w:t>Lot 352 on Deposited Plan 36578</w:t>
            </w:r>
            <w:r>
              <w:br/>
              <w:t>Certificate of Title Volume 2546 Folio 67</w:t>
            </w:r>
          </w:p>
        </w:tc>
      </w:tr>
      <w:tr>
        <w:tc>
          <w:tcPr>
            <w:tcW w:w="1011" w:type="dxa"/>
          </w:tcPr>
          <w:p>
            <w:pPr>
              <w:pStyle w:val="yTable"/>
            </w:pPr>
          </w:p>
        </w:tc>
        <w:tc>
          <w:tcPr>
            <w:tcW w:w="6052" w:type="dxa"/>
          </w:tcPr>
          <w:p>
            <w:pPr>
              <w:pStyle w:val="yTable"/>
              <w:ind w:left="601" w:hanging="601"/>
            </w:pPr>
            <w:r>
              <w:t>Lot 377 on Deposited Plan 223049</w:t>
            </w:r>
            <w:r>
              <w:br/>
              <w:t>Certificate of Title Volume 2209 Folio 982</w:t>
            </w:r>
          </w:p>
        </w:tc>
      </w:tr>
      <w:tr>
        <w:tc>
          <w:tcPr>
            <w:tcW w:w="1011" w:type="dxa"/>
          </w:tcPr>
          <w:p>
            <w:pPr>
              <w:pStyle w:val="yTable"/>
            </w:pPr>
          </w:p>
        </w:tc>
        <w:tc>
          <w:tcPr>
            <w:tcW w:w="6052" w:type="dxa"/>
          </w:tcPr>
          <w:p>
            <w:pPr>
              <w:pStyle w:val="yTable"/>
              <w:ind w:left="601" w:hanging="601"/>
            </w:pPr>
            <w:r>
              <w:t>Lot 378 on Deposited Plan 223049</w:t>
            </w:r>
            <w:r>
              <w:br/>
              <w:t>Certificate of Title Volume 2209 Folio 983</w:t>
            </w:r>
          </w:p>
        </w:tc>
      </w:tr>
      <w:tr>
        <w:tc>
          <w:tcPr>
            <w:tcW w:w="1011" w:type="dxa"/>
          </w:tcPr>
          <w:p>
            <w:pPr>
              <w:pStyle w:val="yTable"/>
            </w:pPr>
          </w:p>
        </w:tc>
        <w:tc>
          <w:tcPr>
            <w:tcW w:w="6052" w:type="dxa"/>
          </w:tcPr>
          <w:p>
            <w:pPr>
              <w:pStyle w:val="yTable"/>
              <w:ind w:left="601" w:hanging="601"/>
            </w:pPr>
            <w:r>
              <w:t>Lot 300 on Deposited Plan 42796</w:t>
            </w:r>
            <w:r>
              <w:br/>
              <w:t>Certificate of Title Volume LR3135 Folio 544</w:t>
            </w:r>
          </w:p>
        </w:tc>
      </w:tr>
      <w:tr>
        <w:tc>
          <w:tcPr>
            <w:tcW w:w="1011" w:type="dxa"/>
          </w:tcPr>
          <w:p>
            <w:pPr>
              <w:pStyle w:val="yTable"/>
            </w:pPr>
          </w:p>
        </w:tc>
        <w:tc>
          <w:tcPr>
            <w:tcW w:w="6052" w:type="dxa"/>
          </w:tcPr>
          <w:p>
            <w:pPr>
              <w:pStyle w:val="yTable"/>
              <w:ind w:left="601" w:hanging="601"/>
            </w:pPr>
            <w:r>
              <w:t>Lot 1 on Deposited Plan 41004</w:t>
            </w:r>
            <w:r>
              <w:br/>
              <w:t>Certificate of Title Volume 2558 Folio 213</w:t>
            </w:r>
          </w:p>
        </w:tc>
      </w:tr>
    </w:tbl>
    <w:p>
      <w:pPr>
        <w:pStyle w:val="yFootnotesection"/>
      </w:pPr>
      <w:r>
        <w:tab/>
        <w:t>[Schedule 1 amended in Gazette 26 Nov 2010 p. 5944; 18 Sep 2015 p. 3800.]</w:t>
      </w:r>
    </w:p>
    <w:p>
      <w:pPr>
        <w:pStyle w:val="yScheduleHeading"/>
      </w:pPr>
      <w:bookmarkStart w:id="34" w:name="_Toc430771744"/>
      <w:bookmarkStart w:id="35" w:name="_Toc434412244"/>
      <w:r>
        <w:rPr>
          <w:rStyle w:val="CharSchNo"/>
        </w:rPr>
        <w:t>Schedule 2</w:t>
      </w:r>
      <w:r>
        <w:t> — </w:t>
      </w:r>
      <w:r>
        <w:rPr>
          <w:rStyle w:val="CharSchText"/>
        </w:rPr>
        <w:t>Fees</w:t>
      </w:r>
      <w:bookmarkEnd w:id="34"/>
      <w:bookmarkEnd w:id="35"/>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single" w:sz="4" w:space="0" w:color="auto"/>
            </w:tcBorders>
          </w:tcPr>
          <w:p>
            <w:pPr>
              <w:pStyle w:val="yTableNAm"/>
              <w:rPr>
                <w:b/>
                <w:bCs/>
              </w:rPr>
            </w:pPr>
            <w:r>
              <w:rPr>
                <w:b/>
                <w:bCs/>
              </w:rPr>
              <w:t>Type of permit</w:t>
            </w:r>
          </w:p>
        </w:tc>
        <w:tc>
          <w:tcPr>
            <w:tcW w:w="2977" w:type="dxa"/>
            <w:tcBorders>
              <w:top w:val="single" w:sz="4" w:space="0" w:color="auto"/>
              <w:bottom w:val="single" w:sz="4" w:space="0" w:color="auto"/>
            </w:tcBorders>
          </w:tcPr>
          <w:p>
            <w:pPr>
              <w:pStyle w:val="yTableNAm"/>
              <w:rPr>
                <w:b/>
                <w:bCs/>
              </w:rPr>
            </w:pPr>
            <w:r>
              <w:rPr>
                <w:b/>
                <w:bCs/>
              </w:rPr>
              <w:t>Fee</w:t>
            </w:r>
          </w:p>
        </w:tc>
      </w:tr>
      <w:tr>
        <w:tc>
          <w:tcPr>
            <w:tcW w:w="4111"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977" w:type="dxa"/>
            <w:tcBorders>
              <w:top w:val="single" w:sz="4" w:space="0" w:color="auto"/>
            </w:tcBorders>
          </w:tcPr>
          <w:p>
            <w:pPr>
              <w:pStyle w:val="yTableNAm"/>
              <w:rPr>
                <w:rStyle w:val="DraftersNotes"/>
              </w:rPr>
            </w:pPr>
            <w:r>
              <w:rPr>
                <w:szCs w:val="22"/>
              </w:rPr>
              <w:t>No fee</w:t>
            </w:r>
          </w:p>
        </w:tc>
      </w:tr>
      <w:tr>
        <w:tc>
          <w:tcPr>
            <w:tcW w:w="4111"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977" w:type="dxa"/>
          </w:tcPr>
          <w:p>
            <w:pPr>
              <w:pStyle w:val="yTableNAm"/>
            </w:pPr>
            <w:r>
              <w:rPr>
                <w:szCs w:val="22"/>
              </w:rPr>
              <w:t>No fee</w:t>
            </w:r>
          </w:p>
        </w:tc>
      </w:tr>
      <w:tr>
        <w:tc>
          <w:tcPr>
            <w:tcW w:w="4111" w:type="dxa"/>
          </w:tcPr>
          <w:p>
            <w:pPr>
              <w:pStyle w:val="yTableNAm"/>
            </w:pPr>
            <w:r>
              <w:t>All types of parking permit at Kalamunda District Community Hospital</w:t>
            </w:r>
          </w:p>
        </w:tc>
        <w:tc>
          <w:tcPr>
            <w:tcW w:w="2977" w:type="dxa"/>
          </w:tcPr>
          <w:p>
            <w:pPr>
              <w:pStyle w:val="yTableNAm"/>
              <w:rPr>
                <w:szCs w:val="22"/>
              </w:rPr>
            </w:pPr>
            <w:r>
              <w:rPr>
                <w:szCs w:val="22"/>
              </w:rPr>
              <w:t>No fee</w:t>
            </w:r>
          </w:p>
        </w:tc>
      </w:tr>
      <w:tr>
        <w:tc>
          <w:tcPr>
            <w:tcW w:w="4111" w:type="dxa"/>
          </w:tcPr>
          <w:p>
            <w:pPr>
              <w:pStyle w:val="yTableNAm"/>
            </w:pPr>
            <w:r>
              <w:t>All types of parking permit at Murray District Hospital</w:t>
            </w:r>
          </w:p>
        </w:tc>
        <w:tc>
          <w:tcPr>
            <w:tcW w:w="2977" w:type="dxa"/>
          </w:tcPr>
          <w:p>
            <w:pPr>
              <w:pStyle w:val="yTableNAm"/>
              <w:rPr>
                <w:szCs w:val="22"/>
              </w:rPr>
            </w:pPr>
            <w:r>
              <w:rPr>
                <w:szCs w:val="22"/>
              </w:rPr>
              <w:t>No fee</w:t>
            </w:r>
          </w:p>
        </w:tc>
      </w:tr>
    </w:tbl>
    <w:p>
      <w:pPr>
        <w:pStyle w:val="yFootnotesection"/>
      </w:pPr>
      <w:r>
        <w:tab/>
        <w:t>[Schedule 2 inserted in Gazette 26 Nov 2010 p. 5944; amended in Gazette 23 Dec 2011 p. 5444; 18 Sep 2015 p. 3800.]</w:t>
      </w:r>
    </w:p>
    <w:p>
      <w:pPr>
        <w:pStyle w:val="yScheduleHeading"/>
      </w:pPr>
      <w:bookmarkStart w:id="36" w:name="_Toc430771745"/>
      <w:bookmarkStart w:id="37" w:name="_Toc434412245"/>
      <w:r>
        <w:rPr>
          <w:rStyle w:val="CharSchNo"/>
        </w:rPr>
        <w:t>Schedule 3</w:t>
      </w:r>
      <w:r>
        <w:t> — </w:t>
      </w:r>
      <w:r>
        <w:rPr>
          <w:rStyle w:val="CharSchText"/>
        </w:rPr>
        <w:t>Infringement notices and modified penalties</w:t>
      </w:r>
      <w:bookmarkEnd w:id="36"/>
      <w:bookmarkEnd w:id="37"/>
    </w:p>
    <w:p>
      <w:pPr>
        <w:pStyle w:val="yShoulderClause"/>
      </w:pPr>
      <w:r>
        <w:t>[bl. 12]</w:t>
      </w:r>
    </w:p>
    <w:p>
      <w:pPr>
        <w:pStyle w:val="yFootnoteheading"/>
        <w:spacing w:after="60"/>
      </w:pPr>
      <w:r>
        <w:tab/>
        <w:t>[Heading inserted in Gazette 26 Nov 2010 p. 5945.]</w:t>
      </w:r>
    </w:p>
    <w:tbl>
      <w:tblPr>
        <w:tblW w:w="0" w:type="auto"/>
        <w:tblInd w:w="142" w:type="dxa"/>
        <w:tblLayout w:type="fixed"/>
        <w:tblCellMar>
          <w:left w:w="142" w:type="dxa"/>
          <w:right w:w="142" w:type="dxa"/>
        </w:tblCellMar>
        <w:tblLook w:val="0000" w:firstRow="0" w:lastRow="0" w:firstColumn="0" w:lastColumn="0" w:noHBand="0" w:noVBand="0"/>
      </w:tblPr>
      <w:tblGrid>
        <w:gridCol w:w="1276"/>
        <w:gridCol w:w="4253"/>
        <w:gridCol w:w="1559"/>
      </w:tblGrid>
      <w:tr>
        <w:trPr>
          <w:tblHeader/>
        </w:trPr>
        <w:tc>
          <w:tcPr>
            <w:tcW w:w="1276"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559"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1276" w:type="dxa"/>
          </w:tcPr>
          <w:p>
            <w:pPr>
              <w:pStyle w:val="yTableNAm"/>
              <w:jc w:val="center"/>
            </w:pPr>
            <w:r>
              <w:t>9(9)</w:t>
            </w:r>
          </w:p>
        </w:tc>
        <w:tc>
          <w:tcPr>
            <w:tcW w:w="4253" w:type="dxa"/>
          </w:tcPr>
          <w:p>
            <w:pPr>
              <w:pStyle w:val="yTableNAm"/>
            </w:pPr>
            <w:r>
              <w:t>Parking in an area on site set apart for permit holders only, without a current permit</w:t>
            </w:r>
          </w:p>
        </w:tc>
        <w:tc>
          <w:tcPr>
            <w:tcW w:w="1559" w:type="dxa"/>
          </w:tcPr>
          <w:p>
            <w:pPr>
              <w:pStyle w:val="yTableNAm"/>
              <w:jc w:val="center"/>
            </w:pPr>
            <w:r>
              <w:t>30</w:t>
            </w:r>
          </w:p>
        </w:tc>
      </w:tr>
      <w:tr>
        <w:tc>
          <w:tcPr>
            <w:tcW w:w="1276" w:type="dxa"/>
          </w:tcPr>
          <w:p>
            <w:pPr>
              <w:pStyle w:val="yTableNAm"/>
              <w:jc w:val="center"/>
            </w:pPr>
            <w:r>
              <w:t>15</w:t>
            </w:r>
          </w:p>
        </w:tc>
        <w:tc>
          <w:tcPr>
            <w:tcW w:w="4253" w:type="dxa"/>
          </w:tcPr>
          <w:p>
            <w:pPr>
              <w:pStyle w:val="yTableNAm"/>
            </w:pPr>
            <w:r>
              <w:t>Unauthorised person endorsing or altering an infringement notice</w:t>
            </w:r>
          </w:p>
        </w:tc>
        <w:tc>
          <w:tcPr>
            <w:tcW w:w="1559" w:type="dxa"/>
          </w:tcPr>
          <w:p>
            <w:pPr>
              <w:pStyle w:val="yTableNAm"/>
              <w:jc w:val="center"/>
            </w:pPr>
            <w:r>
              <w:t>20</w:t>
            </w:r>
          </w:p>
        </w:tc>
      </w:tr>
      <w:tr>
        <w:tc>
          <w:tcPr>
            <w:tcW w:w="1276" w:type="dxa"/>
            <w:tcBorders>
              <w:bottom w:val="single" w:sz="4" w:space="0" w:color="auto"/>
            </w:tcBorders>
          </w:tcPr>
          <w:p>
            <w:pPr>
              <w:pStyle w:val="yTableNAm"/>
              <w:jc w:val="center"/>
            </w:pPr>
            <w:r>
              <w:t>16</w:t>
            </w:r>
          </w:p>
        </w:tc>
        <w:tc>
          <w:tcPr>
            <w:tcW w:w="4253" w:type="dxa"/>
            <w:tcBorders>
              <w:bottom w:val="single" w:sz="4" w:space="0" w:color="auto"/>
            </w:tcBorders>
          </w:tcPr>
          <w:p>
            <w:pPr>
              <w:pStyle w:val="yTableNAm"/>
            </w:pPr>
            <w:r>
              <w:t>Removing an infringement notice when not authorised to do so</w:t>
            </w:r>
          </w:p>
        </w:tc>
        <w:tc>
          <w:tcPr>
            <w:tcW w:w="1559" w:type="dxa"/>
            <w:tcBorders>
              <w:bottom w:val="single" w:sz="4" w:space="0" w:color="auto"/>
            </w:tcBorders>
          </w:tcPr>
          <w:p>
            <w:pPr>
              <w:pStyle w:val="yTableNAm"/>
              <w:jc w:val="center"/>
            </w:pPr>
            <w:r>
              <w:t>20</w:t>
            </w:r>
          </w:p>
        </w:tc>
      </w:tr>
    </w:tbl>
    <w:p>
      <w:pPr>
        <w:pStyle w:val="yFootnotesection"/>
      </w:pPr>
      <w:r>
        <w:tab/>
        <w:t>[Schedule 3 inserted in Gazette 26 Nov 2010 p. 5945.]</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9" w:name="_Toc430771746"/>
      <w:bookmarkStart w:id="40" w:name="_Toc434412246"/>
      <w:r>
        <w:rPr>
          <w:rStyle w:val="CharSchNo"/>
        </w:rPr>
        <w:t>Schedule 4</w:t>
      </w:r>
      <w:r>
        <w:t> — </w:t>
      </w:r>
      <w:r>
        <w:rPr>
          <w:rStyle w:val="CharSchText"/>
        </w:rPr>
        <w:t>Forms</w:t>
      </w:r>
      <w:bookmarkEnd w:id="39"/>
      <w:bookmarkEnd w:id="40"/>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60"/>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spacing w:before="80"/>
            </w:pPr>
          </w:p>
          <w:p>
            <w:pPr>
              <w:pStyle w:val="yTableNAm"/>
              <w:spacing w:before="80"/>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spacing w:before="80"/>
            </w:pPr>
            <w:r>
              <w:t>Modified Penalty</w:t>
            </w:r>
          </w:p>
          <w:p>
            <w:pPr>
              <w:pStyle w:val="yTableNAm"/>
              <w:spacing w:before="80"/>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spacing w:before="80"/>
            </w:pPr>
            <w:r>
              <w:t>If paid before</w:t>
            </w:r>
          </w:p>
          <w:p>
            <w:pPr>
              <w:pStyle w:val="yTableNAm"/>
              <w:spacing w:before="80"/>
            </w:pPr>
            <w:r>
              <w:t>....................................</w:t>
            </w:r>
          </w:p>
        </w:tc>
        <w:tc>
          <w:tcPr>
            <w:tcW w:w="2400" w:type="dxa"/>
            <w:gridSpan w:val="2"/>
            <w:tcBorders>
              <w:top w:val="single" w:sz="4" w:space="0" w:color="auto"/>
              <w:left w:val="single" w:sz="4" w:space="0" w:color="auto"/>
              <w:bottom w:val="single" w:sz="4" w:space="0" w:color="auto"/>
            </w:tcBorders>
          </w:tcPr>
          <w:p>
            <w:pPr>
              <w:pStyle w:val="yTableNAm"/>
              <w:spacing w:before="80"/>
            </w:pPr>
            <w:r>
              <w:t>Full Penalty</w:t>
            </w:r>
          </w:p>
          <w:p>
            <w:pPr>
              <w:pStyle w:val="yTableNAm"/>
              <w:spacing w:before="80"/>
            </w:pPr>
            <w:r>
              <w:t>....................................</w:t>
            </w:r>
          </w:p>
        </w:tc>
      </w:tr>
      <w:tr>
        <w:trPr>
          <w:cantSplit/>
        </w:trPr>
        <w:tc>
          <w:tcPr>
            <w:tcW w:w="2138" w:type="dxa"/>
            <w:tcBorders>
              <w:top w:val="single" w:sz="4" w:space="0" w:color="auto"/>
              <w:left w:val="nil"/>
              <w:bottom w:val="nil"/>
              <w:right w:val="nil"/>
            </w:tcBorders>
          </w:tcPr>
          <w:p>
            <w:pPr>
              <w:pStyle w:val="yTableNAm"/>
              <w:spacing w:before="80"/>
            </w:pPr>
          </w:p>
        </w:tc>
        <w:tc>
          <w:tcPr>
            <w:tcW w:w="2400" w:type="dxa"/>
            <w:gridSpan w:val="3"/>
            <w:tcBorders>
              <w:top w:val="single" w:sz="4" w:space="0" w:color="auto"/>
              <w:left w:val="nil"/>
              <w:bottom w:val="nil"/>
              <w:right w:val="nil"/>
            </w:tcBorders>
          </w:tcPr>
          <w:p>
            <w:pPr>
              <w:pStyle w:val="yTableNAm"/>
              <w:spacing w:before="80"/>
            </w:pPr>
          </w:p>
        </w:tc>
        <w:tc>
          <w:tcPr>
            <w:tcW w:w="2400" w:type="dxa"/>
            <w:gridSpan w:val="2"/>
            <w:tcBorders>
              <w:top w:val="single" w:sz="4" w:space="0" w:color="auto"/>
              <w:left w:val="nil"/>
              <w:bottom w:val="nil"/>
              <w:right w:val="nil"/>
            </w:tcBorders>
          </w:tcPr>
          <w:p>
            <w:pPr>
              <w:pStyle w:val="yTableNAm"/>
              <w:spacing w:before="80"/>
            </w:pPr>
          </w:p>
        </w:tc>
      </w:tr>
      <w:tr>
        <w:trPr>
          <w:cantSplit/>
        </w:trPr>
        <w:tc>
          <w:tcPr>
            <w:tcW w:w="2138" w:type="dxa"/>
            <w:tcBorders>
              <w:top w:val="nil"/>
              <w:left w:val="nil"/>
              <w:bottom w:val="nil"/>
              <w:right w:val="nil"/>
            </w:tcBorders>
          </w:tcPr>
          <w:p>
            <w:pPr>
              <w:pStyle w:val="yTableNAm"/>
              <w:spacing w:before="80"/>
            </w:pPr>
          </w:p>
        </w:tc>
        <w:tc>
          <w:tcPr>
            <w:tcW w:w="2400" w:type="dxa"/>
            <w:gridSpan w:val="3"/>
            <w:tcBorders>
              <w:top w:val="nil"/>
              <w:left w:val="nil"/>
              <w:bottom w:val="nil"/>
              <w:right w:val="nil"/>
            </w:tcBorders>
          </w:tcPr>
          <w:p>
            <w:pPr>
              <w:pStyle w:val="yTableNAm"/>
              <w:spacing w:before="80"/>
            </w:pPr>
          </w:p>
        </w:tc>
        <w:tc>
          <w:tcPr>
            <w:tcW w:w="2400" w:type="dxa"/>
            <w:gridSpan w:val="2"/>
            <w:tcBorders>
              <w:top w:val="nil"/>
              <w:left w:val="nil"/>
              <w:bottom w:val="nil"/>
              <w:right w:val="nil"/>
            </w:tcBorders>
          </w:tcPr>
          <w:p>
            <w:pPr>
              <w:pStyle w:val="yTableNAm"/>
              <w:spacing w:before="80"/>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 amended in Gazette 8 Jan 2015 p. 186</w:t>
      </w:r>
      <w:r>
        <w:noBreakHyphen/>
        <w:t>7.]</w:t>
      </w:r>
    </w:p>
    <w:p>
      <w:pPr>
        <w:pStyle w:val="yMiscellaneousHeading"/>
        <w:keepNext w:val="0"/>
        <w:pageBreakBefore/>
        <w:spacing w:before="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41" w:name="_Toc430771747"/>
      <w:bookmarkStart w:id="42" w:name="_Toc434412247"/>
      <w:r>
        <w:t>Notes</w:t>
      </w:r>
      <w:bookmarkEnd w:id="41"/>
      <w:bookmarkEnd w:id="42"/>
    </w:p>
    <w:p>
      <w:pPr>
        <w:pStyle w:val="nSubsection"/>
      </w:pPr>
      <w:r>
        <w:rPr>
          <w:vertAlign w:val="superscript"/>
        </w:rPr>
        <w:t>1</w:t>
      </w:r>
      <w:r>
        <w:tab/>
        <w:t xml:space="preserve">This is a compilation of the </w:t>
      </w:r>
      <w:r>
        <w:rPr>
          <w:i/>
          <w:noProof/>
        </w:rPr>
        <w:t>Metropolitan Health Service By-laws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43" w:name="_Toc434412248"/>
      <w:r>
        <w:t>Compilation table</w:t>
      </w:r>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top w:val="single" w:sz="8" w:space="0" w:color="auto"/>
              <w:bottom w:val="nil"/>
            </w:tcBorders>
          </w:tcPr>
          <w:p>
            <w:pPr>
              <w:pStyle w:val="nTable"/>
              <w:spacing w:after="40"/>
            </w:pPr>
            <w:r>
              <w:t>12 Feb 2008 p. 341</w:t>
            </w:r>
            <w:r>
              <w:noBreakHyphen/>
              <w:t>2</w:t>
            </w:r>
          </w:p>
        </w:tc>
        <w:tc>
          <w:tcPr>
            <w:tcW w:w="2693" w:type="dxa"/>
            <w:tcBorders>
              <w:top w:val="single" w:sz="8" w:space="0" w:color="auto"/>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rPr>
              <w:t>bl. 1 and 2: 13 Jun 2014 (see bl. 2(a));</w:t>
            </w:r>
            <w:r>
              <w:rPr>
                <w:rFonts w:ascii="Times" w:hAnsi="Times"/>
                <w:bCs/>
                <w:snapToGrid w:val="0"/>
              </w:rPr>
              <w:br/>
              <w:t xml:space="preserve">By-laws other than bl. 1 and 2: 1 Jul 2014 (see bl. 2(b)) </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2014</w:t>
            </w:r>
          </w:p>
        </w:tc>
        <w:tc>
          <w:tcPr>
            <w:tcW w:w="1276" w:type="dxa"/>
            <w:tcBorders>
              <w:top w:val="nil"/>
              <w:left w:val="nil"/>
              <w:bottom w:val="nil"/>
              <w:right w:val="nil"/>
            </w:tcBorders>
          </w:tcPr>
          <w:p>
            <w:pPr>
              <w:pStyle w:val="nTable"/>
              <w:spacing w:after="40"/>
            </w:pPr>
            <w:r>
              <w:t>8 Jan 2015 p. 185</w:t>
            </w:r>
            <w:r>
              <w:noBreakHyphen/>
              <w:t>7</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8 Jan 2015 (see bl. 2(a));</w:t>
            </w:r>
            <w:r>
              <w:rPr>
                <w:rFonts w:ascii="Times" w:hAnsi="Times"/>
                <w:bCs/>
                <w:snapToGrid w:val="0"/>
              </w:rPr>
              <w:br/>
              <w:t xml:space="preserve">By-laws other than bl. 1 and 2: 27 Apr 2015 (see bl. 2(b) and </w:t>
            </w:r>
            <w:r>
              <w:rPr>
                <w:rFonts w:ascii="Times" w:hAnsi="Times"/>
                <w:bCs/>
                <w:i/>
                <w:snapToGrid w:val="0"/>
              </w:rPr>
              <w:t>Gazette</w:t>
            </w:r>
            <w:r>
              <w:rPr>
                <w:rFonts w:ascii="Times" w:hAnsi="Times"/>
                <w:bCs/>
                <w:snapToGrid w:val="0"/>
              </w:rPr>
              <w:t xml:space="preserve"> 17 Apr 2015 p. 1371)</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nil"/>
              <w:right w:val="nil"/>
            </w:tcBorders>
          </w:tcPr>
          <w:p>
            <w:pPr>
              <w:pStyle w:val="nTable"/>
              <w:spacing w:after="40"/>
            </w:pPr>
            <w:r>
              <w:t>14 Apr 2015 p. 1337</w:t>
            </w:r>
            <w:r>
              <w:noBreakHyphen/>
              <w:t>41</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14 Apr 2015 (see bl. 2(a));</w:t>
            </w:r>
            <w:r>
              <w:rPr>
                <w:rFonts w:ascii="Times" w:hAnsi="Times"/>
                <w:bCs/>
                <w:snapToGrid w:val="0"/>
              </w:rPr>
              <w:br/>
              <w:t>By-laws other than bl. 1 and 2: 15 Apr 2015 (see bl. 2(b))</w:t>
            </w:r>
          </w:p>
        </w:tc>
      </w:tr>
      <w:tr>
        <w:tc>
          <w:tcPr>
            <w:tcW w:w="3118" w:type="dxa"/>
            <w:tcBorders>
              <w:top w:val="nil"/>
              <w:bottom w:val="nil"/>
              <w:right w:val="nil"/>
            </w:tcBorders>
            <w:shd w:val="clear" w:color="auto" w:fill="auto"/>
          </w:tcPr>
          <w:p>
            <w:pPr>
              <w:pStyle w:val="nTable"/>
              <w:keepNext/>
              <w:spacing w:after="40"/>
              <w:rPr>
                <w:i/>
              </w:rPr>
            </w:pPr>
            <w:r>
              <w:rPr>
                <w:i/>
              </w:rPr>
              <w:t>Metropolitan Health Service Amendment By</w:t>
            </w:r>
            <w:r>
              <w:rPr>
                <w:i/>
              </w:rPr>
              <w:noBreakHyphen/>
              <w:t>laws (No. 2) 2015</w:t>
            </w:r>
          </w:p>
        </w:tc>
        <w:tc>
          <w:tcPr>
            <w:tcW w:w="1276" w:type="dxa"/>
            <w:tcBorders>
              <w:top w:val="nil"/>
              <w:left w:val="nil"/>
              <w:bottom w:val="nil"/>
              <w:right w:val="nil"/>
            </w:tcBorders>
            <w:shd w:val="clear" w:color="auto" w:fill="auto"/>
          </w:tcPr>
          <w:p>
            <w:pPr>
              <w:pStyle w:val="nTable"/>
              <w:keepNext/>
              <w:spacing w:after="40"/>
            </w:pPr>
            <w:r>
              <w:t>18 Sep 2015 p. 3799</w:t>
            </w:r>
            <w:r>
              <w:noBreakHyphen/>
              <w:t>800</w:t>
            </w:r>
          </w:p>
        </w:tc>
        <w:tc>
          <w:tcPr>
            <w:tcW w:w="2693" w:type="dxa"/>
            <w:tcBorders>
              <w:top w:val="nil"/>
              <w:left w:val="nil"/>
              <w:bottom w:val="nil"/>
            </w:tcBorders>
            <w:shd w:val="clear" w:color="auto" w:fill="auto"/>
          </w:tcPr>
          <w:p>
            <w:pPr>
              <w:pStyle w:val="nTable"/>
              <w:keepNext/>
              <w:spacing w:after="40"/>
              <w:rPr>
                <w:rFonts w:ascii="Times" w:hAnsi="Times"/>
                <w:bCs/>
                <w:snapToGrid w:val="0"/>
              </w:rPr>
            </w:pPr>
            <w:r>
              <w:rPr>
                <w:rFonts w:ascii="Times" w:hAnsi="Times"/>
                <w:bCs/>
                <w:snapToGrid w:val="0"/>
              </w:rPr>
              <w:t>bl. 1 and 2: 18 Sep 2015 (see bl. 2(a));</w:t>
            </w:r>
            <w:r>
              <w:rPr>
                <w:rFonts w:ascii="Times" w:hAnsi="Times"/>
                <w:bCs/>
                <w:snapToGrid w:val="0"/>
              </w:rPr>
              <w:br/>
              <w:t>By-laws other than bl. 1 and 2: 19 Sep 2015 (see bl. 2(b))</w:t>
            </w:r>
          </w:p>
        </w:tc>
      </w:tr>
      <w:tr>
        <w:tc>
          <w:tcPr>
            <w:tcW w:w="7087" w:type="dxa"/>
            <w:gridSpan w:val="3"/>
            <w:tcBorders>
              <w:top w:val="nil"/>
              <w:bottom w:val="single" w:sz="8" w:space="0" w:color="auto"/>
            </w:tcBorders>
            <w:shd w:val="clear" w:color="auto" w:fill="auto"/>
          </w:tcPr>
          <w:p>
            <w:pPr>
              <w:pStyle w:val="nTable"/>
              <w:keepNext/>
              <w:spacing w:after="40"/>
              <w:rPr>
                <w:rFonts w:ascii="Times" w:hAnsi="Times"/>
                <w:bCs/>
                <w:snapToGrid w:val="0"/>
              </w:rPr>
            </w:pPr>
            <w:r>
              <w:rPr>
                <w:rFonts w:ascii="Times" w:hAnsi="Times"/>
                <w:b/>
                <w:bCs/>
                <w:snapToGrid w:val="0"/>
              </w:rPr>
              <w:t xml:space="preserve">Reprint 1: The </w:t>
            </w:r>
            <w:r>
              <w:rPr>
                <w:rFonts w:ascii="Times" w:hAnsi="Times"/>
                <w:b/>
                <w:bCs/>
                <w:i/>
                <w:noProof/>
                <w:snapToGrid w:val="0"/>
              </w:rPr>
              <w:t>Metropolitan Health Service By-laws 2008</w:t>
            </w:r>
            <w:r>
              <w:rPr>
                <w:rFonts w:ascii="Times" w:hAnsi="Times"/>
                <w:b/>
                <w:bCs/>
                <w:snapToGrid w:val="0"/>
              </w:rPr>
              <w:t xml:space="preserve"> as at 4 Dec 2015</w:t>
            </w:r>
            <w:r>
              <w:rPr>
                <w:rFonts w:ascii="Times" w:hAnsi="Times"/>
                <w:bCs/>
                <w:snapToGrid w:val="0"/>
              </w:rP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 w:name="_Toc402966387"/>
      <w:bookmarkStart w:id="45" w:name="_Toc436042042"/>
      <w:bookmarkStart w:id="46" w:name="_Toc452373592"/>
      <w:r>
        <w:rPr>
          <w:snapToGrid w:val="0"/>
        </w:rPr>
        <w:t>Provisions that have not come into operation</w:t>
      </w:r>
      <w:bookmarkEnd w:id="44"/>
      <w:bookmarkEnd w:id="45"/>
      <w:bookmarkEnd w:id="46"/>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307(h)</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307(h)</w:t>
      </w:r>
      <w:r>
        <w:rPr>
          <w:i/>
        </w:rPr>
        <w:t xml:space="preserve"> </w:t>
      </w:r>
      <w:r>
        <w:rPr>
          <w:snapToGrid w:val="0"/>
        </w:rPr>
        <w:t>had not come into operation.  It reads as follows:</w:t>
      </w:r>
    </w:p>
    <w:p>
      <w:pPr>
        <w:pStyle w:val="BlankOpen"/>
      </w:pPr>
    </w:p>
    <w:p>
      <w:pPr>
        <w:pStyle w:val="nzHeading5"/>
      </w:pPr>
      <w:bookmarkStart w:id="47" w:name="_Toc451509718"/>
      <w:r>
        <w:rPr>
          <w:rStyle w:val="CharSectno"/>
        </w:rPr>
        <w:t>307</w:t>
      </w:r>
      <w:r>
        <w:t>.</w:t>
      </w:r>
      <w:r>
        <w:tab/>
        <w:t>By</w:t>
      </w:r>
      <w:r>
        <w:noBreakHyphen/>
        <w:t>laws and regulations repealed</w:t>
      </w:r>
      <w:bookmarkEnd w:id="47"/>
    </w:p>
    <w:p>
      <w:pPr>
        <w:pStyle w:val="nzSubsection"/>
      </w:pPr>
      <w:r>
        <w:tab/>
      </w:r>
      <w:r>
        <w:tab/>
        <w:t>These by</w:t>
      </w:r>
      <w:r>
        <w:noBreakHyphen/>
        <w:t>laws and regulations are repealed:</w:t>
      </w:r>
    </w:p>
    <w:p>
      <w:pPr>
        <w:pStyle w:val="nzIndenta"/>
      </w:pPr>
      <w:r>
        <w:tab/>
        <w:t>(h)</w:t>
      </w:r>
      <w:r>
        <w:tab/>
      </w:r>
      <w:r>
        <w:rPr>
          <w:i/>
        </w:rPr>
        <w:t>Metropolitan Health Service By</w:t>
      </w:r>
      <w:r>
        <w:rPr>
          <w:i/>
        </w:rPr>
        <w:noBreakHyphen/>
        <w:t>laws 2008</w:t>
      </w:r>
      <w:r>
        <w:t>;</w:t>
      </w:r>
    </w:p>
    <w:p>
      <w:pPr>
        <w:pStyle w:val="BlankClose"/>
        <w:rPr>
          <w:snapToGrid w:val="0"/>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11</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11</w:t>
      </w:r>
    </w:p>
    <w:p>
      <w:pPr>
        <w:pStyle w:val="DefinedTerms"/>
      </w:pPr>
      <w:r>
        <w:t>modified penalty</w:t>
      </w:r>
      <w:r>
        <w:tab/>
        <w:t>11</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4D(1)</w:t>
      </w:r>
    </w:p>
    <w:p>
      <w:pPr>
        <w:pStyle w:val="DefinedTerms"/>
      </w:pPr>
      <w:r>
        <w:t>responsible person</w:t>
      </w:r>
      <w:r>
        <w:tab/>
        <w:t>3(1)</w:t>
      </w:r>
    </w:p>
    <w:p>
      <w:pPr>
        <w:pStyle w:val="DefinedTerms"/>
      </w:pPr>
      <w:r>
        <w:t>sign</w:t>
      </w:r>
      <w:r>
        <w:tab/>
        <w:t>3(1)</w:t>
      </w:r>
    </w:p>
    <w:p>
      <w:pPr>
        <w:pStyle w:val="DefinedTerms"/>
      </w:pPr>
      <w:r>
        <w:t>site</w:t>
      </w:r>
      <w:r>
        <w:tab/>
        <w:t>3(1)</w:t>
      </w:r>
    </w:p>
    <w:p>
      <w:pPr>
        <w:pStyle w:val="DefinedTerms"/>
      </w:pPr>
      <w:r>
        <w:t>specified</w:t>
      </w:r>
      <w:r>
        <w:tab/>
        <w:t>4C(1), 8(1), 9(1)</w:t>
      </w:r>
    </w:p>
    <w:p>
      <w:pPr>
        <w:pStyle w:val="DefinedTerms"/>
      </w:pPr>
      <w:r>
        <w:t>vehicle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XMF73u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lvlText w:val="%1."/>
      <w:lvlJc w:val="left"/>
      <w:pPr>
        <w:tabs>
          <w:tab w:val="num" w:pos="1492"/>
        </w:tabs>
        <w:ind w:left="1492" w:hanging="360"/>
      </w:pPr>
    </w:lvl>
  </w:abstractNum>
  <w:abstractNum w:abstractNumId="1">
    <w:nsid w:val="FFFFFF7D"/>
    <w:multiLevelType w:val="singleLevel"/>
    <w:tmpl w:val="FB1263CA"/>
    <w:lvl w:ilvl="0">
      <w:start w:val="1"/>
      <w:numFmt w:val="decimal"/>
      <w:lvlText w:val="%1."/>
      <w:lvlJc w:val="left"/>
      <w:pPr>
        <w:tabs>
          <w:tab w:val="num" w:pos="1209"/>
        </w:tabs>
        <w:ind w:left="1209" w:hanging="360"/>
      </w:pPr>
    </w:lvl>
  </w:abstractNum>
  <w:abstractNum w:abstractNumId="2">
    <w:nsid w:val="FFFFFF7E"/>
    <w:multiLevelType w:val="singleLevel"/>
    <w:tmpl w:val="5F78F992"/>
    <w:lvl w:ilvl="0">
      <w:start w:val="1"/>
      <w:numFmt w:val="decimal"/>
      <w:lvlText w:val="%1."/>
      <w:lvlJc w:val="left"/>
      <w:pPr>
        <w:tabs>
          <w:tab w:val="num" w:pos="926"/>
        </w:tabs>
        <w:ind w:left="926" w:hanging="360"/>
      </w:pPr>
    </w:lvl>
  </w:abstractNum>
  <w:abstractNum w:abstractNumId="3">
    <w:nsid w:val="FFFFFF7F"/>
    <w:multiLevelType w:val="singleLevel"/>
    <w:tmpl w:val="0860A9D2"/>
    <w:lvl w:ilvl="0">
      <w:start w:val="1"/>
      <w:numFmt w:val="decimal"/>
      <w:lvlText w:val="%1."/>
      <w:lvlJc w:val="left"/>
      <w:pPr>
        <w:tabs>
          <w:tab w:val="num" w:pos="643"/>
        </w:tabs>
        <w:ind w:left="643" w:hanging="360"/>
      </w:pPr>
    </w:lvl>
  </w:abstractNum>
  <w:abstractNum w:abstractNumId="4">
    <w:nsid w:val="FFFFFF80"/>
    <w:multiLevelType w:val="singleLevel"/>
    <w:tmpl w:val="212CFDB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lvlText w:val="%1."/>
      <w:lvlJc w:val="left"/>
      <w:pPr>
        <w:tabs>
          <w:tab w:val="num" w:pos="360"/>
        </w:tabs>
        <w:ind w:left="360" w:hanging="360"/>
      </w:pPr>
    </w:lvl>
  </w:abstractNum>
  <w:abstractNum w:abstractNumId="9">
    <w:nsid w:val="FFFFFF89"/>
    <w:multiLevelType w:val="singleLevel"/>
    <w:tmpl w:val="F6C8ECD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36B674E"/>
    <w:multiLevelType w:val="multilevel"/>
    <w:tmpl w:val="DB1A0EE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5434"/>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 w:name="WAFER_20150917130009" w:val="RemoveTocBookmarks,RemoveUnusedBookmarks,RemoveLanguageTags,UsedStyles,ResetPageSize"/>
    <w:docVar w:name="WAFER_20150917130009_GUID" w:val="2b18b44b-09f7-40ab-8e14-4bb23bf9ae2c"/>
    <w:docVar w:name="WAFER_20150922144922" w:val="RemoveTocBookmarks,RemoveUnusedBookmarks,RemoveLanguageTags,UsedStyles,ResetPageSize,RemoveCustomizations"/>
    <w:docVar w:name="WAFER_20150922144922_GUID" w:val="ea738727-061e-4f4a-aa7f-fcfa572b8a48"/>
    <w:docVar w:name="WAFER_20151104145434" w:val="UpdateStyles,UsedStyles"/>
    <w:docVar w:name="WAFER_20151104145434_GUID" w:val="0e56ab17-5998-4425-bf77-972f2445c1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CE2B2-E443-4459-89B6-23565F470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4336</Words>
  <Characters>21206</Characters>
  <Application>Microsoft Office Word</Application>
  <DocSecurity>0</DocSecurity>
  <Lines>731</Lines>
  <Paragraphs>521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2008 - 01-b0-00</dc:title>
  <dc:subject/>
  <dc:creator/>
  <cp:keywords/>
  <dc:description/>
  <cp:lastModifiedBy>svcMRProcess</cp:lastModifiedBy>
  <cp:revision>4</cp:revision>
  <cp:lastPrinted>2015-12-03T04:08:00Z</cp:lastPrinted>
  <dcterms:created xsi:type="dcterms:W3CDTF">2016-06-01T09:23:00Z</dcterms:created>
  <dcterms:modified xsi:type="dcterms:W3CDTF">2016-06-01T09:23:00Z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OWLSUId">
    <vt:i4>356</vt:i4>
  </property>
  <property fmtid="{D5CDD505-2E9C-101B-9397-08002B2CF9AE}" pid="4" name="DocumentType">
    <vt:lpwstr>Reg</vt:lpwstr>
  </property>
  <property fmtid="{D5CDD505-2E9C-101B-9397-08002B2CF9AE}" pid="5" name="ReprintedAsAt">
    <vt:filetime>2015-12-03T16:00:00Z</vt:filetime>
  </property>
  <property fmtid="{D5CDD505-2E9C-101B-9397-08002B2CF9AE}" pid="6" name="ReprintNo">
    <vt:lpwstr>1</vt:lpwstr>
  </property>
  <property fmtid="{D5CDD505-2E9C-101B-9397-08002B2CF9AE}" pid="7" name="AsAtDate">
    <vt:lpwstr>26 May 2016</vt:lpwstr>
  </property>
  <property fmtid="{D5CDD505-2E9C-101B-9397-08002B2CF9AE}" pid="8" name="Suffix">
    <vt:lpwstr>01-b0-00</vt:lpwstr>
  </property>
  <property fmtid="{D5CDD505-2E9C-101B-9397-08002B2CF9AE}" pid="9" name="CommencementDate">
    <vt:lpwstr>20160526</vt:lpwstr>
  </property>
</Properties>
</file>