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_Toc453661687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_Toc453661688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_Toc453661689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_Toc453661691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_Toc453661692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_Toc453661693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_Toc453661694 \h </w:instrText>
      </w:r>
      <w:r>
        <w:fldChar w:fldCharType="separate"/>
      </w:r>
      <w:r>
        <w:t>3</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_Toc453661695 \h </w:instrText>
      </w:r>
      <w:r>
        <w:fldChar w:fldCharType="separate"/>
      </w:r>
      <w:r>
        <w:t>4</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_Toc453661696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_Toc453661698 \h </w:instrText>
      </w:r>
      <w:r>
        <w:fldChar w:fldCharType="separate"/>
      </w:r>
      <w:r>
        <w:t>5</w:t>
      </w:r>
      <w:r>
        <w:fldChar w:fldCharType="end"/>
      </w:r>
    </w:p>
    <w:p>
      <w:pPr>
        <w:pStyle w:val="TOC8"/>
        <w:rPr>
          <w:rFonts w:asciiTheme="minorHAnsi" w:eastAsiaTheme="minorEastAsia" w:hAnsiTheme="minorHAnsi" w:cstheme="minorBidi"/>
          <w:szCs w:val="22"/>
        </w:rPr>
      </w:pPr>
      <w:r>
        <w:t>10A.</w:t>
      </w:r>
      <w:r>
        <w:tab/>
        <w:t>Authorised purposes for disclosure of information to prescribed persons</w:t>
      </w:r>
      <w:r>
        <w:tab/>
      </w:r>
      <w:r>
        <w:fldChar w:fldCharType="begin"/>
      </w:r>
      <w:r>
        <w:instrText xml:space="preserve"> PAGEREF _Toc453661699 \h </w:instrText>
      </w:r>
      <w:r>
        <w:fldChar w:fldCharType="separate"/>
      </w:r>
      <w:r>
        <w:t>5</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_Toc453661700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_Toc453661702 \h </w:instrText>
      </w:r>
      <w:r>
        <w:fldChar w:fldCharType="separate"/>
      </w:r>
      <w:r>
        <w:t>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_Toc453661703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422122856"/>
      <w:bookmarkStart w:id="4" w:name="_Toc422141873"/>
      <w:bookmarkStart w:id="5" w:name="_Toc423516905"/>
      <w:bookmarkStart w:id="6" w:name="_Toc423517386"/>
      <w:bookmarkStart w:id="7" w:name="_Toc453581156"/>
      <w:bookmarkStart w:id="8" w:name="_Toc453589876"/>
      <w:bookmarkStart w:id="9" w:name="_Toc45366168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53661687"/>
      <w:r>
        <w:rPr>
          <w:rStyle w:val="CharSectno"/>
        </w:rPr>
        <w:t>1</w:t>
      </w:r>
      <w:r>
        <w:t>.</w:t>
      </w:r>
      <w:r>
        <w:tab/>
        <w:t>Citation</w:t>
      </w:r>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2" w:name="_Toc453661688"/>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3" w:name="_Toc453661689"/>
      <w:r>
        <w:rPr>
          <w:rStyle w:val="CharSectno"/>
        </w:rPr>
        <w:t>3</w:t>
      </w:r>
      <w:r>
        <w:t>.</w:t>
      </w:r>
      <w:r>
        <w:tab/>
        <w:t>Terms used</w:t>
      </w:r>
      <w:bookmarkEnd w:id="13"/>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4" w:name="_Toc422122860"/>
      <w:bookmarkStart w:id="15" w:name="_Toc422141877"/>
      <w:bookmarkStart w:id="16" w:name="_Toc423516909"/>
      <w:bookmarkStart w:id="17" w:name="_Toc423517390"/>
      <w:bookmarkStart w:id="18" w:name="_Toc453581160"/>
      <w:bookmarkStart w:id="19" w:name="_Toc453589880"/>
      <w:bookmarkStart w:id="20" w:name="_Toc453661690"/>
      <w:r>
        <w:rPr>
          <w:rStyle w:val="CharPartNo"/>
        </w:rPr>
        <w:t>Part 2</w:t>
      </w:r>
      <w:r>
        <w:rPr>
          <w:rStyle w:val="CharDivNo"/>
        </w:rPr>
        <w:t> </w:t>
      </w:r>
      <w:r>
        <w:t>—</w:t>
      </w:r>
      <w:r>
        <w:rPr>
          <w:rStyle w:val="CharDivText"/>
        </w:rPr>
        <w:t> </w:t>
      </w:r>
      <w:r>
        <w:rPr>
          <w:rStyle w:val="CharPartText"/>
        </w:rPr>
        <w:t>Western Australian Photo Card</w:t>
      </w:r>
      <w:bookmarkEnd w:id="14"/>
      <w:bookmarkEnd w:id="15"/>
      <w:bookmarkEnd w:id="16"/>
      <w:bookmarkEnd w:id="17"/>
      <w:bookmarkEnd w:id="18"/>
      <w:bookmarkEnd w:id="19"/>
      <w:bookmarkEnd w:id="20"/>
    </w:p>
    <w:p>
      <w:pPr>
        <w:pStyle w:val="Heading5"/>
      </w:pPr>
      <w:bookmarkStart w:id="21" w:name="_Toc453661691"/>
      <w:r>
        <w:rPr>
          <w:rStyle w:val="CharSectno"/>
        </w:rPr>
        <w:t>4</w:t>
      </w:r>
      <w:r>
        <w:t>.</w:t>
      </w:r>
      <w:r>
        <w:tab/>
        <w:t>Replacement photo cards</w:t>
      </w:r>
      <w:bookmarkEnd w:id="21"/>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2" w:name="_Toc453661692"/>
      <w:r>
        <w:rPr>
          <w:rStyle w:val="CharSectno"/>
        </w:rPr>
        <w:t>5</w:t>
      </w:r>
      <w:r>
        <w:t>.</w:t>
      </w:r>
      <w:r>
        <w:tab/>
        <w:t>Additional photo cards</w:t>
      </w:r>
      <w:bookmarkEnd w:id="22"/>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3" w:name="_Toc453661693"/>
      <w:r>
        <w:rPr>
          <w:rStyle w:val="CharSectno"/>
        </w:rPr>
        <w:t>6</w:t>
      </w:r>
      <w:r>
        <w:t>.</w:t>
      </w:r>
      <w:r>
        <w:tab/>
        <w:t>Duration of photo card</w:t>
      </w:r>
      <w:bookmarkEnd w:id="23"/>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4" w:name="_Toc453661694"/>
      <w:r>
        <w:rPr>
          <w:rStyle w:val="CharSectno"/>
        </w:rPr>
        <w:t>7</w:t>
      </w:r>
      <w:r>
        <w:t>.</w:t>
      </w:r>
      <w:r>
        <w:tab/>
        <w:t>Fees under s. 5(3)(c)</w:t>
      </w:r>
      <w:bookmarkEnd w:id="24"/>
    </w:p>
    <w:p>
      <w:pPr>
        <w:pStyle w:val="Subsection"/>
      </w:pPr>
      <w:r>
        <w:tab/>
      </w:r>
      <w:r>
        <w:tab/>
        <w:t>The fees specified in the Table are prescribed for the purposes of section 5(3)(c).</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119"/>
        <w:gridCol w:w="2126"/>
      </w:tblGrid>
      <w:tr>
        <w:trPr>
          <w:cantSplit/>
          <w:tblHeader/>
        </w:trPr>
        <w:tc>
          <w:tcPr>
            <w:tcW w:w="822" w:type="dxa"/>
          </w:tcPr>
          <w:p>
            <w:pPr>
              <w:pStyle w:val="TableNAm"/>
              <w:jc w:val="center"/>
              <w:rPr>
                <w:b/>
                <w:bCs/>
              </w:rPr>
            </w:pPr>
            <w:r>
              <w:rPr>
                <w:b/>
                <w:bCs/>
              </w:rPr>
              <w:t>Item</w:t>
            </w:r>
          </w:p>
        </w:tc>
        <w:tc>
          <w:tcPr>
            <w:tcW w:w="3119" w:type="dxa"/>
          </w:tcPr>
          <w:p>
            <w:pPr>
              <w:pStyle w:val="TableNAm"/>
              <w:jc w:val="center"/>
              <w:rPr>
                <w:b/>
                <w:bCs/>
              </w:rPr>
            </w:pPr>
            <w:r>
              <w:rPr>
                <w:b/>
                <w:bCs/>
              </w:rPr>
              <w:t>Matter</w:t>
            </w:r>
          </w:p>
        </w:tc>
        <w:tc>
          <w:tcPr>
            <w:tcW w:w="2126" w:type="dxa"/>
          </w:tcPr>
          <w:p>
            <w:pPr>
              <w:pStyle w:val="TableNAm"/>
              <w:jc w:val="center"/>
              <w:rPr>
                <w:b/>
                <w:bCs/>
              </w:rPr>
            </w:pPr>
            <w:r>
              <w:rPr>
                <w:b/>
                <w:bCs/>
              </w:rPr>
              <w:t>Fee</w:t>
            </w:r>
          </w:p>
        </w:tc>
      </w:tr>
      <w:tr>
        <w:trPr>
          <w:cantSplit/>
        </w:trPr>
        <w:tc>
          <w:tcPr>
            <w:tcW w:w="822" w:type="dxa"/>
          </w:tcPr>
          <w:p>
            <w:pPr>
              <w:pStyle w:val="TableNAm"/>
            </w:pPr>
            <w:r>
              <w:t>1.</w:t>
            </w:r>
          </w:p>
        </w:tc>
        <w:tc>
          <w:tcPr>
            <w:tcW w:w="3119" w:type="dxa"/>
          </w:tcPr>
          <w:p>
            <w:pPr>
              <w:pStyle w:val="TableNAm"/>
            </w:pPr>
            <w:r>
              <w:t>Application for, and issue of, a photo card other than a photo card referred to in item 2 or 3</w:t>
            </w:r>
          </w:p>
        </w:tc>
        <w:tc>
          <w:tcPr>
            <w:tcW w:w="2126" w:type="dxa"/>
          </w:tcPr>
          <w:p>
            <w:pPr>
              <w:pStyle w:val="TableNAm"/>
              <w:jc w:val="center"/>
            </w:pPr>
            <w:r>
              <w:br/>
            </w:r>
            <w:r>
              <w:br/>
            </w:r>
            <w:r>
              <w:br/>
              <w:t>$41.50</w:t>
            </w:r>
          </w:p>
        </w:tc>
      </w:tr>
      <w:tr>
        <w:trPr>
          <w:cantSplit/>
        </w:trPr>
        <w:tc>
          <w:tcPr>
            <w:tcW w:w="822" w:type="dxa"/>
          </w:tcPr>
          <w:p>
            <w:pPr>
              <w:pStyle w:val="TableNAm"/>
            </w:pPr>
            <w:r>
              <w:t>2.</w:t>
            </w:r>
          </w:p>
        </w:tc>
        <w:tc>
          <w:tcPr>
            <w:tcW w:w="3119" w:type="dxa"/>
          </w:tcPr>
          <w:p>
            <w:pPr>
              <w:pStyle w:val="TableNAm"/>
            </w:pPr>
            <w:r>
              <w:t>Application for, and issue of, a replacement photo card in accordance with r. 4</w:t>
            </w:r>
          </w:p>
        </w:tc>
        <w:tc>
          <w:tcPr>
            <w:tcW w:w="2126" w:type="dxa"/>
          </w:tcPr>
          <w:p>
            <w:pPr>
              <w:pStyle w:val="TableNAm"/>
              <w:jc w:val="center"/>
            </w:pPr>
            <w:r>
              <w:br/>
            </w:r>
            <w:r>
              <w:br/>
              <w:t>$36.00</w:t>
            </w:r>
          </w:p>
        </w:tc>
      </w:tr>
      <w:tr>
        <w:trPr>
          <w:cantSplit/>
        </w:trPr>
        <w:tc>
          <w:tcPr>
            <w:tcW w:w="822" w:type="dxa"/>
          </w:tcPr>
          <w:p>
            <w:pPr>
              <w:pStyle w:val="TableNAm"/>
            </w:pPr>
            <w:r>
              <w:t>3.</w:t>
            </w:r>
          </w:p>
        </w:tc>
        <w:tc>
          <w:tcPr>
            <w:tcW w:w="3119" w:type="dxa"/>
          </w:tcPr>
          <w:p>
            <w:pPr>
              <w:pStyle w:val="TableNAm"/>
            </w:pPr>
            <w:r>
              <w:t>Application for, and issue of, an additional photo card in accordance with r. 5</w:t>
            </w:r>
          </w:p>
        </w:tc>
        <w:tc>
          <w:tcPr>
            <w:tcW w:w="2126" w:type="dxa"/>
          </w:tcPr>
          <w:p>
            <w:pPr>
              <w:pStyle w:val="TableNAm"/>
              <w:jc w:val="center"/>
            </w:pPr>
            <w:r>
              <w:br/>
            </w:r>
            <w:r>
              <w:br/>
              <w:t>$36.00</w:t>
            </w:r>
          </w:p>
        </w:tc>
      </w:tr>
    </w:tbl>
    <w:p>
      <w:pPr>
        <w:pStyle w:val="Footnotesection"/>
        <w:spacing w:before="100"/>
        <w:ind w:left="890" w:hanging="890"/>
        <w:rPr>
          <w:rStyle w:val="CharSectno"/>
          <w:b/>
        </w:rPr>
      </w:pPr>
      <w:r>
        <w:tab/>
        <w:t>[Regulation 7 amended in Gazette 12 Jun 2015 p. 2041.]</w:t>
      </w:r>
    </w:p>
    <w:p>
      <w:pPr>
        <w:pStyle w:val="Heading5"/>
      </w:pPr>
      <w:bookmarkStart w:id="25" w:name="_Toc453661695"/>
      <w:r>
        <w:rPr>
          <w:rStyle w:val="CharSectno"/>
        </w:rPr>
        <w:t>8</w:t>
      </w:r>
      <w:r>
        <w:t>.</w:t>
      </w:r>
      <w:r>
        <w:tab/>
        <w:t>Stolen, lost or destroyed photo cards</w:t>
      </w:r>
      <w:bookmarkEnd w:id="25"/>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6" w:name="_Toc453661696"/>
      <w:r>
        <w:rPr>
          <w:rStyle w:val="CharSectno"/>
        </w:rPr>
        <w:t>9</w:t>
      </w:r>
      <w:r>
        <w:t>.</w:t>
      </w:r>
      <w:r>
        <w:tab/>
        <w:t>Change of cardholder’s address</w:t>
      </w:r>
      <w:bookmarkEnd w:id="26"/>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7" w:name="_Toc422122867"/>
      <w:bookmarkStart w:id="28" w:name="_Toc422141884"/>
      <w:bookmarkStart w:id="29" w:name="_Toc423516916"/>
      <w:bookmarkStart w:id="30" w:name="_Toc423517397"/>
      <w:bookmarkStart w:id="31" w:name="_Toc453581167"/>
      <w:bookmarkStart w:id="32" w:name="_Toc453589887"/>
      <w:bookmarkStart w:id="33" w:name="_Toc453661697"/>
      <w:r>
        <w:rPr>
          <w:rStyle w:val="CharPartNo"/>
        </w:rPr>
        <w:t>Part 3</w:t>
      </w:r>
      <w:r>
        <w:rPr>
          <w:rStyle w:val="CharDivNo"/>
        </w:rPr>
        <w:t> </w:t>
      </w:r>
      <w:r>
        <w:t>—</w:t>
      </w:r>
      <w:r>
        <w:rPr>
          <w:rStyle w:val="CharDivText"/>
        </w:rPr>
        <w:t> </w:t>
      </w:r>
      <w:r>
        <w:rPr>
          <w:rStyle w:val="CharPartText"/>
        </w:rPr>
        <w:t>Information management</w:t>
      </w:r>
      <w:bookmarkEnd w:id="27"/>
      <w:bookmarkEnd w:id="28"/>
      <w:bookmarkEnd w:id="29"/>
      <w:bookmarkEnd w:id="30"/>
      <w:bookmarkEnd w:id="31"/>
      <w:bookmarkEnd w:id="32"/>
      <w:bookmarkEnd w:id="33"/>
    </w:p>
    <w:p>
      <w:pPr>
        <w:pStyle w:val="Heading5"/>
      </w:pPr>
      <w:bookmarkStart w:id="34" w:name="_Toc453661698"/>
      <w:r>
        <w:rPr>
          <w:rStyle w:val="CharSectno"/>
        </w:rPr>
        <w:t>10</w:t>
      </w:r>
      <w:r>
        <w:t>.</w:t>
      </w:r>
      <w:r>
        <w:tab/>
        <w:t>Disclosure of photo card information to prescribed persons</w:t>
      </w:r>
      <w:bookmarkEnd w:id="34"/>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Indenta"/>
      </w:pPr>
      <w:r>
        <w:tab/>
        <w:t>(j)</w:t>
      </w:r>
      <w:r>
        <w:tab/>
        <w:t>the Secretary of the Attorney</w:t>
      </w:r>
      <w:r>
        <w:noBreakHyphen/>
        <w:t>General’s Department of the Commonwealth.</w:t>
      </w:r>
    </w:p>
    <w:p>
      <w:pPr>
        <w:pStyle w:val="Footnotesection"/>
        <w:spacing w:before="100"/>
        <w:ind w:left="890" w:hanging="890"/>
      </w:pPr>
      <w:r>
        <w:tab/>
        <w:t>[Regulation 10 amended in Gazette 26 Jun 2015 p. 2276; 14 Jun 2016 p. 1839.]</w:t>
      </w:r>
    </w:p>
    <w:p>
      <w:pPr>
        <w:pStyle w:val="Heading5"/>
      </w:pPr>
      <w:bookmarkStart w:id="35" w:name="_Toc453661699"/>
      <w:r>
        <w:t>10A.</w:t>
      </w:r>
      <w:r>
        <w:tab/>
        <w:t>Authorised purposes for disclosure of information to prescribed persons</w:t>
      </w:r>
      <w:bookmarkEnd w:id="35"/>
    </w:p>
    <w:p>
      <w:pPr>
        <w:pStyle w:val="Subsection"/>
      </w:pPr>
      <w:r>
        <w:tab/>
      </w:r>
      <w:r>
        <w:tab/>
        <w:t xml:space="preserve">In relation to a prescribed person mentioned in regulation 10(j),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in Gazette 14 Jun 2016 p. 1839.]</w:t>
      </w:r>
    </w:p>
    <w:p>
      <w:pPr>
        <w:pStyle w:val="Heading5"/>
      </w:pPr>
      <w:bookmarkStart w:id="36" w:name="_Toc453661700"/>
      <w:r>
        <w:rPr>
          <w:rStyle w:val="CharSectno"/>
        </w:rPr>
        <w:t>11</w:t>
      </w:r>
      <w:r>
        <w:t>.</w:t>
      </w:r>
      <w:r>
        <w:tab/>
        <w:t>Disclosure of photographs</w:t>
      </w:r>
      <w:bookmarkEnd w:id="36"/>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spacing w:before="100"/>
        <w:ind w:left="890" w:hanging="890"/>
      </w:pPr>
      <w:r>
        <w:tab/>
        <w:t>[Regulation 11 amended in Gazette 26 Jun 2015 p. 2276.]</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37" w:name="_Toc422122870"/>
      <w:bookmarkStart w:id="38" w:name="_Toc422141887"/>
      <w:bookmarkStart w:id="39" w:name="_Toc423516919"/>
      <w:bookmarkStart w:id="40" w:name="_Toc423517400"/>
      <w:bookmarkStart w:id="41" w:name="_Toc453581171"/>
      <w:bookmarkStart w:id="42" w:name="_Toc453589891"/>
      <w:bookmarkStart w:id="43" w:name="_Toc453661701"/>
      <w:r>
        <w:t>Notes</w:t>
      </w:r>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Photo Card Regulations 2014</w:t>
      </w:r>
      <w:r>
        <w:rPr>
          <w:snapToGrid w:val="0"/>
        </w:rPr>
        <w:t>.  The following table contains information about those regulations</w:t>
      </w:r>
      <w:r>
        <w:rPr>
          <w:snapToGrid w:val="0"/>
          <w:vertAlign w:val="superscript"/>
        </w:rPr>
        <w:t> 1a</w:t>
      </w:r>
      <w:r>
        <w:rPr>
          <w:snapToGrid w:val="0"/>
        </w:rPr>
        <w:t xml:space="preserve">. </w:t>
      </w:r>
    </w:p>
    <w:p>
      <w:pPr>
        <w:pStyle w:val="nHeading3"/>
      </w:pPr>
      <w:bookmarkStart w:id="44" w:name="_Toc453661702"/>
      <w:r>
        <w:t>Compilation table</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single" w:sz="4" w:space="0" w:color="auto"/>
            </w:tcBorders>
          </w:tcPr>
          <w:p>
            <w:pPr>
              <w:pStyle w:val="nTable"/>
              <w:spacing w:after="40"/>
              <w:rPr>
                <w:i/>
              </w:rPr>
            </w:pPr>
            <w:r>
              <w:rPr>
                <w:i/>
              </w:rPr>
              <w:t>Western Australian Photo Card Amendment Regulations 2016</w:t>
            </w:r>
          </w:p>
        </w:tc>
        <w:tc>
          <w:tcPr>
            <w:tcW w:w="1276" w:type="dxa"/>
            <w:tcBorders>
              <w:top w:val="nil"/>
              <w:bottom w:val="single" w:sz="4" w:space="0" w:color="auto"/>
            </w:tcBorders>
          </w:tcPr>
          <w:p>
            <w:pPr>
              <w:pStyle w:val="nTable"/>
              <w:spacing w:after="40"/>
            </w:pPr>
            <w:r>
              <w:t>14 Jun 2016 p. 1838</w:t>
            </w:r>
            <w:r>
              <w:noBreakHyphen/>
              <w:t>9</w:t>
            </w:r>
          </w:p>
        </w:tc>
        <w:tc>
          <w:tcPr>
            <w:tcW w:w="2693" w:type="dxa"/>
            <w:tcBorders>
              <w:top w:val="nil"/>
              <w:bottom w:val="single" w:sz="4" w:space="0" w:color="auto"/>
            </w:tcBorders>
          </w:tcPr>
          <w:p>
            <w:pPr>
              <w:pStyle w:val="nTable"/>
              <w:spacing w:after="40"/>
            </w:pPr>
            <w:r>
              <w:t>r. 1 and 2: 14 Jun 2016 (see r. 2(a));</w:t>
            </w:r>
            <w:r>
              <w:br/>
              <w:t>Regulations other than r. 1, 2 and 4: 15 Jun 2016 (see r.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 w:name="_Toc453661703"/>
      <w:r>
        <w:t>Provisions that have not come into operation</w:t>
      </w:r>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Western Australian Photo Card Amendment Regulations 2016</w:t>
            </w:r>
            <w:r>
              <w:t xml:space="preserve"> r. 4 </w:t>
            </w:r>
            <w:r>
              <w:rPr>
                <w:vertAlign w:val="superscript"/>
              </w:rPr>
              <w:t>2</w:t>
            </w:r>
          </w:p>
        </w:tc>
        <w:tc>
          <w:tcPr>
            <w:tcW w:w="1276" w:type="dxa"/>
            <w:tcBorders>
              <w:bottom w:val="nil"/>
            </w:tcBorders>
          </w:tcPr>
          <w:p>
            <w:pPr>
              <w:pStyle w:val="nTable"/>
              <w:spacing w:after="40"/>
            </w:pPr>
            <w:r>
              <w:t>14 Jun 2016 p. 1838</w:t>
            </w:r>
            <w:r>
              <w:noBreakHyphen/>
              <w:t>9</w:t>
            </w:r>
          </w:p>
        </w:tc>
        <w:tc>
          <w:tcPr>
            <w:tcW w:w="2693" w:type="dxa"/>
            <w:tcBorders>
              <w:bottom w:val="nil"/>
            </w:tcBorders>
          </w:tcPr>
          <w:p>
            <w:pPr>
              <w:pStyle w:val="nTable"/>
              <w:spacing w:after="40"/>
            </w:pPr>
            <w:r>
              <w:t>1 Jul 2016 (see r. 2(b))</w:t>
            </w:r>
          </w:p>
        </w:tc>
      </w:tr>
      <w:tr>
        <w:tc>
          <w:tcPr>
            <w:tcW w:w="3118" w:type="dxa"/>
            <w:tcBorders>
              <w:top w:val="nil"/>
              <w:bottom w:val="single" w:sz="4" w:space="0" w:color="auto"/>
            </w:tcBorders>
          </w:tcPr>
          <w:p>
            <w:pPr>
              <w:pStyle w:val="nTable"/>
              <w:spacing w:after="40"/>
              <w:rPr>
                <w:vertAlign w:val="superscript"/>
              </w:rPr>
            </w:pPr>
            <w:r>
              <w:rPr>
                <w:i/>
              </w:rPr>
              <w:t>Transport Regulations Amendment (Fees and Charges) Regulations (No. 2) 2016</w:t>
            </w:r>
            <w:r>
              <w:t xml:space="preserve"> Pt. 9</w:t>
            </w:r>
            <w:r>
              <w:rPr>
                <w:vertAlign w:val="superscript"/>
              </w:rPr>
              <w:t> 3</w:t>
            </w:r>
          </w:p>
        </w:tc>
        <w:tc>
          <w:tcPr>
            <w:tcW w:w="1276" w:type="dxa"/>
            <w:tcBorders>
              <w:top w:val="nil"/>
              <w:bottom w:val="single" w:sz="4" w:space="0" w:color="auto"/>
            </w:tcBorders>
          </w:tcPr>
          <w:p>
            <w:pPr>
              <w:pStyle w:val="nTable"/>
              <w:spacing w:after="40"/>
            </w:pPr>
            <w:r>
              <w:t>14 Jun 2016 p. 1987</w:t>
            </w:r>
            <w:r>
              <w:noBreakHyphen/>
              <w:t>2003</w:t>
            </w:r>
          </w:p>
        </w:tc>
        <w:tc>
          <w:tcPr>
            <w:tcW w:w="2693" w:type="dxa"/>
            <w:tcBorders>
              <w:top w:val="nil"/>
              <w:bottom w:val="single" w:sz="4" w:space="0" w:color="auto"/>
            </w:tcBorders>
          </w:tcPr>
          <w:p>
            <w:pPr>
              <w:pStyle w:val="nTable"/>
              <w:spacing w:after="40"/>
            </w:pPr>
            <w:r>
              <w:t>1 Jul 2016 (see r. 2(b))</w:t>
            </w:r>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Western Australian Photo Card Amendment Regulations 2016</w:t>
      </w:r>
      <w:r>
        <w:t xml:space="preserve"> r. 4</w:t>
      </w:r>
      <w:r>
        <w:rPr>
          <w:i/>
        </w:rPr>
        <w:t xml:space="preserve"> </w:t>
      </w:r>
      <w:r>
        <w:rPr>
          <w:snapToGrid w:val="0"/>
        </w:rPr>
        <w:t>had not come into operation.  It reads as follows:</w:t>
      </w:r>
    </w:p>
    <w:p>
      <w:pPr>
        <w:pStyle w:val="BlankOpen"/>
        <w:rPr>
          <w:snapToGrid w:val="0"/>
        </w:rPr>
      </w:pPr>
    </w:p>
    <w:p>
      <w:pPr>
        <w:pStyle w:val="nzHeading5"/>
      </w:pPr>
      <w:r>
        <w:rPr>
          <w:rStyle w:val="CharSectno"/>
        </w:rPr>
        <w:t>4</w:t>
      </w:r>
      <w:r>
        <w:t>.</w:t>
      </w:r>
      <w:r>
        <w:tab/>
        <w:t>Regulations 7A and 7B inserted</w:t>
      </w:r>
    </w:p>
    <w:p>
      <w:pPr>
        <w:pStyle w:val="nzSubsection"/>
      </w:pPr>
      <w:r>
        <w:tab/>
      </w:r>
      <w:r>
        <w:tab/>
        <w:t>After regulation 7 insert:</w:t>
      </w:r>
    </w:p>
    <w:p>
      <w:pPr>
        <w:pStyle w:val="BlankOpen"/>
      </w:pPr>
    </w:p>
    <w:p>
      <w:pPr>
        <w:pStyle w:val="nzHeading5"/>
      </w:pPr>
      <w:r>
        <w:t>7A.</w:t>
      </w:r>
      <w:r>
        <w:tab/>
        <w:t>No fee payable by certain seniors and veterans</w:t>
      </w:r>
    </w:p>
    <w:p>
      <w:pPr>
        <w:pStyle w:val="nzSubsection"/>
      </w:pPr>
      <w:r>
        <w:tab/>
      </w:r>
      <w:r>
        <w:tab/>
        <w:t>A fee set out in regulation 7 is not payable if the CEO is satisfied that the person making an application —</w:t>
      </w:r>
    </w:p>
    <w:p>
      <w:pPr>
        <w:pStyle w:val="nzIndenta"/>
      </w:pPr>
      <w:r>
        <w:tab/>
        <w:t>(a)</w:t>
      </w:r>
      <w:r>
        <w:tab/>
        <w:t>is the holder of a current age pensioner concession card issued by the Department of Human Services, or the Department of Veterans’ Affairs, of the Commonwealth; or</w:t>
      </w:r>
    </w:p>
    <w:p>
      <w:pPr>
        <w:pStyle w:val="nzIndenta"/>
      </w:pPr>
      <w:r>
        <w:tab/>
        <w:t>(b)</w:t>
      </w:r>
      <w:r>
        <w:tab/>
        <w:t>is the holder of both a current WA Seniors Card and a current Commonwealth Seniors Health Card; or</w:t>
      </w:r>
    </w:p>
    <w:p>
      <w:pPr>
        <w:pStyle w:val="nzIndenta"/>
      </w:pPr>
      <w:r>
        <w:tab/>
        <w:t>(c)</w:t>
      </w:r>
      <w:r>
        <w:tab/>
        <w:t xml:space="preserve">the person is the holder of a current gold card as defined in the </w:t>
      </w:r>
      <w:r>
        <w:rPr>
          <w:i/>
        </w:rPr>
        <w:t xml:space="preserve">Veterans’ Entitlements Act 1986 </w:t>
      </w:r>
      <w:r>
        <w:t xml:space="preserve">(Commonwealth) for — </w:t>
      </w:r>
    </w:p>
    <w:p>
      <w:pPr>
        <w:pStyle w:val="nzIndenti"/>
      </w:pPr>
      <w:r>
        <w:tab/>
        <w:t>(i)</w:t>
      </w:r>
      <w:r>
        <w:tab/>
        <w:t>total and permanent incapacitation; or</w:t>
      </w:r>
    </w:p>
    <w:p>
      <w:pPr>
        <w:pStyle w:val="nzIndenti"/>
      </w:pPr>
      <w:r>
        <w:tab/>
        <w:t>(ii)</w:t>
      </w:r>
      <w:r>
        <w:tab/>
        <w:t>extreme disablement adjustment.</w:t>
      </w:r>
    </w:p>
    <w:p>
      <w:pPr>
        <w:pStyle w:val="nzHeading5"/>
      </w:pPr>
      <w:r>
        <w:t>7B.</w:t>
      </w:r>
      <w:r>
        <w:tab/>
        <w:t>Reduced fees for certain card holders</w:t>
      </w:r>
    </w:p>
    <w:p>
      <w:pPr>
        <w:pStyle w:val="nzSubsection"/>
      </w:pPr>
      <w:r>
        <w:tab/>
      </w:r>
      <w:r>
        <w:tab/>
        <w:t xml:space="preserve">A fee set out in regulation 7 must be reduced by 50% if the CEO is satisfied that the person making the application — </w:t>
      </w:r>
    </w:p>
    <w:p>
      <w:pPr>
        <w:pStyle w:val="nzIndenta"/>
      </w:pPr>
      <w:r>
        <w:tab/>
        <w:t>(a)</w:t>
      </w:r>
      <w:r>
        <w:tab/>
        <w:t>is the holder of a current pensioner concession card, other than the card mentioned in regulation 7A(a), issued by the Department of Human Services, or the Department of Veterans’ Affairs, of the Commonwealth; or</w:t>
      </w:r>
    </w:p>
    <w:p>
      <w:pPr>
        <w:pStyle w:val="nzIndenta"/>
      </w:pPr>
      <w:r>
        <w:tab/>
        <w:t>(b)</w:t>
      </w:r>
      <w:r>
        <w:tab/>
        <w:t>is the holder of a current WA Seniors Card but not a Commonwealth Seniors Health Card.</w:t>
      </w:r>
    </w:p>
    <w:p>
      <w:pPr>
        <w:pStyle w:val="BlankClose"/>
      </w:pPr>
    </w:p>
    <w:p>
      <w:pPr>
        <w:pStyle w:val="BlankClose"/>
      </w:pPr>
    </w:p>
    <w:p>
      <w:pPr>
        <w:pStyle w:val="nSubsection"/>
        <w:rPr>
          <w:snapToGrid w:val="0"/>
        </w:rPr>
      </w:pPr>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Transport Regulations Amendment (Fees and Charges) Regulations (No. 2) </w:t>
      </w:r>
      <w:r>
        <w:t xml:space="preserve">2016 Pt. 9 </w:t>
      </w:r>
      <w:r>
        <w:rPr>
          <w:snapToGrid w:val="0"/>
        </w:rPr>
        <w:t>had not come into operation.  It reads as follows:</w:t>
      </w:r>
    </w:p>
    <w:p>
      <w:pPr>
        <w:pStyle w:val="BlankOpen"/>
        <w:rPr>
          <w:snapToGrid w:val="0"/>
        </w:rPr>
      </w:pPr>
    </w:p>
    <w:p>
      <w:pPr>
        <w:pStyle w:val="nzHeading2"/>
        <w:rPr>
          <w:rStyle w:val="CharDivText"/>
        </w:rPr>
      </w:pPr>
      <w:bookmarkStart w:id="46" w:name="_Toc450659154"/>
      <w:bookmarkStart w:id="47" w:name="_Toc450659186"/>
      <w:bookmarkStart w:id="48" w:name="_Toc450659218"/>
      <w:r>
        <w:rPr>
          <w:rStyle w:val="CharPartNo"/>
        </w:rPr>
        <w:t>Part 9</w:t>
      </w:r>
      <w:r>
        <w:rPr>
          <w:rStyle w:val="CharDivNo"/>
        </w:rPr>
        <w:t> </w:t>
      </w:r>
      <w:r>
        <w:t>—</w:t>
      </w:r>
      <w:r>
        <w:rPr>
          <w:rStyle w:val="CharDivText"/>
        </w:rPr>
        <w:t> </w:t>
      </w:r>
      <w:r>
        <w:rPr>
          <w:rStyle w:val="CharPartText"/>
          <w:i/>
        </w:rPr>
        <w:t>Western Australian Photo Card Regulations 2014</w:t>
      </w:r>
      <w:r>
        <w:rPr>
          <w:rStyle w:val="CharPartText"/>
        </w:rPr>
        <w:t xml:space="preserve"> amended</w:t>
      </w:r>
      <w:bookmarkEnd w:id="46"/>
      <w:bookmarkEnd w:id="47"/>
      <w:bookmarkEnd w:id="48"/>
    </w:p>
    <w:p>
      <w:pPr>
        <w:pStyle w:val="nzHeading5"/>
        <w:rPr>
          <w:snapToGrid w:val="0"/>
        </w:rPr>
      </w:pPr>
      <w:bookmarkStart w:id="49" w:name="_Toc450659187"/>
      <w:bookmarkStart w:id="50" w:name="_Toc450659219"/>
      <w:r>
        <w:rPr>
          <w:rStyle w:val="CharSectno"/>
        </w:rPr>
        <w:t>20</w:t>
      </w:r>
      <w:r>
        <w:rPr>
          <w:snapToGrid w:val="0"/>
        </w:rPr>
        <w:t>.</w:t>
      </w:r>
      <w:r>
        <w:rPr>
          <w:snapToGrid w:val="0"/>
        </w:rPr>
        <w:tab/>
        <w:t>Regulations amended</w:t>
      </w:r>
      <w:bookmarkEnd w:id="49"/>
      <w:bookmarkEnd w:id="50"/>
    </w:p>
    <w:p>
      <w:pPr>
        <w:pStyle w:val="nzSubsection"/>
      </w:pPr>
      <w:r>
        <w:tab/>
      </w:r>
      <w:r>
        <w:tab/>
      </w:r>
      <w:r>
        <w:rPr>
          <w:spacing w:val="-2"/>
        </w:rPr>
        <w:t>This Part</w:t>
      </w:r>
      <w:r>
        <w:t xml:space="preserve"> amends the</w:t>
      </w:r>
      <w:r>
        <w:rPr>
          <w:i/>
        </w:rPr>
        <w:t xml:space="preserve"> Western Australian Photo Card Regulations 2014</w:t>
      </w:r>
      <w:r>
        <w:t>.</w:t>
      </w:r>
    </w:p>
    <w:p>
      <w:pPr>
        <w:pStyle w:val="nzHeading5"/>
      </w:pPr>
      <w:bookmarkStart w:id="51" w:name="_Toc450659188"/>
      <w:bookmarkStart w:id="52" w:name="_Toc450659220"/>
      <w:r>
        <w:rPr>
          <w:rStyle w:val="CharSectno"/>
        </w:rPr>
        <w:t>21</w:t>
      </w:r>
      <w:r>
        <w:t>.</w:t>
      </w:r>
      <w:r>
        <w:tab/>
        <w:t>Regulation 7 amended</w:t>
      </w:r>
      <w:bookmarkEnd w:id="51"/>
      <w:bookmarkEnd w:id="52"/>
    </w:p>
    <w:p>
      <w:pPr>
        <w:pStyle w:val="nzSubsection"/>
      </w:pPr>
      <w:r>
        <w:tab/>
      </w:r>
      <w:r>
        <w:tab/>
        <w:t>In regulation 7 in the Table:</w:t>
      </w:r>
    </w:p>
    <w:p>
      <w:pPr>
        <w:pStyle w:val="nzIndenta"/>
      </w:pPr>
      <w:r>
        <w:tab/>
        <w:t>(a)</w:t>
      </w:r>
      <w:r>
        <w:tab/>
        <w:t>in item 1 delete “$41.50” and insert:</w:t>
      </w:r>
    </w:p>
    <w:p>
      <w:pPr>
        <w:pStyle w:val="BlankOpen"/>
      </w:pPr>
    </w:p>
    <w:p>
      <w:pPr>
        <w:pStyle w:val="nzIndenta"/>
      </w:pPr>
      <w:r>
        <w:tab/>
      </w:r>
      <w:r>
        <w:tab/>
        <w:t>$42.50</w:t>
      </w:r>
    </w:p>
    <w:p>
      <w:pPr>
        <w:pStyle w:val="BlankClose"/>
      </w:pPr>
    </w:p>
    <w:p>
      <w:pPr>
        <w:pStyle w:val="nzIndenta"/>
      </w:pPr>
      <w:r>
        <w:tab/>
        <w:t>(b)</w:t>
      </w:r>
      <w:r>
        <w:tab/>
        <w:t>in item 2 delete “$36.00” and insert:</w:t>
      </w:r>
    </w:p>
    <w:p>
      <w:pPr>
        <w:pStyle w:val="BlankOpen"/>
      </w:pPr>
    </w:p>
    <w:p>
      <w:pPr>
        <w:pStyle w:val="nzIndenta"/>
      </w:pPr>
      <w:r>
        <w:tab/>
      </w:r>
      <w:r>
        <w:tab/>
        <w:t>$35.20</w:t>
      </w:r>
    </w:p>
    <w:p>
      <w:pPr>
        <w:pStyle w:val="BlankClose"/>
      </w:pP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54" w:name="_Toc422141890"/>
      <w:bookmarkStart w:id="55" w:name="_Toc423516921"/>
      <w:bookmarkStart w:id="56" w:name="_Toc423517402"/>
      <w:bookmarkStart w:id="57" w:name="_Toc453581174"/>
      <w:bookmarkStart w:id="58" w:name="_Toc453589894"/>
      <w:bookmarkStart w:id="59" w:name="_Toc453661704"/>
      <w:r>
        <w:rPr>
          <w:sz w:val="28"/>
        </w:rPr>
        <w:t>Defined terms</w:t>
      </w:r>
      <w:bookmarkEnd w:id="54"/>
      <w:bookmarkEnd w:id="55"/>
      <w:bookmarkEnd w:id="56"/>
      <w:bookmarkEnd w:id="57"/>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4(1), 5(1)</w:t>
      </w:r>
    </w:p>
    <w:p>
      <w:pPr>
        <w:pStyle w:val="DefinedTerms"/>
      </w:pPr>
      <w:r>
        <w:t>current photo card</w:t>
      </w:r>
      <w:r>
        <w:tab/>
        <w:t>3</w:t>
      </w:r>
    </w:p>
    <w:p>
      <w:pPr>
        <w:pStyle w:val="DefinedTerms"/>
      </w:pPr>
      <w:r>
        <w:t>other card</w:t>
      </w:r>
      <w:r>
        <w:tab/>
        <w:t>6(5)</w:t>
      </w:r>
    </w:p>
    <w:p>
      <w:pPr>
        <w:pStyle w:val="DefinedTerms"/>
      </w:pPr>
      <w:r>
        <w:t>replaced card</w:t>
      </w:r>
      <w:r>
        <w:tab/>
        <w:t>6(4)</w:t>
      </w:r>
    </w:p>
    <w:p>
      <w:pPr>
        <w:pStyle w:val="DefinedTerms"/>
      </w:pPr>
      <w:r>
        <w:t>section</w:t>
      </w:r>
      <w:r>
        <w:tab/>
        <w:t>3</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Jun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11"/>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BD3C6-EA18-4325-B320-F2449ADA1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2043</Words>
  <Characters>9975</Characters>
  <Application>Microsoft Office Word</Application>
  <DocSecurity>0</DocSecurity>
  <Lines>356</Lines>
  <Paragraphs>226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2014 - 00-d0-01</dc:title>
  <dc:subject/>
  <dc:creator/>
  <cp:keywords/>
  <dc:description/>
  <cp:lastModifiedBy>svcMRProcess</cp:lastModifiedBy>
  <cp:revision>4</cp:revision>
  <cp:lastPrinted>2014-05-14T09:06:00Z</cp:lastPrinted>
  <dcterms:created xsi:type="dcterms:W3CDTF">2016-06-14T08:46:00Z</dcterms:created>
  <dcterms:modified xsi:type="dcterms:W3CDTF">2016-06-14T08:46:00Z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AsAtDate">
    <vt:lpwstr>15 Jun 2016</vt:lpwstr>
  </property>
  <property fmtid="{D5CDD505-2E9C-101B-9397-08002B2CF9AE}" pid="4" name="Suffix">
    <vt:lpwstr>00-d0-01</vt:lpwstr>
  </property>
  <property fmtid="{D5CDD505-2E9C-101B-9397-08002B2CF9AE}" pid="5" name="DocumentType">
    <vt:lpwstr>Reg</vt:lpwstr>
  </property>
  <property fmtid="{D5CDD505-2E9C-101B-9397-08002B2CF9AE}" pid="6" name="CommencementDate">
    <vt:lpwstr>20160615</vt:lpwstr>
  </property>
</Properties>
</file>