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Coroners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Coroners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Coroners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_Toc453657157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_Toc453657158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_Toc453657159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Pathologist</w:t>
      </w:r>
      <w:r>
        <w:tab/>
      </w:r>
      <w:r>
        <w:fldChar w:fldCharType="begin"/>
      </w:r>
      <w:r>
        <w:instrText xml:space="preserve"> PAGEREF _Toc453657160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State Coroner — form of oath of office</w:t>
      </w:r>
      <w:r>
        <w:tab/>
      </w:r>
      <w:r>
        <w:fldChar w:fldCharType="begin"/>
      </w:r>
      <w:r>
        <w:instrText xml:space="preserve"> PAGEREF _Toc453657161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w:t>
      </w:r>
      <w:r>
        <w:t>i</w:t>
      </w:r>
      <w:r>
        <w:rPr>
          <w:snapToGrid w:val="0"/>
        </w:rPr>
        <w:t>on on delegation</w:t>
      </w:r>
      <w:r>
        <w:tab/>
      </w:r>
      <w:r>
        <w:fldChar w:fldCharType="begin"/>
      </w:r>
      <w:r>
        <w:instrText xml:space="preserve"> PAGEREF _Toc453657162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 of record of investigation into a death</w:t>
      </w:r>
      <w:r>
        <w:tab/>
      </w:r>
      <w:r>
        <w:fldChar w:fldCharType="begin"/>
      </w:r>
      <w:r>
        <w:instrText xml:space="preserve"> PAGEREF _Toc453657163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Form of certificate of disposal of body</w:t>
      </w:r>
      <w:r>
        <w:tab/>
      </w:r>
      <w:r>
        <w:fldChar w:fldCharType="begin"/>
      </w:r>
      <w:r>
        <w:instrText xml:space="preserve"> PAGEREF _Toc453657164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Request that post mortem be performed</w:t>
      </w:r>
      <w:r>
        <w:tab/>
      </w:r>
      <w:r>
        <w:fldChar w:fldCharType="begin"/>
      </w:r>
      <w:r>
        <w:instrText xml:space="preserve"> PAGEREF _Toc453657165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Direction to perform post mortem</w:t>
      </w:r>
      <w:r>
        <w:tab/>
      </w:r>
      <w:r>
        <w:fldChar w:fldCharType="begin"/>
      </w:r>
      <w:r>
        <w:instrText xml:space="preserve"> PAGEREF _Toc453657166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order for exhumation</w:t>
      </w:r>
      <w:r>
        <w:tab/>
      </w:r>
      <w:r>
        <w:fldChar w:fldCharType="begin"/>
      </w:r>
      <w:r>
        <w:instrText xml:space="preserve"> PAGEREF _Toc453657167 \h </w:instrText>
      </w:r>
      <w:r>
        <w:fldChar w:fldCharType="separate"/>
      </w:r>
      <w:r>
        <w:t>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Request not to exhume</w:t>
      </w:r>
      <w:r>
        <w:tab/>
      </w:r>
      <w:r>
        <w:fldChar w:fldCharType="begin"/>
      </w:r>
      <w:r>
        <w:instrText xml:space="preserve"> PAGEREF _Toc453657168 \h </w:instrText>
      </w:r>
      <w:r>
        <w:fldChar w:fldCharType="separate"/>
      </w:r>
      <w:r>
        <w:t>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 of notice of restriction of access to area</w:t>
      </w:r>
      <w:r>
        <w:tab/>
      </w:r>
      <w:r>
        <w:fldChar w:fldCharType="begin"/>
      </w:r>
      <w:r>
        <w:instrText xml:space="preserve"> PAGEREF _Toc453657169 \h </w:instrText>
      </w:r>
      <w:r>
        <w:fldChar w:fldCharType="separate"/>
      </w:r>
      <w:r>
        <w:t>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 of agreement of coroner to restricted access to area</w:t>
      </w:r>
      <w:r>
        <w:tab/>
      </w:r>
      <w:r>
        <w:fldChar w:fldCharType="begin"/>
      </w:r>
      <w:r>
        <w:instrText xml:space="preserve"> PAGEREF _Toc453657170 \h </w:instrText>
      </w:r>
      <w:r>
        <w:fldChar w:fldCharType="separate"/>
      </w:r>
      <w:r>
        <w:t>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Form of authorisation, form of undertaking and requests for release of things</w:t>
      </w:r>
      <w:r>
        <w:tab/>
      </w:r>
      <w:r>
        <w:fldChar w:fldCharType="begin"/>
      </w:r>
      <w:r>
        <w:instrText xml:space="preserve"> PAGEREF _Toc453657171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Request for an inquest into a death</w:t>
      </w:r>
      <w:r>
        <w:tab/>
      </w:r>
      <w:r>
        <w:fldChar w:fldCharType="begin"/>
      </w:r>
      <w:r>
        <w:instrText xml:space="preserve"> PAGEREF _Toc453657172 \h </w:instrText>
      </w:r>
      <w:r>
        <w:fldChar w:fldCharType="separate"/>
      </w:r>
      <w:r>
        <w:t>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summons and warrant, and service of summons</w:t>
      </w:r>
      <w:r>
        <w:tab/>
      </w:r>
      <w:r>
        <w:fldChar w:fldCharType="begin"/>
      </w:r>
      <w:r>
        <w:instrText xml:space="preserve"> PAGEREF _Toc453657173 \h </w:instrText>
      </w:r>
      <w:r>
        <w:fldChar w:fldCharType="separate"/>
      </w:r>
      <w:r>
        <w:t>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Interested persons for the purposes of section 44(3)</w:t>
      </w:r>
      <w:r>
        <w:tab/>
      </w:r>
      <w:r>
        <w:fldChar w:fldCharType="begin"/>
      </w:r>
      <w:r>
        <w:instrText xml:space="preserve"> PAGEREF _Toc453657174 \h </w:instrText>
      </w:r>
      <w:r>
        <w:fldChar w:fldCharType="separate"/>
      </w:r>
      <w:r>
        <w:t>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order of exclusion from an inquest</w:t>
      </w:r>
      <w:r>
        <w:tab/>
      </w:r>
      <w:r>
        <w:fldChar w:fldCharType="begin"/>
      </w:r>
      <w:r>
        <w:instrText xml:space="preserve"> PAGEREF _Toc453657175 \h </w:instrText>
      </w:r>
      <w:r>
        <w:fldChar w:fldCharType="separate"/>
      </w:r>
      <w:r>
        <w:t>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Access to records</w:t>
      </w:r>
      <w:r>
        <w:tab/>
      </w:r>
      <w:r>
        <w:fldChar w:fldCharType="begin"/>
      </w:r>
      <w:r>
        <w:instrText xml:space="preserve"> PAGEREF _Toc453657176 \h </w:instrText>
      </w:r>
      <w:r>
        <w:fldChar w:fldCharType="separate"/>
      </w:r>
      <w:r>
        <w:t>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Form of oath or affirmation for witness</w:t>
      </w:r>
      <w:r>
        <w:tab/>
      </w:r>
      <w:r>
        <w:fldChar w:fldCharType="begin"/>
      </w:r>
      <w:r>
        <w:instrText xml:space="preserve"> PAGEREF _Toc453657177 \h </w:instrText>
      </w:r>
      <w:r>
        <w:fldChar w:fldCharType="separate"/>
      </w:r>
      <w:r>
        <w:t>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Fees for post mortem services</w:t>
      </w:r>
      <w:r>
        <w:tab/>
      </w:r>
      <w:r>
        <w:fldChar w:fldCharType="begin"/>
      </w:r>
      <w:r>
        <w:instrText xml:space="preserve"> PAGEREF _Toc453657178 \h </w:instrText>
      </w:r>
      <w:r>
        <w:fldChar w:fldCharType="separate"/>
      </w:r>
      <w:r>
        <w:t>5</w:t>
      </w:r>
      <w:r>
        <w:fldChar w:fldCharType="end"/>
      </w:r>
    </w:p>
    <w:p>
      <w:pPr>
        <w:pStyle w:val="TOC8"/>
        <w:rPr>
          <w:rFonts w:asciiTheme="minorHAnsi" w:eastAsiaTheme="minorEastAsia" w:hAnsiTheme="minorHAnsi" w:cstheme="minorBidi"/>
          <w:szCs w:val="22"/>
        </w:rPr>
      </w:pPr>
      <w:r>
        <w:t>22.</w:t>
      </w:r>
      <w:r>
        <w:tab/>
        <w:t>Other fees</w:t>
      </w:r>
      <w:r>
        <w:tab/>
      </w:r>
      <w:r>
        <w:fldChar w:fldCharType="begin"/>
      </w:r>
      <w:r>
        <w:instrText xml:space="preserve"> PAGEREF _Toc453657179 \h </w:instrText>
      </w:r>
      <w:r>
        <w:fldChar w:fldCharType="separate"/>
      </w:r>
      <w:r>
        <w:t>5</w:t>
      </w:r>
      <w:r>
        <w:fldChar w:fldCharType="end"/>
      </w:r>
    </w:p>
    <w:p>
      <w:pPr>
        <w:pStyle w:val="TOC8"/>
        <w:rPr>
          <w:rFonts w:asciiTheme="minorHAnsi" w:eastAsiaTheme="minorEastAsia" w:hAnsiTheme="minorHAnsi" w:cstheme="minorBidi"/>
          <w:szCs w:val="22"/>
        </w:rPr>
      </w:pPr>
      <w:r>
        <w:t>23.</w:t>
      </w:r>
      <w:r>
        <w:tab/>
        <w:t>Coroner’s registrar may remit fees</w:t>
      </w:r>
      <w:r>
        <w:tab/>
      </w:r>
      <w:r>
        <w:fldChar w:fldCharType="begin"/>
      </w:r>
      <w:r>
        <w:instrText xml:space="preserve"> PAGEREF _Toc453657180 \h </w:instrText>
      </w:r>
      <w:r>
        <w:fldChar w:fldCharType="separate"/>
      </w:r>
      <w:r>
        <w:t>6</w:t>
      </w:r>
      <w:r>
        <w:fldChar w:fldCharType="end"/>
      </w:r>
    </w:p>
    <w:p>
      <w:pPr>
        <w:pStyle w:val="TOC8"/>
        <w:rPr>
          <w:rFonts w:asciiTheme="minorHAnsi" w:eastAsiaTheme="minorEastAsia" w:hAnsiTheme="minorHAnsi" w:cstheme="minorBidi"/>
          <w:szCs w:val="22"/>
        </w:rPr>
      </w:pPr>
      <w:r>
        <w:t>24.</w:t>
      </w:r>
      <w:r>
        <w:tab/>
        <w:t>Resolution of disputes as to fees</w:t>
      </w:r>
      <w:r>
        <w:tab/>
      </w:r>
      <w:r>
        <w:fldChar w:fldCharType="begin"/>
      </w:r>
      <w:r>
        <w:instrText xml:space="preserve"> PAGEREF _Toc453657181 \h </w:instrText>
      </w:r>
      <w:r>
        <w:fldChar w:fldCharType="separate"/>
      </w:r>
      <w:r>
        <w:t>6</w:t>
      </w:r>
      <w:r>
        <w:fldChar w:fldCharType="end"/>
      </w:r>
    </w:p>
    <w:p>
      <w:pPr>
        <w:pStyle w:val="TOC8"/>
        <w:rPr>
          <w:rFonts w:asciiTheme="minorHAnsi" w:eastAsiaTheme="minorEastAsia" w:hAnsiTheme="minorHAnsi" w:cstheme="minorBidi"/>
          <w:szCs w:val="22"/>
        </w:rPr>
      </w:pPr>
      <w:r>
        <w:lastRenderedPageBreak/>
        <w:t>25.</w:t>
      </w:r>
      <w:r>
        <w:tab/>
        <w:t>Recovery of unpaid fees</w:t>
      </w:r>
      <w:r>
        <w:tab/>
      </w:r>
      <w:r>
        <w:fldChar w:fldCharType="begin"/>
      </w:r>
      <w:r>
        <w:instrText xml:space="preserve"> PAGEREF _Toc453657182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w:t>
      </w:r>
      <w:r>
        <w:rPr>
          <w:bCs/>
        </w:rPr>
        <w:t>—</w:t>
      </w:r>
      <w:r>
        <w:t> Fees for post mortem services</w:t>
      </w:r>
    </w:p>
    <w:p>
      <w:pPr>
        <w:pStyle w:val="TOC2"/>
        <w:tabs>
          <w:tab w:val="right" w:leader="dot" w:pos="7077"/>
        </w:tabs>
        <w:rPr>
          <w:rFonts w:asciiTheme="minorHAnsi" w:eastAsiaTheme="minorEastAsia" w:hAnsiTheme="minorHAnsi" w:cstheme="minorBidi"/>
          <w:b w:val="0"/>
          <w:sz w:val="22"/>
          <w:szCs w:val="22"/>
        </w:rPr>
      </w:pPr>
      <w:r>
        <w:t>Schedule 3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_Toc453657187 \h </w:instrText>
      </w:r>
      <w:r>
        <w:fldChar w:fldCharType="separate"/>
      </w:r>
      <w:r>
        <w:t>24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_Toc453657188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after="600"/>
        <w:rPr>
          <w:snapToGrid w:val="0"/>
        </w:rPr>
      </w:pPr>
      <w:r>
        <w:rPr>
          <w:snapToGrid w:val="0"/>
        </w:rPr>
        <w:t>Coroners Act 1996</w:t>
      </w:r>
    </w:p>
    <w:p>
      <w:pPr>
        <w:pStyle w:val="NameofActReg"/>
        <w:spacing w:before="600" w:after="720"/>
      </w:pPr>
      <w:r>
        <w:t>Coroners Regulations 1997</w:t>
      </w:r>
    </w:p>
    <w:p>
      <w:pPr>
        <w:pStyle w:val="Heading5"/>
        <w:rPr>
          <w:snapToGrid w:val="0"/>
        </w:rPr>
      </w:pPr>
      <w:bookmarkStart w:id="3" w:name="_Toc391630789"/>
      <w:bookmarkStart w:id="4" w:name="_Toc453657157"/>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vertAlign w:val="superscript"/>
        </w:rPr>
        <w:t> 1</w:t>
      </w:r>
      <w:r>
        <w:rPr>
          <w:snapToGrid w:val="0"/>
        </w:rPr>
        <w:t>.</w:t>
      </w:r>
    </w:p>
    <w:p>
      <w:pPr>
        <w:pStyle w:val="Heading5"/>
        <w:rPr>
          <w:snapToGrid w:val="0"/>
        </w:rPr>
      </w:pPr>
      <w:bookmarkStart w:id="5" w:name="_Toc391630790"/>
      <w:bookmarkStart w:id="6" w:name="_Toc453657158"/>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r>
        <w:rPr>
          <w:snapToGrid w:val="0"/>
          <w:vertAlign w:val="superscript"/>
        </w:rPr>
        <w:t> 1</w:t>
      </w:r>
      <w:r>
        <w:rPr>
          <w:snapToGrid w:val="0"/>
        </w:rPr>
        <w:t>.</w:t>
      </w:r>
    </w:p>
    <w:p>
      <w:pPr>
        <w:pStyle w:val="Heading5"/>
      </w:pPr>
      <w:bookmarkStart w:id="7" w:name="_Toc391630791"/>
      <w:bookmarkStart w:id="8" w:name="_Toc453657159"/>
      <w:r>
        <w:rPr>
          <w:rStyle w:val="CharSectno"/>
        </w:rPr>
        <w:t>3A</w:t>
      </w:r>
      <w:r>
        <w:t>.</w:t>
      </w:r>
      <w:r>
        <w:tab/>
        <w:t>Terms used</w:t>
      </w:r>
      <w:bookmarkEnd w:id="7"/>
      <w:bookmarkEnd w:id="8"/>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pPr>
      <w:r>
        <w:tab/>
      </w:r>
      <w:r>
        <w:rPr>
          <w:rStyle w:val="CharDefText"/>
        </w:rPr>
        <w:t>fee</w:t>
      </w:r>
      <w:r>
        <w:t>, except in regulation 21, means a fee set out in Schedule 3.</w:t>
      </w:r>
    </w:p>
    <w:p>
      <w:pPr>
        <w:pStyle w:val="Footnotesection"/>
      </w:pPr>
      <w:r>
        <w:tab/>
        <w:t>[Regulation 3A inserted in Gazette 4 Sep 2009 p. 3491.]</w:t>
      </w:r>
    </w:p>
    <w:p>
      <w:pPr>
        <w:pStyle w:val="Heading5"/>
        <w:rPr>
          <w:snapToGrid w:val="0"/>
        </w:rPr>
      </w:pPr>
      <w:bookmarkStart w:id="9" w:name="_Toc391630792"/>
      <w:bookmarkStart w:id="10" w:name="_Toc453657160"/>
      <w:r>
        <w:rPr>
          <w:rStyle w:val="CharSectno"/>
        </w:rPr>
        <w:t>3</w:t>
      </w:r>
      <w:r>
        <w:rPr>
          <w:snapToGrid w:val="0"/>
        </w:rPr>
        <w:t>.</w:t>
      </w:r>
      <w:r>
        <w:rPr>
          <w:snapToGrid w:val="0"/>
        </w:rPr>
        <w:tab/>
        <w:t>Pathologist</w:t>
      </w:r>
      <w:bookmarkEnd w:id="9"/>
      <w:bookmarkEnd w:id="10"/>
      <w:r>
        <w:rPr>
          <w:snapToGrid w:val="0"/>
        </w:rPr>
        <w:t xml:space="preserve"> </w:t>
      </w:r>
    </w:p>
    <w:p>
      <w:pPr>
        <w:pStyle w:val="Subsection"/>
        <w:rPr>
          <w:snapToGrid w:val="0"/>
        </w:rPr>
      </w:pPr>
      <w:r>
        <w:rPr>
          <w:snapToGrid w:val="0"/>
        </w:rPr>
        <w:tab/>
      </w:r>
      <w:r>
        <w:rPr>
          <w:snapToGrid w:val="0"/>
        </w:rPr>
        <w:tab/>
        <w:t xml:space="preserve">For the purposes of the Act a pathologist is a doctor with a qualification in pathology recognized by the Royal College of Pathologists of </w:t>
      </w:r>
      <w:smartTag w:uri="urn:schemas-microsoft-com:office:smarttags" w:element="place">
        <w:r>
          <w:rPr>
            <w:snapToGrid w:val="0"/>
          </w:rPr>
          <w:t>Australasia</w:t>
        </w:r>
      </w:smartTag>
      <w:r>
        <w:rPr>
          <w:snapToGrid w:val="0"/>
        </w:rPr>
        <w:t>.</w:t>
      </w:r>
    </w:p>
    <w:p>
      <w:pPr>
        <w:pStyle w:val="Heading5"/>
        <w:rPr>
          <w:snapToGrid w:val="0"/>
        </w:rPr>
      </w:pPr>
      <w:bookmarkStart w:id="11" w:name="_Toc391630793"/>
      <w:bookmarkStart w:id="12" w:name="_Toc453657161"/>
      <w:r>
        <w:rPr>
          <w:rStyle w:val="CharSectno"/>
        </w:rPr>
        <w:t>4</w:t>
      </w:r>
      <w:r>
        <w:rPr>
          <w:snapToGrid w:val="0"/>
        </w:rPr>
        <w:t>.</w:t>
      </w:r>
      <w:r>
        <w:rPr>
          <w:snapToGrid w:val="0"/>
        </w:rPr>
        <w:tab/>
        <w:t>State Coroner — form of oath of office</w:t>
      </w:r>
      <w:bookmarkEnd w:id="11"/>
      <w:bookmarkEnd w:id="12"/>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13" w:name="_Toc391630794"/>
      <w:bookmarkStart w:id="14" w:name="_Toc453657162"/>
      <w:r>
        <w:rPr>
          <w:rStyle w:val="CharSectno"/>
        </w:rPr>
        <w:t>5</w:t>
      </w:r>
      <w:r>
        <w:rPr>
          <w:snapToGrid w:val="0"/>
        </w:rPr>
        <w:t>.</w:t>
      </w:r>
      <w:r>
        <w:rPr>
          <w:snapToGrid w:val="0"/>
        </w:rPr>
        <w:tab/>
        <w:t>Restrict</w:t>
      </w:r>
      <w:r>
        <w:t>i</w:t>
      </w:r>
      <w:r>
        <w:rPr>
          <w:snapToGrid w:val="0"/>
        </w:rPr>
        <w:t>on on delegation</w:t>
      </w:r>
      <w:bookmarkEnd w:id="13"/>
      <w:bookmarkEnd w:id="14"/>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in Gazette 11 Mar 2008 p. 816.]</w:t>
      </w:r>
    </w:p>
    <w:p>
      <w:pPr>
        <w:pStyle w:val="Heading5"/>
        <w:rPr>
          <w:snapToGrid w:val="0"/>
        </w:rPr>
      </w:pPr>
      <w:bookmarkStart w:id="15" w:name="_Toc391630795"/>
      <w:bookmarkStart w:id="16" w:name="_Toc453657163"/>
      <w:r>
        <w:rPr>
          <w:rStyle w:val="CharSectno"/>
        </w:rPr>
        <w:t>6</w:t>
      </w:r>
      <w:r>
        <w:rPr>
          <w:snapToGrid w:val="0"/>
        </w:rPr>
        <w:t>.</w:t>
      </w:r>
      <w:r>
        <w:rPr>
          <w:snapToGrid w:val="0"/>
        </w:rPr>
        <w:tab/>
        <w:t>Form of record of investigation into a death</w:t>
      </w:r>
      <w:bookmarkEnd w:id="15"/>
      <w:bookmarkEnd w:id="16"/>
      <w:r>
        <w:rPr>
          <w:snapToGrid w:val="0"/>
        </w:rPr>
        <w:t xml:space="preserve"> </w:t>
      </w:r>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17" w:name="_Toc391630796"/>
      <w:bookmarkStart w:id="18" w:name="_Toc453657164"/>
      <w:r>
        <w:rPr>
          <w:rStyle w:val="CharSectno"/>
        </w:rPr>
        <w:t>7</w:t>
      </w:r>
      <w:r>
        <w:rPr>
          <w:snapToGrid w:val="0"/>
        </w:rPr>
        <w:t>.</w:t>
      </w:r>
      <w:r>
        <w:rPr>
          <w:snapToGrid w:val="0"/>
        </w:rPr>
        <w:tab/>
        <w:t>Form of certificate of disposal of body</w:t>
      </w:r>
      <w:bookmarkEnd w:id="17"/>
      <w:bookmarkEnd w:id="18"/>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19" w:name="_Toc391630797"/>
      <w:bookmarkStart w:id="20" w:name="_Toc453657165"/>
      <w:r>
        <w:rPr>
          <w:rStyle w:val="CharSectno"/>
        </w:rPr>
        <w:t>8</w:t>
      </w:r>
      <w:r>
        <w:rPr>
          <w:snapToGrid w:val="0"/>
        </w:rPr>
        <w:t>.</w:t>
      </w:r>
      <w:r>
        <w:rPr>
          <w:snapToGrid w:val="0"/>
        </w:rPr>
        <w:tab/>
        <w:t>Request that post mortem be performed</w:t>
      </w:r>
      <w:bookmarkEnd w:id="19"/>
      <w:bookmarkEnd w:id="20"/>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21" w:name="_Toc391630798"/>
      <w:bookmarkStart w:id="22" w:name="_Toc453657166"/>
      <w:r>
        <w:rPr>
          <w:rStyle w:val="CharSectno"/>
        </w:rPr>
        <w:t>9</w:t>
      </w:r>
      <w:r>
        <w:rPr>
          <w:snapToGrid w:val="0"/>
        </w:rPr>
        <w:t>.</w:t>
      </w:r>
      <w:r>
        <w:rPr>
          <w:snapToGrid w:val="0"/>
        </w:rPr>
        <w:tab/>
        <w:t>Direction to perform post mortem</w:t>
      </w:r>
      <w:bookmarkEnd w:id="21"/>
      <w:bookmarkEnd w:id="22"/>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23" w:name="_Toc391630799"/>
      <w:bookmarkStart w:id="24" w:name="_Toc453657167"/>
      <w:r>
        <w:rPr>
          <w:rStyle w:val="CharSectno"/>
        </w:rPr>
        <w:t>10</w:t>
      </w:r>
      <w:r>
        <w:rPr>
          <w:snapToGrid w:val="0"/>
        </w:rPr>
        <w:t>.</w:t>
      </w:r>
      <w:r>
        <w:rPr>
          <w:snapToGrid w:val="0"/>
        </w:rPr>
        <w:tab/>
        <w:t>Form of order for exhumation</w:t>
      </w:r>
      <w:bookmarkEnd w:id="23"/>
      <w:bookmarkEnd w:id="24"/>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25" w:name="_Toc391630800"/>
      <w:bookmarkStart w:id="26" w:name="_Toc453657168"/>
      <w:r>
        <w:rPr>
          <w:rStyle w:val="CharSectno"/>
        </w:rPr>
        <w:t>11</w:t>
      </w:r>
      <w:r>
        <w:rPr>
          <w:snapToGrid w:val="0"/>
        </w:rPr>
        <w:t>.</w:t>
      </w:r>
      <w:r>
        <w:rPr>
          <w:snapToGrid w:val="0"/>
        </w:rPr>
        <w:tab/>
        <w:t>Request not to exhume</w:t>
      </w:r>
      <w:bookmarkEnd w:id="25"/>
      <w:bookmarkEnd w:id="26"/>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27" w:name="_Toc391630801"/>
      <w:bookmarkStart w:id="28" w:name="_Toc453657169"/>
      <w:r>
        <w:rPr>
          <w:rStyle w:val="CharSectno"/>
        </w:rPr>
        <w:t>12</w:t>
      </w:r>
      <w:r>
        <w:rPr>
          <w:snapToGrid w:val="0"/>
        </w:rPr>
        <w:t>.</w:t>
      </w:r>
      <w:r>
        <w:rPr>
          <w:snapToGrid w:val="0"/>
        </w:rPr>
        <w:tab/>
        <w:t>Form of notice of restriction of access to area</w:t>
      </w:r>
      <w:bookmarkEnd w:id="27"/>
      <w:bookmarkEnd w:id="28"/>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29" w:name="_Toc391630802"/>
      <w:bookmarkStart w:id="30" w:name="_Toc453657170"/>
      <w:r>
        <w:rPr>
          <w:rStyle w:val="CharSectno"/>
        </w:rPr>
        <w:t>13</w:t>
      </w:r>
      <w:r>
        <w:rPr>
          <w:snapToGrid w:val="0"/>
        </w:rPr>
        <w:t>.</w:t>
      </w:r>
      <w:r>
        <w:rPr>
          <w:snapToGrid w:val="0"/>
        </w:rPr>
        <w:tab/>
        <w:t>Form of agreement of coroner to restricted access to area</w:t>
      </w:r>
      <w:bookmarkEnd w:id="29"/>
      <w:bookmarkEnd w:id="30"/>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31" w:name="_Toc391630803"/>
      <w:bookmarkStart w:id="32" w:name="_Toc453657171"/>
      <w:r>
        <w:rPr>
          <w:rStyle w:val="CharSectno"/>
        </w:rPr>
        <w:t>14</w:t>
      </w:r>
      <w:r>
        <w:rPr>
          <w:snapToGrid w:val="0"/>
        </w:rPr>
        <w:t>.</w:t>
      </w:r>
      <w:r>
        <w:rPr>
          <w:snapToGrid w:val="0"/>
        </w:rPr>
        <w:tab/>
        <w:t>Form of authorisation, form of undertaking and requests for release of things</w:t>
      </w:r>
      <w:bookmarkEnd w:id="31"/>
      <w:bookmarkEnd w:id="32"/>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33" w:name="_Toc391630804"/>
      <w:bookmarkStart w:id="34" w:name="_Toc453657172"/>
      <w:r>
        <w:rPr>
          <w:rStyle w:val="CharSectno"/>
        </w:rPr>
        <w:t>15</w:t>
      </w:r>
      <w:r>
        <w:rPr>
          <w:snapToGrid w:val="0"/>
        </w:rPr>
        <w:t>.</w:t>
      </w:r>
      <w:r>
        <w:rPr>
          <w:snapToGrid w:val="0"/>
        </w:rPr>
        <w:tab/>
        <w:t>Request for an inquest into a death</w:t>
      </w:r>
      <w:bookmarkEnd w:id="33"/>
      <w:bookmarkEnd w:id="34"/>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35" w:name="_Toc391630805"/>
      <w:bookmarkStart w:id="36" w:name="_Toc453657173"/>
      <w:r>
        <w:rPr>
          <w:rStyle w:val="CharSectno"/>
        </w:rPr>
        <w:t>16</w:t>
      </w:r>
      <w:r>
        <w:rPr>
          <w:snapToGrid w:val="0"/>
        </w:rPr>
        <w:t>.</w:t>
      </w:r>
      <w:r>
        <w:rPr>
          <w:snapToGrid w:val="0"/>
        </w:rPr>
        <w:tab/>
        <w:t>Form of summons and warrant, and service of summons</w:t>
      </w:r>
      <w:bookmarkEnd w:id="35"/>
      <w:bookmarkEnd w:id="36"/>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37" w:name="_Toc391630806"/>
      <w:bookmarkStart w:id="38" w:name="_Toc453657174"/>
      <w:r>
        <w:rPr>
          <w:rStyle w:val="CharSectno"/>
        </w:rPr>
        <w:t>17</w:t>
      </w:r>
      <w:r>
        <w:rPr>
          <w:snapToGrid w:val="0"/>
        </w:rPr>
        <w:t>.</w:t>
      </w:r>
      <w:r>
        <w:rPr>
          <w:snapToGrid w:val="0"/>
        </w:rPr>
        <w:tab/>
        <w:t>Interested persons for the purposes of section 44(3)</w:t>
      </w:r>
      <w:bookmarkEnd w:id="37"/>
      <w:bookmarkEnd w:id="38"/>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in Gazette 30 Jun 2003 p. 2600.]</w:t>
      </w:r>
    </w:p>
    <w:p>
      <w:pPr>
        <w:pStyle w:val="Heading5"/>
        <w:rPr>
          <w:snapToGrid w:val="0"/>
        </w:rPr>
      </w:pPr>
      <w:bookmarkStart w:id="39" w:name="_Toc391630807"/>
      <w:bookmarkStart w:id="40" w:name="_Toc453657175"/>
      <w:r>
        <w:rPr>
          <w:rStyle w:val="CharSectno"/>
        </w:rPr>
        <w:t>18</w:t>
      </w:r>
      <w:r>
        <w:rPr>
          <w:snapToGrid w:val="0"/>
        </w:rPr>
        <w:t>.</w:t>
      </w:r>
      <w:r>
        <w:rPr>
          <w:snapToGrid w:val="0"/>
        </w:rPr>
        <w:tab/>
        <w:t>Form of order of exclusion from an inquest</w:t>
      </w:r>
      <w:bookmarkEnd w:id="39"/>
      <w:bookmarkEnd w:id="40"/>
      <w:r>
        <w:rPr>
          <w:snapToGrid w:val="0"/>
        </w:rPr>
        <w:t xml:space="preserve"> </w:t>
      </w:r>
    </w:p>
    <w:p>
      <w:pPr>
        <w:pStyle w:val="Subsection"/>
        <w:spacing w:before="140"/>
        <w:rPr>
          <w:snapToGrid w:val="0"/>
        </w:rPr>
      </w:pPr>
      <w:r>
        <w:rPr>
          <w:snapToGrid w:val="0"/>
        </w:rPr>
        <w:tab/>
        <w:t>(1)</w:t>
      </w:r>
      <w:r>
        <w:rPr>
          <w:snapToGrid w:val="0"/>
        </w:rPr>
        <w:tab/>
        <w:t>An order made under section 45(1) of the Act excluding persons from an inquest is to be in the form of Form 12.</w:t>
      </w:r>
    </w:p>
    <w:p>
      <w:pPr>
        <w:pStyle w:val="Subsection"/>
        <w:spacing w:before="140"/>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spacing w:before="200"/>
        <w:rPr>
          <w:snapToGrid w:val="0"/>
        </w:rPr>
      </w:pPr>
      <w:bookmarkStart w:id="41" w:name="_Toc391630808"/>
      <w:bookmarkStart w:id="42" w:name="_Toc453657176"/>
      <w:r>
        <w:rPr>
          <w:rStyle w:val="CharSectno"/>
        </w:rPr>
        <w:t>19</w:t>
      </w:r>
      <w:r>
        <w:rPr>
          <w:snapToGrid w:val="0"/>
        </w:rPr>
        <w:t>.</w:t>
      </w:r>
      <w:r>
        <w:rPr>
          <w:snapToGrid w:val="0"/>
        </w:rPr>
        <w:tab/>
        <w:t>Access to records</w:t>
      </w:r>
      <w:bookmarkEnd w:id="41"/>
      <w:bookmarkEnd w:id="42"/>
      <w:r>
        <w:rPr>
          <w:snapToGrid w:val="0"/>
        </w:rPr>
        <w:t xml:space="preserve"> </w:t>
      </w:r>
    </w:p>
    <w:p>
      <w:pPr>
        <w:pStyle w:val="Subsection"/>
        <w:spacing w:before="140"/>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spacing w:before="140"/>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spacing w:before="200"/>
        <w:rPr>
          <w:snapToGrid w:val="0"/>
        </w:rPr>
      </w:pPr>
      <w:bookmarkStart w:id="43" w:name="_Toc391630809"/>
      <w:bookmarkStart w:id="44" w:name="_Toc453657177"/>
      <w:r>
        <w:rPr>
          <w:rStyle w:val="CharSectno"/>
        </w:rPr>
        <w:t>20</w:t>
      </w:r>
      <w:r>
        <w:rPr>
          <w:snapToGrid w:val="0"/>
        </w:rPr>
        <w:t>.</w:t>
      </w:r>
      <w:r>
        <w:rPr>
          <w:snapToGrid w:val="0"/>
        </w:rPr>
        <w:tab/>
        <w:t>Form of oath or affirmation for witness</w:t>
      </w:r>
      <w:bookmarkEnd w:id="43"/>
      <w:bookmarkEnd w:id="44"/>
      <w:r>
        <w:rPr>
          <w:snapToGrid w:val="0"/>
        </w:rPr>
        <w:t xml:space="preserve"> </w:t>
      </w:r>
    </w:p>
    <w:p>
      <w:pPr>
        <w:pStyle w:val="Subsection"/>
        <w:spacing w:before="140"/>
        <w:rPr>
          <w:snapToGrid w:val="0"/>
        </w:rPr>
      </w:pPr>
      <w:r>
        <w:rPr>
          <w:snapToGrid w:val="0"/>
        </w:rPr>
        <w:tab/>
      </w:r>
      <w:r>
        <w:rPr>
          <w:snapToGrid w:val="0"/>
        </w:rPr>
        <w:tab/>
        <w:t>The oath or affirmation to be administered to witnesses at an inquest is to be in the form of Form 13 or 14.</w:t>
      </w:r>
    </w:p>
    <w:p>
      <w:pPr>
        <w:pStyle w:val="Heading5"/>
        <w:spacing w:before="200"/>
        <w:rPr>
          <w:snapToGrid w:val="0"/>
        </w:rPr>
      </w:pPr>
      <w:bookmarkStart w:id="45" w:name="_Toc391630810"/>
      <w:bookmarkStart w:id="46" w:name="_Toc453657178"/>
      <w:r>
        <w:rPr>
          <w:rStyle w:val="CharSectno"/>
        </w:rPr>
        <w:t>21</w:t>
      </w:r>
      <w:r>
        <w:rPr>
          <w:snapToGrid w:val="0"/>
        </w:rPr>
        <w:t>.</w:t>
      </w:r>
      <w:r>
        <w:rPr>
          <w:snapToGrid w:val="0"/>
        </w:rPr>
        <w:tab/>
        <w:t>Fees for post mortem services</w:t>
      </w:r>
      <w:bookmarkEnd w:id="45"/>
      <w:bookmarkEnd w:id="46"/>
    </w:p>
    <w:p>
      <w:pPr>
        <w:pStyle w:val="Subsection"/>
        <w:spacing w:before="140"/>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spacing w:before="140"/>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spacing w:before="80"/>
      </w:pPr>
      <w:r>
        <w:tab/>
        <w:t>[Regulation 21 amended in Gazette 4 Sep 2009 p. 3491.]</w:t>
      </w:r>
    </w:p>
    <w:p>
      <w:pPr>
        <w:pStyle w:val="Heading5"/>
        <w:spacing w:before="200"/>
      </w:pPr>
      <w:bookmarkStart w:id="47" w:name="_Toc391630811"/>
      <w:bookmarkStart w:id="48" w:name="_Toc453657179"/>
      <w:r>
        <w:rPr>
          <w:rStyle w:val="CharSectno"/>
        </w:rPr>
        <w:t>22</w:t>
      </w:r>
      <w:r>
        <w:t>.</w:t>
      </w:r>
      <w:r>
        <w:tab/>
        <w:t>Other fees</w:t>
      </w:r>
      <w:bookmarkEnd w:id="47"/>
      <w:bookmarkEnd w:id="48"/>
    </w:p>
    <w:p>
      <w:pPr>
        <w:pStyle w:val="Subsection"/>
        <w:spacing w:before="140"/>
      </w:pPr>
      <w:r>
        <w:tab/>
      </w:r>
      <w:r>
        <w:tab/>
        <w:t>The fees set out in Schedule 3 are to be charged in respect of the matters referred to in that Schedule.</w:t>
      </w:r>
    </w:p>
    <w:p>
      <w:pPr>
        <w:pStyle w:val="Footnotesection"/>
        <w:spacing w:before="80"/>
      </w:pPr>
      <w:r>
        <w:tab/>
        <w:t>[Regulation 22 inserted in Gazette 4 Sep 2009 p. 3492.]</w:t>
      </w:r>
    </w:p>
    <w:p>
      <w:pPr>
        <w:pStyle w:val="Heading5"/>
      </w:pPr>
      <w:bookmarkStart w:id="49" w:name="_Toc391630812"/>
      <w:bookmarkStart w:id="50" w:name="_Toc453657180"/>
      <w:r>
        <w:rPr>
          <w:rStyle w:val="CharSectno"/>
        </w:rPr>
        <w:t>23</w:t>
      </w:r>
      <w:r>
        <w:t>.</w:t>
      </w:r>
      <w:r>
        <w:tab/>
        <w:t>Coroner’s registrar may remit fees</w:t>
      </w:r>
      <w:bookmarkEnd w:id="49"/>
      <w:bookmarkEnd w:id="50"/>
    </w:p>
    <w:p>
      <w:pPr>
        <w:pStyle w:val="Subsection"/>
      </w:pPr>
      <w:r>
        <w:tab/>
        <w:t>(1)</w:t>
      </w:r>
      <w:r>
        <w:tab/>
        <w:t xml:space="preserve">A coroner’s registrar may on an application in an approved form, in a particular case, on the ground of financial hardship or if it is in the interests of justice to do so, direct — </w:t>
      </w:r>
    </w:p>
    <w:p>
      <w:pPr>
        <w:pStyle w:val="Indenta"/>
      </w:pPr>
      <w:r>
        <w:tab/>
        <w:t>(a)</w:t>
      </w:r>
      <w:r>
        <w:tab/>
        <w:t>that payment of a fee be waived; or</w:t>
      </w:r>
    </w:p>
    <w:p>
      <w:pPr>
        <w:pStyle w:val="Indenta"/>
      </w:pPr>
      <w:r>
        <w:tab/>
        <w:t>(b)</w:t>
      </w:r>
      <w:r>
        <w:tab/>
        <w:t>that a fee be reduced or that the whole or a part of a fee be refunded; or</w:t>
      </w:r>
    </w:p>
    <w:p>
      <w:pPr>
        <w:pStyle w:val="Indenta"/>
      </w:pPr>
      <w:r>
        <w:tab/>
        <w:t>(c)</w:t>
      </w:r>
      <w:r>
        <w:tab/>
        <w:t>that the payment of the whole or a part of a fee be postponed until such time, and upon such conditions, if any, as the registrar thinks fit.</w:t>
      </w:r>
    </w:p>
    <w:p>
      <w:pPr>
        <w:pStyle w:val="Subsection"/>
      </w:pPr>
      <w:r>
        <w:tab/>
        <w:t>(2)</w:t>
      </w:r>
      <w:r>
        <w:tab/>
        <w:t>Before determining an application under subregulation (1), a coroner’s registrar may require the applicant to provide the registrar with such further information as the registrar requires either in writing or orally.</w:t>
      </w:r>
    </w:p>
    <w:p>
      <w:pPr>
        <w:pStyle w:val="Footnotesection"/>
      </w:pPr>
      <w:r>
        <w:tab/>
        <w:t>[Regulation 23 inserted in Gazette 4 Sep 2009 p. 3492.]</w:t>
      </w:r>
    </w:p>
    <w:p>
      <w:pPr>
        <w:pStyle w:val="Heading5"/>
      </w:pPr>
      <w:bookmarkStart w:id="51" w:name="_Toc391630813"/>
      <w:bookmarkStart w:id="52" w:name="_Toc453657181"/>
      <w:r>
        <w:rPr>
          <w:rStyle w:val="CharSectno"/>
        </w:rPr>
        <w:t>24</w:t>
      </w:r>
      <w:r>
        <w:t>.</w:t>
      </w:r>
      <w:r>
        <w:tab/>
        <w:t>Resolution of disputes as to fees</w:t>
      </w:r>
      <w:bookmarkEnd w:id="51"/>
      <w:bookmarkEnd w:id="52"/>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 24 inserted in Gazette 4 Sep 2009 p. 3492.]</w:t>
      </w:r>
    </w:p>
    <w:p>
      <w:pPr>
        <w:pStyle w:val="Heading5"/>
      </w:pPr>
      <w:bookmarkStart w:id="53" w:name="_Toc391630814"/>
      <w:bookmarkStart w:id="54" w:name="_Toc453657182"/>
      <w:r>
        <w:rPr>
          <w:rStyle w:val="CharSectno"/>
        </w:rPr>
        <w:t>25</w:t>
      </w:r>
      <w:r>
        <w:t>.</w:t>
      </w:r>
      <w:r>
        <w:tab/>
        <w:t>Recovery of unpaid fees</w:t>
      </w:r>
      <w:bookmarkEnd w:id="53"/>
      <w:bookmarkEnd w:id="54"/>
    </w:p>
    <w:p>
      <w:pPr>
        <w:pStyle w:val="Subsection"/>
      </w:pPr>
      <w:r>
        <w:tab/>
      </w:r>
      <w:r>
        <w:tab/>
        <w:t>Any unpaid fee is a debt due to the State and may be recovered by action in a court of competent jurisdiction.</w:t>
      </w:r>
    </w:p>
    <w:p>
      <w:pPr>
        <w:pStyle w:val="Footnotesection"/>
      </w:pPr>
      <w:r>
        <w:tab/>
        <w:t>[Regulation 25 inserted in Gazette 4 Sep 2009 p. 3492.]</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55" w:name="_Toc389729559"/>
      <w:bookmarkStart w:id="56" w:name="_Toc391630815"/>
      <w:bookmarkStart w:id="57" w:name="_Toc415732807"/>
      <w:bookmarkStart w:id="58" w:name="_Toc415732885"/>
      <w:bookmarkStart w:id="59" w:name="_Toc423343281"/>
      <w:bookmarkStart w:id="60" w:name="_Toc423343313"/>
      <w:bookmarkStart w:id="61" w:name="_Toc453657183"/>
      <w:r>
        <w:rPr>
          <w:rStyle w:val="CharSchNo"/>
        </w:rPr>
        <w:t>Schedule 1</w:t>
      </w:r>
      <w:r>
        <w:t> — </w:t>
      </w:r>
      <w:r>
        <w:rPr>
          <w:rStyle w:val="CharSchText"/>
        </w:rPr>
        <w:t>Forms</w:t>
      </w:r>
      <w:bookmarkEnd w:id="55"/>
      <w:bookmarkEnd w:id="56"/>
      <w:bookmarkEnd w:id="57"/>
      <w:bookmarkEnd w:id="58"/>
      <w:bookmarkEnd w:id="59"/>
      <w:bookmarkEnd w:id="60"/>
      <w:bookmarkEnd w:id="61"/>
    </w:p>
    <w:p>
      <w:pPr>
        <w:pStyle w:val="yMiscellaneousHeading"/>
      </w:pPr>
      <w:r>
        <w:rPr>
          <w:rStyle w:val="CharSClsNo"/>
          <w:b/>
        </w:rPr>
        <w:t>Form 1</w:t>
      </w:r>
    </w:p>
    <w:p>
      <w:pPr>
        <w:pStyle w:val="yShoulderClause"/>
        <w:rPr>
          <w:snapToGrid w:val="0"/>
        </w:rPr>
      </w:pPr>
      <w:r>
        <w:rPr>
          <w:snapToGrid w:val="0"/>
        </w:rPr>
        <w:t>[Reg. 4]</w:t>
      </w:r>
    </w:p>
    <w:p>
      <w:pPr>
        <w:pStyle w:val="MiscellaneousHeading"/>
        <w:rPr>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ab/>
        <w:t>[Form 1 amended in Gazette 19 Apr 2005 p. 1295.]</w:t>
      </w:r>
    </w:p>
    <w:p>
      <w:pPr>
        <w:pStyle w:val="yMiscellaneousHeading"/>
        <w:pageBreakBefore/>
        <w:spacing w:before="0"/>
        <w:rPr>
          <w:b/>
        </w:rPr>
      </w:pPr>
      <w:r>
        <w:rPr>
          <w:rStyle w:val="CharSClsNo"/>
          <w:b/>
        </w:rPr>
        <w:t>Form 2</w:t>
      </w:r>
    </w:p>
    <w:p>
      <w:pPr>
        <w:pStyle w:val="yShoulderClause"/>
        <w:rPr>
          <w:snapToGrid w:val="0"/>
        </w:rPr>
      </w:pPr>
      <w:r>
        <w:rPr>
          <w:snapToGrid w:val="0"/>
        </w:rPr>
        <w:t>[Reg. 4]</w:t>
      </w:r>
    </w:p>
    <w:p>
      <w:pPr>
        <w:pStyle w:val="yMiscellaneousHeading"/>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ab/>
        <w:t>[Form 2 amended in Gazette 19 Apr 2005 p. 1295.]</w:t>
      </w:r>
    </w:p>
    <w:p>
      <w:pPr>
        <w:pStyle w:val="yMiscellaneousHeading"/>
        <w:pageBreakBefore/>
        <w:spacing w:before="0"/>
        <w:rPr>
          <w:b/>
        </w:rPr>
      </w:pPr>
      <w:r>
        <w:rPr>
          <w:rStyle w:val="CharSClsNo"/>
          <w:b/>
        </w:rPr>
        <w:t>Form 3</w:t>
      </w:r>
    </w:p>
    <w:p>
      <w:pPr>
        <w:pStyle w:val="yShoulderClause"/>
        <w:keepNext/>
        <w:rPr>
          <w:snapToGrid w:val="0"/>
        </w:rPr>
      </w:pPr>
      <w:r>
        <w:rPr>
          <w:snapToGrid w:val="0"/>
        </w:rPr>
        <w:t>[Reg. 6]</w:t>
      </w:r>
    </w:p>
    <w:p>
      <w:pPr>
        <w:pStyle w:val="yMiscellaneousHeading"/>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rPr>
          <w:snapToGrid w:val="0"/>
        </w:rPr>
      </w:pPr>
      <w:r>
        <w:rPr>
          <w:snapToGrid w:val="0"/>
        </w:rPr>
        <w:t>3.</w:t>
      </w:r>
      <w:r>
        <w:rPr>
          <w:snapToGrid w:val="0"/>
        </w:rPr>
        <w:tab/>
        <w:t>*Find that — </w:t>
      </w:r>
    </w:p>
    <w:p>
      <w:pPr>
        <w:pStyle w:val="yMiscellaneousBody"/>
        <w:ind w:left="567" w:hanging="567"/>
        <w:rPr>
          <w:snapToGrid w:val="0"/>
        </w:rPr>
      </w:pPr>
      <w:r>
        <w:rPr>
          <w:snapToGrid w:val="0"/>
        </w:rPr>
        <w:tab/>
        <w:t>*The identity of the deceased person was ............................ and that death</w:t>
      </w:r>
    </w:p>
    <w:p>
      <w:pPr>
        <w:pStyle w:val="yMiscellaneousBody"/>
        <w:ind w:left="567" w:hanging="567"/>
        <w:rPr>
          <w:snapToGrid w:val="0"/>
        </w:rPr>
      </w:pPr>
      <w:r>
        <w:rPr>
          <w:snapToGrid w:val="0"/>
        </w:rPr>
        <w:tab/>
        <w:t xml:space="preserve">occurred on </w:t>
      </w:r>
      <w:r>
        <w:rPr>
          <w:snapToGrid w:val="0"/>
        </w:rPr>
        <w:t> </w:t>
      </w:r>
      <w:r>
        <w:rPr>
          <w:snapToGrid w:val="0"/>
        </w:rPr>
        <w:t> </w:t>
      </w:r>
      <w:r>
        <w:rPr>
          <w:snapToGrid w:val="0"/>
        </w:rPr>
        <w:t>/</w:t>
      </w:r>
      <w:r>
        <w:rPr>
          <w:snapToGrid w:val="0"/>
        </w:rPr>
        <w:t> </w:t>
      </w:r>
      <w:r>
        <w:rPr>
          <w:snapToGrid w:val="0"/>
        </w:rPr>
        <w:t> </w:t>
      </w:r>
      <w:r>
        <w:rPr>
          <w:snapToGrid w:val="0"/>
        </w:rPr>
        <w:t>/</w:t>
      </w:r>
      <w:r>
        <w:rPr>
          <w:snapToGrid w:val="0"/>
        </w:rPr>
        <w:t> </w:t>
      </w:r>
      <w:r>
        <w:rPr>
          <w:snapToGrid w:val="0"/>
        </w:rPr>
        <w:t> </w:t>
      </w:r>
      <w:r>
        <w:rPr>
          <w:snapToGrid w:val="0"/>
        </w:rPr>
        <w:t>at ....................................................................</w:t>
      </w:r>
    </w:p>
    <w:p>
      <w:pPr>
        <w:pStyle w:val="yMiscellaneousBody"/>
        <w:ind w:left="567" w:hanging="567"/>
        <w:rPr>
          <w:snapToGrid w:val="0"/>
        </w:rPr>
      </w:pPr>
      <w:r>
        <w:rPr>
          <w:snapToGrid w:val="0"/>
        </w:rPr>
        <w:tab/>
        <w:t>from (</w:t>
      </w:r>
      <w:r>
        <w:rPr>
          <w:i/>
          <w:snapToGrid w:val="0"/>
        </w:rPr>
        <w:t>state cause of death</w:t>
      </w:r>
      <w:r>
        <w:rPr>
          <w:snapToGrid w:val="0"/>
        </w:rPr>
        <w:t>) in the following circumstances:</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4</w:t>
      </w:r>
    </w:p>
    <w:p>
      <w:pPr>
        <w:pStyle w:val="yShoulderClause"/>
        <w:rPr>
          <w:snapToGrid w:val="0"/>
        </w:rPr>
      </w:pPr>
      <w:r>
        <w:rPr>
          <w:snapToGrid w:val="0"/>
        </w:rPr>
        <w:t>[Reg. 7]</w:t>
      </w:r>
    </w:p>
    <w:p>
      <w:pPr>
        <w:pStyle w:val="yMiscellaneousHeading"/>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5</w:t>
      </w:r>
    </w:p>
    <w:p>
      <w:pPr>
        <w:pStyle w:val="yShoulderClause"/>
        <w:rPr>
          <w:snapToGrid w:val="0"/>
        </w:rPr>
      </w:pPr>
      <w:r>
        <w:rPr>
          <w:snapToGrid w:val="0"/>
        </w:rPr>
        <w:t>[Reg. 10]</w:t>
      </w:r>
    </w:p>
    <w:p>
      <w:pPr>
        <w:pStyle w:val="yMiscellaneousHeading"/>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TableNAm"/>
        <w:spacing w:before="60"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TableNAm"/>
        <w:spacing w:before="60"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417"/>
                <w:tab w:val="left" w:pos="3118"/>
              </w:tabs>
              <w:spacing w:before="40"/>
              <w:rPr>
                <w:snapToGrid w:val="0"/>
              </w:rPr>
            </w:pPr>
            <w:r>
              <w:rPr>
                <w:snapToGrid w:val="0"/>
              </w:rPr>
              <w:t>Day</w:t>
            </w:r>
            <w:r>
              <w:rPr>
                <w:snapToGrid w:val="0"/>
              </w:rPr>
              <w:tab/>
              <w:t>Month</w:t>
            </w:r>
            <w:r>
              <w:rPr>
                <w:snapToGrid w:val="0"/>
              </w:rPr>
              <w:tab/>
              <w:t>Year</w:t>
            </w:r>
          </w:p>
          <w:p>
            <w:pPr>
              <w:pStyle w:val="yTableNAm"/>
              <w:tabs>
                <w:tab w:val="clear" w:pos="567"/>
                <w:tab w:val="left" w:pos="2848"/>
              </w:tabs>
              <w:spacing w:before="0"/>
              <w:rPr>
                <w:snapToGrid w:val="0"/>
              </w:rPr>
            </w:pPr>
            <w:r>
              <w:rPr>
                <w:snapToGrid w:val="0"/>
              </w:rPr>
              <w:tab/>
              <w:t>Postcode</w:t>
            </w:r>
          </w:p>
        </w:tc>
      </w:tr>
    </w:tbl>
    <w:p>
      <w:pPr>
        <w:pStyle w:val="yTableNAm"/>
        <w:spacing w:before="60"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TableNAm"/>
        <w:spacing w:before="60"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clear" w:pos="567"/>
                <w:tab w:val="left" w:pos="1417"/>
                <w:tab w:val="left" w:pos="3118"/>
              </w:tabs>
              <w:spacing w:before="0"/>
              <w:rPr>
                <w:snapToGrid w:val="0"/>
              </w:rPr>
            </w:pPr>
            <w:r>
              <w:rPr>
                <w:snapToGrid w:val="0"/>
              </w:rPr>
              <w:t>Day</w:t>
            </w:r>
            <w:r>
              <w:rPr>
                <w:snapToGrid w:val="0"/>
              </w:rPr>
              <w:tab/>
              <w:t>Month</w:t>
            </w:r>
            <w:r>
              <w:rPr>
                <w:snapToGrid w:val="0"/>
              </w:rPr>
              <w:tab/>
              <w:t>Year</w:t>
            </w:r>
          </w:p>
          <w:p>
            <w:pPr>
              <w:pStyle w:val="yTableNAm"/>
              <w:spacing w:before="0"/>
              <w:rPr>
                <w:snapToGrid w:val="0"/>
              </w:rPr>
            </w:pPr>
          </w:p>
        </w:tc>
      </w:tr>
    </w:tbl>
    <w:p>
      <w:pPr>
        <w:pStyle w:val="yMiscellaneousHeading"/>
        <w:pageBreakBefore/>
        <w:spacing w:before="0"/>
        <w:rPr>
          <w:b/>
        </w:rPr>
      </w:pPr>
      <w:r>
        <w:rPr>
          <w:rStyle w:val="CharSClsNo"/>
          <w:b/>
        </w:rPr>
        <w:t>Form 6</w:t>
      </w:r>
    </w:p>
    <w:p>
      <w:pPr>
        <w:pStyle w:val="yShoulderClause"/>
        <w:rPr>
          <w:snapToGrid w:val="0"/>
        </w:rPr>
      </w:pPr>
      <w:r>
        <w:rPr>
          <w:snapToGrid w:val="0"/>
        </w:rPr>
        <w:t>[Reg. 12]</w:t>
      </w:r>
    </w:p>
    <w:p>
      <w:pPr>
        <w:pStyle w:val="yMiscellaneousHeading"/>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spacing w:before="0"/>
        <w:rPr>
          <w:b/>
        </w:rPr>
      </w:pPr>
      <w:r>
        <w:rPr>
          <w:rStyle w:val="CharSClsNo"/>
          <w:b/>
        </w:rPr>
        <w:t>Form 7</w:t>
      </w:r>
    </w:p>
    <w:p>
      <w:pPr>
        <w:pStyle w:val="yShoulderClause"/>
        <w:keepNext/>
        <w:rPr>
          <w:snapToGrid w:val="0"/>
        </w:rPr>
      </w:pPr>
      <w:r>
        <w:rPr>
          <w:snapToGrid w:val="0"/>
        </w:rPr>
        <w:t>[Reg. 13]</w:t>
      </w:r>
    </w:p>
    <w:p>
      <w:pPr>
        <w:pStyle w:val="yMiscellaneousHeading"/>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spacing w:before="0"/>
        <w:rPr>
          <w:b/>
        </w:rPr>
      </w:pPr>
      <w:r>
        <w:rPr>
          <w:rStyle w:val="CharSClsNo"/>
          <w:b/>
        </w:rPr>
        <w:t>Form 8</w:t>
      </w:r>
    </w:p>
    <w:p>
      <w:pPr>
        <w:pStyle w:val="yShoulderClause"/>
        <w:keepNext/>
        <w:rPr>
          <w:snapToGrid w:val="0"/>
        </w:rPr>
      </w:pPr>
      <w:r>
        <w:rPr>
          <w:snapToGrid w:val="0"/>
        </w:rPr>
        <w:t>[Reg. 14(1)]</w:t>
      </w:r>
    </w:p>
    <w:p>
      <w:pPr>
        <w:pStyle w:val="yMiscellaneousHeading"/>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spacing w:before="0"/>
        <w:rPr>
          <w:b/>
        </w:rPr>
      </w:pPr>
      <w:r>
        <w:rPr>
          <w:rStyle w:val="CharSClsNo"/>
          <w:b/>
        </w:rPr>
        <w:t>Form 9</w:t>
      </w:r>
    </w:p>
    <w:p>
      <w:pPr>
        <w:pStyle w:val="yShoulderClause"/>
        <w:keepNext/>
        <w:rPr>
          <w:snapToGrid w:val="0"/>
        </w:rPr>
      </w:pPr>
      <w:r>
        <w:rPr>
          <w:snapToGrid w:val="0"/>
        </w:rPr>
        <w:t>[Reg. 14(3)]</w:t>
      </w:r>
    </w:p>
    <w:p>
      <w:pPr>
        <w:pStyle w:val="yMiscellaneousHeading"/>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before me</w:t>
      </w:r>
    </w:p>
    <w:p>
      <w:pPr>
        <w:pStyle w:val="yMiscellaneousBody"/>
        <w:jc w:val="right"/>
        <w:rPr>
          <w:snapToGrid w:val="0"/>
        </w:rPr>
      </w:pPr>
      <w:r>
        <w:rPr>
          <w:snapToGrid w:val="0"/>
        </w:rPr>
        <w:t>Coroner.</w:t>
      </w:r>
    </w:p>
    <w:p>
      <w:pPr>
        <w:pStyle w:val="yMiscellaneousHeading"/>
        <w:pageBreakBefore/>
        <w:spacing w:before="0"/>
        <w:rPr>
          <w:b/>
        </w:rPr>
      </w:pPr>
      <w:r>
        <w:rPr>
          <w:rStyle w:val="CharSClsNo"/>
          <w:b/>
        </w:rPr>
        <w:t>Form 10</w:t>
      </w:r>
    </w:p>
    <w:p>
      <w:pPr>
        <w:pStyle w:val="yShoulderClause"/>
        <w:rPr>
          <w:snapToGrid w:val="0"/>
        </w:rPr>
      </w:pPr>
      <w:r>
        <w:rPr>
          <w:snapToGrid w:val="0"/>
        </w:rPr>
        <w:t>[Reg. 16(1)]</w:t>
      </w:r>
    </w:p>
    <w:p>
      <w:pPr>
        <w:pStyle w:val="yMiscellaneousHeading"/>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TableNAm"/>
        <w:spacing w:before="60"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pPr>
        <w:pStyle w:val="yTableNAm"/>
        <w:spacing w:before="60"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pPr>
        <w:pStyle w:val="yTableNAm"/>
        <w:spacing w:before="60"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 in Gazette 11 Mar 2008 p. 816.]</w:t>
      </w:r>
    </w:p>
    <w:p>
      <w:pPr>
        <w:pStyle w:val="yMiscellaneousHeading"/>
        <w:pageBreakBefore/>
        <w:spacing w:before="0"/>
        <w:rPr>
          <w:b/>
        </w:rPr>
      </w:pPr>
      <w:r>
        <w:rPr>
          <w:rStyle w:val="CharSClsNo"/>
          <w:b/>
        </w:rPr>
        <w:t>Form 11</w:t>
      </w:r>
    </w:p>
    <w:p>
      <w:pPr>
        <w:pStyle w:val="yShoulderClause"/>
        <w:rPr>
          <w:snapToGrid w:val="0"/>
        </w:rPr>
      </w:pPr>
      <w:r>
        <w:rPr>
          <w:snapToGrid w:val="0"/>
        </w:rPr>
        <w:t>[Reg. 16(3)]</w:t>
      </w:r>
    </w:p>
    <w:p>
      <w:pPr>
        <w:pStyle w:val="yMiscellaneousHeading"/>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 xml:space="preserve">To all members of the Police Force of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Footnotesection"/>
      </w:pPr>
      <w:r>
        <w:tab/>
        <w:t>[Form 11 amended in Gazette 12 Feb 2013 p. 922.]</w:t>
      </w:r>
    </w:p>
    <w:p>
      <w:pPr>
        <w:pStyle w:val="yMiscellaneousHeading"/>
        <w:pageBreakBefore/>
        <w:spacing w:before="0"/>
        <w:rPr>
          <w:b/>
        </w:rPr>
      </w:pPr>
      <w:r>
        <w:rPr>
          <w:rStyle w:val="CharSClsNo"/>
          <w:b/>
        </w:rPr>
        <w:t>Form 12</w:t>
      </w:r>
    </w:p>
    <w:p>
      <w:pPr>
        <w:pStyle w:val="yShoulderClause"/>
        <w:rPr>
          <w:snapToGrid w:val="0"/>
        </w:rPr>
      </w:pPr>
      <w:r>
        <w:rPr>
          <w:snapToGrid w:val="0"/>
        </w:rPr>
        <w:t>[Reg. 18(1)]</w:t>
      </w:r>
    </w:p>
    <w:p>
      <w:pPr>
        <w:pStyle w:val="yMiscellaneousHeading"/>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TableNAm"/>
        <w:spacing w:before="60" w:after="6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NAm"/>
              <w:spacing w:before="60"/>
              <w:rPr>
                <w:snapToGrid w:val="0"/>
              </w:rPr>
            </w:pPr>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For the whole of the inquest.</w:t>
            </w:r>
          </w:p>
        </w:tc>
      </w:tr>
      <w:tr>
        <w:trPr>
          <w:cantSplit/>
          <w:trHeight w:val="850"/>
        </w:trPr>
        <w:tc>
          <w:tcPr>
            <w:tcW w:w="2481" w:type="dxa"/>
            <w:tcBorders>
              <w:bottom w:val="single" w:sz="4" w:space="0" w:color="auto"/>
            </w:tcBorders>
          </w:tcPr>
          <w:p>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pPr>
              <w:pStyle w:val="yTableNAm"/>
              <w:spacing w:before="60"/>
              <w:rPr>
                <w:snapToGrid w:val="0"/>
              </w:rPr>
            </w:pPr>
            <w:r>
              <w:rPr>
                <w:snapToGrid w:val="0"/>
              </w:rPr>
              <w:t>You must wait outside the room until you are called in to give evidence or deliver documents or other materials.</w:t>
            </w:r>
          </w:p>
        </w:tc>
      </w:tr>
    </w:tbl>
    <w:p>
      <w:pPr>
        <w:pStyle w:val="yTableNAm"/>
        <w:spacing w:before="60" w:after="6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spacing w:before="0"/>
        <w:rPr>
          <w:b/>
        </w:rPr>
      </w:pPr>
      <w:r>
        <w:rPr>
          <w:rStyle w:val="CharSClsNo"/>
          <w:b/>
        </w:rPr>
        <w:t>Form 13</w:t>
      </w:r>
    </w:p>
    <w:p>
      <w:pPr>
        <w:pStyle w:val="yShoulderClause"/>
        <w:keepNext/>
        <w:rPr>
          <w:snapToGrid w:val="0"/>
        </w:rPr>
      </w:pPr>
      <w:r>
        <w:rPr>
          <w:snapToGrid w:val="0"/>
        </w:rPr>
        <w:t>[Reg. 20]</w:t>
      </w:r>
    </w:p>
    <w:p>
      <w:pPr>
        <w:pStyle w:val="yMiscellaneousHeading"/>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spacing w:before="0"/>
        <w:rPr>
          <w:b/>
        </w:rPr>
      </w:pPr>
      <w:r>
        <w:rPr>
          <w:rStyle w:val="CharSClsNo"/>
          <w:b/>
        </w:rPr>
        <w:t>Form 14</w:t>
      </w:r>
    </w:p>
    <w:p>
      <w:pPr>
        <w:pStyle w:val="yShoulderClause"/>
        <w:rPr>
          <w:snapToGrid w:val="0"/>
        </w:rPr>
      </w:pPr>
      <w:r>
        <w:rPr>
          <w:snapToGrid w:val="0"/>
        </w:rPr>
        <w:t>[Reg. 20]</w:t>
      </w:r>
    </w:p>
    <w:p>
      <w:pPr>
        <w:pStyle w:val="yMiscellaneousHeading"/>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62" w:name="_Toc389729560"/>
      <w:bookmarkStart w:id="63" w:name="_Toc391630816"/>
      <w:bookmarkStart w:id="64" w:name="_Toc415732808"/>
      <w:bookmarkStart w:id="65" w:name="_Toc415732886"/>
      <w:bookmarkStart w:id="66" w:name="_Toc423343282"/>
      <w:bookmarkStart w:id="67" w:name="_Toc423343314"/>
      <w:bookmarkStart w:id="68" w:name="_Toc453657184"/>
      <w:r>
        <w:rPr>
          <w:rStyle w:val="CharSchNo"/>
        </w:rPr>
        <w:t>Schedule 2</w:t>
      </w:r>
      <w:r>
        <w:rPr>
          <w:rStyle w:val="CharSDivNo"/>
        </w:rPr>
        <w:t> </w:t>
      </w:r>
      <w:r>
        <w:rPr>
          <w:bCs/>
        </w:rPr>
        <w:t>—</w:t>
      </w:r>
      <w:r>
        <w:rPr>
          <w:rStyle w:val="CharSDivText"/>
        </w:rPr>
        <w:t> </w:t>
      </w:r>
      <w:r>
        <w:rPr>
          <w:rStyle w:val="CharSchText"/>
        </w:rPr>
        <w:t>Fees for post mortem services</w:t>
      </w:r>
      <w:bookmarkEnd w:id="62"/>
      <w:bookmarkEnd w:id="63"/>
      <w:bookmarkEnd w:id="64"/>
      <w:bookmarkEnd w:id="65"/>
      <w:bookmarkEnd w:id="66"/>
      <w:bookmarkEnd w:id="67"/>
      <w:bookmarkEnd w:id="68"/>
    </w:p>
    <w:p>
      <w:pPr>
        <w:pStyle w:val="yShoulderClause"/>
      </w:pPr>
      <w:r>
        <w:t>[r. 21]</w:t>
      </w:r>
    </w:p>
    <w:p>
      <w:pPr>
        <w:pStyle w:val="yFootnoteheading"/>
        <w:spacing w:after="120"/>
      </w:pPr>
      <w:r>
        <w:tab/>
        <w:t>[Heading inserted in Gazette 4 Sep 2009 p. 3492</w:t>
      </w:r>
      <w:r>
        <w:noBreakHyphen/>
        <w:t>3.]</w:t>
      </w:r>
    </w:p>
    <w:tbl>
      <w:tblPr>
        <w:tblW w:w="0" w:type="auto"/>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Post mortem by a pathologist .........................................</w:t>
            </w:r>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Post mortem by a doctor who is not a pathologist ..........</w:t>
            </w:r>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Attendance by doctor, between the hours of 8.30 am and 6 pm, to state whether life is extinct ........................</w:t>
            </w:r>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Attendance by doctor, outside the hours referred to in item 3, to state whether life is extinct .............................</w:t>
            </w:r>
          </w:p>
        </w:tc>
        <w:tc>
          <w:tcPr>
            <w:tcW w:w="1134" w:type="dxa"/>
          </w:tcPr>
          <w:p>
            <w:pPr>
              <w:pStyle w:val="yTableNAm"/>
              <w:tabs>
                <w:tab w:val="clear" w:pos="567"/>
              </w:tabs>
              <w:spacing w:before="60"/>
              <w:ind w:right="314"/>
              <w:jc w:val="right"/>
            </w:pPr>
            <w:r>
              <w:br/>
              <w:t>$72</w:t>
            </w:r>
          </w:p>
        </w:tc>
      </w:tr>
    </w:tbl>
    <w:p>
      <w:pPr>
        <w:pStyle w:val="yScheduleHeading"/>
      </w:pPr>
      <w:bookmarkStart w:id="69" w:name="_Toc389729561"/>
      <w:bookmarkStart w:id="70" w:name="_Toc391630817"/>
      <w:bookmarkStart w:id="71" w:name="_Toc415732809"/>
      <w:bookmarkStart w:id="72" w:name="_Toc415732887"/>
      <w:bookmarkStart w:id="73" w:name="_Toc423343283"/>
      <w:bookmarkStart w:id="74" w:name="_Toc423343315"/>
      <w:bookmarkStart w:id="75" w:name="_Toc453657185"/>
      <w:r>
        <w:rPr>
          <w:rStyle w:val="CharSchNo"/>
        </w:rPr>
        <w:t>Schedule 3</w:t>
      </w:r>
      <w:r>
        <w:t> — </w:t>
      </w:r>
      <w:r>
        <w:rPr>
          <w:rStyle w:val="CharSchText"/>
        </w:rPr>
        <w:t>Other fees</w:t>
      </w:r>
      <w:bookmarkEnd w:id="69"/>
      <w:bookmarkEnd w:id="70"/>
      <w:bookmarkEnd w:id="71"/>
      <w:bookmarkEnd w:id="72"/>
      <w:bookmarkEnd w:id="73"/>
      <w:bookmarkEnd w:id="74"/>
      <w:bookmarkEnd w:id="75"/>
    </w:p>
    <w:p>
      <w:pPr>
        <w:pStyle w:val="yShoulderClause"/>
      </w:pPr>
      <w:r>
        <w:t>[r. 22]</w:t>
      </w:r>
    </w:p>
    <w:p>
      <w:pPr>
        <w:pStyle w:val="yFootnoteheading"/>
        <w:spacing w:after="120"/>
      </w:pPr>
      <w:r>
        <w:tab/>
        <w:t>[Heading inserted in Gazette 4 Sep 2009 p. 3493.]</w:t>
      </w:r>
    </w:p>
    <w:tbl>
      <w:tblPr>
        <w:tblW w:w="0" w:type="auto"/>
        <w:tblInd w:w="108"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851"/>
        <w:gridCol w:w="5552"/>
        <w:gridCol w:w="737"/>
      </w:tblGrid>
      <w:tr>
        <w:trPr>
          <w:tblHeader/>
        </w:trPr>
        <w:tc>
          <w:tcPr>
            <w:tcW w:w="851" w:type="dxa"/>
            <w:tcBorders>
              <w:bottom w:val="single" w:sz="4" w:space="0" w:color="auto"/>
            </w:tcBorders>
          </w:tcPr>
          <w:p>
            <w:pPr>
              <w:pStyle w:val="yTableNAm"/>
              <w:rPr>
                <w:b/>
                <w:bCs/>
              </w:rPr>
            </w:pPr>
            <w:r>
              <w:rPr>
                <w:b/>
                <w:bCs/>
              </w:rPr>
              <w:t>Item</w:t>
            </w:r>
          </w:p>
        </w:tc>
        <w:tc>
          <w:tcPr>
            <w:tcW w:w="5552" w:type="dxa"/>
            <w:tcBorders>
              <w:bottom w:val="single" w:sz="4" w:space="0" w:color="auto"/>
            </w:tcBorders>
          </w:tcPr>
          <w:p>
            <w:pPr>
              <w:pStyle w:val="yTableNAm"/>
              <w:jc w:val="center"/>
              <w:rPr>
                <w:b/>
                <w:bCs/>
              </w:rPr>
            </w:pPr>
            <w:r>
              <w:rPr>
                <w:b/>
                <w:bCs/>
              </w:rPr>
              <w:t>Matter</w:t>
            </w:r>
          </w:p>
        </w:tc>
        <w:tc>
          <w:tcPr>
            <w:tcW w:w="737" w:type="dxa"/>
            <w:tcBorders>
              <w:bottom w:val="single" w:sz="4" w:space="0" w:color="auto"/>
            </w:tcBorders>
          </w:tcPr>
          <w:p>
            <w:pPr>
              <w:pStyle w:val="yTableNAm"/>
              <w:tabs>
                <w:tab w:val="clear" w:pos="567"/>
              </w:tabs>
              <w:jc w:val="center"/>
              <w:rPr>
                <w:b/>
                <w:bCs/>
              </w:rPr>
            </w:pPr>
            <w:r>
              <w:rPr>
                <w:b/>
                <w:bCs/>
              </w:rPr>
              <w:t>$</w:t>
            </w:r>
          </w:p>
        </w:tc>
      </w:tr>
      <w:tr>
        <w:tc>
          <w:tcPr>
            <w:tcW w:w="851" w:type="dxa"/>
            <w:tcBorders>
              <w:bottom w:val="nil"/>
            </w:tcBorders>
          </w:tcPr>
          <w:p>
            <w:pPr>
              <w:pStyle w:val="yTableNAm"/>
            </w:pPr>
            <w:r>
              <w:t>1.</w:t>
            </w:r>
          </w:p>
        </w:tc>
        <w:tc>
          <w:tcPr>
            <w:tcW w:w="5552" w:type="dxa"/>
            <w:tcBorders>
              <w:bottom w:val="nil"/>
            </w:tcBorders>
          </w:tcPr>
          <w:p>
            <w:pPr>
              <w:pStyle w:val="yTableNAm"/>
              <w:rPr>
                <w:rStyle w:val="DraftersNotes"/>
              </w:rPr>
            </w:pPr>
            <w:r>
              <w:t>Copy of document or exhibit, for each page or part of a page</w:t>
            </w:r>
          </w:p>
        </w:tc>
        <w:tc>
          <w:tcPr>
            <w:tcW w:w="737" w:type="dxa"/>
            <w:tcBorders>
              <w:bottom w:val="nil"/>
            </w:tcBorders>
          </w:tcPr>
          <w:p>
            <w:pPr>
              <w:pStyle w:val="yTableNAm"/>
              <w:tabs>
                <w:tab w:val="clear" w:pos="567"/>
              </w:tabs>
              <w:ind w:right="20"/>
              <w:jc w:val="right"/>
            </w:pPr>
            <w:r>
              <w:t>1.50</w:t>
            </w:r>
          </w:p>
        </w:tc>
      </w:tr>
      <w:tr>
        <w:tc>
          <w:tcPr>
            <w:tcW w:w="851" w:type="dxa"/>
            <w:tcBorders>
              <w:top w:val="nil"/>
              <w:bottom w:val="nil"/>
            </w:tcBorders>
          </w:tcPr>
          <w:p>
            <w:pPr>
              <w:pStyle w:val="yTableNAm"/>
            </w:pPr>
            <w:r>
              <w:t>2.</w:t>
            </w:r>
          </w:p>
        </w:tc>
        <w:tc>
          <w:tcPr>
            <w:tcW w:w="5552" w:type="dxa"/>
            <w:tcBorders>
              <w:top w:val="nil"/>
              <w:bottom w:val="nil"/>
            </w:tcBorders>
          </w:tcPr>
          <w:p>
            <w:pPr>
              <w:pStyle w:val="yTableNAm"/>
              <w:ind w:left="567" w:hanging="567"/>
            </w:pPr>
            <w:r>
              <w:t xml:space="preserve">Copy of record of investigation into a death — </w:t>
            </w:r>
          </w:p>
          <w:p>
            <w:pPr>
              <w:pStyle w:val="yTableNAm"/>
              <w:ind w:left="567" w:hanging="567"/>
              <w:rPr>
                <w:rStyle w:val="DraftersNotes"/>
              </w:rPr>
            </w:pPr>
            <w:r>
              <w:t>(a)</w:t>
            </w:r>
            <w:r>
              <w:tab/>
              <w:t>for one copy on the request of a person who is an interested person under regulation 17(a) or (b)</w:t>
            </w:r>
          </w:p>
        </w:tc>
        <w:tc>
          <w:tcPr>
            <w:tcW w:w="737" w:type="dxa"/>
            <w:tcBorders>
              <w:top w:val="nil"/>
              <w:bottom w:val="nil"/>
            </w:tcBorders>
          </w:tcPr>
          <w:p>
            <w:pPr>
              <w:pStyle w:val="yTableNAm"/>
              <w:tabs>
                <w:tab w:val="clear" w:pos="567"/>
              </w:tabs>
              <w:jc w:val="right"/>
            </w:pPr>
          </w:p>
          <w:p>
            <w:pPr>
              <w:pStyle w:val="yTableNAm"/>
              <w:tabs>
                <w:tab w:val="clear" w:pos="567"/>
              </w:tabs>
              <w:jc w:val="right"/>
            </w:pPr>
            <w:r>
              <w:br/>
              <w:t>Nil</w:t>
            </w:r>
          </w:p>
        </w:tc>
      </w:tr>
      <w:tr>
        <w:tc>
          <w:tcPr>
            <w:tcW w:w="851" w:type="dxa"/>
            <w:tcBorders>
              <w:top w:val="nil"/>
              <w:bottom w:val="nil"/>
            </w:tcBorders>
          </w:tcPr>
          <w:p>
            <w:pPr>
              <w:pStyle w:val="yTableNAm"/>
              <w:spacing w:before="0"/>
            </w:pPr>
          </w:p>
        </w:tc>
        <w:tc>
          <w:tcPr>
            <w:tcW w:w="5552" w:type="dxa"/>
            <w:tcBorders>
              <w:top w:val="nil"/>
              <w:bottom w:val="nil"/>
            </w:tcBorders>
          </w:tcPr>
          <w:p>
            <w:pPr>
              <w:pStyle w:val="yTableNAm"/>
              <w:spacing w:before="0"/>
              <w:ind w:left="567" w:hanging="567"/>
            </w:pPr>
            <w:r>
              <w:t>(b)</w:t>
            </w:r>
            <w:r>
              <w:tab/>
              <w:t>for each additional copy on the request of a person who is an interested person under regulation 17(a) or (b), for each page or part of a page</w:t>
            </w:r>
          </w:p>
        </w:tc>
        <w:tc>
          <w:tcPr>
            <w:tcW w:w="737" w:type="dxa"/>
            <w:tcBorders>
              <w:top w:val="nil"/>
              <w:bottom w:val="nil"/>
            </w:tcBorders>
          </w:tcPr>
          <w:p>
            <w:pPr>
              <w:pStyle w:val="yTableNAm"/>
              <w:tabs>
                <w:tab w:val="clear" w:pos="567"/>
              </w:tabs>
              <w:spacing w:before="0"/>
              <w:jc w:val="right"/>
            </w:pPr>
            <w:r>
              <w:br/>
            </w:r>
            <w:r>
              <w:br/>
            </w:r>
            <w:r>
              <w:rPr>
                <w:szCs w:val="22"/>
              </w:rPr>
              <w:t>1.25</w:t>
            </w:r>
          </w:p>
        </w:tc>
      </w:tr>
      <w:tr>
        <w:tc>
          <w:tcPr>
            <w:tcW w:w="851" w:type="dxa"/>
            <w:tcBorders>
              <w:top w:val="nil"/>
              <w:bottom w:val="nil"/>
            </w:tcBorders>
          </w:tcPr>
          <w:p>
            <w:pPr>
              <w:pStyle w:val="yTableNAm"/>
              <w:spacing w:before="0"/>
            </w:pPr>
          </w:p>
        </w:tc>
        <w:tc>
          <w:tcPr>
            <w:tcW w:w="5552" w:type="dxa"/>
            <w:tcBorders>
              <w:top w:val="nil"/>
              <w:bottom w:val="nil"/>
            </w:tcBorders>
          </w:tcPr>
          <w:p>
            <w:pPr>
              <w:pStyle w:val="yTableNAm"/>
              <w:spacing w:before="0"/>
              <w:ind w:left="567" w:hanging="567"/>
            </w:pPr>
            <w:r>
              <w:t>(c)</w:t>
            </w:r>
            <w:r>
              <w:tab/>
              <w:t>for each copy on the request of any other person, for each page or part of a page</w:t>
            </w:r>
          </w:p>
        </w:tc>
        <w:tc>
          <w:tcPr>
            <w:tcW w:w="737" w:type="dxa"/>
            <w:tcBorders>
              <w:top w:val="nil"/>
              <w:bottom w:val="nil"/>
            </w:tcBorders>
          </w:tcPr>
          <w:p>
            <w:pPr>
              <w:pStyle w:val="yTableNAm"/>
              <w:tabs>
                <w:tab w:val="clear" w:pos="567"/>
              </w:tabs>
              <w:spacing w:before="0"/>
              <w:ind w:right="20"/>
              <w:jc w:val="right"/>
            </w:pPr>
            <w:r>
              <w:br/>
            </w:r>
            <w:r>
              <w:rPr>
                <w:szCs w:val="22"/>
              </w:rPr>
              <w:t>1.25</w:t>
            </w:r>
          </w:p>
        </w:tc>
      </w:tr>
      <w:tr>
        <w:tc>
          <w:tcPr>
            <w:tcW w:w="851" w:type="dxa"/>
            <w:tcBorders>
              <w:top w:val="nil"/>
              <w:bottom w:val="nil"/>
            </w:tcBorders>
          </w:tcPr>
          <w:p>
            <w:pPr>
              <w:pStyle w:val="yTableNAm"/>
            </w:pPr>
            <w:r>
              <w:t>3.</w:t>
            </w:r>
          </w:p>
        </w:tc>
        <w:tc>
          <w:tcPr>
            <w:tcW w:w="5552" w:type="dxa"/>
            <w:tcBorders>
              <w:top w:val="nil"/>
              <w:bottom w:val="nil"/>
            </w:tcBorders>
          </w:tcPr>
          <w:p>
            <w:pPr>
              <w:pStyle w:val="yTableNAm"/>
              <w:rPr>
                <w:rStyle w:val="DraftersNotes"/>
              </w:rPr>
            </w:pPr>
            <w:r>
              <w:t>Certifying under seal that a document is a true copy</w:t>
            </w:r>
          </w:p>
        </w:tc>
        <w:tc>
          <w:tcPr>
            <w:tcW w:w="737" w:type="dxa"/>
            <w:tcBorders>
              <w:top w:val="nil"/>
              <w:bottom w:val="nil"/>
            </w:tcBorders>
          </w:tcPr>
          <w:p>
            <w:pPr>
              <w:pStyle w:val="yTableNAm"/>
              <w:tabs>
                <w:tab w:val="clear" w:pos="567"/>
              </w:tabs>
              <w:ind w:right="20"/>
              <w:jc w:val="right"/>
            </w:pPr>
            <w:r>
              <w:rPr>
                <w:szCs w:val="22"/>
              </w:rPr>
              <w:t>17.65</w:t>
            </w:r>
          </w:p>
        </w:tc>
      </w:tr>
      <w:tr>
        <w:tc>
          <w:tcPr>
            <w:tcW w:w="851" w:type="dxa"/>
            <w:tcBorders>
              <w:top w:val="nil"/>
              <w:bottom w:val="nil"/>
            </w:tcBorders>
          </w:tcPr>
          <w:p>
            <w:pPr>
              <w:pStyle w:val="yTableNAm"/>
            </w:pPr>
            <w:r>
              <w:t>4.</w:t>
            </w:r>
          </w:p>
        </w:tc>
        <w:tc>
          <w:tcPr>
            <w:tcW w:w="5552" w:type="dxa"/>
            <w:tcBorders>
              <w:top w:val="nil"/>
              <w:bottom w:val="nil"/>
            </w:tcBorders>
          </w:tcPr>
          <w:p>
            <w:pPr>
              <w:pStyle w:val="yTableNAm"/>
            </w:pPr>
            <w:r>
              <w:t>Copy of transcript or notes of evidence, for each page or part of a page (minimum fee — $25.30)</w:t>
            </w:r>
          </w:p>
        </w:tc>
        <w:tc>
          <w:tcPr>
            <w:tcW w:w="737" w:type="dxa"/>
            <w:tcBorders>
              <w:top w:val="nil"/>
              <w:bottom w:val="nil"/>
            </w:tcBorders>
          </w:tcPr>
          <w:p>
            <w:pPr>
              <w:pStyle w:val="yTableNAm"/>
              <w:tabs>
                <w:tab w:val="clear" w:pos="567"/>
              </w:tabs>
              <w:jc w:val="right"/>
            </w:pPr>
            <w:r>
              <w:br/>
            </w:r>
            <w:r>
              <w:rPr>
                <w:szCs w:val="22"/>
              </w:rPr>
              <w:t>7.10</w:t>
            </w:r>
          </w:p>
        </w:tc>
      </w:tr>
      <w:tr>
        <w:tc>
          <w:tcPr>
            <w:tcW w:w="851" w:type="dxa"/>
            <w:tcBorders>
              <w:top w:val="nil"/>
              <w:bottom w:val="nil"/>
            </w:tcBorders>
          </w:tcPr>
          <w:p>
            <w:pPr>
              <w:pStyle w:val="yTableNAm"/>
            </w:pPr>
            <w:r>
              <w:t>5.</w:t>
            </w:r>
          </w:p>
        </w:tc>
        <w:tc>
          <w:tcPr>
            <w:tcW w:w="5552" w:type="dxa"/>
            <w:tcBorders>
              <w:top w:val="nil"/>
              <w:bottom w:val="nil"/>
            </w:tcBorders>
          </w:tcPr>
          <w:p>
            <w:pPr>
              <w:pStyle w:val="yTableNAm"/>
            </w:pPr>
            <w:r>
              <w:t>Copy of transcript or notes of evidence in electronic format if a fee has been paid under item 4 by the applicant for a copy of the transcript or notes of evidence, for each day of transcript or notes of evidence</w:t>
            </w:r>
          </w:p>
        </w:tc>
        <w:tc>
          <w:tcPr>
            <w:tcW w:w="737" w:type="dxa"/>
            <w:tcBorders>
              <w:top w:val="nil"/>
              <w:bottom w:val="nil"/>
            </w:tcBorders>
          </w:tcPr>
          <w:p>
            <w:pPr>
              <w:pStyle w:val="yTableNAm"/>
              <w:tabs>
                <w:tab w:val="clear" w:pos="567"/>
              </w:tabs>
              <w:jc w:val="right"/>
            </w:pPr>
            <w:r>
              <w:br/>
            </w:r>
            <w:r>
              <w:br/>
            </w:r>
            <w:r>
              <w:br/>
            </w:r>
            <w:r>
              <w:rPr>
                <w:szCs w:val="22"/>
              </w:rPr>
              <w:t>17.65</w:t>
            </w:r>
          </w:p>
        </w:tc>
      </w:tr>
      <w:tr>
        <w:tc>
          <w:tcPr>
            <w:tcW w:w="851" w:type="dxa"/>
            <w:tcBorders>
              <w:top w:val="nil"/>
              <w:bottom w:val="single" w:sz="4" w:space="0" w:color="auto"/>
            </w:tcBorders>
          </w:tcPr>
          <w:p>
            <w:pPr>
              <w:pStyle w:val="yTableNAm"/>
            </w:pPr>
            <w:r>
              <w:t>6.</w:t>
            </w:r>
          </w:p>
        </w:tc>
        <w:tc>
          <w:tcPr>
            <w:tcW w:w="5552" w:type="dxa"/>
            <w:tcBorders>
              <w:top w:val="nil"/>
              <w:bottom w:val="single" w:sz="4" w:space="0" w:color="auto"/>
            </w:tcBorders>
          </w:tcPr>
          <w:p>
            <w:pPr>
              <w:pStyle w:val="yTableNAm"/>
            </w:pPr>
            <w:r>
              <w:t>Copy of transcript or notes of evidence not in electronic format if a fee has been paid under item 4 by the applicant for a copy of the transcript or notes of evidence, for each page or part of a page</w:t>
            </w:r>
          </w:p>
        </w:tc>
        <w:tc>
          <w:tcPr>
            <w:tcW w:w="737" w:type="dxa"/>
            <w:tcBorders>
              <w:top w:val="nil"/>
              <w:bottom w:val="single" w:sz="4" w:space="0" w:color="auto"/>
            </w:tcBorders>
          </w:tcPr>
          <w:p>
            <w:pPr>
              <w:pStyle w:val="yTableNAm"/>
              <w:tabs>
                <w:tab w:val="clear" w:pos="567"/>
              </w:tabs>
              <w:ind w:right="20"/>
              <w:jc w:val="right"/>
            </w:pPr>
            <w:r>
              <w:br/>
            </w:r>
            <w:r>
              <w:br/>
            </w:r>
            <w:r>
              <w:br/>
              <w:t>1.50</w:t>
            </w:r>
          </w:p>
        </w:tc>
      </w:tr>
    </w:tbl>
    <w:p>
      <w:pPr>
        <w:pStyle w:val="yFootnotesection"/>
      </w:pPr>
      <w:r>
        <w:tab/>
        <w:t>[Schedule 3 inserted in Gazette 4 Sep 2009 p. 3493; amended in Gazette 8 Mar 2011 p. 800; 20 Dec 2011 p. 5393; 30 Nov 2012 p. 5801; 15 Nov 2013 p. 5253; 27 Jun 2014 p. 2337; 19 Jun 2015 p. 2118</w:t>
      </w:r>
      <w:r>
        <w:noBreakHyphen/>
        <w:t>19.]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76" w:name="_Toc389729562"/>
      <w:bookmarkStart w:id="77" w:name="_Toc391630818"/>
      <w:bookmarkStart w:id="78" w:name="_Toc415732810"/>
      <w:bookmarkStart w:id="79" w:name="_Toc415732888"/>
      <w:bookmarkStart w:id="80" w:name="_Toc423343284"/>
      <w:bookmarkStart w:id="81" w:name="_Toc423343316"/>
      <w:bookmarkStart w:id="82" w:name="_Toc453657186"/>
      <w:r>
        <w:t>Notes</w:t>
      </w:r>
      <w:bookmarkEnd w:id="76"/>
      <w:bookmarkEnd w:id="77"/>
      <w:bookmarkEnd w:id="78"/>
      <w:bookmarkEnd w:id="79"/>
      <w:bookmarkEnd w:id="80"/>
      <w:bookmarkEnd w:id="81"/>
      <w:bookmarkEnd w:id="82"/>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Regulations 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83" w:name="_Toc391630819"/>
      <w:bookmarkStart w:id="84" w:name="_Toc453657187"/>
      <w:r>
        <w:t>Compilation table</w:t>
      </w:r>
      <w:bookmarkEnd w:id="83"/>
      <w:bookmarkEnd w:id="8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rFonts w:ascii="Times" w:hAnsi="Times"/>
              </w:rPr>
            </w:pPr>
            <w:r>
              <w:rPr>
                <w:rFonts w:ascii="Times" w:hAnsi="Times"/>
                <w:i/>
              </w:rPr>
              <w:t>Coroners Regulations 1997</w:t>
            </w:r>
          </w:p>
        </w:tc>
        <w:tc>
          <w:tcPr>
            <w:tcW w:w="1276" w:type="dxa"/>
            <w:tcBorders>
              <w:top w:val="single" w:sz="8" w:space="0" w:color="auto"/>
            </w:tcBorders>
          </w:tcPr>
          <w:p>
            <w:pPr>
              <w:pStyle w:val="nTable"/>
              <w:spacing w:after="40"/>
              <w:rPr>
                <w:rFonts w:ascii="Times" w:hAnsi="Times"/>
              </w:rPr>
            </w:pPr>
            <w:r>
              <w:rPr>
                <w:rFonts w:ascii="Times" w:hAnsi="Times"/>
              </w:rPr>
              <w:t>18 Mar 1997 p. 1551</w:t>
            </w:r>
            <w:r>
              <w:rPr>
                <w:rFonts w:ascii="Times" w:hAnsi="Times"/>
              </w:rPr>
              <w:noBreakHyphen/>
              <w:t>74</w:t>
            </w:r>
          </w:p>
        </w:tc>
        <w:tc>
          <w:tcPr>
            <w:tcW w:w="2694" w:type="dxa"/>
            <w:tcBorders>
              <w:top w:val="single" w:sz="8" w:space="0" w:color="auto"/>
            </w:tcBorders>
          </w:tcPr>
          <w:p>
            <w:pPr>
              <w:pStyle w:val="nTable"/>
              <w:spacing w:after="40"/>
              <w:rPr>
                <w:rFonts w:ascii="Times" w:hAnsi="Times"/>
              </w:rPr>
            </w:pPr>
            <w:r>
              <w:rPr>
                <w:rFonts w:ascii="Times" w:hAnsi="Times"/>
              </w:rPr>
              <w:t xml:space="preserve">7 Apr 1997 (see r. 2 and </w:t>
            </w:r>
            <w:r>
              <w:rPr>
                <w:rFonts w:ascii="Times" w:hAnsi="Times"/>
                <w:i/>
              </w:rPr>
              <w:t>Gazette</w:t>
            </w:r>
            <w:r>
              <w:rPr>
                <w:rFonts w:ascii="Times" w:hAnsi="Times"/>
              </w:rPr>
              <w:t xml:space="preserve"> 18 Mar 1997 p. 1529)</w:t>
            </w:r>
          </w:p>
        </w:tc>
      </w:tr>
      <w:tr>
        <w:tc>
          <w:tcPr>
            <w:tcW w:w="3118" w:type="dxa"/>
          </w:tcPr>
          <w:p>
            <w:pPr>
              <w:pStyle w:val="nTable"/>
              <w:spacing w:after="40"/>
              <w:rPr>
                <w:rFonts w:ascii="Times" w:hAnsi="Times"/>
              </w:rPr>
            </w:pPr>
            <w:r>
              <w:rPr>
                <w:rFonts w:ascii="Times" w:hAnsi="Times"/>
                <w:i/>
              </w:rPr>
              <w:t>Equality of Status Subsidiary Legislation Amendment Regulations 2003</w:t>
            </w:r>
            <w:r>
              <w:rPr>
                <w:rFonts w:ascii="Times" w:hAnsi="Times"/>
              </w:rPr>
              <w:t xml:space="preserve"> Pt. 10</w:t>
            </w:r>
          </w:p>
        </w:tc>
        <w:tc>
          <w:tcPr>
            <w:tcW w:w="1276" w:type="dxa"/>
          </w:tcPr>
          <w:p>
            <w:pPr>
              <w:pStyle w:val="nTable"/>
              <w:spacing w:after="40"/>
              <w:rPr>
                <w:rFonts w:ascii="Times" w:hAnsi="Times"/>
              </w:rPr>
            </w:pPr>
            <w:r>
              <w:rPr>
                <w:rFonts w:ascii="Times" w:hAnsi="Times"/>
              </w:rPr>
              <w:t>30 Jun 2003 p. 2581</w:t>
            </w:r>
            <w:r>
              <w:rPr>
                <w:rFonts w:ascii="Times" w:hAnsi="Times"/>
              </w:rPr>
              <w:noBreakHyphen/>
              <w:t>638</w:t>
            </w:r>
          </w:p>
        </w:tc>
        <w:tc>
          <w:tcPr>
            <w:tcW w:w="2694" w:type="dxa"/>
          </w:tcPr>
          <w:p>
            <w:pPr>
              <w:pStyle w:val="nTable"/>
              <w:spacing w:after="40"/>
              <w:rPr>
                <w:rFonts w:ascii="Times" w:hAnsi="Times"/>
              </w:rPr>
            </w:pPr>
            <w:r>
              <w:rPr>
                <w:rFonts w:ascii="Times" w:hAnsi="Times"/>
              </w:rPr>
              <w:t xml:space="preserve">1 Jul 2003 (see r. 2 and </w:t>
            </w:r>
            <w:r>
              <w:rPr>
                <w:rFonts w:ascii="Times" w:hAnsi="Times"/>
                <w:i/>
              </w:rPr>
              <w:t xml:space="preserve">Gazette </w:t>
            </w:r>
            <w:r>
              <w:rPr>
                <w:rFonts w:ascii="Times" w:hAnsi="Times"/>
              </w:rPr>
              <w:t>30 Jun 2003 p. 2579)</w:t>
            </w:r>
          </w:p>
        </w:tc>
      </w:tr>
      <w:tr>
        <w:trPr>
          <w:cantSplit/>
        </w:trPr>
        <w:tc>
          <w:tcPr>
            <w:tcW w:w="7088" w:type="dxa"/>
            <w:gridSpan w:val="3"/>
          </w:tcPr>
          <w:p>
            <w:pPr>
              <w:pStyle w:val="nTable"/>
              <w:spacing w:after="40"/>
              <w:rPr>
                <w:rFonts w:ascii="Times" w:hAnsi="Times"/>
              </w:rPr>
            </w:pPr>
            <w:r>
              <w:rPr>
                <w:rFonts w:ascii="Times" w:hAnsi="Times"/>
                <w:b/>
              </w:rPr>
              <w:t xml:space="preserve">Reprint 1: The </w:t>
            </w:r>
            <w:r>
              <w:rPr>
                <w:rFonts w:ascii="Times" w:hAnsi="Times"/>
                <w:b/>
                <w:i/>
              </w:rPr>
              <w:t>Coroners Regulations 1997</w:t>
            </w:r>
            <w:r>
              <w:rPr>
                <w:rFonts w:ascii="Times" w:hAnsi="Times"/>
                <w:b/>
              </w:rPr>
              <w:t xml:space="preserve"> as at 16 Jan 2004</w:t>
            </w:r>
            <w:r>
              <w:rPr>
                <w:rFonts w:ascii="Times" w:hAnsi="Times"/>
              </w:rPr>
              <w:t xml:space="preserve"> (includes amendments listed above)</w:t>
            </w:r>
          </w:p>
        </w:tc>
      </w:tr>
      <w:tr>
        <w:tc>
          <w:tcPr>
            <w:tcW w:w="3118" w:type="dxa"/>
          </w:tcPr>
          <w:p>
            <w:pPr>
              <w:pStyle w:val="nTable"/>
              <w:spacing w:after="40"/>
              <w:rPr>
                <w:rFonts w:ascii="Times" w:hAnsi="Times"/>
                <w:iCs/>
              </w:rPr>
            </w:pPr>
            <w:r>
              <w:rPr>
                <w:rFonts w:ascii="Times" w:hAnsi="Times"/>
                <w:i/>
              </w:rPr>
              <w:t>Courts and Legal Practice (Consequential Amendments) Regulations 2005</w:t>
            </w:r>
            <w:r>
              <w:rPr>
                <w:rFonts w:ascii="Times" w:hAnsi="Times"/>
                <w:iCs/>
              </w:rPr>
              <w:t xml:space="preserve"> r. 3</w:t>
            </w:r>
          </w:p>
        </w:tc>
        <w:tc>
          <w:tcPr>
            <w:tcW w:w="1276" w:type="dxa"/>
          </w:tcPr>
          <w:p>
            <w:pPr>
              <w:pStyle w:val="nTable"/>
              <w:spacing w:after="40"/>
              <w:rPr>
                <w:rFonts w:ascii="Times" w:hAnsi="Times"/>
              </w:rPr>
            </w:pPr>
            <w:r>
              <w:rPr>
                <w:rFonts w:ascii="Times" w:hAnsi="Times"/>
              </w:rPr>
              <w:t>19 Apr 2005 p. 1294</w:t>
            </w:r>
            <w:r>
              <w:rPr>
                <w:rFonts w:ascii="Times" w:hAnsi="Times"/>
              </w:rPr>
              <w:noBreakHyphen/>
              <w:t>302</w:t>
            </w:r>
          </w:p>
        </w:tc>
        <w:tc>
          <w:tcPr>
            <w:tcW w:w="2694" w:type="dxa"/>
          </w:tcPr>
          <w:p>
            <w:pPr>
              <w:pStyle w:val="nTable"/>
              <w:spacing w:after="40"/>
              <w:rPr>
                <w:rFonts w:ascii="Times" w:hAnsi="Times"/>
              </w:rPr>
            </w:pPr>
            <w:r>
              <w:rPr>
                <w:rFonts w:ascii="Times" w:hAnsi="Times"/>
              </w:rPr>
              <w:t>19 Apr 2005</w:t>
            </w:r>
          </w:p>
        </w:tc>
      </w:tr>
      <w:tr>
        <w:tc>
          <w:tcPr>
            <w:tcW w:w="3118" w:type="dxa"/>
          </w:tcPr>
          <w:p>
            <w:pPr>
              <w:pStyle w:val="nTable"/>
              <w:spacing w:after="40"/>
              <w:rPr>
                <w:rFonts w:ascii="Times" w:hAnsi="Times"/>
                <w:i/>
              </w:rPr>
            </w:pPr>
            <w:r>
              <w:rPr>
                <w:rFonts w:ascii="Times" w:hAnsi="Times"/>
                <w:i/>
              </w:rPr>
              <w:t>Coroners Amendment Regulations 2008</w:t>
            </w:r>
          </w:p>
        </w:tc>
        <w:tc>
          <w:tcPr>
            <w:tcW w:w="1276" w:type="dxa"/>
          </w:tcPr>
          <w:p>
            <w:pPr>
              <w:pStyle w:val="nTable"/>
              <w:spacing w:after="40"/>
              <w:rPr>
                <w:rFonts w:ascii="Times" w:hAnsi="Times"/>
              </w:rPr>
            </w:pPr>
            <w:r>
              <w:rPr>
                <w:rFonts w:ascii="Times" w:hAnsi="Times"/>
              </w:rPr>
              <w:t>11 Mar 2008 p. 816</w:t>
            </w:r>
          </w:p>
        </w:tc>
        <w:tc>
          <w:tcPr>
            <w:tcW w:w="2694" w:type="dxa"/>
          </w:tcPr>
          <w:p>
            <w:pPr>
              <w:pStyle w:val="nTable"/>
              <w:spacing w:after="40"/>
              <w:rPr>
                <w:rFonts w:ascii="Times" w:hAnsi="Times"/>
              </w:rPr>
            </w:pPr>
            <w:r>
              <w:rPr>
                <w:rFonts w:ascii="Times" w:hAnsi="Times"/>
                <w:snapToGrid w:val="0"/>
              </w:rPr>
              <w:t>r. 1 and 2: 11 Mar 2008 (see r. 2(a));</w:t>
            </w:r>
            <w:r>
              <w:rPr>
                <w:rFonts w:ascii="Times" w:hAnsi="Times"/>
                <w:snapToGrid w:val="0"/>
              </w:rPr>
              <w:br/>
              <w:t>Regulations other than r. 1 and 2: 12 Mar 2008 (see r. 2(b))</w:t>
            </w:r>
          </w:p>
        </w:tc>
      </w:tr>
      <w:tr>
        <w:tc>
          <w:tcPr>
            <w:tcW w:w="3118" w:type="dxa"/>
          </w:tcPr>
          <w:p>
            <w:pPr>
              <w:pStyle w:val="nTable"/>
              <w:spacing w:after="40"/>
              <w:rPr>
                <w:rFonts w:ascii="Times" w:hAnsi="Times"/>
                <w:i/>
              </w:rPr>
            </w:pPr>
            <w:r>
              <w:rPr>
                <w:rFonts w:ascii="Times" w:hAnsi="Times"/>
                <w:i/>
              </w:rPr>
              <w:t>Coroners Amendment Regulations 2009</w:t>
            </w:r>
          </w:p>
        </w:tc>
        <w:tc>
          <w:tcPr>
            <w:tcW w:w="1276" w:type="dxa"/>
          </w:tcPr>
          <w:p>
            <w:pPr>
              <w:pStyle w:val="nTable"/>
              <w:spacing w:after="40"/>
              <w:rPr>
                <w:rFonts w:ascii="Times" w:hAnsi="Times"/>
              </w:rPr>
            </w:pPr>
            <w:r>
              <w:rPr>
                <w:rFonts w:ascii="Times" w:hAnsi="Times"/>
              </w:rPr>
              <w:t>4 Sep 2009 p. 3491</w:t>
            </w:r>
            <w:r>
              <w:rPr>
                <w:rFonts w:ascii="Times" w:hAnsi="Times"/>
              </w:rPr>
              <w:noBreakHyphen/>
              <w:t>3</w:t>
            </w:r>
          </w:p>
        </w:tc>
        <w:tc>
          <w:tcPr>
            <w:tcW w:w="2694" w:type="dxa"/>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rPr>
          <w:cantSplit/>
        </w:trPr>
        <w:tc>
          <w:tcPr>
            <w:tcW w:w="7088" w:type="dxa"/>
            <w:gridSpan w:val="3"/>
          </w:tcPr>
          <w:p>
            <w:pPr>
              <w:pStyle w:val="nTable"/>
              <w:spacing w:after="40"/>
              <w:rPr>
                <w:rFonts w:ascii="Times" w:hAnsi="Times"/>
                <w:snapToGrid w:val="0"/>
              </w:rPr>
            </w:pPr>
            <w:r>
              <w:rPr>
                <w:rFonts w:ascii="Times" w:hAnsi="Times"/>
                <w:b/>
              </w:rPr>
              <w:t xml:space="preserve">Reprint 2: The </w:t>
            </w:r>
            <w:r>
              <w:rPr>
                <w:rFonts w:ascii="Times" w:hAnsi="Times"/>
                <w:b/>
                <w:i/>
              </w:rPr>
              <w:t>Coroners Regulations 1997</w:t>
            </w:r>
            <w:r>
              <w:rPr>
                <w:rFonts w:ascii="Times" w:hAnsi="Times"/>
                <w:b/>
              </w:rPr>
              <w:t xml:space="preserve"> as at 6 Nov 2009</w:t>
            </w:r>
            <w:r>
              <w:rPr>
                <w:rFonts w:ascii="Times" w:hAnsi="Times"/>
              </w:rPr>
              <w:t xml:space="preserve"> (includes amendments listed above)</w:t>
            </w:r>
          </w:p>
        </w:tc>
      </w:tr>
      <w:tr>
        <w:tc>
          <w:tcPr>
            <w:tcW w:w="3118" w:type="dxa"/>
          </w:tcPr>
          <w:p>
            <w:pPr>
              <w:pStyle w:val="nTable"/>
              <w:spacing w:after="40"/>
              <w:rPr>
                <w:rFonts w:ascii="Times" w:hAnsi="Times"/>
                <w:i/>
              </w:rPr>
            </w:pPr>
            <w:r>
              <w:rPr>
                <w:rFonts w:ascii="Times" w:hAnsi="Times"/>
                <w:i/>
              </w:rPr>
              <w:t>Coroners Amendment Regulations 2011</w:t>
            </w:r>
          </w:p>
        </w:tc>
        <w:tc>
          <w:tcPr>
            <w:tcW w:w="1276" w:type="dxa"/>
          </w:tcPr>
          <w:p>
            <w:pPr>
              <w:pStyle w:val="nTable"/>
              <w:spacing w:after="40"/>
              <w:rPr>
                <w:rFonts w:ascii="Times" w:hAnsi="Times"/>
              </w:rPr>
            </w:pPr>
            <w:r>
              <w:rPr>
                <w:rFonts w:ascii="Times" w:hAnsi="Times"/>
              </w:rPr>
              <w:t>8 Mar 2011 p. 799</w:t>
            </w:r>
            <w:r>
              <w:rPr>
                <w:rFonts w:ascii="Times" w:hAnsi="Times"/>
              </w:rPr>
              <w:noBreakHyphen/>
              <w:t>800</w:t>
            </w:r>
          </w:p>
        </w:tc>
        <w:tc>
          <w:tcPr>
            <w:tcW w:w="2694" w:type="dxa"/>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spacing w:after="40"/>
              <w:rPr>
                <w:rFonts w:ascii="Times" w:hAnsi="Times"/>
                <w:i/>
              </w:rPr>
            </w:pPr>
            <w:r>
              <w:rPr>
                <w:rFonts w:ascii="Times" w:hAnsi="Times"/>
                <w:i/>
              </w:rPr>
              <w:t>Coroners Amendment Regulations (No. 2) 2011</w:t>
            </w:r>
          </w:p>
        </w:tc>
        <w:tc>
          <w:tcPr>
            <w:tcW w:w="1276" w:type="dxa"/>
          </w:tcPr>
          <w:p>
            <w:pPr>
              <w:pStyle w:val="nTable"/>
              <w:spacing w:after="40"/>
              <w:rPr>
                <w:rFonts w:ascii="Times" w:hAnsi="Times"/>
              </w:rPr>
            </w:pPr>
            <w:r>
              <w:rPr>
                <w:rFonts w:ascii="Times" w:hAnsi="Times"/>
              </w:rPr>
              <w:t>20 Dec 2011 p. 5392</w:t>
            </w:r>
            <w:r>
              <w:rPr>
                <w:rFonts w:ascii="Times" w:hAnsi="Times"/>
              </w:rPr>
              <w:noBreakHyphen/>
              <w:t>3</w:t>
            </w:r>
          </w:p>
        </w:tc>
        <w:tc>
          <w:tcPr>
            <w:tcW w:w="2694" w:type="dxa"/>
          </w:tcPr>
          <w:p>
            <w:pPr>
              <w:pStyle w:val="nTable"/>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Coroners Amendment Regulations 2012</w:t>
            </w:r>
          </w:p>
        </w:tc>
        <w:tc>
          <w:tcPr>
            <w:tcW w:w="1276" w:type="dxa"/>
          </w:tcPr>
          <w:p>
            <w:pPr>
              <w:pStyle w:val="nTable"/>
              <w:spacing w:after="40"/>
              <w:rPr>
                <w:rFonts w:ascii="Times" w:hAnsi="Times"/>
              </w:rPr>
            </w:pPr>
            <w:r>
              <w:rPr>
                <w:rFonts w:ascii="Times" w:hAnsi="Times"/>
              </w:rPr>
              <w:t>30 Nov 2012 p. 5801</w:t>
            </w:r>
          </w:p>
        </w:tc>
        <w:tc>
          <w:tcPr>
            <w:tcW w:w="2694"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keepNext/>
              <w:spacing w:after="40"/>
              <w:rPr>
                <w:rFonts w:ascii="Times" w:hAnsi="Times"/>
                <w:i/>
              </w:rPr>
            </w:pPr>
            <w:r>
              <w:rPr>
                <w:rFonts w:ascii="Times" w:hAnsi="Times"/>
                <w:i/>
              </w:rPr>
              <w:t>Coroners Amendment Regulations (No. 2) 2012</w:t>
            </w:r>
          </w:p>
        </w:tc>
        <w:tc>
          <w:tcPr>
            <w:tcW w:w="1276" w:type="dxa"/>
          </w:tcPr>
          <w:p>
            <w:pPr>
              <w:pStyle w:val="nTable"/>
              <w:keepNext/>
              <w:spacing w:after="40"/>
              <w:rPr>
                <w:rFonts w:ascii="Times" w:hAnsi="Times"/>
              </w:rPr>
            </w:pPr>
            <w:r>
              <w:rPr>
                <w:rFonts w:ascii="Times" w:hAnsi="Times"/>
              </w:rPr>
              <w:t>12 Feb 2013 p. 921-2</w:t>
            </w:r>
          </w:p>
        </w:tc>
        <w:tc>
          <w:tcPr>
            <w:tcW w:w="2694" w:type="dxa"/>
          </w:tcPr>
          <w:p>
            <w:pPr>
              <w:pStyle w:val="nTable"/>
              <w:keepNext/>
              <w:spacing w:after="40"/>
              <w:rPr>
                <w:rFonts w:ascii="Times" w:hAnsi="Times"/>
                <w:snapToGrid w:val="0"/>
              </w:rPr>
            </w:pPr>
            <w:r>
              <w:rPr>
                <w:rFonts w:ascii="Times" w:hAnsi="Times"/>
                <w:snapToGrid w:val="0"/>
              </w:rPr>
              <w:t>r. 1 and 2: 12 Feb 2013 (see r. 2(a));</w:t>
            </w:r>
            <w:r>
              <w:rPr>
                <w:rFonts w:ascii="Times" w:hAnsi="Times"/>
                <w:snapToGrid w:val="0"/>
              </w:rPr>
              <w:br/>
              <w:t>Regulations other than r. 1 and 2: 13 Feb 2013 (see r. 2(b))</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2013</w:t>
            </w:r>
          </w:p>
        </w:tc>
        <w:tc>
          <w:tcPr>
            <w:tcW w:w="1276" w:type="dxa"/>
            <w:shd w:val="clear" w:color="auto" w:fill="auto"/>
          </w:tcPr>
          <w:p>
            <w:pPr>
              <w:pStyle w:val="nTable"/>
              <w:keepNext/>
              <w:spacing w:after="40"/>
              <w:rPr>
                <w:rFonts w:ascii="Times" w:hAnsi="Times"/>
              </w:rPr>
            </w:pPr>
            <w:r>
              <w:rPr>
                <w:rFonts w:ascii="Times" w:hAnsi="Times"/>
              </w:rPr>
              <w:t>15 Nov 2013 p. 5252</w:t>
            </w:r>
            <w:r>
              <w:rPr>
                <w:rFonts w:ascii="Times" w:hAnsi="Times"/>
              </w:rPr>
              <w:noBreakHyphen/>
              <w:t>3</w:t>
            </w:r>
          </w:p>
        </w:tc>
        <w:tc>
          <w:tcPr>
            <w:tcW w:w="2694" w:type="dxa"/>
            <w:shd w:val="clear" w:color="auto" w:fill="auto"/>
          </w:tcPr>
          <w:p>
            <w:pPr>
              <w:pStyle w:val="nTable"/>
              <w:keepNext/>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2(b)(ii))</w:t>
            </w:r>
          </w:p>
        </w:tc>
      </w:tr>
      <w:tr>
        <w:tc>
          <w:tcPr>
            <w:tcW w:w="7088" w:type="dxa"/>
            <w:gridSpan w:val="3"/>
            <w:shd w:val="clear" w:color="auto" w:fill="auto"/>
          </w:tcPr>
          <w:p>
            <w:pPr>
              <w:pStyle w:val="nTable"/>
              <w:keepNext/>
              <w:spacing w:after="40"/>
              <w:rPr>
                <w:rFonts w:ascii="Times" w:hAnsi="Times"/>
                <w:bCs/>
                <w:snapToGrid w:val="0"/>
              </w:rPr>
            </w:pPr>
            <w:r>
              <w:rPr>
                <w:rFonts w:ascii="Times" w:hAnsi="Times"/>
                <w:b/>
              </w:rPr>
              <w:t xml:space="preserve">Reprint 3: The </w:t>
            </w:r>
            <w:r>
              <w:rPr>
                <w:rFonts w:ascii="Times" w:hAnsi="Times"/>
                <w:b/>
                <w:i/>
              </w:rPr>
              <w:t>Coroners Regulations 1997</w:t>
            </w:r>
            <w:r>
              <w:rPr>
                <w:rFonts w:ascii="Times" w:hAnsi="Times"/>
                <w:b/>
              </w:rPr>
              <w:t xml:space="preserve"> as at 23 May 2014</w:t>
            </w:r>
            <w:r>
              <w:rPr>
                <w:rFonts w:ascii="Times" w:hAnsi="Times"/>
              </w:rPr>
              <w:t xml:space="preserve"> (includes amendments listed above)</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(No. 2) 2014</w:t>
            </w:r>
          </w:p>
        </w:tc>
        <w:tc>
          <w:tcPr>
            <w:tcW w:w="1276" w:type="dxa"/>
            <w:shd w:val="clear" w:color="auto" w:fill="auto"/>
          </w:tcPr>
          <w:p>
            <w:pPr>
              <w:pStyle w:val="nTable"/>
              <w:keepNext/>
              <w:spacing w:after="40"/>
              <w:rPr>
                <w:rFonts w:ascii="Times" w:hAnsi="Times"/>
              </w:rPr>
            </w:pPr>
            <w:r>
              <w:rPr>
                <w:rFonts w:ascii="Times" w:hAnsi="Times"/>
              </w:rPr>
              <w:t>27 Jun 2014 p. 2337</w:t>
            </w:r>
          </w:p>
        </w:tc>
        <w:tc>
          <w:tcPr>
            <w:tcW w:w="2694" w:type="dxa"/>
            <w:shd w:val="clear" w:color="auto" w:fill="auto"/>
          </w:tcPr>
          <w:p>
            <w:pPr>
              <w:pStyle w:val="nTable"/>
              <w:keepNext/>
              <w:spacing w:after="40"/>
              <w:rPr>
                <w:rFonts w:ascii="Times" w:hAnsi="Time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3118" w:type="dxa"/>
            <w:tcBorders>
              <w:bottom w:val="single" w:sz="4" w:space="0" w:color="auto"/>
            </w:tcBorders>
            <w:shd w:val="clear" w:color="auto" w:fill="auto"/>
          </w:tcPr>
          <w:p>
            <w:pPr>
              <w:pStyle w:val="nTable"/>
              <w:keepNext/>
              <w:spacing w:after="40"/>
              <w:rPr>
                <w:rFonts w:ascii="Times" w:hAnsi="Times"/>
                <w:i/>
              </w:rPr>
            </w:pPr>
            <w:r>
              <w:rPr>
                <w:rFonts w:ascii="Times" w:hAnsi="Times"/>
                <w:i/>
              </w:rPr>
              <w:t>Coroners Amendment Regulations 2015</w:t>
            </w:r>
          </w:p>
        </w:tc>
        <w:tc>
          <w:tcPr>
            <w:tcW w:w="1276" w:type="dxa"/>
            <w:tcBorders>
              <w:bottom w:val="single" w:sz="4" w:space="0" w:color="auto"/>
            </w:tcBorders>
            <w:shd w:val="clear" w:color="auto" w:fill="auto"/>
          </w:tcPr>
          <w:p>
            <w:pPr>
              <w:pStyle w:val="nTable"/>
              <w:keepNext/>
              <w:spacing w:after="40"/>
              <w:rPr>
                <w:rFonts w:ascii="Times" w:hAnsi="Times"/>
              </w:rPr>
            </w:pPr>
            <w:r>
              <w:rPr>
                <w:rFonts w:ascii="Times" w:hAnsi="Times"/>
              </w:rPr>
              <w:t>19 Jun 2015 p. 2118</w:t>
            </w:r>
            <w:r>
              <w:rPr>
                <w:rFonts w:ascii="Times" w:hAnsi="Times"/>
              </w:rPr>
              <w:noBreakHyphen/>
              <w:t>19</w:t>
            </w:r>
          </w:p>
        </w:tc>
        <w:tc>
          <w:tcPr>
            <w:tcW w:w="2694" w:type="dxa"/>
            <w:tcBorders>
              <w:bottom w:val="single" w:sz="4" w:space="0" w:color="auto"/>
            </w:tcBorders>
            <w:shd w:val="clear" w:color="auto" w:fill="auto"/>
          </w:tcPr>
          <w:p>
            <w:pPr>
              <w:pStyle w:val="nTable"/>
              <w:keepNext/>
              <w:spacing w:after="40"/>
              <w:rPr>
                <w:rFonts w:ascii="Times" w:hAnsi="Times"/>
                <w:bCs/>
                <w:snapToGrid w:val="0"/>
              </w:rPr>
            </w:pPr>
            <w:r>
              <w:rPr>
                <w:rFonts w:ascii="Times" w:hAnsi="Times"/>
                <w:bCs/>
                <w:snapToGrid w:val="0"/>
              </w:rPr>
              <w:t>r. 1 and 2: 19 Jun 2015 (see r. 2(a));</w:t>
            </w:r>
            <w:r>
              <w:rPr>
                <w:rFonts w:ascii="Times" w:hAnsi="Times"/>
                <w:bCs/>
                <w:snapToGrid w:val="0"/>
              </w:rPr>
              <w:br/>
              <w:t>Regulations other than r. 1 and 2: 1 Jul 2015 (see r. 2(b)(i))</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5" w:name="_Toc453657188"/>
      <w:r>
        <w:t>Provisions that have not come into operation</w:t>
      </w:r>
      <w:bookmarkEnd w:id="8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Attorney General Regulations Amendment (Fees) Regulations 2016</w:t>
            </w:r>
            <w:r>
              <w:t xml:space="preserve"> Pt. 4</w:t>
            </w:r>
            <w:r>
              <w:rPr>
                <w:vertAlign w:val="superscript"/>
              </w:rPr>
              <w:t> 2</w:t>
            </w:r>
          </w:p>
        </w:tc>
        <w:tc>
          <w:tcPr>
            <w:tcW w:w="1276" w:type="dxa"/>
          </w:tcPr>
          <w:p>
            <w:pPr>
              <w:pStyle w:val="nTable"/>
              <w:spacing w:after="40"/>
            </w:pPr>
            <w:r>
              <w:t>14 Jun 2016 p. 1849</w:t>
            </w:r>
            <w:r>
              <w:noBreakHyphen/>
              <w:t>986</w:t>
            </w:r>
          </w:p>
        </w:tc>
        <w:tc>
          <w:tcPr>
            <w:tcW w:w="2693" w:type="dxa"/>
          </w:tcPr>
          <w:p>
            <w:pPr>
              <w:pStyle w:val="nTable"/>
              <w:spacing w:after="40"/>
            </w:pPr>
            <w:r>
              <w:t>4 Jul 2016 (see r. 2(b))</w:t>
            </w:r>
          </w:p>
        </w:tc>
      </w:tr>
    </w:tbl>
    <w:p>
      <w:pPr>
        <w:pStyle w:val="nSubsection"/>
        <w:rPr>
          <w:snapToGrid w:val="0"/>
        </w:rPr>
      </w:pPr>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Attorney General Regulations Amendment (Fees) Regulations 2016</w:t>
      </w:r>
      <w:r>
        <w:t xml:space="preserve"> Pt. 4 </w:t>
      </w:r>
      <w:r>
        <w:rPr>
          <w:snapToGrid w:val="0"/>
        </w:rPr>
        <w:t>had not come into operation.  It reads as follows:</w:t>
      </w:r>
    </w:p>
    <w:p>
      <w:pPr>
        <w:pStyle w:val="BlankOpen"/>
        <w:rPr>
          <w:snapToGrid w:val="0"/>
        </w:rPr>
      </w:pPr>
    </w:p>
    <w:p>
      <w:pPr>
        <w:pStyle w:val="nzHeading2"/>
        <w:rPr>
          <w:rStyle w:val="CharDivText"/>
        </w:rPr>
      </w:pPr>
      <w:bookmarkStart w:id="86" w:name="_Toc451172593"/>
      <w:bookmarkStart w:id="87" w:name="_Toc451172851"/>
      <w:bookmarkStart w:id="88" w:name="_Toc451256141"/>
      <w:bookmarkStart w:id="89" w:name="_Toc451256270"/>
      <w:bookmarkStart w:id="90" w:name="_Toc451333775"/>
      <w:bookmarkStart w:id="91" w:name="_Toc451343555"/>
      <w:bookmarkStart w:id="92" w:name="_Toc451352127"/>
      <w:bookmarkStart w:id="93" w:name="_Toc451756142"/>
      <w:r>
        <w:rPr>
          <w:rStyle w:val="CharPartNo"/>
        </w:rPr>
        <w:t>Part 4</w:t>
      </w:r>
      <w:r>
        <w:rPr>
          <w:rStyle w:val="CharDivNo"/>
        </w:rPr>
        <w:t> </w:t>
      </w:r>
      <w:r>
        <w:t>—</w:t>
      </w:r>
      <w:r>
        <w:rPr>
          <w:rStyle w:val="CharDivText"/>
        </w:rPr>
        <w:t> </w:t>
      </w:r>
      <w:r>
        <w:rPr>
          <w:rStyle w:val="CharPartText"/>
          <w:i/>
        </w:rPr>
        <w:t>Coroners Regulations 1997</w:t>
      </w:r>
      <w:r>
        <w:rPr>
          <w:rStyle w:val="CharPartText"/>
        </w:rPr>
        <w:t xml:space="preserve"> amended</w:t>
      </w:r>
      <w:bookmarkEnd w:id="86"/>
      <w:bookmarkEnd w:id="87"/>
      <w:bookmarkEnd w:id="88"/>
      <w:bookmarkEnd w:id="89"/>
      <w:bookmarkEnd w:id="90"/>
      <w:bookmarkEnd w:id="91"/>
      <w:bookmarkEnd w:id="92"/>
      <w:bookmarkEnd w:id="93"/>
    </w:p>
    <w:p>
      <w:pPr>
        <w:pStyle w:val="nzHeading5"/>
        <w:rPr>
          <w:snapToGrid w:val="0"/>
        </w:rPr>
      </w:pPr>
      <w:bookmarkStart w:id="94" w:name="_Toc451756143"/>
      <w:r>
        <w:rPr>
          <w:rStyle w:val="CharSectno"/>
        </w:rPr>
        <w:t>15</w:t>
      </w:r>
      <w:r>
        <w:rPr>
          <w:snapToGrid w:val="0"/>
        </w:rPr>
        <w:t>.</w:t>
      </w:r>
      <w:r>
        <w:rPr>
          <w:snapToGrid w:val="0"/>
        </w:rPr>
        <w:tab/>
        <w:t>Regulations amended</w:t>
      </w:r>
      <w:bookmarkEnd w:id="94"/>
    </w:p>
    <w:p>
      <w:pPr>
        <w:pStyle w:val="nzSubsection"/>
      </w:pPr>
      <w:r>
        <w:tab/>
      </w:r>
      <w:r>
        <w:tab/>
      </w:r>
      <w:r>
        <w:rPr>
          <w:spacing w:val="-2"/>
        </w:rPr>
        <w:t>This</w:t>
      </w:r>
      <w:r>
        <w:t xml:space="preserve"> Part amends the </w:t>
      </w:r>
      <w:r>
        <w:rPr>
          <w:i/>
        </w:rPr>
        <w:t>Coroners Regulations 1997</w:t>
      </w:r>
      <w:r>
        <w:t>.</w:t>
      </w:r>
    </w:p>
    <w:p>
      <w:pPr>
        <w:pStyle w:val="nzHeading5"/>
      </w:pPr>
      <w:bookmarkStart w:id="95" w:name="_Toc451756144"/>
      <w:r>
        <w:rPr>
          <w:rStyle w:val="CharSectno"/>
        </w:rPr>
        <w:t>16</w:t>
      </w:r>
      <w:r>
        <w:t>.</w:t>
      </w:r>
      <w:r>
        <w:tab/>
        <w:t>Regulation 3A amended</w:t>
      </w:r>
      <w:bookmarkEnd w:id="95"/>
    </w:p>
    <w:p>
      <w:pPr>
        <w:pStyle w:val="nzSubsection"/>
      </w:pPr>
      <w:r>
        <w:tab/>
      </w:r>
      <w:r>
        <w:tab/>
        <w:t>In regulation 3A insert in alphabetical order:</w:t>
      </w:r>
    </w:p>
    <w:p>
      <w:pPr>
        <w:pStyle w:val="BlankOpen"/>
      </w:pPr>
    </w:p>
    <w:p>
      <w:pPr>
        <w:pStyle w:val="nzDefstart"/>
      </w:pPr>
      <w:r>
        <w:tab/>
      </w:r>
      <w:r>
        <w:rPr>
          <w:rStyle w:val="CharDefText"/>
        </w:rPr>
        <w:t>eligible individual</w:t>
      </w:r>
      <w:r>
        <w:t xml:space="preserve"> means an individual referred to in regulation 23B(2);</w:t>
      </w:r>
    </w:p>
    <w:p>
      <w:pPr>
        <w:pStyle w:val="nzDefstart"/>
      </w:pPr>
      <w:r>
        <w:tab/>
      </w:r>
      <w:r>
        <w:rPr>
          <w:rStyle w:val="CharDefText"/>
        </w:rPr>
        <w:t>eligible individual fee</w:t>
      </w:r>
      <w:r>
        <w:t>, in relation to a matter specified in an item in Schedule 3, means the fee, if any, shown in column B for that item;</w:t>
      </w:r>
    </w:p>
    <w:p>
      <w:pPr>
        <w:pStyle w:val="BlankClose"/>
      </w:pPr>
    </w:p>
    <w:p>
      <w:pPr>
        <w:pStyle w:val="nzHeading5"/>
      </w:pPr>
      <w:bookmarkStart w:id="96" w:name="_Toc451756145"/>
      <w:r>
        <w:rPr>
          <w:rStyle w:val="CharSectno"/>
        </w:rPr>
        <w:t>17</w:t>
      </w:r>
      <w:r>
        <w:t>.</w:t>
      </w:r>
      <w:r>
        <w:tab/>
        <w:t>Regulations 22 and 23 replaced</w:t>
      </w:r>
      <w:bookmarkEnd w:id="96"/>
    </w:p>
    <w:p>
      <w:pPr>
        <w:pStyle w:val="nzSubsection"/>
      </w:pPr>
      <w:r>
        <w:tab/>
      </w:r>
      <w:r>
        <w:tab/>
        <w:t>Delete regulations 22 and 23 and insert:</w:t>
      </w:r>
    </w:p>
    <w:p>
      <w:pPr>
        <w:pStyle w:val="BlankOpen"/>
      </w:pPr>
    </w:p>
    <w:p>
      <w:pPr>
        <w:pStyle w:val="nzHeading5"/>
      </w:pPr>
      <w:bookmarkStart w:id="97" w:name="_Toc451756146"/>
      <w:r>
        <w:t>22.</w:t>
      </w:r>
      <w:r>
        <w:tab/>
        <w:t>Other fees</w:t>
      </w:r>
      <w:bookmarkEnd w:id="97"/>
    </w:p>
    <w:p>
      <w:pPr>
        <w:pStyle w:val="nzSubsection"/>
      </w:pPr>
      <w:r>
        <w:tab/>
        <w:t>(1)</w:t>
      </w:r>
      <w:r>
        <w:tab/>
        <w:t>The fees set out in Schedule 3 are payable in respect of the matters specified in that Schedule.</w:t>
      </w:r>
    </w:p>
    <w:p>
      <w:pPr>
        <w:pStyle w:val="nzSubsection"/>
      </w:pPr>
      <w:r>
        <w:tab/>
        <w:t>(2)</w:t>
      </w:r>
      <w:r>
        <w:tab/>
        <w:t xml:space="preserve">In relation to a matter specified in an item in Schedule 3 — </w:t>
      </w:r>
    </w:p>
    <w:p>
      <w:pPr>
        <w:pStyle w:val="nzIndenta"/>
      </w:pPr>
      <w:r>
        <w:tab/>
        <w:t>(a)</w:t>
      </w:r>
      <w:r>
        <w:tab/>
        <w:t>the fee payable by an individual who is not an eligible individual is the fee shown in column A for that item; or</w:t>
      </w:r>
    </w:p>
    <w:p>
      <w:pPr>
        <w:pStyle w:val="nzIndenta"/>
      </w:pPr>
      <w:r>
        <w:tab/>
        <w:t>(b)</w:t>
      </w:r>
      <w:r>
        <w:tab/>
        <w:t>the fee payable by an eligible individual is the eligible individual fee for that item.</w:t>
      </w:r>
    </w:p>
    <w:p>
      <w:pPr>
        <w:pStyle w:val="nzHeading5"/>
      </w:pPr>
      <w:bookmarkStart w:id="98" w:name="_Toc451756147"/>
      <w:r>
        <w:t>23A.</w:t>
      </w:r>
      <w:r>
        <w:tab/>
        <w:t>Fee exemptions</w:t>
      </w:r>
      <w:bookmarkEnd w:id="98"/>
    </w:p>
    <w:p>
      <w:pPr>
        <w:pStyle w:val="nzSubsection"/>
      </w:pPr>
      <w:r>
        <w:tab/>
      </w:r>
      <w:r>
        <w:tab/>
        <w:t xml:space="preserve">A person is not required to pay a fee in respect of a matter if — </w:t>
      </w:r>
    </w:p>
    <w:p>
      <w:pPr>
        <w:pStyle w:val="nzIndenta"/>
      </w:pPr>
      <w:r>
        <w:tab/>
        <w:t>(a)</w:t>
      </w:r>
      <w:r>
        <w:tab/>
        <w:t>a written law provides that the person is not required to pay a fee in respect of a matter of that type; or</w:t>
      </w:r>
    </w:p>
    <w:p>
      <w:pPr>
        <w:pStyle w:val="nzIndenta"/>
      </w:pPr>
      <w:r>
        <w:tab/>
        <w:t>(b)</w:t>
      </w:r>
      <w:r>
        <w:tab/>
        <w:t>the person has not reached 18 years of age on the day the fee would otherwise be payable.</w:t>
      </w:r>
    </w:p>
    <w:p>
      <w:pPr>
        <w:pStyle w:val="nzHeading5"/>
      </w:pPr>
      <w:bookmarkStart w:id="99" w:name="_Toc451756148"/>
      <w:r>
        <w:t>23B.</w:t>
      </w:r>
      <w:r>
        <w:tab/>
        <w:t>Who is an eligible individual</w:t>
      </w:r>
      <w:bookmarkEnd w:id="99"/>
    </w:p>
    <w:p>
      <w:pPr>
        <w:pStyle w:val="nzSubsection"/>
      </w:pPr>
      <w:r>
        <w:tab/>
        <w:t>(1)</w:t>
      </w:r>
      <w:r>
        <w:tab/>
        <w:t xml:space="preserve">In this regulation — </w:t>
      </w:r>
    </w:p>
    <w:p>
      <w:pPr>
        <w:pStyle w:val="nzDefstart"/>
      </w:pPr>
      <w:r>
        <w:tab/>
      </w:r>
      <w:r>
        <w:rPr>
          <w:rStyle w:val="CharDefText"/>
        </w:rPr>
        <w:t>Centrelink</w:t>
      </w:r>
      <w:r>
        <w:t xml:space="preserve"> means the Commonwealth agency known as Centrelink.</w:t>
      </w:r>
    </w:p>
    <w:p>
      <w:pPr>
        <w:pStyle w:val="nzSubsection"/>
      </w:pPr>
      <w:r>
        <w:tab/>
        <w:t>(2)</w:t>
      </w:r>
      <w:r>
        <w:tab/>
        <w:t xml:space="preserve">An eligible individual is — </w:t>
      </w:r>
    </w:p>
    <w:p>
      <w:pPr>
        <w:pStyle w:val="nzIndenta"/>
      </w:pPr>
      <w:r>
        <w:tab/>
        <w:t>(a)</w:t>
      </w:r>
      <w:r>
        <w:tab/>
        <w:t xml:space="preserve">an individual who holds one or more of the following cards issued by Centrelink — </w:t>
      </w:r>
    </w:p>
    <w:p>
      <w:pPr>
        <w:pStyle w:val="nzIndenti"/>
      </w:pPr>
      <w:r>
        <w:tab/>
        <w:t>(i)</w:t>
      </w:r>
      <w:r>
        <w:tab/>
        <w:t>a health care card;</w:t>
      </w:r>
    </w:p>
    <w:p>
      <w:pPr>
        <w:pStyle w:val="nzIndenti"/>
      </w:pPr>
      <w:r>
        <w:tab/>
        <w:t>(ii)</w:t>
      </w:r>
      <w:r>
        <w:tab/>
        <w:t>a health benefit card;</w:t>
      </w:r>
    </w:p>
    <w:p>
      <w:pPr>
        <w:pStyle w:val="nzIndenti"/>
      </w:pPr>
      <w:r>
        <w:tab/>
        <w:t>(iii)</w:t>
      </w:r>
      <w:r>
        <w:tab/>
        <w:t>a pensioner concession card;</w:t>
      </w:r>
    </w:p>
    <w:p>
      <w:pPr>
        <w:pStyle w:val="nzIndenti"/>
      </w:pPr>
      <w:r>
        <w:tab/>
        <w:t>(iv)</w:t>
      </w:r>
      <w:r>
        <w:tab/>
        <w:t>a Commonwealth seniors health card;</w:t>
      </w:r>
    </w:p>
    <w:p>
      <w:pPr>
        <w:pStyle w:val="nzIndenta"/>
      </w:pPr>
      <w:r>
        <w:tab/>
      </w:r>
      <w:r>
        <w:tab/>
        <w:t>or</w:t>
      </w:r>
    </w:p>
    <w:p>
      <w:pPr>
        <w:pStyle w:val="nzIndenta"/>
      </w:pPr>
      <w:r>
        <w:tab/>
        <w:t>(b)</w:t>
      </w:r>
      <w:r>
        <w:tab/>
        <w:t>an individual who holds any other card issued by Centrelink or the Department of Veterans’ Affairs of the Commonwealth that certifies entitlement to Commonwealth health concessions; or</w:t>
      </w:r>
    </w:p>
    <w:p>
      <w:pPr>
        <w:pStyle w:val="nz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nzIndenta"/>
      </w:pPr>
      <w:r>
        <w:tab/>
        <w:t>(d)</w:t>
      </w:r>
      <w:r>
        <w:tab/>
        <w:t>an individual who is in receipt of benefits under the Commonwealth student assistance scheme known as the ABSTUDY Scheme; or</w:t>
      </w:r>
    </w:p>
    <w:p>
      <w:pPr>
        <w:pStyle w:val="nz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nzIndenta"/>
      </w:pPr>
      <w:r>
        <w:tab/>
        <w:t>(f)</w:t>
      </w:r>
      <w:r>
        <w:tab/>
        <w:t>an individual who a coroner or a coroner’s registrar has directed is an eligible individual under regulation 23D(1)(b).</w:t>
      </w:r>
    </w:p>
    <w:p>
      <w:pPr>
        <w:pStyle w:val="nzHeading5"/>
      </w:pPr>
      <w:bookmarkStart w:id="100" w:name="_Toc451756149"/>
      <w:r>
        <w:t>23C.</w:t>
      </w:r>
      <w:r>
        <w:tab/>
        <w:t>Application to be recognised as eligible individual</w:t>
      </w:r>
      <w:bookmarkEnd w:id="100"/>
    </w:p>
    <w:p>
      <w:pPr>
        <w:pStyle w:val="nzSubsection"/>
      </w:pPr>
      <w:r>
        <w:tab/>
        <w:t>(1)</w:t>
      </w:r>
      <w:r>
        <w:tab/>
        <w:t>A person may apply for a direction under regulation 23D(1) that the person is an eligible individual in respect of a matter specified in Schedule 3.</w:t>
      </w:r>
    </w:p>
    <w:p>
      <w:pPr>
        <w:pStyle w:val="nzSubsection"/>
      </w:pPr>
      <w:r>
        <w:tab/>
        <w:t>(2)</w:t>
      </w:r>
      <w:r>
        <w:tab/>
        <w:t xml:space="preserve">An application is to be in the approved form and is to specify the matter in respect of which the individual is seeking to pay the eligible individual fee. </w:t>
      </w:r>
    </w:p>
    <w:p>
      <w:pPr>
        <w:pStyle w:val="nzSubsection"/>
      </w:pPr>
      <w:r>
        <w:tab/>
        <w:t>(3)</w:t>
      </w:r>
      <w:r>
        <w:tab/>
        <w:t>Despite anything else in these regulations, a fee is not to be charged in respect of an application under subregulation (1).</w:t>
      </w:r>
    </w:p>
    <w:p>
      <w:pPr>
        <w:pStyle w:val="nzHeading5"/>
      </w:pPr>
      <w:bookmarkStart w:id="101" w:name="_Toc451756150"/>
      <w:r>
        <w:t>23D.</w:t>
      </w:r>
      <w:r>
        <w:tab/>
        <w:t>Recognition as eligible individual</w:t>
      </w:r>
      <w:bookmarkEnd w:id="101"/>
      <w:r>
        <w:t xml:space="preserve"> </w:t>
      </w:r>
    </w:p>
    <w:p>
      <w:pPr>
        <w:pStyle w:val="nzSubsection"/>
      </w:pPr>
      <w:r>
        <w:tab/>
        <w:t>(1)</w:t>
      </w:r>
      <w:r>
        <w:tab/>
        <w:t xml:space="preserve">A coroner or a coroner’s registrar may, on an application under regulation 23C(1) — </w:t>
      </w:r>
    </w:p>
    <w:p>
      <w:pPr>
        <w:pStyle w:val="nzIndenta"/>
      </w:pPr>
      <w:r>
        <w:tab/>
        <w:t>(a)</w:t>
      </w:r>
      <w:r>
        <w:tab/>
        <w:t>direct that a person is an eligible individual described in regulation 23B(2)(a) to (e) in respect of the matter if satisfied that the person meets one or more of the requirements set out in those paragraphs; or</w:t>
      </w:r>
    </w:p>
    <w:p>
      <w:pPr>
        <w:pStyle w:val="nzIndenta"/>
      </w:pPr>
      <w:r>
        <w:tab/>
        <w:t>(b)</w:t>
      </w:r>
      <w:r>
        <w:tab/>
        <w:t xml:space="preserve">direct that a person is an eligible individual described in regulation 23B(2)(f) if satisfied that the person should be required to pay only an eligible individual fee in respect of the matter for either, or both, of the following reasons — </w:t>
      </w:r>
    </w:p>
    <w:p>
      <w:pPr>
        <w:pStyle w:val="nzIndenti"/>
      </w:pPr>
      <w:r>
        <w:tab/>
        <w:t>(i)</w:t>
      </w:r>
      <w:r>
        <w:tab/>
        <w:t>financial hardship;</w:t>
      </w:r>
    </w:p>
    <w:p>
      <w:pPr>
        <w:pStyle w:val="nzIndenti"/>
      </w:pPr>
      <w:r>
        <w:tab/>
        <w:t>(ii)</w:t>
      </w:r>
      <w:r>
        <w:tab/>
        <w:t>the interests of justice.</w:t>
      </w:r>
    </w:p>
    <w:p>
      <w:pPr>
        <w:pStyle w:val="nzSubsection"/>
      </w:pPr>
      <w:r>
        <w:tab/>
        <w:t>(2)</w:t>
      </w:r>
      <w:r>
        <w:tab/>
        <w:t>A coroner or a coroner’s registrar may, before an application is determined, direct the applicant to provide to the coroner or the registrar further information relating to the application.</w:t>
      </w:r>
    </w:p>
    <w:p>
      <w:pPr>
        <w:pStyle w:val="nzSubsection"/>
      </w:pPr>
      <w:r>
        <w:tab/>
        <w:t>(3)</w:t>
      </w:r>
      <w:r>
        <w:tab/>
        <w:t xml:space="preserve">A direction to provide further information — </w:t>
      </w:r>
    </w:p>
    <w:p>
      <w:pPr>
        <w:pStyle w:val="nzIndenta"/>
      </w:pPr>
      <w:r>
        <w:tab/>
        <w:t>(a)</w:t>
      </w:r>
      <w:r>
        <w:tab/>
        <w:t>may be made in writing or orally; and</w:t>
      </w:r>
    </w:p>
    <w:p>
      <w:pPr>
        <w:pStyle w:val="nzIndenta"/>
      </w:pPr>
      <w:r>
        <w:tab/>
        <w:t>(b)</w:t>
      </w:r>
      <w:r>
        <w:tab/>
        <w:t>may require that the information is provided either in writing or orally.</w:t>
      </w:r>
    </w:p>
    <w:p>
      <w:pPr>
        <w:pStyle w:val="nzHeading5"/>
      </w:pPr>
      <w:bookmarkStart w:id="102" w:name="_Toc451756151"/>
      <w:r>
        <w:t>23E.</w:t>
      </w:r>
      <w:r>
        <w:tab/>
        <w:t>False or misleading statements</w:t>
      </w:r>
      <w:bookmarkEnd w:id="102"/>
    </w:p>
    <w:p>
      <w:pPr>
        <w:pStyle w:val="nz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nzPenstart"/>
      </w:pPr>
      <w:r>
        <w:tab/>
        <w:t>Penalty for this subregulation: a fine of $1 000.</w:t>
      </w:r>
    </w:p>
    <w:p>
      <w:pPr>
        <w:pStyle w:val="nzSubsection"/>
      </w:pPr>
      <w:r>
        <w:tab/>
        <w:t>(2)</w:t>
      </w:r>
      <w:r>
        <w:tab/>
        <w:t>A coroner or a coroner’s registrar may revoke a direction made under regulation 23D(1) if satisfied, having given the person an opportunity to make a written submission, that the person has contravened subregulation (1).</w:t>
      </w:r>
    </w:p>
    <w:p>
      <w:pPr>
        <w:pStyle w:val="nzSubsection"/>
      </w:pPr>
      <w:r>
        <w:tab/>
        <w:t>(3)</w:t>
      </w:r>
      <w:r>
        <w:tab/>
        <w:t xml:space="preserve">If a direction is revoked under subregulation (2), the coroner or coroner’s registrar may — </w:t>
      </w:r>
    </w:p>
    <w:p>
      <w:pPr>
        <w:pStyle w:val="nzIndenta"/>
      </w:pPr>
      <w:r>
        <w:tab/>
        <w:t>(a)</w:t>
      </w:r>
      <w:r>
        <w:tab/>
        <w:t>order that the person in respect of whom the direction was made pay the difference between the fee the person paid and the fee that would otherwise have been payable by the person; and</w:t>
      </w:r>
    </w:p>
    <w:p>
      <w:pPr>
        <w:pStyle w:val="nzIndenta"/>
      </w:pPr>
      <w:r>
        <w:tab/>
        <w:t>(b)</w:t>
      </w:r>
      <w:r>
        <w:tab/>
        <w:t>make an order to enforce the order for the payment.</w:t>
      </w:r>
    </w:p>
    <w:p>
      <w:pPr>
        <w:pStyle w:val="nz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nzHeading5"/>
      </w:pPr>
      <w:bookmarkStart w:id="103" w:name="_Toc451756152"/>
      <w:r>
        <w:t>23.</w:t>
      </w:r>
      <w:r>
        <w:tab/>
        <w:t>Refunds</w:t>
      </w:r>
      <w:bookmarkEnd w:id="103"/>
    </w:p>
    <w:p>
      <w:pPr>
        <w:pStyle w:val="nzSubsection"/>
      </w:pPr>
      <w:r>
        <w:tab/>
        <w:t>(1)</w:t>
      </w:r>
      <w:r>
        <w:tab/>
        <w:t>A coroner or a coroner’s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nzSubsection"/>
      </w:pPr>
      <w:r>
        <w:tab/>
        <w:t>(2)</w:t>
      </w:r>
      <w:r>
        <w:tab/>
        <w:t>A coroner’s registrar may direct the refund to a person of the amount of a fee, or part of a fee, paid by the person if the amount was paid in error.</w:t>
      </w:r>
    </w:p>
    <w:p>
      <w:pPr>
        <w:pStyle w:val="nzHeading5"/>
      </w:pPr>
      <w:bookmarkStart w:id="104" w:name="_Toc451756153"/>
      <w:r>
        <w:t>23A.</w:t>
      </w:r>
      <w:r>
        <w:tab/>
        <w:t>Waiving fee for copy of document or transcript</w:t>
      </w:r>
      <w:bookmarkEnd w:id="104"/>
      <w:r>
        <w:t xml:space="preserve"> </w:t>
      </w:r>
    </w:p>
    <w:p>
      <w:pPr>
        <w:pStyle w:val="nzSubsection"/>
      </w:pPr>
      <w:r>
        <w:tab/>
      </w:r>
      <w:r>
        <w:tab/>
        <w:t>The Court or a registrar may waive a fee referred to in Schedule 3 item 1 or 4 if the Court or registrar is satisfied that the waiving of the fee would assist in the efficient operation of the Court.</w:t>
      </w:r>
    </w:p>
    <w:p>
      <w:pPr>
        <w:pStyle w:val="BlankClose"/>
      </w:pPr>
    </w:p>
    <w:p>
      <w:pPr>
        <w:pStyle w:val="nzHeading5"/>
      </w:pPr>
      <w:bookmarkStart w:id="105" w:name="_Toc451756154"/>
      <w:r>
        <w:rPr>
          <w:rStyle w:val="CharSectno"/>
        </w:rPr>
        <w:t>18</w:t>
      </w:r>
      <w:r>
        <w:t>.</w:t>
      </w:r>
      <w:r>
        <w:tab/>
        <w:t>Schedule 3 replaced</w:t>
      </w:r>
      <w:bookmarkEnd w:id="105"/>
    </w:p>
    <w:p>
      <w:pPr>
        <w:pStyle w:val="nzSubsection"/>
      </w:pPr>
      <w:r>
        <w:tab/>
      </w:r>
      <w:r>
        <w:tab/>
        <w:t>Delete Schedule 3 and insert:</w:t>
      </w:r>
    </w:p>
    <w:p>
      <w:pPr>
        <w:pStyle w:val="BlankOpen"/>
        <w:rPr>
          <w:rStyle w:val="CharSchNo"/>
        </w:rPr>
      </w:pPr>
    </w:p>
    <w:p>
      <w:pPr>
        <w:pStyle w:val="nzHeading2"/>
      </w:pPr>
      <w:bookmarkStart w:id="106" w:name="_Toc451172606"/>
      <w:bookmarkStart w:id="107" w:name="_Toc451172864"/>
      <w:bookmarkStart w:id="108" w:name="_Toc451256154"/>
      <w:bookmarkStart w:id="109" w:name="_Toc451256283"/>
      <w:bookmarkStart w:id="110" w:name="_Toc451333788"/>
      <w:bookmarkStart w:id="111" w:name="_Toc451343568"/>
      <w:bookmarkStart w:id="112" w:name="_Toc451352140"/>
      <w:bookmarkStart w:id="113" w:name="_Toc451756155"/>
      <w:r>
        <w:t>Schedule 3 — Other fees</w:t>
      </w:r>
      <w:bookmarkEnd w:id="106"/>
      <w:bookmarkEnd w:id="107"/>
      <w:bookmarkEnd w:id="108"/>
      <w:bookmarkEnd w:id="109"/>
      <w:bookmarkEnd w:id="110"/>
      <w:bookmarkEnd w:id="111"/>
      <w:bookmarkEnd w:id="112"/>
      <w:bookmarkEnd w:id="113"/>
    </w:p>
    <w:p>
      <w:pPr>
        <w:pStyle w:val="nzShoulderClause"/>
      </w:pPr>
      <w:r>
        <w:t>[r. 22]</w:t>
      </w:r>
    </w:p>
    <w:tbl>
      <w:tblPr>
        <w:tblW w:w="6946" w:type="dxa"/>
        <w:tblInd w:w="250"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118"/>
        <w:gridCol w:w="1559"/>
        <w:gridCol w:w="1560"/>
      </w:tblGrid>
      <w:tr>
        <w:trPr>
          <w:cantSplit/>
          <w:tblHeader/>
        </w:trPr>
        <w:tc>
          <w:tcPr>
            <w:tcW w:w="709" w:type="dxa"/>
            <w:tcBorders>
              <w:bottom w:val="single" w:sz="4" w:space="0" w:color="auto"/>
            </w:tcBorders>
          </w:tcPr>
          <w:p>
            <w:pPr>
              <w:pStyle w:val="yTableNAm"/>
            </w:pPr>
            <w:r>
              <w:rPr>
                <w:b/>
              </w:rPr>
              <w:t>Item</w:t>
            </w:r>
          </w:p>
        </w:tc>
        <w:tc>
          <w:tcPr>
            <w:tcW w:w="3118" w:type="dxa"/>
            <w:tcBorders>
              <w:bottom w:val="single" w:sz="4" w:space="0" w:color="auto"/>
            </w:tcBorders>
          </w:tcPr>
          <w:p>
            <w:pPr>
              <w:pStyle w:val="yTableNAm"/>
            </w:pPr>
            <w:r>
              <w:rPr>
                <w:b/>
                <w:bCs/>
              </w:rPr>
              <w:t>Matter</w:t>
            </w:r>
          </w:p>
        </w:tc>
        <w:tc>
          <w:tcPr>
            <w:tcW w:w="1559" w:type="dxa"/>
            <w:tcBorders>
              <w:bottom w:val="single" w:sz="4" w:space="0" w:color="auto"/>
            </w:tcBorders>
            <w:vAlign w:val="center"/>
          </w:tcPr>
          <w:p>
            <w:pPr>
              <w:pStyle w:val="yTableNAm"/>
              <w:jc w:val="center"/>
            </w:pPr>
            <w:r>
              <w:rPr>
                <w:b/>
                <w:bCs/>
              </w:rPr>
              <w:t xml:space="preserve">Column A </w:t>
            </w:r>
            <w:r>
              <w:rPr>
                <w:b/>
                <w:bCs/>
              </w:rPr>
              <w:br/>
              <w:t xml:space="preserve">Fee for individual </w:t>
            </w:r>
            <w:r>
              <w:rPr>
                <w:b/>
                <w:bCs/>
              </w:rPr>
              <w:br/>
            </w:r>
            <w:r>
              <w:rPr>
                <w:b/>
                <w:bCs/>
              </w:rPr>
              <w:br/>
              <w:t>$</w:t>
            </w:r>
          </w:p>
        </w:tc>
        <w:tc>
          <w:tcPr>
            <w:tcW w:w="1560" w:type="dxa"/>
            <w:tcBorders>
              <w:bottom w:val="single" w:sz="4" w:space="0" w:color="auto"/>
            </w:tcBorders>
            <w:vAlign w:val="center"/>
          </w:tcPr>
          <w:p>
            <w:pPr>
              <w:pStyle w:val="yTableNAm"/>
              <w:jc w:val="center"/>
            </w:pPr>
            <w:r>
              <w:rPr>
                <w:b/>
                <w:bCs/>
              </w:rPr>
              <w:t xml:space="preserve">Column B </w:t>
            </w:r>
            <w:r>
              <w:rPr>
                <w:b/>
                <w:bCs/>
              </w:rPr>
              <w:br/>
              <w:t xml:space="preserve">Fee for eligible individual </w:t>
            </w:r>
            <w:r>
              <w:rPr>
                <w:b/>
                <w:bCs/>
              </w:rPr>
              <w:br/>
              <w:t>$</w:t>
            </w:r>
          </w:p>
        </w:tc>
      </w:tr>
      <w:tr>
        <w:trPr>
          <w:cantSplit/>
        </w:trPr>
        <w:tc>
          <w:tcPr>
            <w:tcW w:w="709" w:type="dxa"/>
            <w:tcBorders>
              <w:bottom w:val="nil"/>
            </w:tcBorders>
          </w:tcPr>
          <w:p>
            <w:pPr>
              <w:pStyle w:val="yTableNAm"/>
            </w:pPr>
            <w:r>
              <w:t>1.</w:t>
            </w:r>
          </w:p>
        </w:tc>
        <w:tc>
          <w:tcPr>
            <w:tcW w:w="3118" w:type="dxa"/>
            <w:tcBorders>
              <w:bottom w:val="nil"/>
            </w:tcBorders>
          </w:tcPr>
          <w:p>
            <w:pPr>
              <w:pStyle w:val="yTableNAm"/>
              <w:rPr>
                <w:rStyle w:val="DraftersNotes"/>
              </w:rPr>
            </w:pPr>
            <w:r>
              <w:t>Copy of document or exhibit, for each page or part of a page</w:t>
            </w:r>
          </w:p>
        </w:tc>
        <w:tc>
          <w:tcPr>
            <w:tcW w:w="1559" w:type="dxa"/>
            <w:tcBorders>
              <w:bottom w:val="nil"/>
            </w:tcBorders>
          </w:tcPr>
          <w:p>
            <w:pPr>
              <w:pStyle w:val="yTableNAm"/>
            </w:pPr>
            <w:r>
              <w:br/>
              <w:t>1.65</w:t>
            </w:r>
          </w:p>
        </w:tc>
        <w:tc>
          <w:tcPr>
            <w:tcW w:w="1560" w:type="dxa"/>
            <w:tcBorders>
              <w:bottom w:val="nil"/>
            </w:tcBorders>
          </w:tcPr>
          <w:p>
            <w:pPr>
              <w:pStyle w:val="yTableNAm"/>
            </w:pPr>
            <w:r>
              <w:br/>
              <w:t>0.50</w:t>
            </w:r>
          </w:p>
        </w:tc>
      </w:tr>
      <w:tr>
        <w:trPr>
          <w:cantSplit/>
        </w:trPr>
        <w:tc>
          <w:tcPr>
            <w:tcW w:w="709" w:type="dxa"/>
            <w:tcBorders>
              <w:top w:val="nil"/>
              <w:bottom w:val="nil"/>
            </w:tcBorders>
          </w:tcPr>
          <w:p>
            <w:pPr>
              <w:pStyle w:val="yTableNAm"/>
            </w:pPr>
            <w:r>
              <w:t>2.</w:t>
            </w:r>
          </w:p>
        </w:tc>
        <w:tc>
          <w:tcPr>
            <w:tcW w:w="3118" w:type="dxa"/>
            <w:tcBorders>
              <w:top w:val="nil"/>
              <w:bottom w:val="nil"/>
            </w:tcBorders>
          </w:tcPr>
          <w:p>
            <w:pPr>
              <w:pStyle w:val="yTableNAm"/>
            </w:pPr>
            <w:r>
              <w:t xml:space="preserve">Copy of record of investigation into a death — </w:t>
            </w:r>
          </w:p>
          <w:p>
            <w:pPr>
              <w:pStyle w:val="yTableNAm"/>
              <w:tabs>
                <w:tab w:val="clear" w:pos="567"/>
                <w:tab w:val="left" w:pos="441"/>
              </w:tabs>
              <w:ind w:left="455" w:hanging="455"/>
              <w:rPr>
                <w:rStyle w:val="DraftersNotes"/>
              </w:rPr>
            </w:pPr>
            <w:r>
              <w:t>(a)</w:t>
            </w:r>
            <w:r>
              <w:tab/>
              <w:t>for one copy on the request of a person who is an interested person under regulation 17(a) or (b)</w:t>
            </w:r>
          </w:p>
        </w:tc>
        <w:tc>
          <w:tcPr>
            <w:tcW w:w="1559" w:type="dxa"/>
            <w:tcBorders>
              <w:top w:val="nil"/>
              <w:bottom w:val="nil"/>
            </w:tcBorders>
          </w:tcPr>
          <w:p>
            <w:pPr>
              <w:pStyle w:val="yTableNAm"/>
            </w:pPr>
            <w:r>
              <w:br/>
            </w:r>
          </w:p>
          <w:p>
            <w:pPr>
              <w:pStyle w:val="yTableNAm"/>
            </w:pPr>
            <w:r>
              <w:br/>
            </w:r>
            <w:r>
              <w:br/>
            </w:r>
            <w:r>
              <w:br/>
              <w:t>Nil</w:t>
            </w:r>
          </w:p>
        </w:tc>
        <w:tc>
          <w:tcPr>
            <w:tcW w:w="1560" w:type="dxa"/>
            <w:tcBorders>
              <w:top w:val="nil"/>
              <w:bottom w:val="nil"/>
            </w:tcBorders>
          </w:tcPr>
          <w:p>
            <w:pPr>
              <w:pStyle w:val="yTableNAm"/>
            </w:pPr>
            <w:r>
              <w:br/>
            </w:r>
          </w:p>
          <w:p>
            <w:pPr>
              <w:pStyle w:val="yTableNAm"/>
            </w:pPr>
            <w:r>
              <w:br/>
            </w:r>
            <w:r>
              <w:br/>
            </w:r>
            <w:r>
              <w:br/>
              <w:t>Nil</w:t>
            </w: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tabs>
                <w:tab w:val="clear" w:pos="567"/>
                <w:tab w:val="left" w:pos="441"/>
              </w:tabs>
              <w:ind w:left="455" w:hanging="455"/>
            </w:pPr>
            <w:r>
              <w:t>(b)</w:t>
            </w:r>
            <w:r>
              <w:tab/>
              <w:t>for each additional copy on the request of a person who is an interested person under regulation 17(a) or (b), for each page or part of a page</w:t>
            </w:r>
          </w:p>
        </w:tc>
        <w:tc>
          <w:tcPr>
            <w:tcW w:w="1559" w:type="dxa"/>
            <w:tcBorders>
              <w:top w:val="nil"/>
              <w:bottom w:val="nil"/>
            </w:tcBorders>
          </w:tcPr>
          <w:p>
            <w:pPr>
              <w:pStyle w:val="yTableNAm"/>
            </w:pPr>
            <w:r>
              <w:br/>
            </w:r>
            <w:r>
              <w:rPr>
                <w:szCs w:val="22"/>
              </w:rPr>
              <w:br/>
            </w:r>
            <w:r>
              <w:rPr>
                <w:szCs w:val="22"/>
              </w:rPr>
              <w:br/>
            </w:r>
            <w:r>
              <w:rPr>
                <w:szCs w:val="22"/>
              </w:rPr>
              <w:br/>
            </w:r>
            <w:r>
              <w:rPr>
                <w:szCs w:val="22"/>
              </w:rPr>
              <w:br/>
              <w:t>1.40</w:t>
            </w:r>
          </w:p>
        </w:tc>
        <w:tc>
          <w:tcPr>
            <w:tcW w:w="1560" w:type="dxa"/>
            <w:tcBorders>
              <w:top w:val="nil"/>
              <w:bottom w:val="nil"/>
            </w:tcBorders>
          </w:tcPr>
          <w:p>
            <w:pPr>
              <w:pStyle w:val="yTableNAm"/>
            </w:pPr>
            <w:r>
              <w:br/>
            </w:r>
            <w:r>
              <w:rPr>
                <w:szCs w:val="22"/>
              </w:rPr>
              <w:br/>
            </w:r>
            <w:r>
              <w:rPr>
                <w:szCs w:val="22"/>
              </w:rPr>
              <w:br/>
            </w:r>
            <w:r>
              <w:rPr>
                <w:szCs w:val="22"/>
              </w:rPr>
              <w:br/>
            </w:r>
            <w:r>
              <w:rPr>
                <w:szCs w:val="22"/>
              </w:rPr>
              <w:br/>
              <w:t>0.45</w:t>
            </w: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tabs>
                <w:tab w:val="clear" w:pos="567"/>
                <w:tab w:val="left" w:pos="441"/>
              </w:tabs>
              <w:ind w:left="455" w:hanging="455"/>
            </w:pPr>
            <w:r>
              <w:t>(c)</w:t>
            </w:r>
            <w:r>
              <w:tab/>
              <w:t>for each copy on the request of any other person, for each page or part of a page</w:t>
            </w:r>
          </w:p>
        </w:tc>
        <w:tc>
          <w:tcPr>
            <w:tcW w:w="1559" w:type="dxa"/>
            <w:tcBorders>
              <w:top w:val="nil"/>
              <w:bottom w:val="nil"/>
            </w:tcBorders>
          </w:tcPr>
          <w:p>
            <w:pPr>
              <w:pStyle w:val="yTableNAm"/>
            </w:pPr>
            <w:r>
              <w:rPr>
                <w:szCs w:val="22"/>
              </w:rPr>
              <w:br/>
            </w:r>
            <w:r>
              <w:rPr>
                <w:szCs w:val="22"/>
              </w:rPr>
              <w:br/>
            </w:r>
            <w:r>
              <w:rPr>
                <w:szCs w:val="22"/>
              </w:rPr>
              <w:br/>
              <w:t>1.40</w:t>
            </w:r>
          </w:p>
        </w:tc>
        <w:tc>
          <w:tcPr>
            <w:tcW w:w="1560" w:type="dxa"/>
            <w:tcBorders>
              <w:top w:val="nil"/>
              <w:bottom w:val="nil"/>
            </w:tcBorders>
          </w:tcPr>
          <w:p>
            <w:pPr>
              <w:pStyle w:val="yTableNAm"/>
            </w:pPr>
            <w:r>
              <w:rPr>
                <w:szCs w:val="22"/>
              </w:rPr>
              <w:br/>
            </w:r>
            <w:r>
              <w:rPr>
                <w:szCs w:val="22"/>
              </w:rPr>
              <w:br/>
            </w:r>
            <w:r>
              <w:rPr>
                <w:szCs w:val="22"/>
              </w:rPr>
              <w:br/>
              <w:t>0.45</w:t>
            </w:r>
          </w:p>
        </w:tc>
      </w:tr>
      <w:tr>
        <w:trPr>
          <w:cantSplit/>
        </w:trPr>
        <w:tc>
          <w:tcPr>
            <w:tcW w:w="709" w:type="dxa"/>
            <w:tcBorders>
              <w:top w:val="nil"/>
              <w:bottom w:val="nil"/>
            </w:tcBorders>
          </w:tcPr>
          <w:p>
            <w:pPr>
              <w:pStyle w:val="yTableNAm"/>
            </w:pPr>
            <w:r>
              <w:t>3.</w:t>
            </w:r>
          </w:p>
        </w:tc>
        <w:tc>
          <w:tcPr>
            <w:tcW w:w="3118" w:type="dxa"/>
            <w:tcBorders>
              <w:top w:val="nil"/>
              <w:bottom w:val="nil"/>
            </w:tcBorders>
          </w:tcPr>
          <w:p>
            <w:pPr>
              <w:pStyle w:val="yTableNAm"/>
              <w:rPr>
                <w:rStyle w:val="DraftersNotes"/>
              </w:rPr>
            </w:pPr>
            <w:r>
              <w:t>Certifying under seal that a document is a true copy</w:t>
            </w:r>
          </w:p>
        </w:tc>
        <w:tc>
          <w:tcPr>
            <w:tcW w:w="1559" w:type="dxa"/>
            <w:tcBorders>
              <w:top w:val="nil"/>
              <w:bottom w:val="nil"/>
            </w:tcBorders>
          </w:tcPr>
          <w:p>
            <w:pPr>
              <w:pStyle w:val="yTableNAm"/>
            </w:pPr>
            <w:r>
              <w:rPr>
                <w:szCs w:val="22"/>
              </w:rPr>
              <w:br/>
              <w:t>19.60</w:t>
            </w:r>
          </w:p>
        </w:tc>
        <w:tc>
          <w:tcPr>
            <w:tcW w:w="1560" w:type="dxa"/>
            <w:tcBorders>
              <w:top w:val="nil"/>
              <w:bottom w:val="nil"/>
            </w:tcBorders>
          </w:tcPr>
          <w:p>
            <w:pPr>
              <w:pStyle w:val="yTableNAm"/>
            </w:pPr>
            <w:r>
              <w:rPr>
                <w:szCs w:val="22"/>
              </w:rPr>
              <w:br/>
              <w:t>5.90</w:t>
            </w:r>
          </w:p>
        </w:tc>
      </w:tr>
      <w:tr>
        <w:trPr>
          <w:cantSplit/>
        </w:trPr>
        <w:tc>
          <w:tcPr>
            <w:tcW w:w="709" w:type="dxa"/>
            <w:tcBorders>
              <w:top w:val="nil"/>
              <w:bottom w:val="nil"/>
            </w:tcBorders>
          </w:tcPr>
          <w:p>
            <w:pPr>
              <w:pStyle w:val="yTableNAm"/>
            </w:pPr>
            <w:r>
              <w:t>4.</w:t>
            </w:r>
          </w:p>
        </w:tc>
        <w:tc>
          <w:tcPr>
            <w:tcW w:w="3118" w:type="dxa"/>
            <w:tcBorders>
              <w:top w:val="nil"/>
              <w:bottom w:val="nil"/>
            </w:tcBorders>
          </w:tcPr>
          <w:p>
            <w:pPr>
              <w:pStyle w:val="yTableNAm"/>
            </w:pPr>
            <w:r>
              <w:t xml:space="preserve">Copy of transcript or notes of evidence, for each page or part of a page — </w:t>
            </w:r>
          </w:p>
        </w:tc>
        <w:tc>
          <w:tcPr>
            <w:tcW w:w="1559" w:type="dxa"/>
            <w:tcBorders>
              <w:top w:val="nil"/>
              <w:bottom w:val="nil"/>
            </w:tcBorders>
          </w:tcPr>
          <w:p>
            <w:pPr>
              <w:pStyle w:val="zyTableNAm"/>
              <w:rPr>
                <w:szCs w:val="22"/>
              </w:rPr>
            </w:pPr>
          </w:p>
        </w:tc>
        <w:tc>
          <w:tcPr>
            <w:tcW w:w="1560" w:type="dxa"/>
            <w:tcBorders>
              <w:top w:val="nil"/>
              <w:bottom w:val="nil"/>
            </w:tcBorders>
          </w:tcPr>
          <w:p>
            <w:pPr>
              <w:pStyle w:val="yTableNAm"/>
            </w:pP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tabs>
                <w:tab w:val="clear" w:pos="567"/>
                <w:tab w:val="left" w:pos="441"/>
              </w:tabs>
              <w:ind w:left="455" w:hanging="455"/>
            </w:pPr>
            <w:r>
              <w:t>(a)</w:t>
            </w:r>
            <w:r>
              <w:tab/>
              <w:t>provided within one day after the day on which the fee is paid; or</w:t>
            </w:r>
          </w:p>
        </w:tc>
        <w:tc>
          <w:tcPr>
            <w:tcW w:w="1559" w:type="dxa"/>
            <w:tcBorders>
              <w:top w:val="nil"/>
              <w:bottom w:val="nil"/>
            </w:tcBorders>
          </w:tcPr>
          <w:p>
            <w:pPr>
              <w:pStyle w:val="yTableNAm"/>
            </w:pPr>
            <w:r>
              <w:rPr>
                <w:szCs w:val="22"/>
              </w:rPr>
              <w:br/>
              <w:t xml:space="preserve">18.75 plus </w:t>
            </w:r>
            <w:r>
              <w:rPr>
                <w:szCs w:val="22"/>
              </w:rPr>
              <w:br/>
              <w:t>7.70 per page</w:t>
            </w:r>
          </w:p>
        </w:tc>
        <w:tc>
          <w:tcPr>
            <w:tcW w:w="1560" w:type="dxa"/>
            <w:tcBorders>
              <w:top w:val="nil"/>
              <w:bottom w:val="nil"/>
            </w:tcBorders>
          </w:tcPr>
          <w:p>
            <w:pPr>
              <w:pStyle w:val="yTableNAm"/>
            </w:pPr>
            <w:r>
              <w:rPr>
                <w:szCs w:val="22"/>
              </w:rPr>
              <w:br/>
              <w:t xml:space="preserve">5.60 plus </w:t>
            </w:r>
            <w:r>
              <w:rPr>
                <w:szCs w:val="22"/>
              </w:rPr>
              <w:br/>
              <w:t>2.30 per page</w:t>
            </w: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tabs>
                <w:tab w:val="clear" w:pos="567"/>
                <w:tab w:val="left" w:pos="441"/>
              </w:tabs>
              <w:ind w:left="455" w:hanging="455"/>
            </w:pPr>
            <w:r>
              <w:t>(b)</w:t>
            </w:r>
            <w:r>
              <w:tab/>
              <w:t>provided within 4 days after the day on which the fee is paid; or</w:t>
            </w:r>
          </w:p>
        </w:tc>
        <w:tc>
          <w:tcPr>
            <w:tcW w:w="1559" w:type="dxa"/>
            <w:tcBorders>
              <w:top w:val="nil"/>
              <w:bottom w:val="nil"/>
            </w:tcBorders>
          </w:tcPr>
          <w:p>
            <w:pPr>
              <w:pStyle w:val="yTableNAm"/>
            </w:pPr>
            <w:r>
              <w:rPr>
                <w:szCs w:val="22"/>
              </w:rPr>
              <w:br/>
              <w:t xml:space="preserve">18.75 plus </w:t>
            </w:r>
            <w:r>
              <w:rPr>
                <w:szCs w:val="22"/>
              </w:rPr>
              <w:br/>
              <w:t>6.70 per page</w:t>
            </w:r>
          </w:p>
        </w:tc>
        <w:tc>
          <w:tcPr>
            <w:tcW w:w="1560" w:type="dxa"/>
            <w:tcBorders>
              <w:top w:val="nil"/>
              <w:bottom w:val="nil"/>
            </w:tcBorders>
          </w:tcPr>
          <w:p>
            <w:pPr>
              <w:pStyle w:val="yTableNAm"/>
            </w:pPr>
            <w:r>
              <w:rPr>
                <w:szCs w:val="22"/>
              </w:rPr>
              <w:br/>
              <w:t xml:space="preserve">5.60 plus </w:t>
            </w:r>
            <w:r>
              <w:rPr>
                <w:szCs w:val="22"/>
              </w:rPr>
              <w:br/>
              <w:t>2.00 per page</w:t>
            </w: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tabs>
                <w:tab w:val="clear" w:pos="567"/>
                <w:tab w:val="left" w:pos="441"/>
              </w:tabs>
              <w:ind w:left="455" w:hanging="455"/>
            </w:pPr>
            <w:r>
              <w:t>(c)</w:t>
            </w:r>
            <w:r>
              <w:tab/>
              <w:t>provided within 7 days after the day on which the fee is paid</w:t>
            </w:r>
          </w:p>
        </w:tc>
        <w:tc>
          <w:tcPr>
            <w:tcW w:w="1559" w:type="dxa"/>
            <w:tcBorders>
              <w:top w:val="nil"/>
              <w:bottom w:val="nil"/>
            </w:tcBorders>
          </w:tcPr>
          <w:p>
            <w:pPr>
              <w:pStyle w:val="yTableNAm"/>
            </w:pPr>
            <w:r>
              <w:rPr>
                <w:szCs w:val="22"/>
              </w:rPr>
              <w:br/>
              <w:t xml:space="preserve">18.75 plus </w:t>
            </w:r>
            <w:r>
              <w:rPr>
                <w:szCs w:val="22"/>
              </w:rPr>
              <w:br/>
              <w:t>6.45 per page</w:t>
            </w:r>
          </w:p>
        </w:tc>
        <w:tc>
          <w:tcPr>
            <w:tcW w:w="1560" w:type="dxa"/>
            <w:tcBorders>
              <w:top w:val="nil"/>
              <w:bottom w:val="nil"/>
            </w:tcBorders>
          </w:tcPr>
          <w:p>
            <w:pPr>
              <w:pStyle w:val="yTableNAm"/>
            </w:pPr>
            <w:r>
              <w:rPr>
                <w:szCs w:val="22"/>
              </w:rPr>
              <w:br/>
              <w:t xml:space="preserve">5.60 plus </w:t>
            </w:r>
            <w:r>
              <w:rPr>
                <w:szCs w:val="22"/>
              </w:rPr>
              <w:br/>
              <w:t>1.95 per page</w:t>
            </w:r>
          </w:p>
        </w:tc>
      </w:tr>
      <w:tr>
        <w:trPr>
          <w:cantSplit/>
        </w:trPr>
        <w:tc>
          <w:tcPr>
            <w:tcW w:w="709" w:type="dxa"/>
            <w:tcBorders>
              <w:top w:val="nil"/>
              <w:bottom w:val="nil"/>
            </w:tcBorders>
          </w:tcPr>
          <w:p>
            <w:pPr>
              <w:pStyle w:val="yTableNAm"/>
            </w:pPr>
            <w:r>
              <w:t>5.</w:t>
            </w:r>
          </w:p>
        </w:tc>
        <w:tc>
          <w:tcPr>
            <w:tcW w:w="3118" w:type="dxa"/>
            <w:tcBorders>
              <w:top w:val="nil"/>
              <w:bottom w:val="nil"/>
            </w:tcBorders>
          </w:tcPr>
          <w:p>
            <w:pPr>
              <w:pStyle w:val="yTableNAm"/>
            </w:pPr>
            <w:r>
              <w:t>Copy of transcript or notes of evidence in electronic format if a fee has been paid under item 4 by the applicant for a copy of the transcript or notes of evidence, for each day of transcript or notes of evidence</w:t>
            </w:r>
          </w:p>
        </w:tc>
        <w:tc>
          <w:tcPr>
            <w:tcW w:w="1559" w:type="dxa"/>
            <w:tcBorders>
              <w:top w:val="nil"/>
              <w:bottom w:val="nil"/>
            </w:tcBorders>
          </w:tcPr>
          <w:p>
            <w:pPr>
              <w:pStyle w:val="yTableNAm"/>
            </w:pPr>
            <w:r>
              <w:rPr>
                <w:szCs w:val="22"/>
              </w:rPr>
              <w:br/>
            </w:r>
            <w:r>
              <w:rPr>
                <w:szCs w:val="22"/>
              </w:rPr>
              <w:br/>
            </w:r>
            <w:r>
              <w:rPr>
                <w:szCs w:val="22"/>
              </w:rPr>
              <w:br/>
            </w:r>
            <w:r>
              <w:rPr>
                <w:szCs w:val="22"/>
              </w:rPr>
              <w:br/>
            </w:r>
            <w:r>
              <w:rPr>
                <w:szCs w:val="22"/>
              </w:rPr>
              <w:br/>
            </w:r>
            <w:r>
              <w:rPr>
                <w:szCs w:val="22"/>
              </w:rPr>
              <w:br/>
              <w:t>19.60</w:t>
            </w:r>
          </w:p>
        </w:tc>
        <w:tc>
          <w:tcPr>
            <w:tcW w:w="1560" w:type="dxa"/>
            <w:tcBorders>
              <w:top w:val="nil"/>
              <w:bottom w:val="nil"/>
            </w:tcBorders>
          </w:tcPr>
          <w:p>
            <w:pPr>
              <w:pStyle w:val="yTableNAm"/>
            </w:pPr>
            <w:r>
              <w:rPr>
                <w:szCs w:val="22"/>
              </w:rPr>
              <w:br/>
            </w:r>
            <w:r>
              <w:rPr>
                <w:szCs w:val="22"/>
              </w:rPr>
              <w:br/>
            </w:r>
            <w:r>
              <w:rPr>
                <w:szCs w:val="22"/>
              </w:rPr>
              <w:br/>
            </w:r>
            <w:r>
              <w:rPr>
                <w:szCs w:val="22"/>
              </w:rPr>
              <w:br/>
            </w:r>
            <w:r>
              <w:rPr>
                <w:szCs w:val="22"/>
              </w:rPr>
              <w:br/>
            </w:r>
            <w:r>
              <w:rPr>
                <w:szCs w:val="22"/>
              </w:rPr>
              <w:br/>
              <w:t>5.90</w:t>
            </w:r>
          </w:p>
        </w:tc>
      </w:tr>
      <w:tr>
        <w:trPr>
          <w:cantSplit/>
        </w:trPr>
        <w:tc>
          <w:tcPr>
            <w:tcW w:w="709" w:type="dxa"/>
            <w:tcBorders>
              <w:top w:val="nil"/>
              <w:bottom w:val="single" w:sz="4" w:space="0" w:color="auto"/>
            </w:tcBorders>
          </w:tcPr>
          <w:p>
            <w:pPr>
              <w:pStyle w:val="yTableNAm"/>
            </w:pPr>
            <w:r>
              <w:t>6.</w:t>
            </w:r>
          </w:p>
        </w:tc>
        <w:tc>
          <w:tcPr>
            <w:tcW w:w="3118" w:type="dxa"/>
            <w:tcBorders>
              <w:top w:val="nil"/>
              <w:bottom w:val="single" w:sz="4" w:space="0" w:color="auto"/>
            </w:tcBorders>
          </w:tcPr>
          <w:p>
            <w:pPr>
              <w:pStyle w:val="yTableNAm"/>
            </w:pPr>
            <w:r>
              <w:t>Copy of transcript or notes of evidence not in electronic format if a fee has been paid under item 4 by the applicant for a copy of the transcript or notes of evidence, for each page or part of a page</w:t>
            </w:r>
          </w:p>
        </w:tc>
        <w:tc>
          <w:tcPr>
            <w:tcW w:w="1559" w:type="dxa"/>
            <w:tcBorders>
              <w:top w:val="nil"/>
              <w:bottom w:val="single" w:sz="4" w:space="0" w:color="auto"/>
            </w:tcBorders>
          </w:tcPr>
          <w:p>
            <w:pPr>
              <w:pStyle w:val="yTableNAm"/>
            </w:pPr>
            <w:r>
              <w:rPr>
                <w:szCs w:val="22"/>
              </w:rPr>
              <w:br/>
            </w:r>
            <w:r>
              <w:rPr>
                <w:szCs w:val="22"/>
              </w:rPr>
              <w:br/>
            </w:r>
            <w:r>
              <w:rPr>
                <w:szCs w:val="22"/>
              </w:rPr>
              <w:br/>
            </w:r>
            <w:r>
              <w:rPr>
                <w:szCs w:val="22"/>
              </w:rPr>
              <w:br/>
            </w:r>
            <w:r>
              <w:rPr>
                <w:szCs w:val="22"/>
              </w:rPr>
              <w:br/>
            </w:r>
            <w:r>
              <w:rPr>
                <w:szCs w:val="22"/>
              </w:rPr>
              <w:br/>
              <w:t>1.90</w:t>
            </w:r>
          </w:p>
        </w:tc>
        <w:tc>
          <w:tcPr>
            <w:tcW w:w="1560" w:type="dxa"/>
            <w:tcBorders>
              <w:top w:val="nil"/>
              <w:bottom w:val="single" w:sz="4" w:space="0" w:color="auto"/>
            </w:tcBorders>
          </w:tcPr>
          <w:p>
            <w:pPr>
              <w:pStyle w:val="yTableNAm"/>
            </w:pPr>
            <w:r>
              <w:rPr>
                <w:szCs w:val="22"/>
              </w:rPr>
              <w:br/>
            </w:r>
            <w:r>
              <w:rPr>
                <w:szCs w:val="22"/>
              </w:rPr>
              <w:br/>
            </w:r>
            <w:r>
              <w:rPr>
                <w:szCs w:val="22"/>
              </w:rPr>
              <w:br/>
            </w:r>
            <w:r>
              <w:rPr>
                <w:szCs w:val="22"/>
              </w:rPr>
              <w:br/>
            </w:r>
            <w:r>
              <w:rPr>
                <w:szCs w:val="22"/>
              </w:rPr>
              <w:br/>
            </w:r>
            <w:r>
              <w:rPr>
                <w:szCs w:val="22"/>
              </w:rPr>
              <w:br/>
              <w:t>0.55</w:t>
            </w:r>
          </w:p>
        </w:tc>
      </w:tr>
    </w:tbl>
    <w:p>
      <w:pPr>
        <w:pStyle w:val="BlankClose"/>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115" w:name="_Toc415732890"/>
      <w:bookmarkStart w:id="116" w:name="_Toc423343286"/>
      <w:bookmarkStart w:id="117" w:name="_Toc423343318"/>
      <w:bookmarkStart w:id="118" w:name="_Toc453657189"/>
      <w:r>
        <w:rPr>
          <w:sz w:val="28"/>
        </w:rPr>
        <w:t>Defined terms</w:t>
      </w:r>
      <w:bookmarkEnd w:id="115"/>
      <w:bookmarkEnd w:id="116"/>
      <w:bookmarkEnd w:id="117"/>
      <w:bookmarkEnd w:id="1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3A</w:t>
      </w:r>
    </w:p>
    <w:p>
      <w:pPr>
        <w:pStyle w:val="DefinedTerms"/>
      </w:pPr>
      <w:r>
        <w:t>fee</w:t>
      </w:r>
      <w:r>
        <w:tab/>
        <w:t>3A</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4" w:name="Compilation"/>
    <w:bookmarkEnd w:id="11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9" w:name="DefinedTerms"/>
    <w:bookmarkEnd w:id="11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0" w:name="Coversheet"/>
    <w:bookmarkEnd w:id="1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2147"/>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 w:name="WAFER_20140422164407" w:val="RemoveTocBookmarks,RemoveUnusedBookmarks,RemoveLanguageTags,UsedStyles,ResetPageSize,RemoveCustomizations"/>
    <w:docVar w:name="WAFER_20140422164407_GUID" w:val="edab7a03-dbf7-4fd4-96c4-a14814e1eaf9"/>
    <w:docVar w:name="WAFER_20140519090037" w:val="RemoveTocBookmarks,RemoveUnusedBookmarks,RemoveLanguageTags,UsedStyles,RemoveTrackChanges"/>
    <w:docVar w:name="WAFER_20140519090037_GUID" w:val="6e6b9034-3d23-4bd6-842e-9da34ce44561"/>
    <w:docVar w:name="WAFER_20140519090051" w:val="RemoveTocBookmarks,RemoveLanguageTags,RemoveTrackChanges,RunningHeaders"/>
    <w:docVar w:name="WAFER_20140519090051_GUID" w:val="83637bed-bea1-4da1-bfb4-552037f92abb"/>
    <w:docVar w:name="WAFER_20140605105125" w:val="RemoveTocBookmarks,RemoveLanguageTags,RemoveTrackChanges,RunningHeaders"/>
    <w:docVar w:name="WAFER_20140605105125_GUID" w:val="8e50f430-f1fa-4ac5-8608-65df4a225b34"/>
    <w:docVar w:name="WAFER_20150402100836" w:val="ResetPageSize,UpdateArrangement,UpdateNTable"/>
    <w:docVar w:name="WAFER_20150402100836_GUID" w:val="8374b71a-ad8f-4c98-a509-545a77c509f9"/>
    <w:docVar w:name="WAFER_20151102162147" w:val="UpdateStyles,UsedStyles"/>
    <w:docVar w:name="WAFER_20151102162147_GUID" w:val="551c6936-5176-4c82-ae58-6c9b6a8a1d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5594</Words>
  <Characters>29369</Characters>
  <Application>Microsoft Office Word</Application>
  <DocSecurity>0</DocSecurity>
  <Lines>1087</Lines>
  <Paragraphs>685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1997 - 03-d0-00</dc:title>
  <dc:subject/>
  <dc:creator/>
  <cp:keywords/>
  <dc:description/>
  <cp:lastModifiedBy>svcMRProcess</cp:lastModifiedBy>
  <cp:revision>4</cp:revision>
  <cp:lastPrinted>2014-05-19T03:28:00Z</cp:lastPrinted>
  <dcterms:created xsi:type="dcterms:W3CDTF">2016-06-14T08:49:00Z</dcterms:created>
  <dcterms:modified xsi:type="dcterms:W3CDTF">2016-06-14T08:49:00Z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DocumentType">
    <vt:lpwstr>Reg</vt:lpwstr>
  </property>
  <property fmtid="{D5CDD505-2E9C-101B-9397-08002B2CF9AE}" pid="4" name="OwlsUID">
    <vt:i4>4371</vt:i4>
  </property>
  <property fmtid="{D5CDD505-2E9C-101B-9397-08002B2CF9AE}" pid="5" name="ReprintNo">
    <vt:lpwstr>3</vt:lpwstr>
  </property>
  <property fmtid="{D5CDD505-2E9C-101B-9397-08002B2CF9AE}" pid="6" name="ReprintedAsAt">
    <vt:filetime>2014-05-22T16:00:00Z</vt:filetime>
  </property>
  <property fmtid="{D5CDD505-2E9C-101B-9397-08002B2CF9AE}" pid="7" name="AsAtDate">
    <vt:lpwstr>14 Jun 2016</vt:lpwstr>
  </property>
  <property fmtid="{D5CDD505-2E9C-101B-9397-08002B2CF9AE}" pid="8" name="Suffix">
    <vt:lpwstr>03-d0-00</vt:lpwstr>
  </property>
  <property fmtid="{D5CDD505-2E9C-101B-9397-08002B2CF9AE}" pid="9" name="CommencementDate">
    <vt:lpwstr>20160614</vt:lpwstr>
  </property>
</Properties>
</file>