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Transfer of Land Act 1893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Transfer of Land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Transfer of Land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_Toc455129720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_Toc455129721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General</w:t>
      </w:r>
    </w:p>
    <w:p>
      <w:pPr>
        <w:pStyle w:val="TOC8"/>
        <w:rPr>
          <w:rFonts w:asciiTheme="minorHAnsi" w:eastAsiaTheme="minorEastAsia" w:hAnsiTheme="minorHAnsi" w:cstheme="minorBidi"/>
          <w:szCs w:val="22"/>
        </w:rPr>
      </w:pPr>
      <w:r>
        <w:t>3A.</w:t>
      </w:r>
      <w:r>
        <w:tab/>
        <w:t>Immaterial differences between counterparts (Act s. 4(1CA)(b)(v))</w:t>
      </w:r>
      <w:r>
        <w:tab/>
      </w:r>
      <w:r>
        <w:fldChar w:fldCharType="begin"/>
      </w:r>
      <w:r>
        <w:instrText xml:space="preserve"> PAGEREF _Toc455129723 \h </w:instrText>
      </w:r>
      <w:r>
        <w:fldChar w:fldCharType="separate"/>
      </w:r>
      <w:r>
        <w:t>2</w:t>
      </w:r>
      <w:r>
        <w:fldChar w:fldCharType="end"/>
      </w:r>
    </w:p>
    <w:p>
      <w:pPr>
        <w:pStyle w:val="TOC8"/>
        <w:rPr>
          <w:rFonts w:asciiTheme="minorHAnsi" w:eastAsiaTheme="minorEastAsia" w:hAnsiTheme="minorHAnsi" w:cstheme="minorBidi"/>
          <w:szCs w:val="22"/>
        </w:rPr>
      </w:pPr>
      <w:r>
        <w:t>3.</w:t>
      </w:r>
      <w:r>
        <w:tab/>
        <w:t>Paper documents for lodgment, requirements for</w:t>
      </w:r>
      <w:r>
        <w:tab/>
      </w:r>
      <w:r>
        <w:fldChar w:fldCharType="begin"/>
      </w:r>
      <w:r>
        <w:instrText xml:space="preserve"> PAGEREF _Toc455129724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Certificates of title for land in existing certificate</w:t>
      </w:r>
      <w:r>
        <w:tab/>
      </w:r>
      <w:r>
        <w:fldChar w:fldCharType="begin"/>
      </w:r>
      <w:r>
        <w:instrText xml:space="preserve"> PAGEREF _Toc455129725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New certificate of title if old one too full for further endorsement</w:t>
      </w:r>
      <w:r>
        <w:tab/>
      </w:r>
      <w:r>
        <w:fldChar w:fldCharType="begin"/>
      </w:r>
      <w:r>
        <w:instrText xml:space="preserve"> PAGEREF _Toc455129726 \h </w:instrText>
      </w:r>
      <w:r>
        <w:fldChar w:fldCharType="separate"/>
      </w:r>
      <w:r>
        <w:t>4</w:t>
      </w:r>
      <w:r>
        <w:fldChar w:fldCharType="end"/>
      </w:r>
    </w:p>
    <w:p>
      <w:pPr>
        <w:pStyle w:val="TOC8"/>
        <w:rPr>
          <w:rFonts w:asciiTheme="minorHAnsi" w:eastAsiaTheme="minorEastAsia" w:hAnsiTheme="minorHAnsi" w:cstheme="minorBidi"/>
          <w:szCs w:val="22"/>
        </w:rPr>
      </w:pPr>
      <w:r>
        <w:t>8.</w:t>
      </w:r>
      <w:r>
        <w:tab/>
      </w:r>
      <w:r>
        <w:rPr>
          <w:snapToGrid w:val="0"/>
        </w:rPr>
        <w:t>Area prescribed (Act s. 129C(1a))</w:t>
      </w:r>
      <w:r>
        <w:tab/>
      </w:r>
      <w:r>
        <w:fldChar w:fldCharType="begin"/>
      </w:r>
      <w:r>
        <w:instrText xml:space="preserve"> PAGEREF _Toc455129727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3A — Provisions relating to </w:t>
      </w:r>
      <w:r>
        <w:rPr>
          <w:i/>
        </w:rPr>
        <w:t>Electronic Conveyancing Act 2014</w:t>
      </w:r>
    </w:p>
    <w:p>
      <w:pPr>
        <w:pStyle w:val="TOC8"/>
        <w:rPr>
          <w:rFonts w:asciiTheme="minorHAnsi" w:eastAsiaTheme="minorEastAsia" w:hAnsiTheme="minorHAnsi" w:cstheme="minorBidi"/>
          <w:szCs w:val="22"/>
        </w:rPr>
      </w:pPr>
      <w:r>
        <w:t>9AA.</w:t>
      </w:r>
      <w:r>
        <w:tab/>
        <w:t>Requirements relating to electronic lodgment of mortgages</w:t>
      </w:r>
      <w:r>
        <w:tab/>
      </w:r>
      <w:r>
        <w:fldChar w:fldCharType="begin"/>
      </w:r>
      <w:r>
        <w:instrText xml:space="preserve"> PAGEREF _Toc455129729 \h </w:instrText>
      </w:r>
      <w:r>
        <w:fldChar w:fldCharType="separate"/>
      </w:r>
      <w:r>
        <w:t>6</w:t>
      </w:r>
      <w:r>
        <w:fldChar w:fldCharType="end"/>
      </w:r>
    </w:p>
    <w:p>
      <w:pPr>
        <w:pStyle w:val="TOC8"/>
        <w:rPr>
          <w:rFonts w:asciiTheme="minorHAnsi" w:eastAsiaTheme="minorEastAsia" w:hAnsiTheme="minorHAnsi" w:cstheme="minorBidi"/>
          <w:szCs w:val="22"/>
        </w:rPr>
      </w:pPr>
      <w:r>
        <w:t>9AB.</w:t>
      </w:r>
      <w:r>
        <w:tab/>
        <w:t>Duplicate certificates of title where documents lodged electronically</w:t>
      </w:r>
      <w:r>
        <w:tab/>
      </w:r>
      <w:r>
        <w:fldChar w:fldCharType="begin"/>
      </w:r>
      <w:r>
        <w:instrText xml:space="preserve"> PAGEREF _Toc455129730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3B — Provisions relating to electronic service</w:t>
      </w:r>
    </w:p>
    <w:p>
      <w:pPr>
        <w:pStyle w:val="TOC8"/>
        <w:rPr>
          <w:rFonts w:asciiTheme="minorHAnsi" w:eastAsiaTheme="minorEastAsia" w:hAnsiTheme="minorHAnsi" w:cstheme="minorBidi"/>
          <w:szCs w:val="22"/>
        </w:rPr>
      </w:pPr>
      <w:r>
        <w:t>9AC.</w:t>
      </w:r>
      <w:r>
        <w:tab/>
        <w:t>Electronic service of notices</w:t>
      </w:r>
      <w:r>
        <w:tab/>
      </w:r>
      <w:r>
        <w:fldChar w:fldCharType="begin"/>
      </w:r>
      <w:r>
        <w:instrText xml:space="preserve"> PAGEREF _Toc455129732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Fees and forms</w:t>
      </w:r>
    </w:p>
    <w:p>
      <w:pPr>
        <w:pStyle w:val="TOC8"/>
        <w:rPr>
          <w:rFonts w:asciiTheme="minorHAnsi" w:eastAsiaTheme="minorEastAsia" w:hAnsiTheme="minorHAnsi" w:cstheme="minorBidi"/>
          <w:szCs w:val="22"/>
        </w:rPr>
      </w:pPr>
      <w:r>
        <w:t>9A.</w:t>
      </w:r>
      <w:r>
        <w:tab/>
        <w:t>Fees (Sch. 1)</w:t>
      </w:r>
      <w:r>
        <w:tab/>
      </w:r>
      <w:r>
        <w:fldChar w:fldCharType="begin"/>
      </w:r>
      <w:r>
        <w:instrText xml:space="preserve"> PAGEREF _Toc455129734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Inspection of Register</w:t>
      </w:r>
    </w:p>
    <w:p>
      <w:pPr>
        <w:pStyle w:val="TOC4"/>
        <w:tabs>
          <w:tab w:val="right" w:leader="dot" w:pos="7077"/>
        </w:tabs>
        <w:rPr>
          <w:rFonts w:asciiTheme="minorHAnsi" w:eastAsiaTheme="minorEastAsia" w:hAnsiTheme="minorHAnsi" w:cstheme="minorBidi"/>
          <w:b w:val="0"/>
          <w:szCs w:val="22"/>
        </w:rPr>
      </w:pPr>
      <w:r>
        <w:t>Division 1 — Times for inspection of Register and related documents</w:t>
      </w:r>
    </w:p>
    <w:p>
      <w:pPr>
        <w:pStyle w:val="TOC8"/>
        <w:rPr>
          <w:rFonts w:asciiTheme="minorHAnsi" w:eastAsiaTheme="minorEastAsia" w:hAnsiTheme="minorHAnsi" w:cstheme="minorBidi"/>
          <w:szCs w:val="22"/>
        </w:rPr>
      </w:pPr>
      <w:r>
        <w:t>10</w:t>
      </w:r>
      <w:r>
        <w:rPr>
          <w:snapToGrid w:val="0"/>
        </w:rPr>
        <w:t>.</w:t>
      </w:r>
      <w:r>
        <w:rPr>
          <w:snapToGrid w:val="0"/>
        </w:rPr>
        <w:tab/>
        <w:t>Times for inspection prescribed (Act s. 239(1))</w:t>
      </w:r>
      <w:r>
        <w:tab/>
      </w:r>
      <w:r>
        <w:fldChar w:fldCharType="begin"/>
      </w:r>
      <w:r>
        <w:instrText xml:space="preserve"> PAGEREF _Toc455129737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Names index</w:t>
      </w:r>
    </w:p>
    <w:p>
      <w:pPr>
        <w:pStyle w:val="TOC8"/>
        <w:rPr>
          <w:rFonts w:asciiTheme="minorHAnsi" w:eastAsiaTheme="minorEastAsia" w:hAnsiTheme="minorHAnsi" w:cstheme="minorBidi"/>
          <w:szCs w:val="22"/>
        </w:rPr>
      </w:pPr>
      <w:r>
        <w:t>11.</w:t>
      </w:r>
      <w:r>
        <w:tab/>
        <w:t>Terms used</w:t>
      </w:r>
      <w:r>
        <w:tab/>
      </w:r>
      <w:r>
        <w:fldChar w:fldCharType="begin"/>
      </w:r>
      <w:r>
        <w:instrText xml:space="preserve"> PAGEREF _Toc455129739 \h </w:instrText>
      </w:r>
      <w:r>
        <w:fldChar w:fldCharType="separate"/>
      </w:r>
      <w:r>
        <w:t>11</w:t>
      </w:r>
      <w:r>
        <w:fldChar w:fldCharType="end"/>
      </w:r>
    </w:p>
    <w:p>
      <w:pPr>
        <w:pStyle w:val="TOC8"/>
        <w:rPr>
          <w:rFonts w:asciiTheme="minorHAnsi" w:eastAsiaTheme="minorEastAsia" w:hAnsiTheme="minorHAnsi" w:cstheme="minorBidi"/>
          <w:szCs w:val="22"/>
        </w:rPr>
      </w:pPr>
      <w:r>
        <w:t>12.</w:t>
      </w:r>
      <w:r>
        <w:tab/>
        <w:t>Names index prescribed (Act s. 239(1)(k))</w:t>
      </w:r>
      <w:r>
        <w:tab/>
      </w:r>
      <w:r>
        <w:fldChar w:fldCharType="begin"/>
      </w:r>
      <w:r>
        <w:instrText xml:space="preserve"> PAGEREF _Toc455129740 \h </w:instrText>
      </w:r>
      <w:r>
        <w:fldChar w:fldCharType="separate"/>
      </w:r>
      <w:r>
        <w:t>12</w:t>
      </w:r>
      <w:r>
        <w:fldChar w:fldCharType="end"/>
      </w:r>
    </w:p>
    <w:p>
      <w:pPr>
        <w:pStyle w:val="TOC8"/>
        <w:rPr>
          <w:rFonts w:asciiTheme="minorHAnsi" w:eastAsiaTheme="minorEastAsia" w:hAnsiTheme="minorHAnsi" w:cstheme="minorBidi"/>
          <w:szCs w:val="22"/>
        </w:rPr>
      </w:pPr>
      <w:r>
        <w:t>13.</w:t>
      </w:r>
      <w:r>
        <w:tab/>
      </w:r>
      <w:r>
        <w:rPr>
          <w:snapToGrid w:val="0"/>
        </w:rPr>
        <w:t>Application for information in names index to be excluded from inspections</w:t>
      </w:r>
      <w:r>
        <w:tab/>
      </w:r>
      <w:r>
        <w:fldChar w:fldCharType="begin"/>
      </w:r>
      <w:r>
        <w:instrText xml:space="preserve"> PAGEREF _Toc455129741 \h </w:instrText>
      </w:r>
      <w:r>
        <w:fldChar w:fldCharType="separate"/>
      </w:r>
      <w:r>
        <w:t>12</w:t>
      </w:r>
      <w:r>
        <w:fldChar w:fldCharType="end"/>
      </w:r>
    </w:p>
    <w:p>
      <w:pPr>
        <w:pStyle w:val="TOC8"/>
        <w:rPr>
          <w:rFonts w:asciiTheme="minorHAnsi" w:eastAsiaTheme="minorEastAsia" w:hAnsiTheme="minorHAnsi" w:cstheme="minorBidi"/>
          <w:szCs w:val="22"/>
        </w:rPr>
      </w:pPr>
      <w:r>
        <w:t>14.</w:t>
      </w:r>
      <w:r>
        <w:tab/>
        <w:t>Suppressed information, provision of to government organisations</w:t>
      </w:r>
      <w:r>
        <w:tab/>
      </w:r>
      <w:r>
        <w:fldChar w:fldCharType="begin"/>
      </w:r>
      <w:r>
        <w:instrText xml:space="preserve"> PAGEREF _Toc455129742 \h </w:instrText>
      </w:r>
      <w:r>
        <w:fldChar w:fldCharType="separate"/>
      </w:r>
      <w:r>
        <w:t>13</w:t>
      </w:r>
      <w:r>
        <w:fldChar w:fldCharType="end"/>
      </w:r>
    </w:p>
    <w:p>
      <w:pPr>
        <w:pStyle w:val="TOC8"/>
        <w:rPr>
          <w:rFonts w:asciiTheme="minorHAnsi" w:eastAsiaTheme="minorEastAsia" w:hAnsiTheme="minorHAnsi" w:cstheme="minorBidi"/>
          <w:szCs w:val="22"/>
        </w:rPr>
      </w:pPr>
      <w:r>
        <w:t>15.</w:t>
      </w:r>
      <w:r>
        <w:tab/>
        <w:t>Suppressed information, provision of to others</w:t>
      </w:r>
      <w:r>
        <w:tab/>
      </w:r>
      <w:r>
        <w:fldChar w:fldCharType="begin"/>
      </w:r>
      <w:r>
        <w:instrText xml:space="preserve"> PAGEREF _Toc455129743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w:t>
      </w:r>
      <w:r>
        <w:rPr>
          <w:snapToGrid w:val="0"/>
        </w:rPr>
        <w:t>— </w:t>
      </w:r>
      <w:r>
        <w:t>Registrations and recordings</w:t>
      </w:r>
    </w:p>
    <w:p>
      <w:pPr>
        <w:pStyle w:val="TOC4"/>
        <w:tabs>
          <w:tab w:val="right" w:leader="dot" w:pos="7077"/>
        </w:tabs>
        <w:rPr>
          <w:rFonts w:asciiTheme="minorHAnsi" w:eastAsiaTheme="minorEastAsia" w:hAnsiTheme="minorHAnsi" w:cstheme="minorBidi"/>
          <w:b w:val="0"/>
          <w:szCs w:val="22"/>
        </w:rPr>
      </w:pPr>
      <w:r>
        <w:t>Division 2 — Lodgments</w:t>
      </w:r>
    </w:p>
    <w:p>
      <w:pPr>
        <w:pStyle w:val="TOC4"/>
        <w:tabs>
          <w:tab w:val="right" w:leader="dot" w:pos="7077"/>
        </w:tabs>
        <w:rPr>
          <w:rFonts w:asciiTheme="minorHAnsi" w:eastAsiaTheme="minorEastAsia" w:hAnsiTheme="minorHAnsi" w:cstheme="minorBidi"/>
          <w:b w:val="0"/>
          <w:szCs w:val="22"/>
        </w:rPr>
      </w:pPr>
      <w:r>
        <w:t>Division 3 — Withdrawals</w:t>
      </w:r>
    </w:p>
    <w:p>
      <w:pPr>
        <w:pStyle w:val="TOC4"/>
        <w:tabs>
          <w:tab w:val="right" w:leader="dot" w:pos="7077"/>
        </w:tabs>
        <w:rPr>
          <w:rFonts w:asciiTheme="minorHAnsi" w:eastAsiaTheme="minorEastAsia" w:hAnsiTheme="minorHAnsi" w:cstheme="minorBidi"/>
          <w:b w:val="0"/>
          <w:szCs w:val="22"/>
        </w:rPr>
      </w:pPr>
      <w:r>
        <w:t>Division 4 — Applications</w:t>
      </w:r>
    </w:p>
    <w:p>
      <w:pPr>
        <w:pStyle w:val="TOC4"/>
        <w:tabs>
          <w:tab w:val="right" w:leader="dot" w:pos="7077"/>
        </w:tabs>
        <w:rPr>
          <w:rFonts w:asciiTheme="minorHAnsi" w:eastAsiaTheme="minorEastAsia" w:hAnsiTheme="minorHAnsi" w:cstheme="minorBidi"/>
          <w:b w:val="0"/>
          <w:szCs w:val="22"/>
        </w:rPr>
      </w:pPr>
      <w:r>
        <w:t>Division 5 — Certificates</w:t>
      </w:r>
    </w:p>
    <w:p>
      <w:pPr>
        <w:pStyle w:val="TOC4"/>
        <w:tabs>
          <w:tab w:val="right" w:leader="dot" w:pos="7077"/>
        </w:tabs>
        <w:rPr>
          <w:rFonts w:asciiTheme="minorHAnsi" w:eastAsiaTheme="minorEastAsia" w:hAnsiTheme="minorHAnsi" w:cstheme="minorBidi"/>
          <w:b w:val="0"/>
          <w:szCs w:val="22"/>
        </w:rPr>
      </w:pPr>
      <w:r>
        <w:t>Division 6 — Inspection and/or copies of documents</w:t>
      </w:r>
    </w:p>
    <w:p>
      <w:pPr>
        <w:pStyle w:val="TOC4"/>
        <w:tabs>
          <w:tab w:val="right" w:leader="dot" w:pos="7077"/>
        </w:tabs>
        <w:rPr>
          <w:rFonts w:asciiTheme="minorHAnsi" w:eastAsiaTheme="minorEastAsia" w:hAnsiTheme="minorHAnsi" w:cstheme="minorBidi"/>
          <w:b w:val="0"/>
          <w:szCs w:val="22"/>
        </w:rPr>
      </w:pPr>
      <w:r>
        <w:t>Division 7 — Miscellaneous</w:t>
      </w:r>
    </w:p>
    <w:p>
      <w:pPr>
        <w:pStyle w:val="TOC2"/>
        <w:tabs>
          <w:tab w:val="right" w:leader="dot" w:pos="7077"/>
        </w:tabs>
        <w:rPr>
          <w:rFonts w:asciiTheme="minorHAnsi" w:eastAsiaTheme="minorEastAsia" w:hAnsiTheme="minorHAnsi" w:cstheme="minorBidi"/>
          <w:b w:val="0"/>
          <w:sz w:val="22"/>
          <w:szCs w:val="22"/>
        </w:rPr>
      </w:pPr>
      <w:r>
        <w:t>Schedule 2 — Services and matters for which fees cannot be charged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_Toc455129754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3" w:name="_Toc423514350"/>
      <w:bookmarkStart w:id="4" w:name="_Toc425253058"/>
      <w:bookmarkStart w:id="5" w:name="_Toc446331537"/>
      <w:bookmarkStart w:id="6" w:name="_Toc455129645"/>
      <w:bookmarkStart w:id="7" w:name="_Toc455129682"/>
      <w:bookmarkStart w:id="8" w:name="_Toc455129719"/>
      <w:r>
        <w:rPr>
          <w:rStyle w:val="CharPartNo"/>
        </w:rPr>
        <w:t>Part 1</w:t>
      </w:r>
      <w:r>
        <w:rPr>
          <w:b w:val="0"/>
        </w:rPr>
        <w:t> </w:t>
      </w:r>
      <w:r>
        <w:t>—</w:t>
      </w:r>
      <w:r>
        <w:rPr>
          <w:b w:val="0"/>
        </w:rPr>
        <w:t> </w:t>
      </w:r>
      <w:r>
        <w:rPr>
          <w:rStyle w:val="CharPartText"/>
        </w:rPr>
        <w:t>Preliminary</w:t>
      </w:r>
      <w:bookmarkEnd w:id="3"/>
      <w:bookmarkEnd w:id="4"/>
      <w:bookmarkEnd w:id="5"/>
      <w:bookmarkEnd w:id="6"/>
      <w:bookmarkEnd w:id="7"/>
      <w:bookmarkEnd w:id="8"/>
    </w:p>
    <w:p>
      <w:pPr>
        <w:pStyle w:val="Footnoteheading"/>
      </w:pPr>
      <w:r>
        <w:tab/>
        <w:t>[Heading inserted in Gazette 22 May 2009 p. 1700.]</w:t>
      </w:r>
    </w:p>
    <w:p>
      <w:pPr>
        <w:pStyle w:val="Heading5"/>
      </w:pPr>
      <w:bookmarkStart w:id="9" w:name="_Toc423514351"/>
      <w:bookmarkStart w:id="10" w:name="_Toc455129720"/>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rPr>
          <w:vertAlign w:val="superscript"/>
        </w:rPr>
        <w:t> 1</w:t>
      </w:r>
      <w:r>
        <w:t>.</w:t>
      </w:r>
    </w:p>
    <w:p>
      <w:pPr>
        <w:pStyle w:val="Heading5"/>
        <w:rPr>
          <w:spacing w:val="-2"/>
        </w:rPr>
      </w:pPr>
      <w:bookmarkStart w:id="11" w:name="_Toc423514352"/>
      <w:bookmarkStart w:id="12" w:name="_Toc45512972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on 6 September 2004.</w:t>
      </w:r>
    </w:p>
    <w:p>
      <w:pPr>
        <w:pStyle w:val="Heading2"/>
      </w:pPr>
      <w:bookmarkStart w:id="13" w:name="_Toc423514353"/>
      <w:bookmarkStart w:id="14" w:name="_Toc425253061"/>
      <w:bookmarkStart w:id="15" w:name="_Toc446331540"/>
      <w:bookmarkStart w:id="16" w:name="_Toc455129648"/>
      <w:bookmarkStart w:id="17" w:name="_Toc455129685"/>
      <w:bookmarkStart w:id="18" w:name="_Toc455129722"/>
      <w:r>
        <w:rPr>
          <w:rStyle w:val="CharPartNo"/>
        </w:rPr>
        <w:t>Part 2</w:t>
      </w:r>
      <w:r>
        <w:rPr>
          <w:b w:val="0"/>
        </w:rPr>
        <w:t> </w:t>
      </w:r>
      <w:r>
        <w:t>—</w:t>
      </w:r>
      <w:r>
        <w:rPr>
          <w:b w:val="0"/>
        </w:rPr>
        <w:t> </w:t>
      </w:r>
      <w:r>
        <w:rPr>
          <w:rStyle w:val="CharPartText"/>
        </w:rPr>
        <w:t>General</w:t>
      </w:r>
      <w:bookmarkEnd w:id="13"/>
      <w:bookmarkEnd w:id="14"/>
      <w:bookmarkEnd w:id="15"/>
      <w:bookmarkEnd w:id="16"/>
      <w:bookmarkEnd w:id="17"/>
      <w:bookmarkEnd w:id="18"/>
    </w:p>
    <w:p>
      <w:pPr>
        <w:pStyle w:val="Footnoteheading"/>
      </w:pPr>
      <w:r>
        <w:tab/>
        <w:t>[Heading inserted in Gazette 22 May 2009 p. 1701.]</w:t>
      </w:r>
    </w:p>
    <w:p>
      <w:pPr>
        <w:pStyle w:val="Heading5"/>
      </w:pPr>
      <w:bookmarkStart w:id="19" w:name="_Toc423514354"/>
      <w:bookmarkStart w:id="20" w:name="_Toc455129723"/>
      <w:r>
        <w:rPr>
          <w:rStyle w:val="CharSectno"/>
        </w:rPr>
        <w:t>3A</w:t>
      </w:r>
      <w:r>
        <w:t>.</w:t>
      </w:r>
      <w:r>
        <w:tab/>
        <w:t>Immaterial differences between counterparts (Act s. 4(1CA)(b)(v))</w:t>
      </w:r>
      <w:bookmarkEnd w:id="19"/>
      <w:bookmarkEnd w:id="20"/>
    </w:p>
    <w:p>
      <w:pPr>
        <w:pStyle w:val="Subsection"/>
      </w:pPr>
      <w:r>
        <w:tab/>
      </w:r>
      <w:r>
        <w:tab/>
        <w:t xml:space="preserve">For the purposes of section 4(1CA)(b)(v)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in Gazette 30 May 2014 p. 1684.]</w:t>
      </w:r>
    </w:p>
    <w:p>
      <w:pPr>
        <w:pStyle w:val="Heading5"/>
      </w:pPr>
      <w:bookmarkStart w:id="21" w:name="_Toc423514355"/>
      <w:bookmarkStart w:id="22" w:name="_Toc455129724"/>
      <w:r>
        <w:rPr>
          <w:rStyle w:val="CharSectno"/>
        </w:rPr>
        <w:t>3</w:t>
      </w:r>
      <w:r>
        <w:t>.</w:t>
      </w:r>
      <w:r>
        <w:tab/>
        <w:t>Paper documents for lodgment, requirements for</w:t>
      </w:r>
      <w:bookmarkEnd w:id="21"/>
      <w:bookmarkEnd w:id="22"/>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in Gazette 29 Dec 2006 p. 5915; 30 May 2014 p. 1685.]</w:t>
      </w:r>
    </w:p>
    <w:p>
      <w:pPr>
        <w:pStyle w:val="Heading5"/>
        <w:rPr>
          <w:snapToGrid w:val="0"/>
        </w:rPr>
      </w:pPr>
      <w:bookmarkStart w:id="23" w:name="_Toc423514356"/>
      <w:bookmarkStart w:id="24" w:name="_Toc455129725"/>
      <w:r>
        <w:rPr>
          <w:rStyle w:val="CharSectno"/>
        </w:rPr>
        <w:t>4</w:t>
      </w:r>
      <w:r>
        <w:t>.</w:t>
      </w:r>
      <w:r>
        <w:tab/>
      </w:r>
      <w:r>
        <w:rPr>
          <w:snapToGrid w:val="0"/>
        </w:rPr>
        <w:t>Certificates of title for land in existing certificate</w:t>
      </w:r>
      <w:bookmarkEnd w:id="23"/>
      <w:bookmarkEnd w:id="24"/>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5" w:name="_Toc423514357"/>
      <w:bookmarkStart w:id="26" w:name="_Toc455129726"/>
      <w:r>
        <w:rPr>
          <w:rStyle w:val="CharSectno"/>
        </w:rPr>
        <w:t>5</w:t>
      </w:r>
      <w:r>
        <w:t>.</w:t>
      </w:r>
      <w:r>
        <w:tab/>
      </w:r>
      <w:r>
        <w:rPr>
          <w:snapToGrid w:val="0"/>
        </w:rPr>
        <w:t>New certificate of title if old one too full for further endorsement</w:t>
      </w:r>
      <w:bookmarkEnd w:id="25"/>
      <w:bookmarkEnd w:id="26"/>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bookmarkStart w:id="27" w:name="_Toc423514358"/>
      <w:r>
        <w:t>[</w:t>
      </w:r>
      <w:r>
        <w:rPr>
          <w:b/>
          <w:bCs/>
        </w:rPr>
        <w:t>5A.</w:t>
      </w:r>
      <w:r>
        <w:tab/>
        <w:t>Deleted in Gazette 22 Mar 2016 p. 835.]</w:t>
      </w:r>
    </w:p>
    <w:bookmarkEnd w:id="27"/>
    <w:p>
      <w:pPr>
        <w:pStyle w:val="Ednotesection"/>
      </w:pPr>
      <w:r>
        <w:t>[</w:t>
      </w:r>
      <w:r>
        <w:rPr>
          <w:b/>
          <w:bCs/>
        </w:rPr>
        <w:t>6, 7.</w:t>
      </w:r>
      <w:r>
        <w:tab/>
        <w:t>Deleted in Gazette 22 May 2009 p. 1701.]</w:t>
      </w:r>
    </w:p>
    <w:p>
      <w:pPr>
        <w:pStyle w:val="Heading5"/>
        <w:rPr>
          <w:snapToGrid w:val="0"/>
        </w:rPr>
      </w:pPr>
      <w:bookmarkStart w:id="28" w:name="_Toc423514359"/>
      <w:bookmarkStart w:id="29" w:name="_Toc455129727"/>
      <w:r>
        <w:rPr>
          <w:rStyle w:val="CharSectno"/>
        </w:rPr>
        <w:t>8</w:t>
      </w:r>
      <w:r>
        <w:t>.</w:t>
      </w:r>
      <w:r>
        <w:tab/>
      </w:r>
      <w:r>
        <w:rPr>
          <w:snapToGrid w:val="0"/>
        </w:rPr>
        <w:t>Area prescribed (Act s. 129C(1a))</w:t>
      </w:r>
      <w:bookmarkEnd w:id="28"/>
      <w:bookmarkEnd w:id="29"/>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30" w:name="_Toc423514360"/>
      <w:bookmarkStart w:id="31" w:name="_Toc425253068"/>
      <w:bookmarkStart w:id="32" w:name="_Toc446331546"/>
      <w:bookmarkStart w:id="33" w:name="_Toc455129654"/>
      <w:bookmarkStart w:id="34" w:name="_Toc455129691"/>
      <w:bookmarkStart w:id="35" w:name="_Toc455129728"/>
      <w:r>
        <w:rPr>
          <w:rStyle w:val="CharPartNo"/>
        </w:rPr>
        <w:t>Part 3A</w:t>
      </w:r>
      <w:r>
        <w:rPr>
          <w:rStyle w:val="CharDivNo"/>
        </w:rPr>
        <w:t> </w:t>
      </w:r>
      <w:r>
        <w:t>—</w:t>
      </w:r>
      <w:r>
        <w:rPr>
          <w:rStyle w:val="CharDivText"/>
        </w:rPr>
        <w:t> </w:t>
      </w:r>
      <w:r>
        <w:rPr>
          <w:rStyle w:val="CharPartText"/>
        </w:rPr>
        <w:t xml:space="preserve">Provisions relating to </w:t>
      </w:r>
      <w:r>
        <w:rPr>
          <w:rStyle w:val="CharPartText"/>
          <w:i/>
        </w:rPr>
        <w:t>Electronic Conveyancing Act 2014</w:t>
      </w:r>
      <w:bookmarkEnd w:id="30"/>
      <w:bookmarkEnd w:id="31"/>
      <w:bookmarkEnd w:id="32"/>
      <w:bookmarkEnd w:id="33"/>
      <w:bookmarkEnd w:id="34"/>
      <w:bookmarkEnd w:id="35"/>
    </w:p>
    <w:p>
      <w:pPr>
        <w:pStyle w:val="Footnoteheading"/>
      </w:pPr>
      <w:r>
        <w:tab/>
        <w:t>[Heading inserted in Gazette 30 May 2014 p. 1685.]</w:t>
      </w:r>
    </w:p>
    <w:p>
      <w:pPr>
        <w:pStyle w:val="Heading5"/>
      </w:pPr>
      <w:bookmarkStart w:id="36" w:name="_Toc423514361"/>
      <w:bookmarkStart w:id="37" w:name="_Toc455129729"/>
      <w:r>
        <w:rPr>
          <w:rStyle w:val="CharSectno"/>
        </w:rPr>
        <w:t>9AA</w:t>
      </w:r>
      <w:r>
        <w:t>.</w:t>
      </w:r>
      <w:r>
        <w:tab/>
        <w:t>Requirements relating to electronic lodgment of mortgages</w:t>
      </w:r>
      <w:bookmarkEnd w:id="36"/>
      <w:bookmarkEnd w:id="37"/>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in Gazette 30 May 2014 p. 1685.]</w:t>
      </w:r>
    </w:p>
    <w:p>
      <w:pPr>
        <w:pStyle w:val="Heading5"/>
      </w:pPr>
      <w:bookmarkStart w:id="38" w:name="_Toc423514362"/>
      <w:bookmarkStart w:id="39" w:name="_Toc455129730"/>
      <w:r>
        <w:rPr>
          <w:rStyle w:val="CharSectno"/>
        </w:rPr>
        <w:t>9AB</w:t>
      </w:r>
      <w:r>
        <w:t>.</w:t>
      </w:r>
      <w:r>
        <w:tab/>
        <w:t>Duplicate certificates of title where documents lodged electronically</w:t>
      </w:r>
      <w:bookmarkEnd w:id="38"/>
      <w:bookmarkEnd w:id="39"/>
    </w:p>
    <w:p>
      <w:pPr>
        <w:pStyle w:val="Subsection"/>
      </w:pPr>
      <w:r>
        <w:tab/>
        <w:t>(1)</w:t>
      </w:r>
      <w:r>
        <w:tab/>
        <w:t xml:space="preserve">This regulation applies if — </w:t>
      </w:r>
    </w:p>
    <w:p>
      <w:pPr>
        <w:pStyle w:val="Indenta"/>
      </w:pPr>
      <w:r>
        <w:tab/>
        <w:t>(a)</w:t>
      </w:r>
      <w:r>
        <w:tab/>
        <w:t xml:space="preserve">a document can be lodged electronically under the </w:t>
      </w:r>
      <w:r>
        <w:rPr>
          <w:i/>
        </w:rPr>
        <w:t>Electronic Conveyancing Act 2014</w:t>
      </w:r>
      <w:r>
        <w:t xml:space="preserve"> section 7(1); and</w:t>
      </w:r>
    </w:p>
    <w:p>
      <w:pPr>
        <w:pStyle w:val="Indenta"/>
      </w:pPr>
      <w:r>
        <w:tab/>
        <w:t>(b)</w:t>
      </w:r>
      <w:r>
        <w:tab/>
        <w:t>in connection with the lodging of that document, the Act would otherwise require a duplicate certificate of title to be produced, presented or delivered up to the Registrar or to be brought in or lodged.</w:t>
      </w:r>
    </w:p>
    <w:p>
      <w:pPr>
        <w:pStyle w:val="Subsection"/>
      </w:pPr>
      <w:r>
        <w:tab/>
        <w:t>(2)</w:t>
      </w:r>
      <w:r>
        <w:tab/>
        <w:t xml:space="preserve">If this regulation applies — </w:t>
      </w:r>
    </w:p>
    <w:p>
      <w:pPr>
        <w:pStyle w:val="Indenta"/>
      </w:pPr>
      <w:r>
        <w:tab/>
        <w:t>(a)</w:t>
      </w:r>
      <w:r>
        <w:tab/>
        <w:t>the requirement to produce, present or deliver up to the Registrar, or to bring in or lodge, the duplicate certificate of title in connection with the lodging of the document is dispensed with; and</w:t>
      </w:r>
    </w:p>
    <w:p>
      <w:pPr>
        <w:pStyle w:val="Indenta"/>
      </w:pPr>
      <w:r>
        <w:tab/>
        <w:t>(b)</w:t>
      </w:r>
      <w:r>
        <w:tab/>
        <w:t xml:space="preserve">instead, the subscriber who digitally signs the document to be lodged electronically — </w:t>
      </w:r>
    </w:p>
    <w:p>
      <w:pPr>
        <w:pStyle w:val="Indenti"/>
      </w:pPr>
      <w:r>
        <w:tab/>
        <w:t>(i)</w:t>
      </w:r>
      <w:r>
        <w:tab/>
        <w:t>must have obtained possession of the duplicate certificate of title; and</w:t>
      </w:r>
    </w:p>
    <w:p>
      <w:pPr>
        <w:pStyle w:val="Indenti"/>
      </w:pPr>
      <w:r>
        <w:tab/>
        <w:t>(ii)</w:t>
      </w:r>
      <w:r>
        <w:tab/>
        <w:t>must have destroyed or invalidated the duplicate certificate of title; and</w:t>
      </w:r>
    </w:p>
    <w:p>
      <w:pPr>
        <w:pStyle w:val="Indenti"/>
      </w:pPr>
      <w:r>
        <w:tab/>
        <w:t>(iii)</w:t>
      </w:r>
      <w:r>
        <w:tab/>
        <w:t>must provide a certification, in accordance with the participation rules, that the duplicate certificate of title has been destroyed or invalidated.</w:t>
      </w:r>
    </w:p>
    <w:p>
      <w:pPr>
        <w:pStyle w:val="Footnotesection"/>
      </w:pPr>
      <w:r>
        <w:tab/>
        <w:t>[Regulation 9AB inserted in Gazette 30 May 2014 p. 1686.]</w:t>
      </w:r>
    </w:p>
    <w:p>
      <w:pPr>
        <w:pStyle w:val="Heading2"/>
      </w:pPr>
      <w:bookmarkStart w:id="40" w:name="_Toc446331549"/>
      <w:bookmarkStart w:id="41" w:name="_Toc455129657"/>
      <w:bookmarkStart w:id="42" w:name="_Toc455129694"/>
      <w:bookmarkStart w:id="43" w:name="_Toc455129731"/>
      <w:bookmarkStart w:id="44" w:name="_Toc423514363"/>
      <w:bookmarkStart w:id="45" w:name="_Toc425253071"/>
      <w:r>
        <w:rPr>
          <w:rStyle w:val="CharPartNo"/>
        </w:rPr>
        <w:t>Part 3B</w:t>
      </w:r>
      <w:r>
        <w:t> — </w:t>
      </w:r>
      <w:r>
        <w:rPr>
          <w:rStyle w:val="CharPartText"/>
        </w:rPr>
        <w:t>Provisions relating to electronic service</w:t>
      </w:r>
      <w:bookmarkEnd w:id="40"/>
      <w:bookmarkEnd w:id="41"/>
      <w:bookmarkEnd w:id="42"/>
      <w:bookmarkEnd w:id="43"/>
    </w:p>
    <w:p>
      <w:pPr>
        <w:pStyle w:val="Footnoteheading"/>
      </w:pPr>
      <w:r>
        <w:tab/>
        <w:t>[Heading inserted in Gazette 22 Mar 2016 p. 835.]</w:t>
      </w:r>
    </w:p>
    <w:p>
      <w:pPr>
        <w:pStyle w:val="Heading5"/>
      </w:pPr>
      <w:bookmarkStart w:id="46" w:name="_Toc455129732"/>
      <w:r>
        <w:rPr>
          <w:rStyle w:val="CharSectno"/>
        </w:rPr>
        <w:t>9AC</w:t>
      </w:r>
      <w:r>
        <w:t>.</w:t>
      </w:r>
      <w:r>
        <w:tab/>
        <w:t>Electronic service of notices</w:t>
      </w:r>
      <w:bookmarkEnd w:id="46"/>
    </w:p>
    <w:p>
      <w:pPr>
        <w:pStyle w:val="Subsection"/>
      </w:pPr>
      <w:r>
        <w:tab/>
        <w:t>(1)</w:t>
      </w:r>
      <w:r>
        <w:tab/>
        <w:t>For the purposes of section 240(1)(d) of the Act, where a person has specified in a caveat or an approved form that notices under this Act may be served on the person by sending the notice to an email address specified by the person, service is effected by sending the notice to that email address.</w:t>
      </w:r>
    </w:p>
    <w:p>
      <w:pPr>
        <w:pStyle w:val="Subsection"/>
      </w:pPr>
      <w:r>
        <w:tab/>
        <w:t>(2)</w:t>
      </w:r>
      <w:r>
        <w:tab/>
        <w:t>For the purposes of section 240(3)(c) of the Act, service of a notice that is sent by or on behalf of the Registrar or the Commissioner under subregulation (1) is deemed to be effected 24 hours after the notice is sent, unless within that 24 hour period the sender receives a notice of failure of delivery of the email.</w:t>
      </w:r>
    </w:p>
    <w:p>
      <w:pPr>
        <w:pStyle w:val="Subsection"/>
      </w:pPr>
      <w:r>
        <w:tab/>
        <w:t>(3)</w:t>
      </w:r>
      <w:r>
        <w:tab/>
        <w:t>Where the Commissioner or Registrar attempts to serve a notice by sending it to an email address but receives a notice of failure of delivery of the email, the Commissioner or Registrar may direct that the notice be resent to the email address or served on the person by any other means specified in section 240(1) of the Act.</w:t>
      </w:r>
    </w:p>
    <w:p>
      <w:pPr>
        <w:pStyle w:val="Footnotesection"/>
      </w:pPr>
      <w:r>
        <w:tab/>
        <w:t>[Regulation 9AC inserted in Gazette 22 Mar 2016 p. 835-6]</w:t>
      </w:r>
    </w:p>
    <w:p>
      <w:pPr>
        <w:pStyle w:val="Heading2"/>
      </w:pPr>
      <w:bookmarkStart w:id="47" w:name="_Toc446331551"/>
      <w:bookmarkStart w:id="48" w:name="_Toc455129659"/>
      <w:bookmarkStart w:id="49" w:name="_Toc455129696"/>
      <w:bookmarkStart w:id="50" w:name="_Toc455129733"/>
      <w:r>
        <w:rPr>
          <w:rStyle w:val="CharPartNo"/>
        </w:rPr>
        <w:t>Part 3</w:t>
      </w:r>
      <w:r>
        <w:t> — </w:t>
      </w:r>
      <w:r>
        <w:rPr>
          <w:rStyle w:val="CharPartText"/>
        </w:rPr>
        <w:t>Fees and forms</w:t>
      </w:r>
      <w:bookmarkEnd w:id="44"/>
      <w:bookmarkEnd w:id="45"/>
      <w:bookmarkEnd w:id="47"/>
      <w:bookmarkEnd w:id="48"/>
      <w:bookmarkEnd w:id="49"/>
      <w:bookmarkEnd w:id="50"/>
    </w:p>
    <w:p>
      <w:pPr>
        <w:pStyle w:val="Footnoteheading"/>
      </w:pPr>
      <w:r>
        <w:tab/>
        <w:t>[Heading inserted in Gazette 22 May 2009 p. 1701.]</w:t>
      </w:r>
    </w:p>
    <w:p>
      <w:pPr>
        <w:pStyle w:val="Heading5"/>
      </w:pPr>
      <w:bookmarkStart w:id="51" w:name="_Toc423514364"/>
      <w:bookmarkStart w:id="52" w:name="_Toc455129734"/>
      <w:r>
        <w:rPr>
          <w:rStyle w:val="CharSectno"/>
        </w:rPr>
        <w:t>9A</w:t>
      </w:r>
      <w:r>
        <w:t>.</w:t>
      </w:r>
      <w:r>
        <w:tab/>
        <w:t>Fees (Sch. 1)</w:t>
      </w:r>
      <w:bookmarkEnd w:id="51"/>
      <w:bookmarkEnd w:id="52"/>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 duplicate certificate of title, instrument, plan or other document of a kind mentioned in an item of Schedule 1 Division 2 is the fee specified in that item in relation to that duplicate certificate of title,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is the fee specified in that item;</w:t>
      </w:r>
    </w:p>
    <w:p>
      <w:pPr>
        <w:pStyle w:val="Indenta"/>
      </w:pPr>
      <w:r>
        <w:tab/>
        <w:t>(b)</w:t>
      </w:r>
      <w:r>
        <w:tab/>
        <w:t>from registration or recording is the fee specified in Schedule 1 Division 3 item 2.</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Indenta"/>
      </w:pPr>
      <w:r>
        <w:tab/>
        <w:t>(c)</w:t>
      </w:r>
      <w:r>
        <w:tab/>
        <w:t>Schedule 1 Division 4 item 7A; or</w:t>
      </w:r>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Footnotesection"/>
      </w:pPr>
      <w:r>
        <w:tab/>
        <w:t>[Regulation 9A inserted in Gazette 22 May 2009 p. 1701-2; amended in Gazette 22 Jun 2012 p. 2782.]</w:t>
      </w:r>
    </w:p>
    <w:p>
      <w:pPr>
        <w:pStyle w:val="Ednotesection"/>
      </w:pPr>
      <w:r>
        <w:t>[</w:t>
      </w:r>
      <w:r>
        <w:rPr>
          <w:b/>
          <w:bCs/>
        </w:rPr>
        <w:t>9.</w:t>
      </w:r>
      <w:r>
        <w:rPr>
          <w:b/>
          <w:bCs/>
        </w:rPr>
        <w:tab/>
      </w:r>
      <w:r>
        <w:t>Deleted in Gazette 19 Jun 2009 p. 2236.]</w:t>
      </w:r>
    </w:p>
    <w:p>
      <w:pPr>
        <w:pStyle w:val="Heading2"/>
      </w:pPr>
      <w:bookmarkStart w:id="53" w:name="_Toc423514365"/>
      <w:bookmarkStart w:id="54" w:name="_Toc425253073"/>
      <w:bookmarkStart w:id="55" w:name="_Toc446331553"/>
      <w:bookmarkStart w:id="56" w:name="_Toc455129661"/>
      <w:bookmarkStart w:id="57" w:name="_Toc455129698"/>
      <w:bookmarkStart w:id="58" w:name="_Toc455129735"/>
      <w:r>
        <w:rPr>
          <w:rStyle w:val="CharPartNo"/>
        </w:rPr>
        <w:t>Part 4</w:t>
      </w:r>
      <w:r>
        <w:rPr>
          <w:b w:val="0"/>
        </w:rPr>
        <w:t> </w:t>
      </w:r>
      <w:r>
        <w:t>—</w:t>
      </w:r>
      <w:r>
        <w:rPr>
          <w:b w:val="0"/>
        </w:rPr>
        <w:t> </w:t>
      </w:r>
      <w:r>
        <w:rPr>
          <w:rStyle w:val="CharPartText"/>
        </w:rPr>
        <w:t>Inspection of Register</w:t>
      </w:r>
      <w:bookmarkEnd w:id="53"/>
      <w:bookmarkEnd w:id="54"/>
      <w:bookmarkEnd w:id="55"/>
      <w:bookmarkEnd w:id="56"/>
      <w:bookmarkEnd w:id="57"/>
      <w:bookmarkEnd w:id="58"/>
    </w:p>
    <w:p>
      <w:pPr>
        <w:pStyle w:val="Footnoteheading"/>
      </w:pPr>
      <w:r>
        <w:tab/>
        <w:t>[Heading inserted in Gazette 22 May 2009 p. 1702.]</w:t>
      </w:r>
    </w:p>
    <w:p>
      <w:pPr>
        <w:pStyle w:val="Heading3"/>
      </w:pPr>
      <w:bookmarkStart w:id="59" w:name="_Toc423514366"/>
      <w:bookmarkStart w:id="60" w:name="_Toc425253074"/>
      <w:bookmarkStart w:id="61" w:name="_Toc446331554"/>
      <w:bookmarkStart w:id="62" w:name="_Toc455129662"/>
      <w:bookmarkStart w:id="63" w:name="_Toc455129699"/>
      <w:bookmarkStart w:id="64" w:name="_Toc455129736"/>
      <w:r>
        <w:rPr>
          <w:rStyle w:val="CharDivNo"/>
        </w:rPr>
        <w:t>Division 1</w:t>
      </w:r>
      <w:r>
        <w:t> — </w:t>
      </w:r>
      <w:r>
        <w:rPr>
          <w:rStyle w:val="CharDivText"/>
        </w:rPr>
        <w:t>Times for inspection of Register and related documents</w:t>
      </w:r>
      <w:bookmarkEnd w:id="59"/>
      <w:bookmarkEnd w:id="60"/>
      <w:bookmarkEnd w:id="61"/>
      <w:bookmarkEnd w:id="62"/>
      <w:bookmarkEnd w:id="63"/>
      <w:bookmarkEnd w:id="64"/>
    </w:p>
    <w:p>
      <w:pPr>
        <w:pStyle w:val="Footnoteheading"/>
      </w:pPr>
      <w:r>
        <w:tab/>
        <w:t>[Heading inserted in Gazette 22 May 2009 p. 1702.]</w:t>
      </w:r>
    </w:p>
    <w:p>
      <w:pPr>
        <w:pStyle w:val="Heading5"/>
        <w:rPr>
          <w:snapToGrid w:val="0"/>
        </w:rPr>
      </w:pPr>
      <w:bookmarkStart w:id="65" w:name="_Toc423514367"/>
      <w:bookmarkStart w:id="66" w:name="_Toc455129737"/>
      <w:r>
        <w:rPr>
          <w:rStyle w:val="CharSectno"/>
        </w:rPr>
        <w:t>10</w:t>
      </w:r>
      <w:r>
        <w:rPr>
          <w:snapToGrid w:val="0"/>
        </w:rPr>
        <w:t>.</w:t>
      </w:r>
      <w:r>
        <w:rPr>
          <w:snapToGrid w:val="0"/>
        </w:rPr>
        <w:tab/>
        <w:t>Times for inspection prescribed (Act s. 239(1))</w:t>
      </w:r>
      <w:bookmarkEnd w:id="65"/>
      <w:bookmarkEnd w:id="66"/>
    </w:p>
    <w:p>
      <w:pPr>
        <w:pStyle w:val="Subsection"/>
        <w:rPr>
          <w:snapToGrid w:val="0"/>
        </w:rPr>
      </w:pPr>
      <w:r>
        <w:rPr>
          <w:snapToGrid w:val="0"/>
        </w:rPr>
        <w:tab/>
        <w:t>(1)</w:t>
      </w:r>
      <w:r>
        <w:rPr>
          <w:snapToGrid w:val="0"/>
        </w:rPr>
        <w:tab/>
        <w:t>The inspection times prescribed for the purposes of section 239(1) of the Act are Mondays to Fridays (other than bank holidays or public service holidays) 8.00 a.m. to 4.30 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in Gazette 22 May 2009 p. 1702-3; amended in Gazette 19 Jun 2009 p. 2236.]</w:t>
      </w:r>
    </w:p>
    <w:p>
      <w:pPr>
        <w:pStyle w:val="Heading3"/>
      </w:pPr>
      <w:bookmarkStart w:id="67" w:name="_Toc423514368"/>
      <w:bookmarkStart w:id="68" w:name="_Toc425253076"/>
      <w:bookmarkStart w:id="69" w:name="_Toc446331556"/>
      <w:bookmarkStart w:id="70" w:name="_Toc455129664"/>
      <w:bookmarkStart w:id="71" w:name="_Toc455129701"/>
      <w:bookmarkStart w:id="72" w:name="_Toc455129738"/>
      <w:r>
        <w:rPr>
          <w:rStyle w:val="CharDivNo"/>
        </w:rPr>
        <w:t>Division 2</w:t>
      </w:r>
      <w:r>
        <w:t> — </w:t>
      </w:r>
      <w:r>
        <w:rPr>
          <w:rStyle w:val="CharDivText"/>
        </w:rPr>
        <w:t>Names index</w:t>
      </w:r>
      <w:bookmarkEnd w:id="67"/>
      <w:bookmarkEnd w:id="68"/>
      <w:bookmarkEnd w:id="69"/>
      <w:bookmarkEnd w:id="70"/>
      <w:bookmarkEnd w:id="71"/>
      <w:bookmarkEnd w:id="72"/>
    </w:p>
    <w:p>
      <w:pPr>
        <w:pStyle w:val="Footnoteheading"/>
      </w:pPr>
      <w:r>
        <w:tab/>
        <w:t>[Heading inserted in Gazette 22 May 2009 p. 1703.]</w:t>
      </w:r>
    </w:p>
    <w:p>
      <w:pPr>
        <w:pStyle w:val="Heading5"/>
      </w:pPr>
      <w:bookmarkStart w:id="73" w:name="_Toc423514369"/>
      <w:bookmarkStart w:id="74" w:name="_Toc455129739"/>
      <w:r>
        <w:rPr>
          <w:rStyle w:val="CharSectno"/>
        </w:rPr>
        <w:t>11</w:t>
      </w:r>
      <w:r>
        <w:t>.</w:t>
      </w:r>
      <w:r>
        <w:tab/>
        <w:t>Terms used</w:t>
      </w:r>
      <w:bookmarkEnd w:id="73"/>
      <w:bookmarkEnd w:id="74"/>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in Gazette 22 May 2009 p. 1703.]</w:t>
      </w:r>
    </w:p>
    <w:p>
      <w:pPr>
        <w:pStyle w:val="Heading5"/>
      </w:pPr>
      <w:bookmarkStart w:id="75" w:name="_Toc423514370"/>
      <w:bookmarkStart w:id="76" w:name="_Toc455129740"/>
      <w:r>
        <w:rPr>
          <w:rStyle w:val="CharSectno"/>
        </w:rPr>
        <w:t>12</w:t>
      </w:r>
      <w:r>
        <w:t>.</w:t>
      </w:r>
      <w:r>
        <w:tab/>
        <w:t>Names index prescribed (Act s. 239(1)(k))</w:t>
      </w:r>
      <w:bookmarkEnd w:id="75"/>
      <w:bookmarkEnd w:id="76"/>
    </w:p>
    <w:p>
      <w:pPr>
        <w:pStyle w:val="Subsection"/>
      </w:pPr>
      <w:r>
        <w:tab/>
      </w:r>
      <w:r>
        <w:tab/>
        <w:t>The names index is prescribed for the purposes of section 239(1)(k) of the Act.</w:t>
      </w:r>
    </w:p>
    <w:p>
      <w:pPr>
        <w:pStyle w:val="Footnotesection"/>
      </w:pPr>
      <w:r>
        <w:tab/>
        <w:t>[Regulation 12 inserted in Gazette 22 May 2009 p. 1703.]</w:t>
      </w:r>
    </w:p>
    <w:p>
      <w:pPr>
        <w:pStyle w:val="Heading5"/>
        <w:rPr>
          <w:snapToGrid w:val="0"/>
        </w:rPr>
      </w:pPr>
      <w:bookmarkStart w:id="77" w:name="_Toc423514371"/>
      <w:bookmarkStart w:id="78" w:name="_Toc455129741"/>
      <w:r>
        <w:rPr>
          <w:rStyle w:val="CharSectno"/>
        </w:rPr>
        <w:t>13</w:t>
      </w:r>
      <w:r>
        <w:t>.</w:t>
      </w:r>
      <w:r>
        <w:tab/>
      </w:r>
      <w:r>
        <w:rPr>
          <w:snapToGrid w:val="0"/>
        </w:rPr>
        <w:t>Application for information in names index to be excluded from inspections</w:t>
      </w:r>
      <w:bookmarkEnd w:id="77"/>
      <w:bookmarkEnd w:id="78"/>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 and</w:t>
      </w:r>
    </w:p>
    <w:p>
      <w:pPr>
        <w:pStyle w:val="Indenta"/>
      </w:pPr>
      <w:r>
        <w:tab/>
        <w:t>(c)</w:t>
      </w:r>
      <w:r>
        <w:tab/>
        <w:t>the fee payable under regulation 9A(4).</w:t>
      </w:r>
    </w:p>
    <w:p>
      <w:pPr>
        <w:pStyle w:val="Subsection"/>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The Registrar may direct that all or part of the information in respect of which an application under subregulation (1) is made may be inspected as part of the names register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pPr>
      <w:r>
        <w:tab/>
        <w:t>(b)</w:t>
      </w:r>
      <w:r>
        <w:tab/>
        <w:t>immediately or at such later time as requested by the person.</w:t>
      </w:r>
    </w:p>
    <w:p>
      <w:pPr>
        <w:pStyle w:val="Footnotesection"/>
      </w:pPr>
      <w:r>
        <w:tab/>
        <w:t>[Regulation 13 inserted in Gazette 22 May 2009 p. 1703-4.]</w:t>
      </w:r>
    </w:p>
    <w:p>
      <w:pPr>
        <w:pStyle w:val="Heading5"/>
        <w:spacing w:before="240"/>
      </w:pPr>
      <w:bookmarkStart w:id="79" w:name="_Toc423514372"/>
      <w:bookmarkStart w:id="80" w:name="_Toc455129742"/>
      <w:r>
        <w:rPr>
          <w:rStyle w:val="CharSectno"/>
        </w:rPr>
        <w:t>14</w:t>
      </w:r>
      <w:r>
        <w:t>.</w:t>
      </w:r>
      <w:r>
        <w:tab/>
        <w:t>Suppressed information, provision of to government organisations</w:t>
      </w:r>
      <w:bookmarkEnd w:id="79"/>
      <w:bookmarkEnd w:id="80"/>
    </w:p>
    <w:p>
      <w:pPr>
        <w:pStyle w:val="Subsection"/>
      </w:pPr>
      <w:r>
        <w:tab/>
        <w:t>(1)</w:t>
      </w:r>
      <w:r>
        <w:tab/>
        <w:t>The Registrar may provide suppressed information to a department or organisation by arrangement with its chief executive officer or chief employee.</w:t>
      </w:r>
    </w:p>
    <w:p>
      <w:pPr>
        <w:pStyle w:val="Subsection"/>
      </w:pPr>
      <w:r>
        <w:tab/>
        <w:t>(2)</w:t>
      </w:r>
      <w:r>
        <w:tab/>
        <w:t>A person who is provided with suppressed information under subregulation (1) must not use or disclose the information except for a purpose relevant to the functions of the department or organisation.</w:t>
      </w:r>
    </w:p>
    <w:p>
      <w:pPr>
        <w:pStyle w:val="Footnotesection"/>
        <w:spacing w:before="80"/>
        <w:ind w:left="890" w:hanging="890"/>
      </w:pPr>
      <w:r>
        <w:tab/>
        <w:t>[Regulation 14 inserted in Gazette 22 May 2009 p. 1704.]</w:t>
      </w:r>
    </w:p>
    <w:p>
      <w:pPr>
        <w:pStyle w:val="Heading5"/>
      </w:pPr>
      <w:bookmarkStart w:id="81" w:name="_Toc423514373"/>
      <w:bookmarkStart w:id="82" w:name="_Toc455129743"/>
      <w:r>
        <w:rPr>
          <w:rStyle w:val="CharSectno"/>
        </w:rPr>
        <w:t>15</w:t>
      </w:r>
      <w:r>
        <w:t>.</w:t>
      </w:r>
      <w:r>
        <w:tab/>
        <w:t>Suppressed information, provision of to others</w:t>
      </w:r>
      <w:bookmarkEnd w:id="81"/>
      <w:bookmarkEnd w:id="82"/>
    </w:p>
    <w:p>
      <w:pPr>
        <w:pStyle w:val="Subsection"/>
      </w:pPr>
      <w:r>
        <w:tab/>
        <w:t>(1)</w:t>
      </w:r>
      <w:r>
        <w:tab/>
        <w:t>The Registrar may, on the request of a person, provide suppressed information to the person for a purpose approved by the Registrar.</w:t>
      </w:r>
    </w:p>
    <w:p>
      <w:pPr>
        <w:pStyle w:val="Subsection"/>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pPr>
      <w:r>
        <w:tab/>
        <w:t>(iii)</w:t>
      </w:r>
      <w:r>
        <w:tab/>
        <w:t>will return the information to the Registrar or destroy the information after using it for the approved purpose.</w:t>
      </w:r>
    </w:p>
    <w:p>
      <w:pPr>
        <w:pStyle w:val="Footnotesection"/>
      </w:pPr>
      <w:r>
        <w:tab/>
        <w:t>[Regulation 15 inserted in Gazette 22 May 2009 p. 1704-5.]</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 w:name="_Toc423514374"/>
      <w:bookmarkStart w:id="84" w:name="_Toc425253082"/>
      <w:bookmarkStart w:id="85" w:name="_Toc446331562"/>
      <w:bookmarkStart w:id="86" w:name="_Toc455129670"/>
      <w:bookmarkStart w:id="87" w:name="_Toc455129707"/>
      <w:bookmarkStart w:id="88" w:name="_Toc455129744"/>
      <w:r>
        <w:rPr>
          <w:rStyle w:val="CharSchNo"/>
        </w:rPr>
        <w:t>Schedule 1</w:t>
      </w:r>
      <w:r>
        <w:t xml:space="preserve"> — </w:t>
      </w:r>
      <w:r>
        <w:rPr>
          <w:rStyle w:val="CharSchText"/>
        </w:rPr>
        <w:t>Fees</w:t>
      </w:r>
      <w:bookmarkEnd w:id="83"/>
      <w:bookmarkEnd w:id="84"/>
      <w:bookmarkEnd w:id="85"/>
      <w:bookmarkEnd w:id="86"/>
      <w:bookmarkEnd w:id="87"/>
      <w:bookmarkEnd w:id="88"/>
    </w:p>
    <w:p>
      <w:pPr>
        <w:pStyle w:val="yShoulderClause"/>
      </w:pPr>
      <w:r>
        <w:t>[r. 9A(1), (2), (3), (4), (5), (6), (7)]</w:t>
      </w:r>
    </w:p>
    <w:p>
      <w:pPr>
        <w:pStyle w:val="yFootnoteheading"/>
      </w:pPr>
      <w:r>
        <w:tab/>
        <w:t>[Heading inserted in Gazette 9 Jan 2009 p. 30; amended in Gazette 22 May 2009 p. 1705.]</w:t>
      </w:r>
    </w:p>
    <w:p>
      <w:pPr>
        <w:pStyle w:val="yHeading3"/>
      </w:pPr>
      <w:bookmarkStart w:id="89" w:name="_Toc423514375"/>
      <w:bookmarkStart w:id="90" w:name="_Toc425253083"/>
      <w:bookmarkStart w:id="91" w:name="_Toc446331563"/>
      <w:bookmarkStart w:id="92" w:name="_Toc455129671"/>
      <w:bookmarkStart w:id="93" w:name="_Toc455129708"/>
      <w:bookmarkStart w:id="94" w:name="_Toc455129745"/>
      <w:r>
        <w:rPr>
          <w:rStyle w:val="CharSDivNo"/>
        </w:rPr>
        <w:t>Division 1</w:t>
      </w:r>
      <w:r>
        <w:t> </w:t>
      </w:r>
      <w:r>
        <w:rPr>
          <w:snapToGrid w:val="0"/>
        </w:rPr>
        <w:t>— </w:t>
      </w:r>
      <w:r>
        <w:rPr>
          <w:rStyle w:val="CharSDivText"/>
        </w:rPr>
        <w:t>Registrations and recordings</w:t>
      </w:r>
      <w:bookmarkEnd w:id="89"/>
      <w:bookmarkEnd w:id="90"/>
      <w:bookmarkEnd w:id="91"/>
      <w:bookmarkEnd w:id="92"/>
      <w:bookmarkEnd w:id="93"/>
      <w:bookmarkEnd w:id="94"/>
    </w:p>
    <w:p>
      <w:pPr>
        <w:pStyle w:val="yFootnoteheading"/>
        <w:spacing w:after="120"/>
        <w:rPr>
          <w:snapToGrid w:val="0"/>
        </w:rPr>
      </w:pPr>
      <w:r>
        <w:tab/>
        <w:t>[Heading inserted in Gazette 9 Jan 2009 p. 30.]</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pPr>
            <w:r>
              <w:t>Of a transfer of a mortgage or charge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first mortgage or charge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subsequent mortgage or charge </w:t>
            </w:r>
            <w:r>
              <w:tab/>
            </w:r>
          </w:p>
        </w:tc>
        <w:tc>
          <w:tcPr>
            <w:tcW w:w="1560" w:type="dxa"/>
          </w:tcPr>
          <w:p>
            <w:pPr>
              <w:pStyle w:val="yTableNAm"/>
              <w:rPr>
                <w:snapToGrid w:val="0"/>
              </w:rPr>
            </w:pPr>
            <w:r>
              <w:rPr>
                <w:snapToGrid w:val="0"/>
              </w:rPr>
              <w:t>$13.00</w:t>
            </w:r>
          </w:p>
        </w:tc>
      </w:tr>
      <w:tr>
        <w:trPr>
          <w:cantSplit/>
        </w:trPr>
        <w:tc>
          <w:tcPr>
            <w:tcW w:w="624" w:type="dxa"/>
          </w:tcPr>
          <w:p>
            <w:pPr>
              <w:pStyle w:val="yTableNAm"/>
              <w:rPr>
                <w:snapToGrid w:val="0"/>
              </w:rPr>
            </w:pPr>
            <w:r>
              <w:rPr>
                <w:snapToGrid w:val="0"/>
              </w:rPr>
              <w:t>2.</w:t>
            </w:r>
          </w:p>
        </w:tc>
        <w:tc>
          <w:tcPr>
            <w:tcW w:w="4920" w:type="dxa"/>
          </w:tcPr>
          <w:p>
            <w:pPr>
              <w:pStyle w:val="yTableNAm"/>
            </w:pPr>
            <w:r>
              <w:t>Of a transfer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3.</w:t>
            </w:r>
          </w:p>
        </w:tc>
        <w:tc>
          <w:tcPr>
            <w:tcW w:w="4920" w:type="dxa"/>
          </w:tcPr>
          <w:p>
            <w:pPr>
              <w:pStyle w:val="yTableNAm"/>
              <w:tabs>
                <w:tab w:val="right" w:leader="dot" w:pos="4821"/>
              </w:tabs>
            </w:pPr>
            <w:r>
              <w:t xml:space="preserve">Of a transfer of a lease, surrender, easement or restrictive covenant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4.</w:t>
            </w:r>
          </w:p>
        </w:tc>
        <w:tc>
          <w:tcPr>
            <w:tcW w:w="4920"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60" w:type="dxa"/>
          </w:tcPr>
          <w:p>
            <w:pPr>
              <w:pStyle w:val="yTableNAm"/>
              <w:rPr>
                <w:snapToGrid w:val="0"/>
                <w:sz w:val="18"/>
              </w:rPr>
            </w:pP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does not exceed $85 000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$85 000 but does not exceed $120 000 </w:t>
            </w:r>
            <w:r>
              <w:tab/>
            </w:r>
          </w:p>
        </w:tc>
        <w:tc>
          <w:tcPr>
            <w:tcW w:w="1560" w:type="dxa"/>
          </w:tcPr>
          <w:p>
            <w:pPr>
              <w:pStyle w:val="TableAm"/>
              <w:rPr>
                <w:sz w:val="22"/>
                <w:szCs w:val="22"/>
              </w:rPr>
            </w:pPr>
            <w:r>
              <w:rPr>
                <w:sz w:val="22"/>
                <w:szCs w:val="22"/>
              </w:rPr>
              <w:t>$175.80</w:t>
            </w:r>
          </w:p>
        </w:tc>
      </w:tr>
      <w:tr>
        <w:trPr>
          <w:cantSplit/>
        </w:trPr>
        <w:tc>
          <w:tcPr>
            <w:tcW w:w="624" w:type="dxa"/>
          </w:tcPr>
          <w:p>
            <w:pPr>
              <w:pStyle w:val="yTableNAm"/>
              <w:rPr>
                <w:snapToGrid w:val="0"/>
              </w:rPr>
            </w:pPr>
          </w:p>
        </w:tc>
        <w:tc>
          <w:tcPr>
            <w:tcW w:w="4920" w:type="dxa"/>
          </w:tcPr>
          <w:p>
            <w:pPr>
              <w:pStyle w:val="yTableNAm"/>
              <w:tabs>
                <w:tab w:val="clear" w:pos="567"/>
                <w:tab w:val="left" w:pos="318"/>
                <w:tab w:val="right" w:leader="dot" w:pos="4821"/>
              </w:tabs>
            </w:pPr>
            <w:r>
              <w:tab/>
              <w:t xml:space="preserve">exceeds $120 000 but does not exceed $200 000 </w:t>
            </w:r>
            <w:r>
              <w:tab/>
            </w:r>
          </w:p>
        </w:tc>
        <w:tc>
          <w:tcPr>
            <w:tcW w:w="1560" w:type="dxa"/>
          </w:tcPr>
          <w:p>
            <w:pPr>
              <w:pStyle w:val="yTableNAm"/>
              <w:rPr>
                <w:snapToGrid w:val="0"/>
              </w:rPr>
            </w:pPr>
            <w:r>
              <w:rPr>
                <w:szCs w:val="22"/>
              </w:rPr>
              <w:t>$195.80</w:t>
            </w:r>
          </w:p>
        </w:tc>
      </w:tr>
      <w:tr>
        <w:trPr>
          <w:cantSplit/>
        </w:trPr>
        <w:tc>
          <w:tcPr>
            <w:tcW w:w="624" w:type="dxa"/>
          </w:tcPr>
          <w:p>
            <w:pPr>
              <w:pStyle w:val="yTableNAm"/>
              <w:rPr>
                <w:snapToGrid w:val="0"/>
              </w:rPr>
            </w:pPr>
          </w:p>
        </w:tc>
        <w:tc>
          <w:tcPr>
            <w:tcW w:w="4920" w:type="dxa"/>
          </w:tcPr>
          <w:p>
            <w:pPr>
              <w:pStyle w:val="yTableNAm"/>
              <w:tabs>
                <w:tab w:val="right" w:leader="dot" w:pos="4821"/>
              </w:tabs>
            </w:pPr>
            <w:r>
              <w:t xml:space="preserve">plus, for each whole or part of $100 000 above </w:t>
            </w:r>
            <w:r>
              <w:br/>
              <w:t xml:space="preserve">$200 000 </w:t>
            </w:r>
            <w:r>
              <w:tab/>
            </w:r>
          </w:p>
        </w:tc>
        <w:tc>
          <w:tcPr>
            <w:tcW w:w="1560" w:type="dxa"/>
          </w:tcPr>
          <w:p>
            <w:pPr>
              <w:pStyle w:val="yTableNAm"/>
              <w:rPr>
                <w:snapToGrid w:val="0"/>
              </w:rPr>
            </w:pPr>
            <w:r>
              <w:rPr>
                <w:snapToGrid w:val="0"/>
              </w:rPr>
              <w:br/>
              <w:t>$20.00</w:t>
            </w:r>
          </w:p>
        </w:tc>
      </w:tr>
      <w:tr>
        <w:trPr>
          <w:cantSplit/>
        </w:trPr>
        <w:tc>
          <w:tcPr>
            <w:tcW w:w="624" w:type="dxa"/>
          </w:tcPr>
          <w:p>
            <w:pPr>
              <w:pStyle w:val="yTableNAm"/>
              <w:rPr>
                <w:snapToGrid w:val="0"/>
              </w:rPr>
            </w:pPr>
          </w:p>
        </w:tc>
        <w:tc>
          <w:tcPr>
            <w:tcW w:w="4920"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stamp 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60"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$165.80</w:t>
            </w:r>
          </w:p>
        </w:tc>
      </w:tr>
      <w:tr>
        <w:trPr>
          <w:cantSplit/>
        </w:trPr>
        <w:tc>
          <w:tcPr>
            <w:tcW w:w="624"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5.</w:t>
            </w:r>
          </w:p>
        </w:tc>
        <w:tc>
          <w:tcPr>
            <w:tcW w:w="4920"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6.</w:t>
            </w:r>
          </w:p>
        </w:tc>
        <w:tc>
          <w:tcPr>
            <w:tcW w:w="4920" w:type="dxa"/>
          </w:tcPr>
          <w:p>
            <w:pPr>
              <w:pStyle w:val="yTableNAm"/>
              <w:tabs>
                <w:tab w:val="right" w:leader="dot" w:pos="4821"/>
              </w:tabs>
            </w:pPr>
            <w:r>
              <w:t xml:space="preserve">Of an extension of a mortgage or charge — for each interest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7.</w:t>
            </w:r>
          </w:p>
        </w:tc>
        <w:tc>
          <w:tcPr>
            <w:tcW w:w="4920" w:type="dxa"/>
          </w:tcPr>
          <w:p>
            <w:pPr>
              <w:pStyle w:val="yTableNAm"/>
              <w:tabs>
                <w:tab w:val="right" w:leader="dot" w:pos="4821"/>
              </w:tabs>
            </w:pPr>
            <w:r>
              <w:t>Of a Crown lease or of a freehold lease or sub</w:t>
            </w:r>
            <w:r>
              <w:noBreakHyphen/>
              <w:t xml:space="preserve">lease or extension of a freehold lease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8.</w:t>
            </w:r>
          </w:p>
        </w:tc>
        <w:tc>
          <w:tcPr>
            <w:tcW w:w="4920" w:type="dxa"/>
          </w:tcPr>
          <w:p>
            <w:pPr>
              <w:pStyle w:val="yTableNAm"/>
              <w:tabs>
                <w:tab w:val="right" w:leader="dot" w:pos="4821"/>
              </w:tabs>
            </w:pPr>
            <w:r>
              <w:t xml:space="preserve">Of a memorial or notification under any State or Commonwealth Act (unless exempted from payment under that Act)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9.</w:t>
            </w:r>
          </w:p>
        </w:tc>
        <w:tc>
          <w:tcPr>
            <w:tcW w:w="4920" w:type="dxa"/>
          </w:tcPr>
          <w:p>
            <w:pPr>
              <w:pStyle w:val="yTableNAm"/>
              <w:tabs>
                <w:tab w:val="right" w:leader="dot" w:pos="4821"/>
              </w:tabs>
            </w:pPr>
            <w:r>
              <w:t xml:space="preserve">Of an order of the Supreme Court, the District Court or the </w:t>
            </w:r>
            <w:smartTag w:uri="urn:schemas-microsoft-com:office:smarttags" w:element="Street">
              <w:r>
                <w:t>Magistrates Court</w:t>
              </w:r>
            </w:smartTag>
            <w:r>
              <w:t xml:space="preserve">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10.</w:t>
            </w:r>
          </w:p>
        </w:tc>
        <w:tc>
          <w:tcPr>
            <w:tcW w:w="4920" w:type="dxa"/>
          </w:tcPr>
          <w:p>
            <w:pPr>
              <w:pStyle w:val="yTableNAm"/>
              <w:tabs>
                <w:tab w:val="right" w:leader="dot" w:pos="4821"/>
              </w:tabs>
            </w:pPr>
            <w:r>
              <w:t xml:space="preserve">Of revocation of a power of attorney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r>
              <w:rPr>
                <w:snapToGrid w:val="0"/>
              </w:rPr>
              <w:t>11.</w:t>
            </w:r>
          </w:p>
        </w:tc>
        <w:tc>
          <w:tcPr>
            <w:tcW w:w="4920" w:type="dxa"/>
          </w:tcPr>
          <w:p>
            <w:pPr>
              <w:pStyle w:val="yTableNAm"/>
              <w:tabs>
                <w:tab w:val="right" w:leader="dot" w:pos="4821"/>
              </w:tabs>
            </w:pPr>
            <w:r>
              <w:t xml:space="preserve">Of an instrument not specifically provided for in this Division </w:t>
            </w:r>
            <w:r>
              <w:tab/>
            </w:r>
          </w:p>
        </w:tc>
        <w:tc>
          <w:tcPr>
            <w:tcW w:w="1560" w:type="dxa"/>
          </w:tcPr>
          <w:p>
            <w:pPr>
              <w:pStyle w:val="yTableNAm"/>
              <w:rPr>
                <w:snapToGrid w:val="0"/>
              </w:rPr>
            </w:pPr>
            <w:r>
              <w:rPr>
                <w:snapToGrid w:val="0"/>
              </w:rPr>
              <w:br/>
            </w:r>
            <w:r>
              <w:rPr>
                <w:szCs w:val="22"/>
              </w:rPr>
              <w:t>$165.80</w:t>
            </w:r>
          </w:p>
        </w:tc>
      </w:tr>
    </w:tbl>
    <w:p>
      <w:pPr>
        <w:pStyle w:val="yFootnotesection"/>
      </w:pPr>
      <w:r>
        <w:tab/>
        <w:t>[Division 1 inserted in Gazette 9 Jan 2009 p. 30-1; amended in Gazette 19 Jun 2009 p. 2236</w:t>
      </w:r>
      <w:r>
        <w:noBreakHyphen/>
        <w:t>7 and 2238</w:t>
      </w:r>
      <w:r>
        <w:noBreakHyphen/>
        <w:t>9; 18 Jun 2010 p. 2679-80; 14 Jun 2011 p. 2133</w:t>
      </w:r>
      <w:r>
        <w:noBreakHyphen/>
        <w:t>4; 19 Jun 2015 p. 2137; 24 Jun 2016 p. 2322.]</w:t>
      </w:r>
    </w:p>
    <w:p>
      <w:pPr>
        <w:pStyle w:val="yHeading3"/>
        <w:keepNext w:val="0"/>
        <w:pageBreakBefore/>
        <w:spacing w:before="0"/>
      </w:pPr>
      <w:bookmarkStart w:id="95" w:name="_Toc423514376"/>
      <w:bookmarkStart w:id="96" w:name="_Toc425253084"/>
      <w:bookmarkStart w:id="97" w:name="_Toc446331564"/>
      <w:bookmarkStart w:id="98" w:name="_Toc455129672"/>
      <w:bookmarkStart w:id="99" w:name="_Toc455129709"/>
      <w:bookmarkStart w:id="100" w:name="_Toc455129746"/>
      <w:r>
        <w:rPr>
          <w:rStyle w:val="CharSDivNo"/>
        </w:rPr>
        <w:t>Division 2</w:t>
      </w:r>
      <w:r>
        <w:t> — </w:t>
      </w:r>
      <w:r>
        <w:rPr>
          <w:rStyle w:val="CharSDivText"/>
        </w:rPr>
        <w:t>Lodgments</w:t>
      </w:r>
      <w:bookmarkEnd w:id="95"/>
      <w:bookmarkEnd w:id="96"/>
      <w:bookmarkEnd w:id="97"/>
      <w:bookmarkEnd w:id="98"/>
      <w:bookmarkEnd w:id="99"/>
      <w:bookmarkEnd w:id="100"/>
    </w:p>
    <w:p>
      <w:pPr>
        <w:pStyle w:val="yFootnoteheading"/>
        <w:spacing w:after="120"/>
      </w:pPr>
      <w:r>
        <w:tab/>
        <w:t>[Heading inserted in Gazette 9 Jan 2009 p. 31.]</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a power of attorney or a declaration of trust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2.</w:t>
            </w:r>
          </w:p>
        </w:tc>
        <w:tc>
          <w:tcPr>
            <w:tcW w:w="4920" w:type="dxa"/>
          </w:tcPr>
          <w:p>
            <w:pPr>
              <w:pStyle w:val="yTableNAm"/>
            </w:pPr>
            <w:r>
              <w:t>Of a deposited plan of Crown land that is not a subdivision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$268.50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60" w:type="dxa"/>
          </w:tcPr>
          <w:p>
            <w:pPr>
              <w:pStyle w:val="yTableNAm"/>
              <w:rPr>
                <w:snapToGrid w:val="0"/>
              </w:rPr>
            </w:pPr>
            <w:r>
              <w:rPr>
                <w:szCs w:val="22"/>
              </w:rPr>
              <w:t>$71.50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60" w:type="dxa"/>
            <w:vAlign w:val="bottom"/>
          </w:tcPr>
          <w:p>
            <w:pPr>
              <w:pStyle w:val="yTableNAm"/>
              <w:rPr>
                <w:snapToGrid w:val="0"/>
              </w:rPr>
            </w:pPr>
            <w:r>
              <w:rPr>
                <w:szCs w:val="22"/>
              </w:rPr>
              <w:t>$268.50</w:t>
            </w:r>
          </w:p>
        </w:tc>
      </w:tr>
      <w:tr>
        <w:trPr>
          <w:cantSplit/>
        </w:trPr>
        <w:tc>
          <w:tcPr>
            <w:tcW w:w="624" w:type="dxa"/>
          </w:tcPr>
          <w:p>
            <w:pPr>
              <w:pStyle w:val="yTableNAm"/>
              <w:rPr>
                <w:snapToGrid w:val="0"/>
              </w:rPr>
            </w:pPr>
            <w:r>
              <w:rPr>
                <w:snapToGrid w:val="0"/>
              </w:rPr>
              <w:t>3.</w:t>
            </w:r>
          </w:p>
        </w:tc>
        <w:tc>
          <w:tcPr>
            <w:tcW w:w="4920" w:type="dxa"/>
          </w:tcPr>
          <w:p>
            <w:pPr>
              <w:pStyle w:val="yTableNAm"/>
            </w:pPr>
            <w:r>
              <w:t>Of any other deposited plan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60" w:type="dxa"/>
          </w:tcPr>
          <w:p>
            <w:pPr>
              <w:pStyle w:val="yTableNAm"/>
              <w:rPr>
                <w:snapToGrid w:val="0"/>
              </w:rPr>
            </w:pPr>
            <w:r>
              <w:rPr>
                <w:szCs w:val="22"/>
              </w:rPr>
              <w:t>$268.50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r>
            <w:r>
              <w:rPr>
                <w:szCs w:val="22"/>
              </w:rPr>
              <w:t>$71.50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Of a replacement plan </w:t>
            </w:r>
            <w:r>
              <w:tab/>
            </w:r>
          </w:p>
        </w:tc>
        <w:tc>
          <w:tcPr>
            <w:tcW w:w="1560" w:type="dxa"/>
          </w:tcPr>
          <w:p>
            <w:pPr>
              <w:pStyle w:val="yTableNAm"/>
              <w:rPr>
                <w:snapToGrid w:val="0"/>
              </w:rPr>
            </w:pPr>
            <w:r>
              <w:rPr>
                <w:szCs w:val="22"/>
              </w:rPr>
              <w:t>$268.50</w:t>
            </w:r>
          </w:p>
        </w:tc>
      </w:tr>
      <w:tr>
        <w:trPr>
          <w:cantSplit/>
        </w:trPr>
        <w:tc>
          <w:tcPr>
            <w:tcW w:w="624" w:type="dxa"/>
          </w:tcPr>
          <w:p>
            <w:pPr>
              <w:pStyle w:val="yTableNAm"/>
              <w:rPr>
                <w:snapToGrid w:val="0"/>
              </w:rPr>
            </w:pPr>
            <w:r>
              <w:rPr>
                <w:snapToGrid w:val="0"/>
              </w:rPr>
              <w:t>5.</w:t>
            </w:r>
          </w:p>
        </w:tc>
        <w:tc>
          <w:tcPr>
            <w:tcW w:w="4920" w:type="dxa"/>
          </w:tcPr>
          <w:p>
            <w:pPr>
              <w:pStyle w:val="yTableNAm"/>
            </w:pPr>
            <w:r>
              <w:t>Of a duplicate certificate of title or lease for the registration or recording of a dealing lodged by a third party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the first certificate of title or lease </w:t>
            </w:r>
            <w:r>
              <w:tab/>
            </w:r>
          </w:p>
        </w:tc>
        <w:tc>
          <w:tcPr>
            <w:tcW w:w="1560" w:type="dxa"/>
          </w:tcPr>
          <w:p>
            <w:pPr>
              <w:pStyle w:val="yTableNAm"/>
              <w:rPr>
                <w:snapToGrid w:val="0"/>
              </w:rPr>
            </w:pPr>
            <w:r>
              <w:rPr>
                <w:szCs w:val="22"/>
              </w:rPr>
              <w:t>$82.90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for each subsequent certificate of title or lease </w:t>
            </w:r>
            <w:r>
              <w:tab/>
            </w:r>
          </w:p>
        </w:tc>
        <w:tc>
          <w:tcPr>
            <w:tcW w:w="1560" w:type="dxa"/>
          </w:tcPr>
          <w:p>
            <w:pPr>
              <w:pStyle w:val="yTableNAm"/>
              <w:rPr>
                <w:snapToGrid w:val="0"/>
              </w:rPr>
            </w:pPr>
            <w:r>
              <w:rPr>
                <w:snapToGrid w:val="0"/>
              </w:rPr>
              <w:br/>
              <w:t>$6.00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Of a memorandum within the meaning of section 54(1) of the Act — section 54(2) of the Act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8.</w:t>
            </w:r>
          </w:p>
        </w:tc>
        <w:tc>
          <w:tcPr>
            <w:tcW w:w="4920" w:type="dxa"/>
          </w:tcPr>
          <w:p>
            <w:pPr>
              <w:pStyle w:val="yTableNAm"/>
              <w:tabs>
                <w:tab w:val="clear" w:pos="567"/>
                <w:tab w:val="right" w:leader="dot" w:pos="4821"/>
              </w:tabs>
            </w:pPr>
            <w:r>
              <w:t>Of an instrument for a restrictive covenant created under section 129BA of the Act — section 129BA(2)(b) of the Act</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Of an instrument for an easement created under Part IVA of the Act — section 136C(4) of the Act </w:t>
            </w:r>
            <w:r>
              <w:tab/>
            </w:r>
          </w:p>
        </w:tc>
        <w:tc>
          <w:tcPr>
            <w:tcW w:w="1560" w:type="dxa"/>
          </w:tcPr>
          <w:p>
            <w:pPr>
              <w:pStyle w:val="yTableNAm"/>
              <w:rPr>
                <w:snapToGrid w:val="0"/>
              </w:rPr>
            </w:pPr>
            <w:r>
              <w:rPr>
                <w:snapToGrid w:val="0"/>
              </w:rPr>
              <w:br/>
            </w:r>
            <w:r>
              <w:rPr>
                <w:szCs w:val="22"/>
              </w:rPr>
              <w:t>$165.80</w:t>
            </w:r>
          </w:p>
        </w:tc>
      </w:tr>
      <w:tr>
        <w:trPr>
          <w:cantSplit/>
        </w:trPr>
        <w:tc>
          <w:tcPr>
            <w:tcW w:w="624"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Of an instrument for a restrictive covenant created under Part IVA of the Act — section 136D(3) of the Act </w:t>
            </w:r>
            <w:r>
              <w:tab/>
            </w:r>
          </w:p>
        </w:tc>
        <w:tc>
          <w:tcPr>
            <w:tcW w:w="1560" w:type="dxa"/>
          </w:tcPr>
          <w:p>
            <w:pPr>
              <w:pStyle w:val="yTableNAm"/>
              <w:rPr>
                <w:snapToGrid w:val="0"/>
              </w:rPr>
            </w:pPr>
            <w:r>
              <w:rPr>
                <w:snapToGrid w:val="0"/>
              </w:rPr>
              <w:br/>
            </w:r>
            <w:r>
              <w:rPr>
                <w:snapToGrid w:val="0"/>
              </w:rPr>
              <w:br/>
            </w:r>
            <w:r>
              <w:rPr>
                <w:szCs w:val="22"/>
              </w:rPr>
              <w:t>$165.80</w:t>
            </w:r>
          </w:p>
        </w:tc>
      </w:tr>
    </w:tbl>
    <w:p>
      <w:pPr>
        <w:pStyle w:val="yFootnotesection"/>
      </w:pPr>
      <w:r>
        <w:tab/>
        <w:t>[Division 2 inserted in Gazette 9 Jan 2009 p. 31; amended in Gazette 19 Jun 2009 p. 2237</w:t>
      </w:r>
      <w:r>
        <w:noBreakHyphen/>
        <w:t>8 and 2239; 18 Jun 2010 p. 2680; 14 Jun 2011 p. 2134; 22 Jun 2012 p. 2783; 26 Jul 2013 p. 3348; 19 Jun 2015 p. 2137</w:t>
      </w:r>
      <w:r>
        <w:noBreakHyphen/>
        <w:t>8; 24 Jun 2016 p. 2323.]</w:t>
      </w:r>
    </w:p>
    <w:p>
      <w:pPr>
        <w:pStyle w:val="yHeading3"/>
      </w:pPr>
      <w:bookmarkStart w:id="101" w:name="_Toc423514377"/>
      <w:bookmarkStart w:id="102" w:name="_Toc425253085"/>
      <w:bookmarkStart w:id="103" w:name="_Toc446331565"/>
      <w:bookmarkStart w:id="104" w:name="_Toc455129673"/>
      <w:bookmarkStart w:id="105" w:name="_Toc455129710"/>
      <w:bookmarkStart w:id="106" w:name="_Toc455129747"/>
      <w:r>
        <w:rPr>
          <w:rStyle w:val="CharSDivNo"/>
        </w:rPr>
        <w:t>Division 3</w:t>
      </w:r>
      <w:r>
        <w:t> — </w:t>
      </w:r>
      <w:r>
        <w:rPr>
          <w:rStyle w:val="CharSDivText"/>
        </w:rPr>
        <w:t>Withdrawals</w:t>
      </w:r>
      <w:bookmarkEnd w:id="101"/>
      <w:bookmarkEnd w:id="102"/>
      <w:bookmarkEnd w:id="103"/>
      <w:bookmarkEnd w:id="104"/>
      <w:bookmarkEnd w:id="105"/>
      <w:bookmarkEnd w:id="106"/>
    </w:p>
    <w:p>
      <w:pPr>
        <w:pStyle w:val="yFootnoteheading"/>
        <w:spacing w:after="120"/>
      </w:pPr>
      <w:r>
        <w:tab/>
        <w:t>[Heading inserted in Gazette 9 Jan 2009 p. 31.]</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the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2</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$165.80</w:t>
            </w:r>
          </w:p>
        </w:tc>
      </w:tr>
      <w:tr>
        <w:tc>
          <w:tcPr>
            <w:tcW w:w="624" w:type="dxa"/>
          </w:tcPr>
          <w:p>
            <w:pPr>
              <w:pStyle w:val="yTableNAm"/>
              <w:rPr>
                <w:snapToGrid w:val="0"/>
              </w:rPr>
            </w:pPr>
            <w:r>
              <w:rPr>
                <w:snapToGrid w:val="0"/>
              </w:rPr>
              <w:t>2A.</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$165.80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document from registration or recording </w:t>
            </w:r>
            <w:r>
              <w:tab/>
            </w:r>
          </w:p>
        </w:tc>
        <w:tc>
          <w:tcPr>
            <w:tcW w:w="1560" w:type="dxa"/>
          </w:tcPr>
          <w:p>
            <w:pPr>
              <w:pStyle w:val="yTableNAm"/>
              <w:rPr>
                <w:snapToGrid w:val="0"/>
              </w:rPr>
            </w:pPr>
            <w:r>
              <w:rPr>
                <w:szCs w:val="22"/>
              </w:rPr>
              <w:t>$82.90</w:t>
            </w:r>
          </w:p>
        </w:tc>
      </w:tr>
    </w:tbl>
    <w:p>
      <w:pPr>
        <w:pStyle w:val="yFootnotesection"/>
      </w:pPr>
      <w:r>
        <w:tab/>
        <w:t>[Division 3 inserted in Gazette 9 Jan 2009 p. 31-2; amended in Gazette 19 Jun 2009 p. 2239; 18 Jun 2010 p. 2680; 14 Jun 2011 p. 2134; 14 Nov 2013 p. 5079; 19 Jun 2015 p. 2138; 24 Jun 2016 p. 2323.]</w:t>
      </w:r>
    </w:p>
    <w:p>
      <w:pPr>
        <w:pStyle w:val="yHeading3"/>
      </w:pPr>
      <w:bookmarkStart w:id="107" w:name="_Toc423514378"/>
      <w:bookmarkStart w:id="108" w:name="_Toc425253086"/>
      <w:bookmarkStart w:id="109" w:name="_Toc446331566"/>
      <w:bookmarkStart w:id="110" w:name="_Toc455129674"/>
      <w:bookmarkStart w:id="111" w:name="_Toc455129711"/>
      <w:bookmarkStart w:id="112" w:name="_Toc455129748"/>
      <w:r>
        <w:rPr>
          <w:rStyle w:val="CharSDivNo"/>
        </w:rPr>
        <w:t>Division 4</w:t>
      </w:r>
      <w:r>
        <w:t> — </w:t>
      </w:r>
      <w:r>
        <w:rPr>
          <w:rStyle w:val="CharSDivText"/>
        </w:rPr>
        <w:t>Applications</w:t>
      </w:r>
      <w:bookmarkEnd w:id="107"/>
      <w:bookmarkEnd w:id="108"/>
      <w:bookmarkEnd w:id="109"/>
      <w:bookmarkEnd w:id="110"/>
      <w:bookmarkEnd w:id="111"/>
      <w:bookmarkEnd w:id="112"/>
    </w:p>
    <w:p>
      <w:pPr>
        <w:pStyle w:val="yFootnoteheading"/>
        <w:spacing w:after="120"/>
      </w:pPr>
      <w:r>
        <w:tab/>
        <w:t>[Heading inserted in Gazette 9 Jan 2009 p. 32.]</w:t>
      </w:r>
    </w:p>
    <w:tbl>
      <w:tblPr>
        <w:tblW w:w="0" w:type="auto"/>
        <w:tblInd w:w="108" w:type="dxa"/>
        <w:tblLayout w:type="fixed"/>
        <w:tblLook w:val="0000" w:firstRow="0" w:lastRow="0" w:firstColumn="0" w:lastColumn="0" w:noHBand="0" w:noVBand="0"/>
      </w:tblPr>
      <w:tblGrid>
        <w:gridCol w:w="624"/>
        <w:gridCol w:w="4920"/>
        <w:gridCol w:w="1560"/>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560"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560" w:type="dxa"/>
          </w:tcPr>
          <w:p>
            <w:pPr>
              <w:pStyle w:val="yTableNAm"/>
              <w:rPr>
                <w:snapToGrid w:val="0"/>
              </w:rPr>
            </w:pPr>
            <w:r>
              <w:rPr>
                <w:snapToGrid w:val="0"/>
              </w:rPr>
              <w:t>$6.00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560" w:type="dxa"/>
          </w:tcPr>
          <w:p>
            <w:pPr>
              <w:pStyle w:val="yTableNAm"/>
              <w:keepNext/>
              <w:rPr>
                <w:snapToGrid w:val="0"/>
              </w:rPr>
            </w:pPr>
            <w:r>
              <w:rPr>
                <w:snapToGrid w:val="0"/>
              </w:rPr>
              <w:br/>
            </w:r>
            <w:r>
              <w:rPr>
                <w:szCs w:val="22"/>
              </w:rPr>
              <w:t>$165.80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560" w:type="dxa"/>
          </w:tcPr>
          <w:p>
            <w:pPr>
              <w:pStyle w:val="yTableNAm"/>
              <w:rPr>
                <w:snapToGrid w:val="0"/>
              </w:rPr>
            </w:pPr>
            <w:r>
              <w:rPr>
                <w:snapToGrid w:val="0"/>
              </w:rPr>
              <w:br/>
            </w:r>
            <w:r>
              <w:rPr>
                <w:snapToGrid w:val="0"/>
              </w:rPr>
              <w:br/>
            </w:r>
            <w:r>
              <w:rPr>
                <w:snapToGrid w:val="0"/>
              </w:rPr>
              <w:br/>
              <w:t>$6.00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560" w:type="dxa"/>
          </w:tcPr>
          <w:p>
            <w:pPr>
              <w:pStyle w:val="yTableNAm"/>
              <w:rPr>
                <w:snapToGrid w:val="0"/>
              </w:rPr>
            </w:pPr>
            <w:r>
              <w:rPr>
                <w:szCs w:val="22"/>
              </w:rPr>
              <w:t>$165.80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560" w:type="dxa"/>
          </w:tcPr>
          <w:p>
            <w:pPr>
              <w:pStyle w:val="yTableNAm"/>
              <w:rPr>
                <w:snapToGrid w:val="0"/>
              </w:rPr>
            </w:pP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560" w:type="dxa"/>
            <w:vAlign w:val="bottom"/>
          </w:tcPr>
          <w:p>
            <w:pPr>
              <w:pStyle w:val="yTableNAm"/>
              <w:rPr>
                <w:snapToGrid w:val="0"/>
              </w:rPr>
            </w:pPr>
            <w:r>
              <w:rPr>
                <w:szCs w:val="22"/>
              </w:rPr>
              <w:t>$310.30</w:t>
            </w:r>
          </w:p>
        </w:tc>
      </w:tr>
      <w:tr>
        <w:trPr>
          <w:cantSplit/>
        </w:trPr>
        <w:tc>
          <w:tcPr>
            <w:tcW w:w="624" w:type="dxa"/>
          </w:tcPr>
          <w:p>
            <w:pPr>
              <w:pStyle w:val="yTableNAm"/>
              <w:rPr>
                <w:snapToGrid w:val="0"/>
              </w:rPr>
            </w:pPr>
            <w:r>
              <w:rPr>
                <w:snapToGrid w:val="0"/>
              </w:rPr>
              <w:t>6.</w:t>
            </w:r>
          </w:p>
        </w:tc>
        <w:tc>
          <w:tcPr>
            <w:tcW w:w="4920" w:type="dxa"/>
          </w:tcPr>
          <w:p>
            <w:pPr>
              <w:pStyle w:val="yTableNAm"/>
              <w:tabs>
                <w:tab w:val="clear" w:pos="567"/>
                <w:tab w:val="right" w:leader="dot" w:pos="4821"/>
              </w:tabs>
            </w:pPr>
            <w:r>
              <w:t xml:space="preserve">For each replacement edition of a duplicate certificate of title where a duplicate certificate of title was issued on the registration of the certificate of title </w:t>
            </w:r>
            <w:r>
              <w:tab/>
            </w:r>
          </w:p>
        </w:tc>
        <w:tc>
          <w:tcPr>
            <w:tcW w:w="1560" w:type="dxa"/>
          </w:tcPr>
          <w:p>
            <w:pPr>
              <w:pStyle w:val="yTableNAm"/>
              <w:rPr>
                <w:snapToGrid w:val="0"/>
              </w:rPr>
            </w:pPr>
            <w:r>
              <w:rPr>
                <w:snapToGrid w:val="0"/>
              </w:rPr>
              <w:br/>
            </w:r>
            <w:r>
              <w:rPr>
                <w:snapToGrid w:val="0"/>
              </w:rPr>
              <w:br/>
            </w:r>
            <w:r>
              <w:rPr>
                <w:snapToGrid w:val="0"/>
              </w:rPr>
              <w:br/>
            </w:r>
            <w:r>
              <w:rPr>
                <w:szCs w:val="22"/>
              </w:rPr>
              <w:t>$165.80</w:t>
            </w:r>
          </w:p>
        </w:tc>
      </w:tr>
      <w:tr>
        <w:trPr>
          <w:cantSplit/>
        </w:trPr>
        <w:tc>
          <w:tcPr>
            <w:tcW w:w="5544" w:type="dxa"/>
            <w:gridSpan w:val="2"/>
          </w:tcPr>
          <w:p>
            <w:pPr>
              <w:pStyle w:val="yTableNAm"/>
              <w:tabs>
                <w:tab w:val="clear" w:pos="567"/>
                <w:tab w:val="left" w:pos="601"/>
                <w:tab w:val="right" w:leader="dot" w:pos="4821"/>
              </w:tabs>
              <w:rPr>
                <w:i/>
              </w:rPr>
            </w:pPr>
            <w:r>
              <w:rPr>
                <w:i/>
              </w:rPr>
              <w:t>[7A</w:t>
            </w:r>
            <w:r>
              <w:rPr>
                <w:i/>
              </w:rPr>
              <w:tab/>
              <w:t>deleted]</w:t>
            </w:r>
          </w:p>
        </w:tc>
        <w:tc>
          <w:tcPr>
            <w:tcW w:w="1560" w:type="dxa"/>
          </w:tcPr>
          <w:p>
            <w:pPr>
              <w:pStyle w:val="yTableNAm"/>
              <w:rPr>
                <w:snapToGrid w:val="0"/>
              </w:rPr>
            </w:pP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560" w:type="dxa"/>
          </w:tcPr>
          <w:p>
            <w:pPr>
              <w:pStyle w:val="yTableNAm"/>
              <w:rPr>
                <w:snapToGrid w:val="0"/>
              </w:rPr>
            </w:pPr>
            <w:r>
              <w:rPr>
                <w:snapToGrid w:val="0"/>
              </w:rPr>
              <w:br/>
            </w:r>
            <w:r>
              <w:rPr>
                <w:szCs w:val="22"/>
              </w:rPr>
              <w:t>$165.80</w:t>
            </w:r>
          </w:p>
        </w:tc>
      </w:tr>
    </w:tbl>
    <w:p>
      <w:pPr>
        <w:pStyle w:val="yFootnotesection"/>
      </w:pPr>
      <w:r>
        <w:tab/>
        <w:t>[Division 4 inserted in Gazette 9 Jan 2009 p. 32; amended in Gazette 22 May 2009 p. 1705; 19 Jun 2009 p. 2239; 18 Jun 2010 p. 2680-1; 14 Jun 2011 p. 2134</w:t>
      </w:r>
      <w:r>
        <w:noBreakHyphen/>
        <w:t>5; 19 Jun 2015 p. 2138; 24 Jun 2016 p. 2322 and 2323.]</w:t>
      </w:r>
    </w:p>
    <w:p>
      <w:pPr>
        <w:pStyle w:val="yHeading3"/>
      </w:pPr>
      <w:bookmarkStart w:id="113" w:name="_Toc423514379"/>
      <w:bookmarkStart w:id="114" w:name="_Toc425253087"/>
      <w:bookmarkStart w:id="115" w:name="_Toc446331567"/>
      <w:bookmarkStart w:id="116" w:name="_Toc455129675"/>
      <w:bookmarkStart w:id="117" w:name="_Toc455129712"/>
      <w:bookmarkStart w:id="118" w:name="_Toc455129749"/>
      <w:r>
        <w:rPr>
          <w:rStyle w:val="CharSDivNo"/>
        </w:rPr>
        <w:t>Division 5</w:t>
      </w:r>
      <w:r>
        <w:t> — </w:t>
      </w:r>
      <w:r>
        <w:rPr>
          <w:rStyle w:val="CharSDivText"/>
        </w:rPr>
        <w:t>Certificates</w:t>
      </w:r>
      <w:bookmarkEnd w:id="113"/>
      <w:bookmarkEnd w:id="114"/>
      <w:bookmarkEnd w:id="115"/>
      <w:bookmarkEnd w:id="116"/>
      <w:bookmarkEnd w:id="117"/>
      <w:bookmarkEnd w:id="118"/>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60" w:type="dxa"/>
          </w:tcPr>
          <w:p>
            <w:pPr>
              <w:pStyle w:val="yTableNAm"/>
              <w:rPr>
                <w:snapToGrid w:val="0"/>
              </w:rPr>
            </w:pPr>
            <w:r>
              <w:rPr>
                <w:snapToGrid w:val="0"/>
              </w:rPr>
              <w:br/>
            </w:r>
            <w:r>
              <w:rPr>
                <w:snapToGrid w:val="0"/>
              </w:rPr>
              <w:br/>
            </w:r>
            <w:r>
              <w:rPr>
                <w:snapToGrid w:val="0"/>
              </w:rPr>
              <w:br/>
            </w:r>
            <w:r>
              <w:rPr>
                <w:szCs w:val="22"/>
              </w:rPr>
              <w:t>$165.80</w:t>
            </w:r>
          </w:p>
        </w:tc>
      </w:tr>
      <w:tr>
        <w:trPr>
          <w:cantSplit/>
        </w:trP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60" w:type="dxa"/>
          </w:tcPr>
          <w:p>
            <w:pPr>
              <w:pStyle w:val="yTableNAm"/>
              <w:rPr>
                <w:snapToGrid w:val="0"/>
              </w:rPr>
            </w:pPr>
            <w:r>
              <w:rPr>
                <w:snapToGrid w:val="0"/>
              </w:rPr>
              <w:br/>
              <w:t>$60.00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60" w:type="dxa"/>
          </w:tcPr>
          <w:p>
            <w:pPr>
              <w:pStyle w:val="yTableNAm"/>
              <w:rPr>
                <w:snapToGrid w:val="0"/>
              </w:rPr>
            </w:pPr>
            <w:r>
              <w:rPr>
                <w:snapToGrid w:val="0"/>
              </w:rPr>
              <w:br/>
            </w:r>
            <w:r>
              <w:rPr>
                <w:snapToGrid w:val="0"/>
              </w:rPr>
              <w:br/>
              <w:t>$60.00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60" w:type="dxa"/>
          </w:tcPr>
          <w:p>
            <w:pPr>
              <w:pStyle w:val="yTableNAm"/>
              <w:rPr>
                <w:snapToGrid w:val="0"/>
              </w:rPr>
            </w:pPr>
            <w:r>
              <w:br/>
              <w:t>fee as assessed by the Registrar, not exceeding actual cost</w:t>
            </w:r>
          </w:p>
        </w:tc>
      </w:tr>
    </w:tbl>
    <w:p>
      <w:pPr>
        <w:pStyle w:val="yFootnotesection"/>
      </w:pPr>
      <w:r>
        <w:tab/>
        <w:t>[Division 5 inserted in Gazette 9 Jan 2009 p. 32; amended in Gazette 19 Jun 2009 p. 2239; 18 Jun 2010 p. 2681; 14 Jun 2011 p. 2135; 19 Jun 2015 p. 2138; 24 Jun 2016 p. 2323.]</w:t>
      </w:r>
    </w:p>
    <w:p>
      <w:pPr>
        <w:pStyle w:val="yHeading3"/>
      </w:pPr>
      <w:bookmarkStart w:id="119" w:name="_Toc423514380"/>
      <w:bookmarkStart w:id="120" w:name="_Toc425253088"/>
      <w:bookmarkStart w:id="121" w:name="_Toc446331568"/>
      <w:bookmarkStart w:id="122" w:name="_Toc455129676"/>
      <w:bookmarkStart w:id="123" w:name="_Toc455129713"/>
      <w:bookmarkStart w:id="124" w:name="_Toc455129750"/>
      <w:r>
        <w:rPr>
          <w:rStyle w:val="CharSDivNo"/>
        </w:rPr>
        <w:t>Division 6</w:t>
      </w:r>
      <w:r>
        <w:t> — </w:t>
      </w:r>
      <w:r>
        <w:rPr>
          <w:rStyle w:val="CharSDivText"/>
        </w:rPr>
        <w:t>Inspection and/or copies of documents</w:t>
      </w:r>
      <w:bookmarkEnd w:id="119"/>
      <w:bookmarkEnd w:id="120"/>
      <w:bookmarkEnd w:id="121"/>
      <w:bookmarkEnd w:id="122"/>
      <w:bookmarkEnd w:id="123"/>
      <w:bookmarkEnd w:id="124"/>
    </w:p>
    <w:p>
      <w:pPr>
        <w:pStyle w:val="yFootnoteheading"/>
        <w:spacing w:after="120"/>
      </w:pPr>
      <w:r>
        <w:tab/>
        <w:t>[Heading inserted in Gazette 9 Jan 2009 p. 32.]</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$24.85</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$24.85</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5.</w:t>
            </w:r>
          </w:p>
        </w:tc>
        <w:tc>
          <w:tcPr>
            <w:tcW w:w="4911" w:type="dxa"/>
          </w:tcPr>
          <w:p>
            <w:pPr>
              <w:pStyle w:val="yTableNAm"/>
            </w:pPr>
            <w:r>
              <w:t>Inspection of a certificate of title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rPr>
                <w:szCs w:val="22"/>
              </w:rPr>
              <w:t>$12.40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search </w:t>
            </w:r>
            <w:r>
              <w:tab/>
            </w:r>
          </w:p>
        </w:tc>
        <w:tc>
          <w:tcPr>
            <w:tcW w:w="1548" w:type="dxa"/>
            <w:vAlign w:val="bottom"/>
          </w:tcPr>
          <w:p>
            <w:pPr>
              <w:pStyle w:val="yTableNAm"/>
              <w:rPr>
                <w:snapToGrid w:val="0"/>
              </w:rPr>
            </w:pPr>
            <w:r>
              <w:rPr>
                <w:szCs w:val="22"/>
              </w:rPr>
              <w:t>$12.40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$24.85</w:t>
            </w:r>
          </w:p>
        </w:tc>
      </w:tr>
      <w:tr>
        <w:trPr>
          <w:cantSplit/>
        </w:trPr>
        <w:tc>
          <w:tcPr>
            <w:tcW w:w="621" w:type="dxa"/>
          </w:tcPr>
          <w:p>
            <w:pPr>
              <w:pStyle w:val="yTableNAm"/>
              <w:keepNext/>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book </w:t>
            </w:r>
            <w:r>
              <w:tab/>
            </w:r>
          </w:p>
        </w:tc>
        <w:tc>
          <w:tcPr>
            <w:tcW w:w="1548" w:type="dxa"/>
          </w:tcPr>
          <w:p>
            <w:pPr>
              <w:pStyle w:val="yTableNAm"/>
              <w:keepNext/>
              <w:rPr>
                <w:snapToGrid w:val="0"/>
              </w:rPr>
            </w:pPr>
            <w:r>
              <w:rPr>
                <w:szCs w:val="22"/>
              </w:rPr>
              <w:t>$24.85</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book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Copy of a plan, diagram, deposited plan, survey index plan or licensed surveyor’s field book obtained by use of departmental self</w:t>
            </w:r>
            <w:r>
              <w:noBreakHyphen/>
              <w:t xml:space="preserve">service equipment </w:t>
            </w:r>
            <w:r>
              <w:tab/>
            </w:r>
          </w:p>
        </w:tc>
        <w:tc>
          <w:tcPr>
            <w:tcW w:w="1548" w:type="dxa"/>
          </w:tcPr>
          <w:p>
            <w:pPr>
              <w:pStyle w:val="yTableNAm"/>
              <w:rPr>
                <w:snapToGrid w:val="0"/>
              </w:rPr>
            </w:pP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$12.40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$24.85</w:t>
            </w:r>
            <w:r>
              <w:t xml:space="preserve">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$24.85</w:t>
            </w:r>
            <w:r>
              <w:t xml:space="preserve">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Inspection of a survey index plan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$24.85</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$12.40</w:t>
            </w:r>
          </w:p>
        </w:tc>
      </w:tr>
      <w:tr>
        <w:trPr>
          <w:cantSplit/>
        </w:trPr>
        <w:tc>
          <w:tcPr>
            <w:tcW w:w="621" w:type="dxa"/>
          </w:tcPr>
          <w:p>
            <w:pPr>
              <w:pStyle w:val="yTableNAm"/>
              <w:rPr>
                <w:snapToGrid w:val="0"/>
              </w:rPr>
            </w:pPr>
            <w:r>
              <w:rPr>
                <w:snapToGrid w:val="0"/>
              </w:rPr>
              <w:t>18.</w:t>
            </w:r>
          </w:p>
        </w:tc>
        <w:tc>
          <w:tcPr>
            <w:tcW w:w="4911" w:type="dxa"/>
          </w:tcPr>
          <w:p>
            <w:pPr>
              <w:pStyle w:val="yTableNAm"/>
              <w:rPr>
                <w:snapToGrid w:val="0"/>
              </w:rPr>
            </w:pPr>
            <w:r>
              <w:rPr>
                <w:snapToGrid w:val="0"/>
              </w:rPr>
              <w:t xml:space="preserve">In response to a request via a privately owned data </w:t>
            </w:r>
            <w:r>
              <w:t>terminal</w:t>
            </w:r>
            <w:r>
              <w:rPr>
                <w:snapToGrid w:val="0"/>
              </w:rPr>
              <w:t xml:space="preserve"> for the results of any of the following searches to be sent to that data terminal —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r>
            <w:r>
              <w:t xml:space="preserve">check search </w:t>
            </w:r>
            <w:r>
              <w:tab/>
            </w:r>
          </w:p>
        </w:tc>
        <w:tc>
          <w:tcPr>
            <w:tcW w:w="1548" w:type="dxa"/>
          </w:tcPr>
          <w:p>
            <w:pPr>
              <w:pStyle w:val="yTableNAm"/>
              <w:rPr>
                <w:snapToGrid w:val="0"/>
              </w:rPr>
            </w:pPr>
            <w:r>
              <w:rPr>
                <w:szCs w:val="22"/>
              </w:rPr>
              <w:t>$12.40</w:t>
            </w:r>
          </w:p>
        </w:tc>
      </w:tr>
      <w:tr>
        <w:trPr>
          <w:cantSplit/>
        </w:trPr>
        <w:tc>
          <w:tcPr>
            <w:tcW w:w="621" w:type="dxa"/>
          </w:tcPr>
          <w:p>
            <w:pPr>
              <w:pStyle w:val="yTableNAm"/>
              <w:rPr>
                <w:snapToGrid w:val="0"/>
              </w:rPr>
            </w:pPr>
          </w:p>
        </w:tc>
        <w:tc>
          <w:tcPr>
            <w:tcW w:w="4911"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r>
            <w:r>
              <w:t>search</w:t>
            </w:r>
            <w:r>
              <w:rPr>
                <w:snapToGrid w:val="0"/>
              </w:rPr>
              <w:t xml:space="preserve"> of the power of attorney file for the number of a power </w:t>
            </w:r>
            <w:r>
              <w:t>of</w:t>
            </w:r>
            <w:r>
              <w:rPr>
                <w:snapToGrid w:val="0"/>
              </w:rPr>
              <w:t xml:space="preserve"> attorney document if the number is given with confirmation of the document’s existence </w:t>
            </w:r>
            <w:r>
              <w:tab/>
            </w:r>
          </w:p>
        </w:tc>
        <w:tc>
          <w:tcPr>
            <w:tcW w:w="1548" w:type="dxa"/>
          </w:tcPr>
          <w:p>
            <w:pPr>
              <w:pStyle w:val="yTableNAm"/>
              <w:rPr>
                <w:snapToGrid w:val="0"/>
              </w:rPr>
            </w:pPr>
            <w:r>
              <w:rPr>
                <w:snapToGrid w:val="0"/>
              </w:rPr>
              <w:br/>
            </w:r>
            <w:r>
              <w:rPr>
                <w:snapToGrid w:val="0"/>
              </w:rPr>
              <w:br/>
            </w:r>
            <w:r>
              <w:rPr>
                <w:snapToGrid w:val="0"/>
              </w:rPr>
              <w:br/>
              <w:t>$1.00</w:t>
            </w:r>
          </w:p>
        </w:tc>
      </w:tr>
      <w:tr>
        <w:trPr>
          <w:cantSplit/>
        </w:trPr>
        <w:tc>
          <w:tcPr>
            <w:tcW w:w="5532" w:type="dxa"/>
            <w:gridSpan w:val="2"/>
          </w:tcPr>
          <w:p>
            <w:pPr>
              <w:pStyle w:val="yTableNAm"/>
              <w:ind w:left="567" w:hanging="567"/>
              <w:rPr>
                <w:snapToGrid w:val="0"/>
              </w:rPr>
            </w:pPr>
            <w:r>
              <w:rPr>
                <w:snapToGrid w:val="0"/>
                <w:sz w:val="18"/>
              </w:rPr>
              <w:t>Note:</w:t>
            </w:r>
            <w:r>
              <w:rPr>
                <w:snapToGrid w:val="0"/>
                <w:sz w:val="18"/>
              </w:rPr>
              <w:tab/>
              <w:t>The fees specified in item 18 include the taking a hard copy of screen print.</w:t>
            </w:r>
          </w:p>
        </w:tc>
        <w:tc>
          <w:tcPr>
            <w:tcW w:w="1548" w:type="dxa"/>
          </w:tcPr>
          <w:p>
            <w:pPr>
              <w:pStyle w:val="yTableNAm"/>
              <w:rPr>
                <w:snapToGrid w:val="0"/>
              </w:rPr>
            </w:pPr>
          </w:p>
        </w:tc>
      </w:tr>
      <w:tr>
        <w:trPr>
          <w:cantSplit/>
        </w:trPr>
        <w:tc>
          <w:tcPr>
            <w:tcW w:w="5532" w:type="dxa"/>
            <w:gridSpan w:val="2"/>
          </w:tcPr>
          <w:p>
            <w:pPr>
              <w:pStyle w:val="yTableNAm"/>
              <w:rPr>
                <w:i/>
                <w:snapToGrid w:val="0"/>
              </w:rPr>
            </w:pPr>
            <w:r>
              <w:rPr>
                <w:i/>
                <w:snapToGrid w:val="0"/>
              </w:rPr>
              <w:t>[19, 20.  deleted]</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21.</w:t>
            </w:r>
          </w:p>
        </w:tc>
        <w:tc>
          <w:tcPr>
            <w:tcW w:w="4911" w:type="dxa"/>
          </w:tcPr>
          <w:p>
            <w:pPr>
              <w:pStyle w:val="yTableNAm"/>
              <w:tabs>
                <w:tab w:val="clear" w:pos="567"/>
                <w:tab w:val="right" w:leader="dot" w:pos="4704"/>
              </w:tabs>
            </w:pPr>
            <w:r>
              <w:t xml:space="preserve">Search of the power of attorney file for the number of a power of attorney document (unless item 18(b) applies) </w:t>
            </w:r>
            <w:r>
              <w:tab/>
            </w:r>
          </w:p>
        </w:tc>
        <w:tc>
          <w:tcPr>
            <w:tcW w:w="1548" w:type="dxa"/>
          </w:tcPr>
          <w:p>
            <w:pPr>
              <w:pStyle w:val="yTableNAm"/>
              <w:rPr>
                <w:snapToGrid w:val="0"/>
              </w:rPr>
            </w:pPr>
            <w:r>
              <w:rPr>
                <w:snapToGrid w:val="0"/>
              </w:rPr>
              <w:br/>
            </w:r>
            <w:r>
              <w:rPr>
                <w:snapToGrid w:val="0"/>
              </w:rPr>
              <w:br/>
            </w:r>
            <w:r>
              <w:rPr>
                <w:szCs w:val="22"/>
              </w:rPr>
              <w:t>$12.40</w:t>
            </w:r>
          </w:p>
        </w:tc>
      </w:tr>
      <w:tr>
        <w:trPr>
          <w:cantSplit/>
        </w:trPr>
        <w:tc>
          <w:tcPr>
            <w:tcW w:w="621" w:type="dxa"/>
          </w:tcPr>
          <w:p>
            <w:pPr>
              <w:pStyle w:val="yTableNAm"/>
              <w:rPr>
                <w:snapToGrid w:val="0"/>
              </w:rPr>
            </w:pPr>
            <w:r>
              <w:rPr>
                <w:snapToGrid w:val="0"/>
              </w:rPr>
              <w:t>22.</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$24.85</w:t>
            </w:r>
          </w:p>
        </w:tc>
      </w:tr>
      <w:tr>
        <w:trPr>
          <w:cantSplit/>
        </w:trPr>
        <w:tc>
          <w:tcPr>
            <w:tcW w:w="621" w:type="dxa"/>
          </w:tcPr>
          <w:p>
            <w:pPr>
              <w:pStyle w:val="yTableNAm"/>
              <w:rPr>
                <w:snapToGrid w:val="0"/>
              </w:rPr>
            </w:pPr>
            <w:r>
              <w:rPr>
                <w:snapToGrid w:val="0"/>
              </w:rPr>
              <w:t>23.</w:t>
            </w:r>
          </w:p>
        </w:tc>
        <w:tc>
          <w:tcPr>
            <w:tcW w:w="4911" w:type="dxa"/>
          </w:tcPr>
          <w:p>
            <w:pPr>
              <w:pStyle w:val="yTableNAm"/>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rPr>
                <w:snapToGrid w:val="0"/>
              </w:rPr>
            </w:pPr>
            <w:r>
              <w:rPr>
                <w:snapToGrid w:val="0"/>
              </w:rPr>
              <w:br/>
            </w:r>
            <w:r>
              <w:rPr>
                <w:szCs w:val="22"/>
              </w:rPr>
              <w:t>$24.85</w:t>
            </w:r>
          </w:p>
        </w:tc>
      </w:tr>
    </w:tbl>
    <w:p>
      <w:pPr>
        <w:pStyle w:val="yFootnotesection"/>
      </w:pPr>
      <w:r>
        <w:tab/>
        <w:t>[Division 6 inserted in Gazette 9 Jan 2009 p. 32-4; amended in Gazette 19 Jun 2009 p. 2238 and 2239</w:t>
      </w:r>
      <w:r>
        <w:noBreakHyphen/>
        <w:t>40; 18 Jun 2010 p. 2681-2; 14 Jun 2011 p. 2135; 22 Jun 2012 p. 2782; 19 Jun 2015 p. 2138</w:t>
      </w:r>
      <w:r>
        <w:noBreakHyphen/>
        <w:t>9; 24 Jun 2016 p. 2323-4.]</w:t>
      </w:r>
    </w:p>
    <w:p>
      <w:pPr>
        <w:pStyle w:val="yHeading3"/>
        <w:keepLines/>
      </w:pPr>
      <w:bookmarkStart w:id="125" w:name="_Toc423514381"/>
      <w:bookmarkStart w:id="126" w:name="_Toc425253089"/>
      <w:bookmarkStart w:id="127" w:name="_Toc446331569"/>
      <w:bookmarkStart w:id="128" w:name="_Toc455129677"/>
      <w:bookmarkStart w:id="129" w:name="_Toc455129714"/>
      <w:bookmarkStart w:id="130" w:name="_Toc455129751"/>
      <w:r>
        <w:rPr>
          <w:rStyle w:val="CharSDivNo"/>
        </w:rPr>
        <w:t>Division 7</w:t>
      </w:r>
      <w:r>
        <w:t> — </w:t>
      </w:r>
      <w:r>
        <w:rPr>
          <w:rStyle w:val="CharSDivText"/>
        </w:rPr>
        <w:t>Miscellaneous</w:t>
      </w:r>
      <w:bookmarkEnd w:id="125"/>
      <w:bookmarkEnd w:id="126"/>
      <w:bookmarkEnd w:id="127"/>
      <w:bookmarkEnd w:id="128"/>
      <w:bookmarkEnd w:id="129"/>
      <w:bookmarkEnd w:id="130"/>
    </w:p>
    <w:p>
      <w:pPr>
        <w:pStyle w:val="yFootnoteheading"/>
        <w:keepNext/>
        <w:keepLines/>
        <w:spacing w:after="120"/>
      </w:pPr>
      <w:r>
        <w:tab/>
        <w:t>[Heading inserted in Gazette 9 Jan 2009 p. 34.]</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$165.80</w:t>
            </w:r>
            <w:r>
              <w:t xml:space="preserve"> plus actual cost above </w:t>
            </w:r>
            <w:r>
              <w:rPr>
                <w:szCs w:val="22"/>
              </w:rPr>
              <w:t>$165.80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 duplicate certificate of title or other instrument </w:t>
            </w:r>
            <w:r>
              <w:tab/>
            </w:r>
          </w:p>
        </w:tc>
        <w:tc>
          <w:tcPr>
            <w:tcW w:w="1560" w:type="dxa"/>
          </w:tcPr>
          <w:p>
            <w:pPr>
              <w:pStyle w:val="yTableNAm"/>
            </w:pPr>
            <w:r>
              <w:br/>
            </w:r>
            <w:r>
              <w:rPr>
                <w:szCs w:val="22"/>
              </w:rPr>
              <w:t>$144.50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$144.50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rPr>
                <w:szCs w:val="22"/>
              </w:rPr>
              <w:t>$144.50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$108.00</w:t>
            </w:r>
          </w:p>
        </w:tc>
      </w:tr>
      <w:tr>
        <w:trPr>
          <w:cantSplit/>
        </w:trPr>
        <w:tc>
          <w:tcPr>
            <w:tcW w:w="600" w:type="dxa"/>
          </w:tcPr>
          <w:p>
            <w:pPr>
              <w:pStyle w:val="yTableNAm"/>
              <w:keepNext/>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t>$82.90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$144.50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tab/>
            </w:r>
          </w:p>
        </w:tc>
        <w:tc>
          <w:tcPr>
            <w:tcW w:w="1560" w:type="dxa"/>
          </w:tcPr>
          <w:p>
            <w:pPr>
              <w:pStyle w:val="yTableNAm"/>
              <w:rPr>
                <w:snapToGrid w:val="0"/>
              </w:rPr>
            </w:pPr>
            <w:r>
              <w:rPr>
                <w:szCs w:val="22"/>
              </w:rPr>
              <w:t>$207.00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an historic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5520" w:type="dxa"/>
            <w:gridSpan w:val="2"/>
          </w:tcPr>
          <w:p>
            <w:pPr>
              <w:pStyle w:val="yTableNAm"/>
              <w:rPr>
                <w:i/>
              </w:rPr>
            </w:pPr>
            <w:r>
              <w:rPr>
                <w:i/>
              </w:rPr>
              <w:t>[</w:t>
            </w:r>
            <w:r>
              <w:rPr>
                <w:bCs/>
                <w:i/>
              </w:rPr>
              <w:t>12.</w:t>
            </w:r>
            <w:r>
              <w:rPr>
                <w:i/>
              </w:rPr>
              <w:tab/>
              <w:t>deleted]</w:t>
            </w:r>
          </w:p>
        </w:tc>
        <w:tc>
          <w:tcPr>
            <w:tcW w:w="1560" w:type="dxa"/>
          </w:tcPr>
          <w:p>
            <w:pPr>
              <w:pStyle w:val="yTableNAm"/>
              <w:rPr>
                <w:snapToGrid w:val="0"/>
              </w:rPr>
            </w:pPr>
          </w:p>
        </w:tc>
      </w:tr>
      <w:tr>
        <w:trPr>
          <w:cantSplit/>
        </w:trPr>
        <w:tc>
          <w:tcPr>
            <w:tcW w:w="5520" w:type="dxa"/>
            <w:gridSpan w:val="2"/>
          </w:tcPr>
          <w:p>
            <w:pPr>
              <w:pStyle w:val="yTableNAm"/>
            </w:pPr>
            <w:r>
              <w:rPr>
                <w:i/>
              </w:rPr>
              <w:t>[</w:t>
            </w:r>
            <w:r>
              <w:rPr>
                <w:bCs/>
                <w:i/>
              </w:rPr>
              <w:t>13.</w:t>
            </w:r>
            <w:r>
              <w:rPr>
                <w:i/>
              </w:rPr>
              <w:tab/>
              <w:t>deleted]</w:t>
            </w:r>
          </w:p>
        </w:tc>
        <w:tc>
          <w:tcPr>
            <w:tcW w:w="1560" w:type="dxa"/>
          </w:tcPr>
          <w:p>
            <w:pPr>
              <w:pStyle w:val="yTableNAm"/>
            </w:pPr>
          </w:p>
        </w:tc>
      </w:tr>
      <w:tr>
        <w:trPr>
          <w:cantSplit/>
        </w:trPr>
        <w:tc>
          <w:tcPr>
            <w:tcW w:w="600" w:type="dxa"/>
          </w:tcPr>
          <w:p>
            <w:pPr>
              <w:pStyle w:val="yTableNAm"/>
              <w:rPr>
                <w:snapToGrid w:val="0"/>
              </w:rPr>
            </w:pPr>
            <w:r>
              <w:rPr>
                <w:snapToGrid w:val="0"/>
              </w:rPr>
              <w:t>14.</w:t>
            </w:r>
          </w:p>
        </w:tc>
        <w:tc>
          <w:tcPr>
            <w:tcW w:w="4920" w:type="dxa"/>
          </w:tcPr>
          <w:p>
            <w:pPr>
              <w:pStyle w:val="yTableNAm"/>
              <w:tabs>
                <w:tab w:val="clear" w:pos="567"/>
                <w:tab w:val="right" w:leader="dot" w:pos="4821"/>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t>$6.00</w:t>
            </w:r>
          </w:p>
        </w:tc>
      </w:tr>
      <w:tr>
        <w:trPr>
          <w:cantSplit/>
        </w:trPr>
        <w:tc>
          <w:tcPr>
            <w:tcW w:w="5520" w:type="dxa"/>
            <w:gridSpan w:val="2"/>
          </w:tcPr>
          <w:p>
            <w:pPr>
              <w:pStyle w:val="yTableNAm"/>
            </w:pPr>
            <w:r>
              <w:rPr>
                <w:i/>
              </w:rPr>
              <w:t>[</w:t>
            </w:r>
            <w:r>
              <w:rPr>
                <w:bCs/>
                <w:i/>
              </w:rPr>
              <w:t>15.</w:t>
            </w:r>
            <w:r>
              <w:rPr>
                <w:bCs/>
                <w:i/>
              </w:rPr>
              <w:tab/>
            </w:r>
            <w:r>
              <w:rPr>
                <w:i/>
              </w:rPr>
              <w:t>deleted]</w:t>
            </w:r>
          </w:p>
        </w:tc>
        <w:tc>
          <w:tcPr>
            <w:tcW w:w="1560" w:type="dxa"/>
          </w:tcPr>
          <w:p>
            <w:pPr>
              <w:pStyle w:val="yTableNAm"/>
            </w:pPr>
          </w:p>
        </w:tc>
      </w:tr>
    </w:tbl>
    <w:p>
      <w:pPr>
        <w:pStyle w:val="yFootnotesection"/>
      </w:pPr>
      <w:r>
        <w:tab/>
        <w:t>[Division 7 inserted in Gazette 9 Jan 2009 p. 34-6; amended in Gazette 19 Jun 2009 p. 2238 and 2240</w:t>
      </w:r>
      <w:r>
        <w:noBreakHyphen/>
        <w:t>1; 18 Jun 2010 p. 2682; 14 Jun 2011 p. 2136; 22 Jun 2012 p. 2782-3; 26 Jul 2013 p. 3348; 19 Jun 2015 p. 2139; 22 Mar 2016 p. 836; 24 Jun 2016 p. 2322 and 2324.]</w:t>
      </w:r>
    </w:p>
    <w:p>
      <w:pPr>
        <w:pStyle w:val="yScheduleHeading"/>
      </w:pPr>
      <w:bookmarkStart w:id="131" w:name="_Toc423514382"/>
      <w:bookmarkStart w:id="132" w:name="_Toc425253090"/>
      <w:bookmarkStart w:id="133" w:name="_Toc446331570"/>
      <w:bookmarkStart w:id="134" w:name="_Toc455129678"/>
      <w:bookmarkStart w:id="135" w:name="_Toc455129715"/>
      <w:bookmarkStart w:id="136" w:name="_Toc455129752"/>
      <w:r>
        <w:rPr>
          <w:rStyle w:val="CharSchNo"/>
        </w:rPr>
        <w:t>Schedule 2</w:t>
      </w:r>
      <w:r>
        <w:rPr>
          <w:rStyle w:val="CharSDivNo"/>
        </w:rPr>
        <w:t> </w:t>
      </w:r>
      <w:r>
        <w:t>—</w:t>
      </w:r>
      <w:r>
        <w:rPr>
          <w:rStyle w:val="CharSDivText"/>
        </w:rPr>
        <w:t> </w:t>
      </w:r>
      <w:r>
        <w:rPr>
          <w:rStyle w:val="CharSchText"/>
        </w:rPr>
        <w:t>Services and matters for which fees cannot be charged</w:t>
      </w:r>
      <w:bookmarkEnd w:id="131"/>
      <w:bookmarkEnd w:id="132"/>
      <w:bookmarkEnd w:id="133"/>
      <w:bookmarkEnd w:id="134"/>
      <w:bookmarkEnd w:id="135"/>
      <w:bookmarkEnd w:id="136"/>
    </w:p>
    <w:p>
      <w:pPr>
        <w:pStyle w:val="yShoulderClause"/>
        <w:rPr>
          <w:snapToGrid w:val="0"/>
        </w:rPr>
      </w:pPr>
      <w:r>
        <w:t>[r. 9A(8)]</w:t>
      </w:r>
    </w:p>
    <w:p>
      <w:pPr>
        <w:pStyle w:val="yFootnotesection"/>
      </w:pPr>
      <w:r>
        <w:tab/>
        <w:t>[Heading amended in Gazette 27 May 2005 p. 2295; 22 May 2009 p. 1705.]</w:t>
      </w:r>
    </w:p>
    <w:p>
      <w:pPr>
        <w:pStyle w:val="ySubsection"/>
        <w:rPr>
          <w:snapToGrid w:val="0"/>
        </w:rPr>
      </w:pPr>
      <w:r>
        <w:rPr>
          <w:snapToGrid w:val="0"/>
        </w:rPr>
        <w:tab/>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Subsection"/>
      </w:pPr>
      <w:r>
        <w:tab/>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Subsection"/>
        <w:rPr>
          <w:snapToGrid w:val="0"/>
        </w:rPr>
      </w:pPr>
      <w:r>
        <w:rPr>
          <w:snapToGrid w:val="0"/>
        </w:rPr>
        <w:tab/>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Subsection"/>
        <w:rPr>
          <w:snapToGrid w:val="0"/>
        </w:rPr>
      </w:pPr>
      <w:r>
        <w:rPr>
          <w:snapToGrid w:val="0"/>
        </w:rPr>
        <w:tab/>
        <w:t>3.</w:t>
      </w:r>
      <w:r>
        <w:rPr>
          <w:snapToGrid w:val="0"/>
        </w:rPr>
        <w:tab/>
        <w:t>In respect of the lodging by a person of or the use by a third party of a duplicate certificate of title or lease for a purpose referred to in item 1 or 2.</w:t>
      </w:r>
    </w:p>
    <w:p>
      <w:pPr>
        <w:pStyle w:val="ySubsection"/>
        <w:rPr>
          <w:snapToGrid w:val="0"/>
        </w:rPr>
      </w:pPr>
      <w:r>
        <w:rPr>
          <w:snapToGrid w:val="0"/>
        </w:rPr>
        <w:tab/>
        <w:t>4.</w:t>
      </w:r>
      <w:r>
        <w:rPr>
          <w:snapToGrid w:val="0"/>
        </w:rPr>
        <w:tab/>
        <w:t>To amend the address of the registered proprietor on the certificate of title.</w:t>
      </w:r>
    </w:p>
    <w:p>
      <w:pPr>
        <w:pStyle w:val="ySubsection"/>
        <w:rPr>
          <w:snapToGrid w:val="0"/>
        </w:rPr>
      </w:pPr>
      <w:r>
        <w:rPr>
          <w:snapToGrid w:val="0"/>
        </w:rPr>
        <w:tab/>
        <w:t>5.</w:t>
      </w:r>
      <w:r>
        <w:rPr>
          <w:snapToGrid w:val="0"/>
        </w:rPr>
        <w:tab/>
        <w:t>An application for the issue of a Crown land title or qualified Crown land title for Crown land and an endorsement on that title of details of —</w:t>
      </w:r>
    </w:p>
    <w:p>
      <w:pPr>
        <w:pStyle w:val="yIndent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Indent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Indent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Indent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Indent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Indent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Subsection"/>
        <w:rPr>
          <w:snapToGrid w:val="0"/>
        </w:rPr>
      </w:pPr>
      <w:r>
        <w:rPr>
          <w:snapToGrid w:val="0"/>
        </w:rPr>
        <w:tab/>
        <w:t>6.</w:t>
      </w:r>
      <w:r>
        <w:rPr>
          <w:snapToGrid w:val="0"/>
        </w:rPr>
        <w:tab/>
        <w:t>Creation and registration of a certificate of title by the Registrar under regulation 4 (if different from the applicant’s request) or regulation 5.</w:t>
      </w:r>
    </w:p>
    <w:p>
      <w:pPr>
        <w:pStyle w:val="ySubsection"/>
        <w:rPr>
          <w:snapToGrid w:val="0"/>
        </w:rPr>
      </w:pPr>
      <w:r>
        <w:rPr>
          <w:snapToGrid w:val="0"/>
        </w:rPr>
        <w:tab/>
        <w:t>7.</w:t>
      </w:r>
      <w:r>
        <w:rPr>
          <w:snapToGrid w:val="0"/>
        </w:rPr>
        <w:tab/>
        <w:t>Lodgments by or on behalf of the Registrar.</w:t>
      </w:r>
    </w:p>
    <w:p>
      <w:pPr>
        <w:pStyle w:val="ySubsection"/>
        <w:rPr>
          <w:snapToGrid w:val="0"/>
        </w:rPr>
      </w:pPr>
      <w:r>
        <w:rPr>
          <w:snapToGrid w:val="0"/>
        </w:rPr>
        <w:tab/>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Subsection"/>
        <w:rPr>
          <w:snapToGrid w:val="0"/>
        </w:rPr>
      </w:pPr>
      <w:r>
        <w:rPr>
          <w:snapToGrid w:val="0"/>
        </w:rPr>
        <w:tab/>
        <w:t>9.</w:t>
      </w:r>
      <w:r>
        <w:rPr>
          <w:snapToGrid w:val="0"/>
        </w:rPr>
        <w:tab/>
      </w:r>
      <w:r>
        <w:t>An application for the issue of a duplicate certificate of title where a duplicate certificate of title was not issued on the registration of the certificate of title.</w:t>
      </w:r>
    </w:p>
    <w:p>
      <w:pPr>
        <w:pStyle w:val="yFootnotesection"/>
      </w:pPr>
      <w:r>
        <w:tab/>
        <w:t>[Schedule 2 amended in Gazette 25 Jun 2007 p. 2978; 20 Jun 2008 p. 2717; 13 Apr 2012 p. 1659; 26 Jul 2013 p. 3349.]</w:t>
      </w:r>
    </w:p>
    <w:p>
      <w:pPr>
        <w:pStyle w:val="yEdnoteschedule"/>
      </w:pPr>
      <w:r>
        <w:t>[Schedule 3 deleted in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sectPr>
          <w:headerReference w:type="even" r:id="rId26"/>
          <w:headerReference w:type="default" r:id="rId27"/>
          <w:headerReference w:type="first" r:id="rId28"/>
          <w:endnotePr>
            <w:numFmt w:val="decimal"/>
          </w:endnotePr>
          <w:pgSz w:w="11907" w:h="16840" w:code="9"/>
          <w:pgMar w:top="2381" w:right="2409" w:bottom="3543" w:left="2409" w:header="720" w:footer="3380" w:gutter="0"/>
          <w:cols w:space="720"/>
          <w:noEndnote/>
          <w:docGrid w:linePitch="326"/>
        </w:sectPr>
      </w:pPr>
    </w:p>
    <w:p>
      <w:pPr>
        <w:pStyle w:val="nHeading2"/>
      </w:pPr>
      <w:bookmarkStart w:id="138" w:name="_Toc423514383"/>
      <w:bookmarkStart w:id="139" w:name="_Toc425253091"/>
      <w:bookmarkStart w:id="140" w:name="_Toc446331571"/>
      <w:bookmarkStart w:id="141" w:name="_Toc455129679"/>
      <w:bookmarkStart w:id="142" w:name="_Toc455129716"/>
      <w:bookmarkStart w:id="143" w:name="_Toc455129753"/>
      <w:r>
        <w:t>Notes</w:t>
      </w:r>
      <w:bookmarkEnd w:id="138"/>
      <w:bookmarkEnd w:id="139"/>
      <w:bookmarkEnd w:id="140"/>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Regulations 2004</w:t>
      </w:r>
      <w:r>
        <w:rPr>
          <w:snapToGrid w:val="0"/>
        </w:rPr>
        <w:t xml:space="preserve"> and includes the amendments made by the other written laws referred to in the following table.  The table also contains information about any reprint.</w:t>
      </w:r>
    </w:p>
    <w:p>
      <w:pPr>
        <w:pStyle w:val="nHeading3"/>
        <w:spacing w:before="200" w:after="80"/>
        <w:rPr>
          <w:snapToGrid w:val="0"/>
        </w:rPr>
      </w:pPr>
      <w:bookmarkStart w:id="144" w:name="_Toc423514384"/>
      <w:bookmarkStart w:id="145" w:name="_Toc455129754"/>
      <w:r>
        <w:rPr>
          <w:snapToGrid w:val="0"/>
        </w:rPr>
        <w:t>Compilation table</w:t>
      </w:r>
      <w:bookmarkEnd w:id="144"/>
      <w:bookmarkEnd w:id="145"/>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c>
          <w:tcPr>
            <w:tcW w:w="3118" w:type="dxa"/>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c>
          <w:tcPr>
            <w:tcW w:w="3118" w:type="dxa"/>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c>
          <w:tcPr>
            <w:tcW w:w="3118" w:type="dxa"/>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c>
          <w:tcPr>
            <w:tcW w:w="3118" w:type="dxa"/>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rPr>
          <w:cantSplit/>
        </w:trPr>
        <w:tc>
          <w:tcPr>
            <w:tcW w:w="7087" w:type="dxa"/>
            <w:gridSpan w:val="5"/>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c>
          <w:tcPr>
            <w:tcW w:w="3118" w:type="dxa"/>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3118" w:type="dxa"/>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c>
          <w:tcPr>
            <w:tcW w:w="3118" w:type="dxa"/>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c>
          <w:tcPr>
            <w:tcW w:w="3118" w:type="dxa"/>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rPr>
          <w:cantSplit/>
        </w:trPr>
        <w:tc>
          <w:tcPr>
            <w:tcW w:w="7087" w:type="dxa"/>
            <w:gridSpan w:val="5"/>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rPr>
          <w:cantSplit/>
        </w:trPr>
        <w:tc>
          <w:tcPr>
            <w:tcW w:w="3118" w:type="dxa"/>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rPr>
          <w:cantSplit/>
        </w:trPr>
        <w:tc>
          <w:tcPr>
            <w:tcW w:w="3118" w:type="dxa"/>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c>
          <w:tcPr>
            <w:tcW w:w="3118" w:type="dxa"/>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c>
          <w:tcPr>
            <w:tcW w:w="3118" w:type="dxa"/>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c>
          <w:tcPr>
            <w:tcW w:w="7087" w:type="dxa"/>
            <w:gridSpan w:val="5"/>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c>
          <w:tcPr>
            <w:tcW w:w="3118" w:type="dxa"/>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c>
          <w:tcPr>
            <w:tcW w:w="3118" w:type="dxa"/>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c>
          <w:tcPr>
            <w:tcW w:w="3118" w:type="dxa"/>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c>
          <w:tcPr>
            <w:tcW w:w="3118" w:type="dxa"/>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18" w:type="dxa"/>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c>
          <w:tcPr>
            <w:tcW w:w="7087" w:type="dxa"/>
            <w:gridSpan w:val="5"/>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c>
          <w:tcPr>
            <w:tcW w:w="3147"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64" w:type="dxa"/>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c>
          <w:tcPr>
            <w:tcW w:w="3147"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64" w:type="dxa"/>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c>
          <w:tcPr>
            <w:tcW w:w="3147" w:type="dxa"/>
            <w:gridSpan w:val="2"/>
            <w:tcBorders>
              <w:bottom w:val="single" w:sz="8" w:space="0" w:color="auto"/>
            </w:tcBorders>
            <w:shd w:val="clear" w:color="auto" w:fill="auto"/>
          </w:tcPr>
          <w:p>
            <w:pPr>
              <w:pStyle w:val="nTable"/>
              <w:spacing w:after="40"/>
            </w:pPr>
            <w:r>
              <w:rPr>
                <w:i/>
              </w:rPr>
              <w:t>Lands Regulations Amendment (Fees and Charges) Regulations 2016</w:t>
            </w:r>
            <w:r>
              <w:t xml:space="preserve"> Pt 4</w:t>
            </w:r>
          </w:p>
        </w:tc>
        <w:tc>
          <w:tcPr>
            <w:tcW w:w="1276" w:type="dxa"/>
            <w:gridSpan w:val="2"/>
            <w:tcBorders>
              <w:bottom w:val="single" w:sz="8" w:space="0" w:color="auto"/>
            </w:tcBorders>
            <w:shd w:val="clear" w:color="auto" w:fill="auto"/>
          </w:tcPr>
          <w:p>
            <w:pPr>
              <w:pStyle w:val="nTable"/>
              <w:spacing w:after="40"/>
            </w:pPr>
            <w:r>
              <w:t>24 Jun 2016 p. 2320-5</w:t>
            </w:r>
          </w:p>
        </w:tc>
        <w:tc>
          <w:tcPr>
            <w:tcW w:w="2664" w:type="dxa"/>
            <w:tcBorders>
              <w:bottom w:val="single" w:sz="8" w:space="0" w:color="auto"/>
            </w:tcBorders>
            <w:shd w:val="clear" w:color="auto" w:fill="auto"/>
          </w:tcPr>
          <w:p>
            <w:pPr>
              <w:pStyle w:val="nTable"/>
              <w:spacing w:after="40"/>
              <w:rPr>
                <w:bCs/>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bl>
    <w:p>
      <w:pPr>
        <w:pStyle w:val="nSubsection"/>
        <w:spacing w:before="160"/>
        <w:rPr>
          <w:vertAlign w:val="superscript"/>
        </w:rPr>
      </w:pPr>
      <w:r>
        <w:rPr>
          <w:vertAlign w:val="superscript"/>
        </w:rPr>
        <w:t>2</w:t>
      </w:r>
      <w:r>
        <w:rPr>
          <w:vertAlign w:val="superscript"/>
        </w:rPr>
        <w:tab/>
      </w:r>
      <w:r>
        <w:t xml:space="preserve">Repealed by the </w:t>
      </w:r>
      <w:r>
        <w:rPr>
          <w:i/>
          <w:color w:val="000000"/>
        </w:rPr>
        <w:t>Taxation Administration (Consequential Provisions) Act 2002.</w:t>
      </w:r>
    </w:p>
    <w:p/>
    <w:p>
      <w:pPr>
        <w:sectPr>
          <w:headerReference w:type="even" r:id="rId29"/>
          <w:headerReference w:type="default" r:id="rId30"/>
          <w:headerReference w:type="first" r:id="rId31"/>
          <w:endnotePr>
            <w:numFmt w:val="decimal"/>
          </w:endnotePr>
          <w:pgSz w:w="11907" w:h="16840" w:code="9"/>
          <w:pgMar w:top="2381" w:right="2409" w:bottom="3543" w:left="2409" w:header="720" w:footer="3380" w:gutter="0"/>
          <w:cols w:space="720"/>
          <w:noEndnote/>
          <w:docGrid w:linePitch="326"/>
        </w:sectPr>
      </w:pPr>
    </w:p>
    <w:p>
      <w:pPr>
        <w:pStyle w:val="nHeading2"/>
        <w:rPr>
          <w:sz w:val="28"/>
        </w:rPr>
      </w:pPr>
      <w:bookmarkStart w:id="147" w:name="_Toc446331573"/>
      <w:bookmarkStart w:id="148" w:name="_Toc455129681"/>
      <w:bookmarkStart w:id="149" w:name="_Toc455129718"/>
      <w:bookmarkStart w:id="150" w:name="_Toc455129755"/>
      <w:r>
        <w:rPr>
          <w:sz w:val="28"/>
        </w:rPr>
        <w:t>Defined terms</w:t>
      </w:r>
      <w:bookmarkEnd w:id="147"/>
      <w:bookmarkEnd w:id="148"/>
      <w:bookmarkEnd w:id="149"/>
      <w:bookmarkEnd w:id="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benefited lot</w:t>
      </w:r>
      <w:r>
        <w:tab/>
        <w:t>8(1)</w:t>
      </w:r>
    </w:p>
    <w:p>
      <w:pPr>
        <w:pStyle w:val="DefinedTerms"/>
      </w:pPr>
      <w:r>
        <w:t>circle</w:t>
      </w:r>
      <w:r>
        <w:tab/>
        <w:t>8(1)</w:t>
      </w:r>
    </w:p>
    <w:p>
      <w:pPr>
        <w:pStyle w:val="DefinedTerms"/>
      </w:pPr>
      <w:r>
        <w:t>department</w:t>
      </w:r>
      <w:r>
        <w:tab/>
        <w:t>11</w:t>
      </w:r>
    </w:p>
    <w:p>
      <w:pPr>
        <w:pStyle w:val="DefinedTerms"/>
      </w:pPr>
      <w:r>
        <w:t>lot</w:t>
      </w:r>
      <w:r>
        <w:tab/>
        <w:t>8(1)</w:t>
      </w:r>
    </w:p>
    <w:p>
      <w:pPr>
        <w:pStyle w:val="DefinedTerms"/>
      </w:pPr>
      <w:r>
        <w:t>names index</w:t>
      </w:r>
      <w:r>
        <w:tab/>
        <w:t>11</w:t>
      </w:r>
    </w:p>
    <w:p>
      <w:pPr>
        <w:pStyle w:val="DefinedTerms"/>
      </w:pPr>
      <w:r>
        <w:t>organisation</w:t>
      </w:r>
      <w:r>
        <w:tab/>
        <w:t>11</w:t>
      </w:r>
    </w:p>
    <w:p>
      <w:pPr>
        <w:pStyle w:val="DefinedTerms"/>
      </w:pPr>
      <w:r>
        <w:t>single dwelling covenant</w:t>
      </w:r>
      <w:r>
        <w:tab/>
        <w:t>8(1)</w:t>
      </w:r>
    </w:p>
    <w:p>
      <w:pPr>
        <w:pStyle w:val="DefinedTerms"/>
      </w:pPr>
      <w:r>
        <w:t>suppressed information</w:t>
      </w:r>
      <w:r>
        <w:tab/>
        <w:t>11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7" w:name="Schedule"/>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 w:name="DefinedTerms"/>
    <w:bookmarkEnd w:id="15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092922"/>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6831</Words>
  <Characters>31492</Characters>
  <Application>Microsoft Office Word</Application>
  <DocSecurity>0</DocSecurity>
  <Lines>1312</Lines>
  <Paragraphs>782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2004 - 04-d0-01</dc:title>
  <dc:subject/>
  <dc:creator/>
  <cp:keywords/>
  <dc:description/>
  <cp:lastModifiedBy>svcMRProcess</cp:lastModifiedBy>
  <cp:revision>4</cp:revision>
  <cp:lastPrinted>2014-12-11T01:57:00Z</cp:lastPrinted>
  <dcterms:created xsi:type="dcterms:W3CDTF">2019-05-11T11:19:00Z</dcterms:created>
  <dcterms:modified xsi:type="dcterms:W3CDTF">2019-05-11T11:19:00Z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01 Jul 2016</vt:lpwstr>
  </property>
  <property fmtid="{D5CDD505-2E9C-101B-9397-08002B2CF9AE}" pid="8" name="Suffix">
    <vt:lpwstr>04-d0-01</vt:lpwstr>
  </property>
  <property fmtid="{D5CDD505-2E9C-101B-9397-08002B2CF9AE}" pid="9" name="CommencementDate">
    <vt:lpwstr>20160701</vt:lpwstr>
  </property>
</Properties>
</file>