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_Toc455150947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_Toc455150948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_Toc455150949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_Toc455150950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_Toc455150951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_Toc455150952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_Toc455150953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_Toc455150954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_Toc455150955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_Toc455150956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_Toc455150957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_Toc455150958 \h </w:instrText>
      </w:r>
      <w:r>
        <w:fldChar w:fldCharType="separate"/>
      </w:r>
      <w:r>
        <w:t>5</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_Toc455150959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_Toc455150960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_Toc455150961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_Toc455150962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_Toc455150968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45515094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55150948"/>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55150949"/>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55150950"/>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55150951"/>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55150952"/>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55150953"/>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55150954"/>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55150955"/>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55150956"/>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13" w:name="_Toc455150957"/>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455150958"/>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15" w:name="_Toc423435167"/>
      <w:bookmarkStart w:id="16" w:name="_Toc455150959"/>
      <w:r>
        <w:rPr>
          <w:rStyle w:val="CharSectno"/>
        </w:rPr>
        <w:t>13</w:t>
      </w:r>
      <w:r>
        <w:t>.</w:t>
      </w:r>
      <w:r>
        <w:tab/>
        <w:t>Fees</w:t>
      </w:r>
      <w:bookmarkEnd w:id="15"/>
      <w:bookmarkEnd w:id="16"/>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$93.00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$7.70</w:t>
            </w:r>
          </w:p>
        </w:tc>
      </w:tr>
    </w:tbl>
    <w:p>
      <w:pPr>
        <w:pStyle w:val="Footnotesection"/>
        <w:spacing w:before="80"/>
        <w:ind w:left="890" w:hanging="890"/>
        <w:rPr>
          <w:b/>
          <w:i w:val="0"/>
        </w:rPr>
      </w:pPr>
      <w:bookmarkStart w:id="17" w:name="_Toc423435168"/>
      <w:r>
        <w:tab/>
        <w:t>[Regulation 13 inserted in Gazette 29 May 2015 p. 1883; amended in Gazette 14 Jun 2016 p. 1991.]</w:t>
      </w:r>
      <w:bookmarkEnd w:id="17"/>
    </w:p>
    <w:p>
      <w:pPr>
        <w:pStyle w:val="Heading5"/>
        <w:spacing w:before="180"/>
        <w:rPr>
          <w:snapToGrid w:val="0"/>
        </w:rPr>
      </w:pPr>
      <w:bookmarkStart w:id="18" w:name="_Toc455150960"/>
      <w:r>
        <w:rPr>
          <w:rStyle w:val="CharSectno"/>
        </w:rPr>
        <w:t>13A</w:t>
      </w:r>
      <w:r>
        <w:rPr>
          <w:snapToGrid w:val="0"/>
        </w:rPr>
        <w:t>.</w:t>
      </w:r>
      <w:r>
        <w:rPr>
          <w:snapToGrid w:val="0"/>
        </w:rPr>
        <w:tab/>
        <w:t>Exemption from Act’s requirements to pay fees</w:t>
      </w:r>
      <w:bookmarkEnd w:id="1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9" w:name="_Toc455150961"/>
      <w:r>
        <w:rPr>
          <w:rStyle w:val="CharSectno"/>
        </w:rPr>
        <w:t>13B</w:t>
      </w:r>
      <w:r>
        <w:t>.</w:t>
      </w:r>
      <w:r>
        <w:tab/>
        <w:t>Exemptions from Act’s requirement to be licensed</w:t>
      </w:r>
      <w:bookmarkEnd w:id="19"/>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20" w:name="_Toc455150962"/>
      <w:r>
        <w:rPr>
          <w:rStyle w:val="CharSectno"/>
        </w:rPr>
        <w:t>14</w:t>
      </w:r>
      <w:r>
        <w:rPr>
          <w:snapToGrid w:val="0"/>
        </w:rPr>
        <w:t>.</w:t>
      </w:r>
      <w:r>
        <w:rPr>
          <w:snapToGrid w:val="0"/>
        </w:rPr>
        <w:tab/>
        <w:t>Offence and penalty</w:t>
      </w:r>
      <w:bookmarkEnd w:id="20"/>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1" w:name="_Toc416883940"/>
      <w:bookmarkStart w:id="22" w:name="_Toc416883963"/>
      <w:bookmarkStart w:id="23" w:name="_Toc417648251"/>
      <w:bookmarkStart w:id="24" w:name="_Toc418689521"/>
      <w:bookmarkStart w:id="25" w:name="_Toc419800722"/>
      <w:bookmarkStart w:id="26" w:name="_Toc424893607"/>
      <w:bookmarkStart w:id="27" w:name="_Toc430677481"/>
      <w:bookmarkStart w:id="28" w:name="_Toc432434464"/>
      <w:bookmarkStart w:id="29" w:name="_Toc432434487"/>
      <w:bookmarkStart w:id="30" w:name="_Toc447620073"/>
      <w:bookmarkStart w:id="31" w:name="_Toc453660360"/>
      <w:bookmarkStart w:id="32" w:name="_Toc453660637"/>
      <w:bookmarkStart w:id="33" w:name="_Toc455150940"/>
      <w:bookmarkStart w:id="34" w:name="_Toc455150963"/>
      <w:r>
        <w:rPr>
          <w:rStyle w:val="CharSchNo"/>
        </w:rPr>
        <w:t>Schedule 1 </w:t>
      </w:r>
      <w:r>
        <w:t>— </w:t>
      </w:r>
      <w:r>
        <w:rPr>
          <w:rStyle w:val="CharSchText"/>
        </w:rPr>
        <w:t>Forms</w:t>
      </w:r>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36" w:name="_Toc416883941"/>
      <w:bookmarkStart w:id="37" w:name="_Toc416883964"/>
      <w:bookmarkStart w:id="38" w:name="_Toc417648252"/>
      <w:bookmarkStart w:id="39" w:name="_Toc418689522"/>
    </w:p>
    <w:p>
      <w:pPr>
        <w:pStyle w:val="yScheduleHeading"/>
      </w:pPr>
      <w:bookmarkStart w:id="40" w:name="_Toc419800723"/>
      <w:bookmarkStart w:id="41" w:name="_Toc424893608"/>
      <w:bookmarkStart w:id="42" w:name="_Toc430677482"/>
      <w:bookmarkStart w:id="43" w:name="_Toc432434465"/>
      <w:bookmarkStart w:id="44" w:name="_Toc432434488"/>
      <w:bookmarkStart w:id="45" w:name="_Toc447620074"/>
      <w:bookmarkStart w:id="46" w:name="_Toc453660361"/>
      <w:bookmarkStart w:id="47" w:name="_Toc453660638"/>
      <w:bookmarkStart w:id="48" w:name="_Toc455150941"/>
      <w:bookmarkStart w:id="49" w:name="_Toc455150964"/>
      <w:r>
        <w:rPr>
          <w:rStyle w:val="CharSchNo"/>
        </w:rPr>
        <w:t>Schedule 2</w:t>
      </w:r>
      <w:r>
        <w:t> — </w:t>
      </w:r>
      <w:r>
        <w:rPr>
          <w:rStyle w:val="CharSchText"/>
        </w:rPr>
        <w:t>Prescribed bodies</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rPr>
          <w:i/>
        </w:rPr>
      </w:pPr>
      <w:r>
        <w:rPr>
          <w:i/>
        </w:rPr>
        <w:t>[20.</w:t>
      </w:r>
      <w:r>
        <w:rPr>
          <w:i/>
        </w:rPr>
        <w:tab/>
        <w:t>Deleted]</w:t>
      </w:r>
    </w:p>
    <w:p>
      <w:pPr>
        <w:pStyle w:val="yFootnotesection"/>
      </w:pPr>
      <w:r>
        <w:tab/>
        <w:t>[Schedule 2 inserted in Gazette 30 Jan 2001 p. 619</w:t>
      </w:r>
      <w:r>
        <w:noBreakHyphen/>
        <w:t>20; amended in Gazette 11 Mar 2003 p. 751; 18 Aug 2006 p. 3371; 9 Nov 2010 p. 5633; 8 Feb 2013 p. 869; 4 Nov 2014 p. 4207; 5 Apr 2016 p. 1030.]</w:t>
      </w:r>
    </w:p>
    <w:p>
      <w:pPr>
        <w:pStyle w:val="yScheduleHeading"/>
        <w:rPr>
          <w:rStyle w:val="CharSchNo"/>
        </w:rPr>
        <w:sectPr>
          <w:headerReference w:type="default" r:id="rId28"/>
          <w:pgSz w:w="11907" w:h="16840" w:code="9"/>
          <w:pgMar w:top="2376" w:right="2405" w:bottom="3542" w:left="2405" w:header="706" w:footer="3380" w:gutter="0"/>
          <w:cols w:space="720"/>
          <w:noEndnote/>
          <w:docGrid w:linePitch="326"/>
        </w:sectPr>
      </w:pPr>
      <w:bookmarkStart w:id="50" w:name="_Toc416883942"/>
      <w:bookmarkStart w:id="51" w:name="_Toc416883965"/>
      <w:bookmarkStart w:id="52" w:name="_Toc417648253"/>
      <w:bookmarkStart w:id="53" w:name="_Toc418689523"/>
    </w:p>
    <w:p>
      <w:pPr>
        <w:pStyle w:val="yScheduleHeading"/>
      </w:pPr>
      <w:bookmarkStart w:id="54" w:name="_Toc419800724"/>
      <w:bookmarkStart w:id="55" w:name="_Toc424893609"/>
      <w:bookmarkStart w:id="56" w:name="_Toc430677483"/>
      <w:bookmarkStart w:id="57" w:name="_Toc432434466"/>
      <w:bookmarkStart w:id="58" w:name="_Toc432434489"/>
      <w:bookmarkStart w:id="59" w:name="_Toc447620075"/>
      <w:bookmarkStart w:id="60" w:name="_Toc453660362"/>
      <w:bookmarkStart w:id="61" w:name="_Toc453660639"/>
      <w:bookmarkStart w:id="62" w:name="_Toc455150942"/>
      <w:bookmarkStart w:id="63" w:name="_Toc455150965"/>
      <w:r>
        <w:rPr>
          <w:rStyle w:val="CharSchNo"/>
        </w:rPr>
        <w:t>Schedule 3</w:t>
      </w:r>
      <w:r>
        <w:t> — </w:t>
      </w:r>
      <w:r>
        <w:rPr>
          <w:rStyle w:val="CharSchText"/>
        </w:rPr>
        <w:t>Classes of vehicles</w:t>
      </w:r>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64" w:name="_Toc416883943"/>
      <w:bookmarkStart w:id="65" w:name="_Toc416883966"/>
      <w:bookmarkStart w:id="66" w:name="_Toc417648254"/>
      <w:bookmarkStart w:id="67" w:name="_Toc418689524"/>
      <w:bookmarkStart w:id="68" w:name="_Toc419800725"/>
      <w:bookmarkStart w:id="69" w:name="_Toc424893610"/>
      <w:bookmarkStart w:id="70" w:name="_Toc430677484"/>
      <w:bookmarkStart w:id="71" w:name="_Toc432434467"/>
      <w:bookmarkStart w:id="72" w:name="_Toc432434490"/>
      <w:bookmarkStart w:id="73" w:name="_Toc447620076"/>
      <w:bookmarkStart w:id="74" w:name="_Toc453660363"/>
      <w:bookmarkStart w:id="75" w:name="_Toc453660640"/>
      <w:bookmarkStart w:id="76" w:name="_Toc455150943"/>
      <w:bookmarkStart w:id="77" w:name="_Toc455150966"/>
      <w:r>
        <w:rPr>
          <w:rStyle w:val="CharSchNo"/>
        </w:rPr>
        <w:t>Schedule 4</w:t>
      </w:r>
      <w:r>
        <w:t> — </w:t>
      </w:r>
      <w:r>
        <w:rPr>
          <w:rStyle w:val="CharSchText"/>
        </w:rPr>
        <w:t>Scope of a licence or permit</w:t>
      </w:r>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78" w:name="_Toc416883944"/>
      <w:bookmarkStart w:id="79" w:name="_Toc416883967"/>
      <w:bookmarkStart w:id="80" w:name="_Toc417648255"/>
      <w:bookmarkStart w:id="81" w:name="_Toc418689525"/>
      <w:bookmarkStart w:id="82" w:name="_Toc419800726"/>
      <w:bookmarkStart w:id="83" w:name="_Toc424893611"/>
      <w:bookmarkStart w:id="84" w:name="_Toc430677485"/>
      <w:bookmarkStart w:id="85" w:name="_Toc432434468"/>
      <w:bookmarkStart w:id="86" w:name="_Toc432434491"/>
      <w:bookmarkStart w:id="87" w:name="_Toc447620077"/>
      <w:bookmarkStart w:id="88" w:name="_Toc453660364"/>
      <w:bookmarkStart w:id="89" w:name="_Toc453660641"/>
      <w:bookmarkStart w:id="90" w:name="_Toc455150944"/>
      <w:bookmarkStart w:id="91" w:name="_Toc455150967"/>
      <w:r>
        <w:t>Notes</w:t>
      </w:r>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92" w:name="_Toc455150968"/>
      <w: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r>
        <w:trPr>
          <w:cantSplit/>
        </w:trPr>
        <w:tc>
          <w:tcPr>
            <w:tcW w:w="3119" w:type="dxa"/>
            <w:tcBorders>
              <w:bottom w:val="single" w:sz="4" w:space="0" w:color="auto"/>
            </w:tcBorders>
            <w:shd w:val="clear" w:color="auto" w:fill="auto"/>
          </w:tcPr>
          <w:p>
            <w:pPr>
              <w:pStyle w:val="nTable"/>
              <w:spacing w:after="40"/>
              <w:rPr>
                <w:i/>
              </w:rPr>
            </w:pPr>
            <w:r>
              <w:rPr>
                <w:i/>
              </w:rPr>
              <w:t xml:space="preserve">Transport Regulations Amendment (Fees and Charges) Regulations (No. 2) 2016 </w:t>
            </w:r>
            <w:r>
              <w:t>Pt. 3</w:t>
            </w:r>
          </w:p>
        </w:tc>
        <w:tc>
          <w:tcPr>
            <w:tcW w:w="1276" w:type="dxa"/>
            <w:tcBorders>
              <w:bottom w:val="single" w:sz="4" w:space="0" w:color="auto"/>
            </w:tcBorders>
            <w:shd w:val="clear" w:color="auto" w:fill="auto"/>
          </w:tcPr>
          <w:p>
            <w:pPr>
              <w:pStyle w:val="nTable"/>
              <w:spacing w:after="40"/>
            </w:pPr>
            <w:r>
              <w:t>14 Jun 2016 p. 1987</w:t>
            </w:r>
            <w:r>
              <w:noBreakHyphen/>
              <w:t>2003</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2016 (see r. 2(b))</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44997-F18A-433F-BBF1-9BD2A093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5575</Words>
  <Characters>28548</Characters>
  <Application>Microsoft Office Word</Application>
  <DocSecurity>0</DocSecurity>
  <Lines>1098</Lines>
  <Paragraphs>696</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1964 - 07-d0-01</dc:title>
  <dc:subject/>
  <dc:creator/>
  <cp:keywords/>
  <dc:description/>
  <cp:lastModifiedBy>svcMRProcess</cp:lastModifiedBy>
  <cp:revision>4</cp:revision>
  <cp:lastPrinted>2015-09-30T06:50:00Z</cp:lastPrinted>
  <dcterms:created xsi:type="dcterms:W3CDTF">2016-07-15T00:46:00Z</dcterms:created>
  <dcterms:modified xsi:type="dcterms:W3CDTF">2016-07-15T00:46:00Z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AsAtDate">
    <vt:lpwstr>01 Jul 2016</vt:lpwstr>
  </property>
  <property fmtid="{D5CDD505-2E9C-101B-9397-08002B2CF9AE}" pid="8" name="Suffix">
    <vt:lpwstr>07-d0-01</vt:lpwstr>
  </property>
  <property fmtid="{D5CDD505-2E9C-101B-9397-08002B2CF9AE}" pid="9" name="CommencementDate">
    <vt:lpwstr>20160701</vt:lpwstr>
  </property>
</Properties>
</file>