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_Toc455150033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_Toc455150034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_Toc455150035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_Toc455150037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_Toc455150039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_Toc455150040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_Toc455150041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_Toc455150042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_Toc455150043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_Toc455150044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_Toc455150046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_Toc455150047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_Toc455150050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_Toc455150052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_Toc455150053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_Toc455150054 \h </w:instrText>
      </w:r>
      <w:r>
        <w:fldChar w:fldCharType="separate"/>
      </w:r>
      <w:r>
        <w:t>19</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_Toc455150055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_Toc455150057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_Toc455150058 \h </w:instrText>
      </w:r>
      <w:r>
        <w:fldChar w:fldCharType="separate"/>
      </w:r>
      <w:r>
        <w:t>22</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_Toc455150059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_Toc455150062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_Toc455150064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_Toc455150066 \h </w:instrText>
      </w:r>
      <w:r>
        <w:fldChar w:fldCharType="separate"/>
      </w:r>
      <w:r>
        <w:t>27</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_Toc455150067 \h </w:instrText>
      </w:r>
      <w:r>
        <w:fldChar w:fldCharType="separate"/>
      </w:r>
      <w:r>
        <w:t>27</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_Toc455150068 \h </w:instrText>
      </w:r>
      <w:r>
        <w:fldChar w:fldCharType="separate"/>
      </w:r>
      <w:r>
        <w:t>34</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_Toc455150069 \h </w:instrText>
      </w:r>
      <w:r>
        <w:fldChar w:fldCharType="separate"/>
      </w:r>
      <w:r>
        <w:t>37</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_Toc455150070 \h </w:instrText>
      </w:r>
      <w:r>
        <w:fldChar w:fldCharType="separate"/>
      </w:r>
      <w:r>
        <w:t>38</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_Toc455150071 \h </w:instrText>
      </w:r>
      <w:r>
        <w:fldChar w:fldCharType="separate"/>
      </w:r>
      <w:r>
        <w:t>39</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_Toc455150072 \h </w:instrText>
      </w:r>
      <w:r>
        <w:fldChar w:fldCharType="separate"/>
      </w:r>
      <w:r>
        <w:t>39</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_Toc455150073 \h </w:instrText>
      </w:r>
      <w:r>
        <w:fldChar w:fldCharType="separate"/>
      </w:r>
      <w:r>
        <w:t>40</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_Toc455150074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_Toc455150076 \h </w:instrText>
      </w:r>
      <w:r>
        <w:fldChar w:fldCharType="separate"/>
      </w:r>
      <w:r>
        <w:t>42</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_Toc455150077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_Toc455150079 \h </w:instrText>
      </w:r>
      <w:r>
        <w:fldChar w:fldCharType="separate"/>
      </w:r>
      <w:r>
        <w:t>43</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_Toc455150080 \h </w:instrText>
      </w:r>
      <w:r>
        <w:fldChar w:fldCharType="separate"/>
      </w:r>
      <w:r>
        <w:t>43</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_Toc455150081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_Toc455150083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_Toc455150087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55149829"/>
      <w:bookmarkStart w:id="4" w:name="_Toc455149975"/>
      <w:bookmarkStart w:id="5" w:name="_Toc4551500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5515003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55150034"/>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55150035"/>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455149833"/>
      <w:bookmarkStart w:id="10" w:name="_Toc455149979"/>
      <w:bookmarkStart w:id="11" w:name="_Toc455150036"/>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455150037"/>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455149835"/>
      <w:bookmarkStart w:id="14" w:name="_Toc455149981"/>
      <w:bookmarkStart w:id="15" w:name="_Toc455150038"/>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455150039"/>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7" w:name="_Toc455150040"/>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455150041"/>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9" w:name="_Toc455150042"/>
      <w:r>
        <w:rPr>
          <w:rStyle w:val="CharSectno"/>
        </w:rPr>
        <w:t>8A</w:t>
      </w:r>
      <w:r>
        <w:t>.</w:t>
      </w:r>
      <w:r>
        <w:tab/>
        <w:t>Authorised purposes for disclosure of information to prescribed persons</w:t>
      </w:r>
      <w:bookmarkEnd w:id="19"/>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0" w:name="_Toc455150043"/>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455150044"/>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22" w:name="_Toc455149842"/>
      <w:bookmarkStart w:id="23" w:name="_Toc455149988"/>
      <w:bookmarkStart w:id="24" w:name="_Toc455150045"/>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455150046"/>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455150047"/>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455149845"/>
      <w:bookmarkStart w:id="28" w:name="_Toc455149991"/>
      <w:bookmarkStart w:id="29" w:name="_Toc455150048"/>
      <w:r>
        <w:rPr>
          <w:rStyle w:val="CharPartNo"/>
        </w:rPr>
        <w:t>Part 5</w:t>
      </w:r>
      <w:r>
        <w:t> — </w:t>
      </w:r>
      <w:r>
        <w:rPr>
          <w:rStyle w:val="CharPartText"/>
        </w:rPr>
        <w:t>Wardens</w:t>
      </w:r>
      <w:bookmarkEnd w:id="27"/>
      <w:bookmarkEnd w:id="28"/>
      <w:bookmarkEnd w:id="29"/>
    </w:p>
    <w:p>
      <w:pPr>
        <w:pStyle w:val="Heading3"/>
      </w:pPr>
      <w:bookmarkStart w:id="30" w:name="_Toc455149846"/>
      <w:bookmarkStart w:id="31" w:name="_Toc455149992"/>
      <w:bookmarkStart w:id="32" w:name="_Toc455150049"/>
      <w:r>
        <w:rPr>
          <w:rStyle w:val="CharDivNo"/>
        </w:rPr>
        <w:t>Division 1</w:t>
      </w:r>
      <w:r>
        <w:t> — </w:t>
      </w:r>
      <w:r>
        <w:rPr>
          <w:rStyle w:val="CharDivText"/>
        </w:rPr>
        <w:t>General</w:t>
      </w:r>
      <w:bookmarkEnd w:id="30"/>
      <w:bookmarkEnd w:id="31"/>
      <w:bookmarkEnd w:id="32"/>
    </w:p>
    <w:p>
      <w:pPr>
        <w:pStyle w:val="Heading5"/>
      </w:pPr>
      <w:bookmarkStart w:id="33" w:name="_Toc455150050"/>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455149848"/>
      <w:bookmarkStart w:id="35" w:name="_Toc455149994"/>
      <w:bookmarkStart w:id="36" w:name="_Toc455150051"/>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455150052"/>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455150053"/>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Heading5"/>
      </w:pPr>
      <w:bookmarkStart w:id="39" w:name="_Toc455150054"/>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Heading5"/>
      </w:pPr>
      <w:bookmarkStart w:id="40" w:name="_Toc455150055"/>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455149853"/>
      <w:bookmarkStart w:id="42" w:name="_Toc455149999"/>
      <w:bookmarkStart w:id="43" w:name="_Toc455150056"/>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455150057"/>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455150058"/>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w:t>
      </w:r>
    </w:p>
    <w:p>
      <w:pPr>
        <w:pStyle w:val="Heading5"/>
        <w:keepNext w:val="0"/>
        <w:keepLines w:val="0"/>
      </w:pPr>
      <w:bookmarkStart w:id="46" w:name="_Toc455150059"/>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Heading2"/>
      </w:pPr>
      <w:bookmarkStart w:id="47" w:name="_Toc455149857"/>
      <w:bookmarkStart w:id="48" w:name="_Toc455150003"/>
      <w:bookmarkStart w:id="49" w:name="_Toc455150060"/>
      <w:r>
        <w:rPr>
          <w:rStyle w:val="CharPartNo"/>
        </w:rPr>
        <w:t>Part 6</w:t>
      </w:r>
      <w:r>
        <w:t> — </w:t>
      </w:r>
      <w:r>
        <w:rPr>
          <w:rStyle w:val="CharPartText"/>
        </w:rPr>
        <w:t>Enforcement of road laws</w:t>
      </w:r>
      <w:bookmarkEnd w:id="47"/>
      <w:bookmarkEnd w:id="48"/>
      <w:bookmarkEnd w:id="49"/>
    </w:p>
    <w:p>
      <w:pPr>
        <w:pStyle w:val="Heading3"/>
      </w:pPr>
      <w:bookmarkStart w:id="50" w:name="_Toc455149858"/>
      <w:bookmarkStart w:id="51" w:name="_Toc455150004"/>
      <w:bookmarkStart w:id="52" w:name="_Toc455150061"/>
      <w:r>
        <w:rPr>
          <w:rStyle w:val="CharDivNo"/>
        </w:rPr>
        <w:t>Division 1</w:t>
      </w:r>
      <w:r>
        <w:t> — </w:t>
      </w:r>
      <w:r>
        <w:rPr>
          <w:rStyle w:val="CharDivText"/>
        </w:rPr>
        <w:t>Entry warrants</w:t>
      </w:r>
      <w:bookmarkEnd w:id="50"/>
      <w:bookmarkEnd w:id="51"/>
      <w:bookmarkEnd w:id="52"/>
    </w:p>
    <w:p>
      <w:pPr>
        <w:pStyle w:val="Heading5"/>
      </w:pPr>
      <w:bookmarkStart w:id="53" w:name="_Toc455150062"/>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455149860"/>
      <w:bookmarkStart w:id="55" w:name="_Toc455150006"/>
      <w:bookmarkStart w:id="56" w:name="_Toc455150063"/>
      <w:r>
        <w:rPr>
          <w:rStyle w:val="CharDivNo"/>
        </w:rPr>
        <w:t>Division 2</w:t>
      </w:r>
      <w:r>
        <w:t> — </w:t>
      </w:r>
      <w:r>
        <w:rPr>
          <w:rStyle w:val="CharDivText"/>
        </w:rPr>
        <w:t>Embargo notices</w:t>
      </w:r>
      <w:bookmarkEnd w:id="54"/>
      <w:bookmarkEnd w:id="55"/>
      <w:bookmarkEnd w:id="56"/>
    </w:p>
    <w:p>
      <w:pPr>
        <w:pStyle w:val="Heading5"/>
      </w:pPr>
      <w:bookmarkStart w:id="57" w:name="_Toc455150064"/>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455149862"/>
      <w:bookmarkStart w:id="59" w:name="_Toc455150008"/>
      <w:bookmarkStart w:id="60" w:name="_Toc455150065"/>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455150066"/>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62" w:name="_Toc455150067"/>
      <w:r>
        <w:rPr>
          <w:rStyle w:val="CharSectno"/>
        </w:rPr>
        <w:t>22</w:t>
      </w:r>
      <w:r>
        <w:t>.</w:t>
      </w:r>
      <w:r>
        <w:tab/>
        <w:t xml:space="preserve">Infringement notice offences and penalties: </w:t>
      </w:r>
      <w:r>
        <w:rPr>
          <w:i/>
        </w:rPr>
        <w:t>Road Traffic (Vehicles) Act 2012</w:t>
      </w:r>
      <w:bookmarkEnd w:id="6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63" w:name="_Toc455150068"/>
      <w:r>
        <w:rPr>
          <w:rStyle w:val="CharSectno"/>
        </w:rPr>
        <w:t>23</w:t>
      </w:r>
      <w:r>
        <w:t>.</w:t>
      </w:r>
      <w:r>
        <w:tab/>
        <w:t xml:space="preserve">Infringement notice offences and penalties: </w:t>
      </w:r>
      <w:r>
        <w:rPr>
          <w:i/>
        </w:rPr>
        <w:t>Road Traffic Act 1974</w:t>
      </w:r>
      <w:bookmarkEnd w:id="63"/>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2</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Heading5"/>
      </w:pPr>
      <w:bookmarkStart w:id="64" w:name="_Toc455150069"/>
      <w:r>
        <w:rPr>
          <w:rStyle w:val="CharSectno"/>
        </w:rPr>
        <w:t>24</w:t>
      </w:r>
      <w:r>
        <w:t>.</w:t>
      </w:r>
      <w:r>
        <w:tab/>
        <w:t>Infringement notice offences and penalties: road law regulations</w:t>
      </w:r>
      <w:bookmarkEnd w:id="64"/>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bookmarkStart w:id="65" w:name="_Toc455150070"/>
      <w:r>
        <w:tab/>
        <w:t>[Regulation 24 amended in Gazette 24 Jun 2016 p. 2343.]</w:t>
      </w:r>
    </w:p>
    <w:p>
      <w:pPr>
        <w:pStyle w:val="Heading5"/>
      </w:pPr>
      <w:r>
        <w:rPr>
          <w:rStyle w:val="CharSectno"/>
        </w:rPr>
        <w:t>25</w:t>
      </w:r>
      <w:r>
        <w:t>.</w:t>
      </w:r>
      <w:r>
        <w:tab/>
        <w:t>Offences for which infringement notices may be served by transport wardens</w:t>
      </w:r>
      <w:bookmarkEnd w:id="65"/>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66" w:name="_Toc455150071"/>
      <w:r>
        <w:rPr>
          <w:rStyle w:val="CharSectno"/>
        </w:rPr>
        <w:t>26</w:t>
      </w:r>
      <w:r>
        <w:t>.</w:t>
      </w:r>
      <w:r>
        <w:tab/>
        <w:t>Offences for which infringement notices may be served by transport inspection wardens, transport investigation wardens</w:t>
      </w:r>
      <w:bookmarkEnd w:id="66"/>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14 and 16</w:t>
            </w:r>
          </w:p>
        </w:tc>
      </w:tr>
    </w:tbl>
    <w:p>
      <w:pPr>
        <w:pStyle w:val="Footnotesection"/>
      </w:pPr>
      <w:r>
        <w:tab/>
        <w:t>[Regulation 26 amended in Gazette 24 Jun 2016 p. 2343.]</w:t>
      </w:r>
    </w:p>
    <w:p>
      <w:pPr>
        <w:pStyle w:val="Heading5"/>
      </w:pPr>
      <w:bookmarkStart w:id="67" w:name="_Toc455150072"/>
      <w:r>
        <w:rPr>
          <w:rStyle w:val="CharSectno"/>
        </w:rPr>
        <w:t>27</w:t>
      </w:r>
      <w:r>
        <w:t>.</w:t>
      </w:r>
      <w:r>
        <w:tab/>
        <w:t>Forms of notices</w:t>
      </w:r>
      <w:bookmarkEnd w:id="6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8" w:name="_Toc455150073"/>
      <w:r>
        <w:rPr>
          <w:rStyle w:val="CharSectno"/>
        </w:rPr>
        <w:t>28</w:t>
      </w:r>
      <w:r>
        <w:t>.</w:t>
      </w:r>
      <w:r>
        <w:tab/>
        <w:t>Officers who may sign notices to withdraw notices</w:t>
      </w:r>
      <w:bookmarkEnd w:id="68"/>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69" w:name="_Toc455150074"/>
      <w:r>
        <w:rPr>
          <w:rStyle w:val="CharSectno"/>
        </w:rPr>
        <w:t>29</w:t>
      </w:r>
      <w:r>
        <w:t>.</w:t>
      </w:r>
      <w:r>
        <w:tab/>
        <w:t>Infringement notice not to be altered</w:t>
      </w:r>
      <w:bookmarkEnd w:id="6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0" w:name="_Toc455149872"/>
      <w:bookmarkStart w:id="71" w:name="_Toc455150018"/>
      <w:bookmarkStart w:id="72" w:name="_Toc455150075"/>
      <w:r>
        <w:rPr>
          <w:rStyle w:val="CharPartNo"/>
        </w:rPr>
        <w:t>Part 8</w:t>
      </w:r>
      <w:r>
        <w:rPr>
          <w:rStyle w:val="CharDivNo"/>
        </w:rPr>
        <w:t> </w:t>
      </w:r>
      <w:r>
        <w:t>—</w:t>
      </w:r>
      <w:r>
        <w:rPr>
          <w:rStyle w:val="CharDivText"/>
        </w:rPr>
        <w:t> </w:t>
      </w:r>
      <w:r>
        <w:rPr>
          <w:rStyle w:val="CharPartText"/>
        </w:rPr>
        <w:t>Prosecutions</w:t>
      </w:r>
      <w:bookmarkEnd w:id="70"/>
      <w:bookmarkEnd w:id="71"/>
      <w:bookmarkEnd w:id="72"/>
    </w:p>
    <w:p>
      <w:pPr>
        <w:pStyle w:val="Heading5"/>
      </w:pPr>
      <w:bookmarkStart w:id="73" w:name="_Toc455150076"/>
      <w:r>
        <w:rPr>
          <w:rStyle w:val="CharSectno"/>
        </w:rPr>
        <w:t>30</w:t>
      </w:r>
      <w:r>
        <w:t>.</w:t>
      </w:r>
      <w:r>
        <w:tab/>
        <w:t>Persons to approve prosecution for breach of mass, dimension or loading requirement</w:t>
      </w:r>
      <w:bookmarkEnd w:id="7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4" w:name="_Toc455150077"/>
      <w:r>
        <w:rPr>
          <w:rStyle w:val="CharSectno"/>
        </w:rPr>
        <w:t>31</w:t>
      </w:r>
      <w:r>
        <w:t>.</w:t>
      </w:r>
      <w:r>
        <w:tab/>
        <w:t>Ascertaining mass supported on part of vehicle</w:t>
      </w:r>
      <w:bookmarkEnd w:id="7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75" w:name="_Toc455149875"/>
      <w:bookmarkStart w:id="76" w:name="_Toc455150021"/>
      <w:bookmarkStart w:id="77" w:name="_Toc455150078"/>
      <w:r>
        <w:rPr>
          <w:rStyle w:val="CharPartNo"/>
        </w:rPr>
        <w:t>Part 9</w:t>
      </w:r>
      <w:r>
        <w:rPr>
          <w:rStyle w:val="CharDivNo"/>
        </w:rPr>
        <w:t> </w:t>
      </w:r>
      <w:r>
        <w:t>—</w:t>
      </w:r>
      <w:r>
        <w:rPr>
          <w:rStyle w:val="CharDivText"/>
        </w:rPr>
        <w:t> </w:t>
      </w:r>
      <w:r>
        <w:rPr>
          <w:rStyle w:val="CharPartText"/>
        </w:rPr>
        <w:t>Review of decisions under road laws</w:t>
      </w:r>
      <w:bookmarkEnd w:id="75"/>
      <w:bookmarkEnd w:id="76"/>
      <w:bookmarkEnd w:id="77"/>
    </w:p>
    <w:p>
      <w:pPr>
        <w:pStyle w:val="Heading5"/>
        <w:rPr>
          <w:i/>
        </w:rPr>
      </w:pPr>
      <w:bookmarkStart w:id="78" w:name="_Toc455150079"/>
      <w:r>
        <w:rPr>
          <w:rStyle w:val="CharSectno"/>
        </w:rPr>
        <w:t>32</w:t>
      </w:r>
      <w:r>
        <w:t>.</w:t>
      </w:r>
      <w:r>
        <w:tab/>
        <w:t xml:space="preserve">Review of decisions under </w:t>
      </w:r>
      <w:r>
        <w:rPr>
          <w:i/>
        </w:rPr>
        <w:t>Road Traffic (Authorisation to Drive) Act 2008</w:t>
      </w:r>
      <w:bookmarkEnd w:id="78"/>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79" w:name="_Toc455150080"/>
      <w:r>
        <w:rPr>
          <w:rStyle w:val="CharSectno"/>
        </w:rPr>
        <w:t>33</w:t>
      </w:r>
      <w:r>
        <w:t>.</w:t>
      </w:r>
      <w:r>
        <w:tab/>
        <w:t xml:space="preserve">Review of decisions under </w:t>
      </w:r>
      <w:r>
        <w:rPr>
          <w:i/>
        </w:rPr>
        <w:t>Road Traffic (Vehicles) Act 2012</w:t>
      </w:r>
      <w:bookmarkEnd w:id="79"/>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80" w:name="_Toc455150081"/>
      <w:r>
        <w:rPr>
          <w:rStyle w:val="CharSectno"/>
        </w:rPr>
        <w:t>34</w:t>
      </w:r>
      <w:r>
        <w:t>.</w:t>
      </w:r>
      <w:r>
        <w:tab/>
        <w:t>Right of CEO or Commissioner of Police to be heard</w:t>
      </w:r>
      <w:bookmarkEnd w:id="8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1" w:name="_Toc455149879"/>
      <w:bookmarkStart w:id="82" w:name="_Toc455150025"/>
      <w:bookmarkStart w:id="83" w:name="_Toc455150082"/>
      <w:r>
        <w:rPr>
          <w:rStyle w:val="CharPartNo"/>
        </w:rPr>
        <w:t>Part 10</w:t>
      </w:r>
      <w:r>
        <w:rPr>
          <w:rStyle w:val="CharDivNo"/>
        </w:rPr>
        <w:t> </w:t>
      </w:r>
      <w:r>
        <w:t>—</w:t>
      </w:r>
      <w:r>
        <w:rPr>
          <w:rStyle w:val="CharDivText"/>
        </w:rPr>
        <w:t> </w:t>
      </w:r>
      <w:r>
        <w:rPr>
          <w:rStyle w:val="CharPartText"/>
        </w:rPr>
        <w:t>Fees and charges</w:t>
      </w:r>
      <w:bookmarkEnd w:id="81"/>
      <w:bookmarkEnd w:id="82"/>
      <w:bookmarkEnd w:id="83"/>
    </w:p>
    <w:p>
      <w:pPr>
        <w:pStyle w:val="Heading5"/>
      </w:pPr>
      <w:bookmarkStart w:id="84" w:name="_Toc455150083"/>
      <w:r>
        <w:rPr>
          <w:rStyle w:val="CharSectno"/>
        </w:rPr>
        <w:t>35</w:t>
      </w:r>
      <w:r>
        <w:t>.</w:t>
      </w:r>
      <w:r>
        <w:tab/>
        <w:t>Disclosure of information to prescribed persons or for road safety purposes: s. 143(3)(a)</w:t>
      </w:r>
      <w:bookmarkEnd w:id="8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5" w:name="_Toc455149881"/>
      <w:bookmarkStart w:id="86" w:name="_Toc455150027"/>
      <w:bookmarkStart w:id="87" w:name="_Toc455150084"/>
      <w:r>
        <w:rPr>
          <w:rStyle w:val="CharSchNo"/>
        </w:rPr>
        <w:t>Schedule 1</w:t>
      </w:r>
      <w:r>
        <w:rPr>
          <w:rStyle w:val="CharSDivNo"/>
        </w:rPr>
        <w:t> </w:t>
      </w:r>
      <w:r>
        <w:t>—</w:t>
      </w:r>
      <w:r>
        <w:rPr>
          <w:rStyle w:val="CharSDivText"/>
        </w:rPr>
        <w:t> </w:t>
      </w:r>
      <w:r>
        <w:rPr>
          <w:rStyle w:val="CharSchText"/>
        </w:rPr>
        <w:t>Entry warrant</w:t>
      </w:r>
      <w:bookmarkEnd w:id="85"/>
      <w:bookmarkEnd w:id="86"/>
      <w:bookmarkEnd w:id="87"/>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88" w:name="_Toc455149882"/>
      <w:bookmarkStart w:id="89" w:name="_Toc455150028"/>
      <w:bookmarkStart w:id="90" w:name="_Toc455150085"/>
      <w:r>
        <w:rPr>
          <w:rStyle w:val="CharSchNo"/>
        </w:rPr>
        <w:t>Schedule 2</w:t>
      </w:r>
      <w:r>
        <w:rPr>
          <w:rStyle w:val="CharSDivNo"/>
        </w:rPr>
        <w:t> </w:t>
      </w:r>
      <w:r>
        <w:t>—</w:t>
      </w:r>
      <w:r>
        <w:rPr>
          <w:rStyle w:val="CharSDivText"/>
        </w:rPr>
        <w:t> </w:t>
      </w:r>
      <w:r>
        <w:rPr>
          <w:rStyle w:val="CharSchText"/>
        </w:rPr>
        <w:t>Forms for infringement notice matters</w:t>
      </w:r>
      <w:bookmarkEnd w:id="88"/>
      <w:bookmarkEnd w:id="89"/>
      <w:bookmarkEnd w:id="90"/>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2" w:name="_Toc455149883"/>
      <w:bookmarkStart w:id="93" w:name="_Toc455150029"/>
      <w:bookmarkStart w:id="94" w:name="_Toc455150086"/>
      <w:r>
        <w:t>Notes</w:t>
      </w:r>
      <w:bookmarkEnd w:id="92"/>
      <w:bookmarkEnd w:id="93"/>
      <w:bookmarkEnd w:id="94"/>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95" w:name="_Toc455150087"/>
      <w:r>
        <w:rPr>
          <w:snapToGrid w:val="0"/>
        </w:rPr>
        <w:t>Compilation table</w:t>
      </w:r>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single" w:sz="4" w:space="0" w:color="auto"/>
              <w:right w:val="nil"/>
            </w:tcBorders>
          </w:tcPr>
          <w:p>
            <w:pPr>
              <w:pStyle w:val="nTable"/>
              <w:spacing w:after="40"/>
            </w:pPr>
            <w:r>
              <w:rPr>
                <w:i/>
              </w:rPr>
              <w:t>Road Traffic Regulations Amendment Regulations 2016</w:t>
            </w:r>
            <w:r>
              <w:t xml:space="preserve"> Pt. 2</w:t>
            </w:r>
          </w:p>
        </w:tc>
        <w:tc>
          <w:tcPr>
            <w:tcW w:w="1276" w:type="dxa"/>
            <w:tcBorders>
              <w:top w:val="nil"/>
              <w:left w:val="nil"/>
              <w:bottom w:val="single" w:sz="4" w:space="0" w:color="auto"/>
              <w:right w:val="nil"/>
            </w:tcBorders>
          </w:tcPr>
          <w:p>
            <w:pPr>
              <w:pStyle w:val="nTable"/>
              <w:spacing w:after="40"/>
            </w:pPr>
            <w:r>
              <w:t>24 Jun 2016 p. 2342-3</w:t>
            </w:r>
          </w:p>
        </w:tc>
        <w:tc>
          <w:tcPr>
            <w:tcW w:w="2693" w:type="dxa"/>
            <w:tcBorders>
              <w:top w:val="nil"/>
              <w:left w:val="nil"/>
              <w:bottom w:val="single" w:sz="4" w:space="0" w:color="auto"/>
            </w:tcBorders>
          </w:tcPr>
          <w:p>
            <w:pPr>
              <w:pStyle w:val="nTable"/>
              <w:spacing w:after="40"/>
            </w:pPr>
            <w:r>
              <w:t>1 Jul 2016 (see r.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7" w:name="_Toc455149885"/>
      <w:bookmarkStart w:id="98" w:name="_Toc455150031"/>
      <w:bookmarkStart w:id="99" w:name="_Toc455150088"/>
      <w:r>
        <w:rPr>
          <w:sz w:val="28"/>
        </w:rPr>
        <w:t>Defined terms</w:t>
      </w:r>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45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51401"/>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4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0635A-A9E7-4DD9-9D85-E6273E618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13148</Words>
  <Characters>66529</Characters>
  <Application>Microsoft Office Word</Application>
  <DocSecurity>0</DocSecurity>
  <Lines>3168</Lines>
  <Paragraphs>1562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2014 - 00-h0-01</dc:title>
  <dc:subject/>
  <dc:creator/>
  <cp:keywords/>
  <dc:description/>
  <cp:lastModifiedBy>svcMRProcess</cp:lastModifiedBy>
  <cp:revision>4</cp:revision>
  <cp:lastPrinted>2014-11-27T00:08:00Z</cp:lastPrinted>
  <dcterms:created xsi:type="dcterms:W3CDTF">2018-09-19T10:13:00Z</dcterms:created>
  <dcterms:modified xsi:type="dcterms:W3CDTF">2018-09-19T10:13:00Z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01 Jul 2016</vt:lpwstr>
  </property>
  <property fmtid="{D5CDD505-2E9C-101B-9397-08002B2CF9AE}" pid="4" name="Suffix">
    <vt:lpwstr>00-h0-01</vt:lpwstr>
  </property>
  <property fmtid="{D5CDD505-2E9C-101B-9397-08002B2CF9AE}" pid="5" name="DocumentType">
    <vt:lpwstr>Reg</vt:lpwstr>
  </property>
  <property fmtid="{D5CDD505-2E9C-101B-9397-08002B2CF9AE}" pid="6" name="CommencementDate">
    <vt:lpwstr>20160701</vt:lpwstr>
  </property>
</Properties>
</file>