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_Toc455394491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_Toc455394492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_Toc455394493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_Toc455394494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School Education Act 1999</w:t>
      </w:r>
      <w:r>
        <w:rPr>
          <w:snapToGrid w:val="0"/>
        </w:rPr>
        <w:t xml:space="preserve"> not affected</w:t>
      </w:r>
      <w:r>
        <w:tab/>
      </w:r>
      <w:r>
        <w:fldChar w:fldCharType="begin"/>
      </w:r>
      <w:r>
        <w:instrText xml:space="preserve"> PAGEREF _Toc455394495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Registration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w:t>
      </w:r>
      <w:r>
        <w:rPr>
          <w:snapToGrid w:val="0"/>
        </w:rPr>
        <w:t>.</w:t>
      </w:r>
      <w:r>
        <w:rPr>
          <w:snapToGrid w:val="0"/>
        </w:rPr>
        <w:tab/>
        <w:t>Who has to be registered</w:t>
      </w:r>
      <w:r>
        <w:tab/>
      </w:r>
      <w:r>
        <w:fldChar w:fldCharType="begin"/>
      </w:r>
      <w:r>
        <w:instrText xml:space="preserve"> PAGEREF _Toc455394498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Education service providers other than statutory education service providers</w:t>
      </w:r>
    </w:p>
    <w:p>
      <w:pPr>
        <w:pStyle w:val="TOC8"/>
        <w:rPr>
          <w:rFonts w:asciiTheme="minorHAnsi" w:eastAsiaTheme="minorEastAsia" w:hAnsiTheme="minorHAnsi" w:cstheme="minorBidi"/>
          <w:szCs w:val="22"/>
        </w:rPr>
      </w:pPr>
      <w:r>
        <w:t>7</w:t>
      </w:r>
      <w:r>
        <w:rPr>
          <w:snapToGrid w:val="0"/>
        </w:rPr>
        <w:t>.</w:t>
      </w:r>
      <w:r>
        <w:rPr>
          <w:snapToGrid w:val="0"/>
        </w:rPr>
        <w:tab/>
        <w:t>Application of this Division</w:t>
      </w:r>
      <w:r>
        <w:tab/>
      </w:r>
      <w:r>
        <w:fldChar w:fldCharType="begin"/>
      </w:r>
      <w:r>
        <w:instrText xml:space="preserve"> PAGEREF _Toc455394500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_Toc455394501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Natural persons, registration of</w:t>
      </w:r>
      <w:r>
        <w:tab/>
      </w:r>
      <w:r>
        <w:fldChar w:fldCharType="begin"/>
      </w:r>
      <w:r>
        <w:instrText xml:space="preserve"> PAGEREF _Toc455394502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Firms, registration of</w:t>
      </w:r>
      <w:r>
        <w:tab/>
      </w:r>
      <w:r>
        <w:fldChar w:fldCharType="begin"/>
      </w:r>
      <w:r>
        <w:instrText xml:space="preserve"> PAGEREF _Toc455394503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Bodies corporate, registration of</w:t>
      </w:r>
      <w:r>
        <w:tab/>
      </w:r>
      <w:r>
        <w:fldChar w:fldCharType="begin"/>
      </w:r>
      <w:r>
        <w:instrText xml:space="preserve"> PAGEREF _Toc455394504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education service providers exempted</w:t>
      </w:r>
      <w:r>
        <w:tab/>
      </w:r>
      <w:r>
        <w:fldChar w:fldCharType="begin"/>
      </w:r>
      <w:r>
        <w:instrText xml:space="preserve"> PAGEREF _Toc455394505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Additional criteria for registration</w:t>
      </w:r>
      <w:r>
        <w:tab/>
      </w:r>
      <w:r>
        <w:fldChar w:fldCharType="begin"/>
      </w:r>
      <w:r>
        <w:instrText xml:space="preserve"> PAGEREF _Toc455394506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Period of registration</w:t>
      </w:r>
      <w:r>
        <w:tab/>
      </w:r>
      <w:r>
        <w:fldChar w:fldCharType="begin"/>
      </w:r>
      <w:r>
        <w:instrText xml:space="preserve"> PAGEREF _Toc455394507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Conditions of registration</w:t>
      </w:r>
      <w:r>
        <w:tab/>
      </w:r>
      <w:r>
        <w:fldChar w:fldCharType="begin"/>
      </w:r>
      <w:r>
        <w:instrText xml:space="preserve"> PAGEREF _Toc455394508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Safeguarding students’ funds</w:t>
      </w:r>
      <w:r>
        <w:tab/>
      </w:r>
      <w:r>
        <w:fldChar w:fldCharType="begin"/>
      </w:r>
      <w:r>
        <w:instrText xml:space="preserve"> PAGEREF _Toc455394509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Certificates of registration, issue of</w:t>
      </w:r>
      <w:r>
        <w:tab/>
      </w:r>
      <w:r>
        <w:fldChar w:fldCharType="begin"/>
      </w:r>
      <w:r>
        <w:instrText xml:space="preserve"> PAGEREF _Toc455394510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Amending registration certificates; changes of particulars to be notified to CEO etc.</w:t>
      </w:r>
      <w:r>
        <w:tab/>
      </w:r>
      <w:r>
        <w:fldChar w:fldCharType="begin"/>
      </w:r>
      <w:r>
        <w:instrText xml:space="preserve"> PAGEREF _Toc455394511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Statutory education service providers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_Toc455394513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Statutory education service providers deemed to be registered; exceptions</w:t>
      </w:r>
      <w:r>
        <w:tab/>
      </w:r>
      <w:r>
        <w:fldChar w:fldCharType="begin"/>
      </w:r>
      <w:r>
        <w:instrText xml:space="preserve"> PAGEREF _Toc455394514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Audit</w:t>
      </w:r>
    </w:p>
    <w:p>
      <w:pPr>
        <w:pStyle w:val="TOC8"/>
        <w:rPr>
          <w:rFonts w:asciiTheme="minorHAnsi" w:eastAsiaTheme="minorEastAsia" w:hAnsiTheme="minorHAnsi" w:cstheme="minorBidi"/>
          <w:szCs w:val="22"/>
        </w:rPr>
      </w:pPr>
      <w:r>
        <w:t>21</w:t>
      </w:r>
      <w:r>
        <w:rPr>
          <w:snapToGrid w:val="0"/>
        </w:rPr>
        <w:t>.</w:t>
      </w:r>
      <w:r>
        <w:rPr>
          <w:snapToGrid w:val="0"/>
        </w:rPr>
        <w:tab/>
        <w:t>Application of Part</w:t>
      </w:r>
      <w:r>
        <w:tab/>
      </w:r>
      <w:r>
        <w:fldChar w:fldCharType="begin"/>
      </w:r>
      <w:r>
        <w:instrText xml:space="preserve"> PAGEREF _Toc455394516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Auditors to be appointed by education service providers</w:t>
      </w:r>
      <w:r>
        <w:tab/>
      </w:r>
      <w:r>
        <w:fldChar w:fldCharType="begin"/>
      </w:r>
      <w:r>
        <w:instrText xml:space="preserve"> PAGEREF _Toc455394517 \h </w:instrText>
      </w:r>
      <w:r>
        <w:fldChar w:fldCharType="separate"/>
      </w:r>
      <w:r>
        <w:t>15</w:t>
      </w:r>
      <w:r>
        <w:fldChar w:fldCharType="end"/>
      </w:r>
    </w:p>
    <w:p>
      <w:pPr>
        <w:pStyle w:val="TOC8"/>
        <w:rPr>
          <w:rFonts w:asciiTheme="minorHAnsi" w:eastAsiaTheme="minorEastAsia" w:hAnsiTheme="minorHAnsi" w:cstheme="minorBidi"/>
          <w:szCs w:val="22"/>
        </w:rPr>
      </w:pPr>
      <w:r>
        <w:t>23.</w:t>
      </w:r>
      <w:r>
        <w:tab/>
        <w:t>Audit of education service provider’s accounts, CEO may require</w:t>
      </w:r>
      <w:r>
        <w:tab/>
      </w:r>
      <w:r>
        <w:fldChar w:fldCharType="begin"/>
      </w:r>
      <w:r>
        <w:instrText xml:space="preserve"> PAGEREF _Toc455394518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Auditor to conduct audit according to accepted auditing practice</w:t>
      </w:r>
      <w:r>
        <w:tab/>
      </w:r>
      <w:r>
        <w:fldChar w:fldCharType="begin"/>
      </w:r>
      <w:r>
        <w:instrText xml:space="preserve"> PAGEREF _Toc455394519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Auditor to report material irregularity</w:t>
      </w:r>
      <w:r>
        <w:tab/>
      </w:r>
      <w:r>
        <w:fldChar w:fldCharType="begin"/>
      </w:r>
      <w:r>
        <w:instrText xml:space="preserve"> PAGEREF _Toc455394520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Duty of care by auditor</w:t>
      </w:r>
      <w:r>
        <w:tab/>
      </w:r>
      <w:r>
        <w:fldChar w:fldCharType="begin"/>
      </w:r>
      <w:r>
        <w:instrText xml:space="preserve"> PAGEREF _Toc455394521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Auditor to give further information if required by CEO</w:t>
      </w:r>
      <w:r>
        <w:tab/>
      </w:r>
      <w:r>
        <w:fldChar w:fldCharType="begin"/>
      </w:r>
      <w:r>
        <w:instrText xml:space="preserve"> PAGEREF _Toc455394522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Penalty for breach of s. 24, 25 or 26</w:t>
      </w:r>
      <w:r>
        <w:tab/>
      </w:r>
      <w:r>
        <w:fldChar w:fldCharType="begin"/>
      </w:r>
      <w:r>
        <w:instrText xml:space="preserve"> PAGEREF _Toc455394523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to charge of offence under s. 24, 26 or 27</w:t>
      </w:r>
      <w:r>
        <w:tab/>
      </w:r>
      <w:r>
        <w:fldChar w:fldCharType="begin"/>
      </w:r>
      <w:r>
        <w:instrText xml:space="preserve"> PAGEREF _Toc455394524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Exemptions from this Part</w:t>
      </w:r>
      <w:r>
        <w:tab/>
      </w:r>
      <w:r>
        <w:fldChar w:fldCharType="begin"/>
      </w:r>
      <w:r>
        <w:instrText xml:space="preserve"> PAGEREF _Toc455394525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Investigation and inquiry</w:t>
      </w:r>
    </w:p>
    <w:p>
      <w:pPr>
        <w:pStyle w:val="TOC8"/>
        <w:rPr>
          <w:rFonts w:asciiTheme="minorHAnsi" w:eastAsiaTheme="minorEastAsia" w:hAnsiTheme="minorHAnsi" w:cstheme="minorBidi"/>
          <w:szCs w:val="22"/>
        </w:rPr>
      </w:pPr>
      <w:r>
        <w:t>31</w:t>
      </w:r>
      <w:r>
        <w:rPr>
          <w:snapToGrid w:val="0"/>
        </w:rPr>
        <w:t>.</w:t>
      </w:r>
      <w:r>
        <w:rPr>
          <w:snapToGrid w:val="0"/>
        </w:rPr>
        <w:tab/>
        <w:t>Purposes of investigations and inquiries</w:t>
      </w:r>
      <w:r>
        <w:tab/>
      </w:r>
      <w:r>
        <w:fldChar w:fldCharType="begin"/>
      </w:r>
      <w:r>
        <w:instrText xml:space="preserve"> PAGEREF _Toc455394527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the CEO and authorised persons to investigate</w:t>
      </w:r>
      <w:r>
        <w:tab/>
      </w:r>
      <w:r>
        <w:fldChar w:fldCharType="begin"/>
      </w:r>
      <w:r>
        <w:instrText xml:space="preserve"> PAGEREF _Toc455394528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Incriminating information, questions, or documents</w:t>
      </w:r>
      <w:r>
        <w:tab/>
      </w:r>
      <w:r>
        <w:fldChar w:fldCharType="begin"/>
      </w:r>
      <w:r>
        <w:instrText xml:space="preserve"> PAGEREF _Toc455394529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Failure to comply with requirement made under s. 32</w:t>
      </w:r>
      <w:r>
        <w:tab/>
      </w:r>
      <w:r>
        <w:fldChar w:fldCharType="begin"/>
      </w:r>
      <w:r>
        <w:instrText xml:space="preserve"> PAGEREF _Toc455394530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CEO or authorised person</w:t>
      </w:r>
      <w:r>
        <w:tab/>
      </w:r>
      <w:r>
        <w:fldChar w:fldCharType="begin"/>
      </w:r>
      <w:r>
        <w:instrText xml:space="preserve"> PAGEREF _Toc455394531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Reasons for decision by CEO to be given</w:t>
      </w:r>
      <w:r>
        <w:tab/>
      </w:r>
      <w:r>
        <w:fldChar w:fldCharType="begin"/>
      </w:r>
      <w:r>
        <w:instrText xml:space="preserve"> PAGEREF _Toc455394532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Disciplinary action against education service providers</w:t>
      </w:r>
      <w:r>
        <w:tab/>
      </w:r>
      <w:r>
        <w:fldChar w:fldCharType="begin"/>
      </w:r>
      <w:r>
        <w:instrText xml:space="preserve"> PAGEREF _Toc455394533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Appeals against CEO’s decisions</w:t>
      </w:r>
      <w:r>
        <w:tab/>
      </w:r>
      <w:r>
        <w:fldChar w:fldCharType="begin"/>
      </w:r>
      <w:r>
        <w:instrText xml:space="preserve"> PAGEREF _Toc455394534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Miscellaneous</w:t>
      </w:r>
    </w:p>
    <w:p>
      <w:pPr>
        <w:pStyle w:val="TOC8"/>
        <w:rPr>
          <w:rFonts w:asciiTheme="minorHAnsi" w:eastAsiaTheme="minorEastAsia" w:hAnsiTheme="minorHAnsi" w:cstheme="minorBidi"/>
          <w:szCs w:val="22"/>
        </w:rPr>
      </w:pPr>
      <w:r>
        <w:t>39</w:t>
      </w:r>
      <w:r>
        <w:rPr>
          <w:snapToGrid w:val="0"/>
        </w:rPr>
        <w:t>.</w:t>
      </w:r>
      <w:r>
        <w:rPr>
          <w:snapToGrid w:val="0"/>
        </w:rPr>
        <w:tab/>
        <w:t>Advertisements promoting education services, restrictions as to</w:t>
      </w:r>
      <w:r>
        <w:tab/>
      </w:r>
      <w:r>
        <w:fldChar w:fldCharType="begin"/>
      </w:r>
      <w:r>
        <w:instrText xml:space="preserve"> PAGEREF _Toc455394536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Official information, disclosure of restricted</w:t>
      </w:r>
      <w:r>
        <w:tab/>
      </w:r>
      <w:r>
        <w:fldChar w:fldCharType="begin"/>
      </w:r>
      <w:r>
        <w:instrText xml:space="preserve"> PAGEREF _Toc455394537 \h </w:instrText>
      </w:r>
      <w:r>
        <w:fldChar w:fldCharType="separate"/>
      </w:r>
      <w:r>
        <w:t>26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 of education service providers</w:t>
      </w:r>
      <w:r>
        <w:tab/>
      </w:r>
      <w:r>
        <w:fldChar w:fldCharType="begin"/>
      </w:r>
      <w:r>
        <w:instrText xml:space="preserve"> PAGEREF _Toc455394538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Delegation powers of Minister and CEO</w:t>
      </w:r>
      <w:r>
        <w:tab/>
      </w:r>
      <w:r>
        <w:fldChar w:fldCharType="begin"/>
      </w:r>
      <w:r>
        <w:instrText xml:space="preserve"> PAGEREF _Toc455394539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Advisory committee, appointment of</w:t>
      </w:r>
      <w:r>
        <w:tab/>
      </w:r>
      <w:r>
        <w:fldChar w:fldCharType="begin"/>
      </w:r>
      <w:r>
        <w:instrText xml:space="preserve"> PAGEREF _Toc455394540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_Toc455394541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from liability</w:t>
      </w:r>
      <w:r>
        <w:tab/>
      </w:r>
      <w:r>
        <w:fldChar w:fldCharType="begin"/>
      </w:r>
      <w:r>
        <w:instrText xml:space="preserve"> PAGEREF _Toc455394542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Liability of directors etc. and corporations</w:t>
      </w:r>
      <w:r>
        <w:tab/>
      </w:r>
      <w:r>
        <w:fldChar w:fldCharType="begin"/>
      </w:r>
      <w:r>
        <w:instrText xml:space="preserve"> PAGEREF _Toc455394543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Consent required for prosecutions</w:t>
      </w:r>
      <w:r>
        <w:tab/>
      </w:r>
      <w:r>
        <w:fldChar w:fldCharType="begin"/>
      </w:r>
      <w:r>
        <w:instrText xml:space="preserve"> PAGEREF _Toc455394544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Penalties</w:t>
      </w:r>
      <w:r>
        <w:tab/>
      </w:r>
      <w:r>
        <w:fldChar w:fldCharType="begin"/>
      </w:r>
      <w:r>
        <w:instrText xml:space="preserve"> PAGEREF _Toc455394545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_Toc455394546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Review of Act</w:t>
      </w:r>
      <w:r>
        <w:tab/>
      </w:r>
      <w:r>
        <w:fldChar w:fldCharType="begin"/>
      </w:r>
      <w:r>
        <w:instrText xml:space="preserve"> PAGEREF _Toc455394547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w:t>
      </w:r>
      <w:r>
        <w:rPr>
          <w:snapToGrid w:val="0"/>
        </w:rPr>
        <w:t xml:space="preserve"> table</w:t>
      </w:r>
      <w:r>
        <w:tab/>
      </w:r>
      <w:r>
        <w:fldChar w:fldCharType="begin"/>
      </w:r>
      <w:r>
        <w:instrText xml:space="preserve"> PAGEREF _Toc455394549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 xml:space="preserve">An Act to provide for the registration of education service providers enrolling full fee overseas students. </w:t>
      </w:r>
    </w:p>
    <w:p>
      <w:pPr>
        <w:pStyle w:val="Heading2"/>
      </w:pPr>
      <w:bookmarkStart w:id="3" w:name="_Toc378171573"/>
      <w:bookmarkStart w:id="4" w:name="_Toc416686269"/>
      <w:bookmarkStart w:id="5" w:name="_Toc416686329"/>
      <w:bookmarkStart w:id="6" w:name="_Toc45539449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8171574"/>
      <w:bookmarkStart w:id="8" w:name="_Toc455394491"/>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9" w:name="_Toc378171575"/>
      <w:bookmarkStart w:id="10" w:name="_Toc455394492"/>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1" w:name="_Toc378171576"/>
      <w:bookmarkStart w:id="12" w:name="_Toc455394493"/>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through which this Act is administered;</w:t>
      </w:r>
    </w:p>
    <w:p>
      <w:pPr>
        <w:pStyle w:val="Defstart"/>
      </w:pPr>
      <w:r>
        <w:rPr>
          <w:b/>
        </w:rPr>
        <w:tab/>
      </w:r>
      <w:r>
        <w:rPr>
          <w:rStyle w:val="CharDefText"/>
        </w:rPr>
        <w:t>education service</w:t>
      </w:r>
      <w:r>
        <w:t xml:space="preserve"> means any instruction or training or both whether given as a course or not and includes such other means of providing education as may be prescribed;</w:t>
      </w:r>
    </w:p>
    <w:p>
      <w:pPr>
        <w:pStyle w:val="Defstart"/>
      </w:pPr>
      <w:r>
        <w:rPr>
          <w:b/>
        </w:rPr>
        <w:tab/>
      </w:r>
      <w:r>
        <w:rPr>
          <w:rStyle w:val="CharDefText"/>
        </w:rPr>
        <w:t>education service provider</w:t>
      </w:r>
      <w:r>
        <w:t xml:space="preserve"> means a university, a college or a school and any other person or body of persons providing an education service;</w:t>
      </w:r>
    </w:p>
    <w:p>
      <w:pPr>
        <w:pStyle w:val="Defstart"/>
      </w:pPr>
      <w:r>
        <w:rPr>
          <w:b/>
        </w:rPr>
        <w:tab/>
      </w:r>
      <w:r>
        <w:rPr>
          <w:rStyle w:val="CharDefText"/>
        </w:rPr>
        <w:t>enrol</w:t>
      </w:r>
      <w:r>
        <w:t xml:space="preserve"> means to enrol a student for the purposes of providing the student with an education service;</w:t>
      </w:r>
    </w:p>
    <w:p>
      <w:pPr>
        <w:pStyle w:val="Defstart"/>
      </w:pPr>
      <w:r>
        <w:rPr>
          <w:b/>
        </w:rPr>
        <w:tab/>
      </w:r>
      <w:r>
        <w:rPr>
          <w:rStyle w:val="CharDefText"/>
        </w:rPr>
        <w:t>full fee</w:t>
      </w:r>
      <w:r>
        <w:t xml:space="preserve"> means the full average cost of providing a full fee overseas student with an education service including both recurrent and capital costs;</w:t>
      </w:r>
    </w:p>
    <w:p>
      <w:pPr>
        <w:pStyle w:val="Defstart"/>
        <w:rPr>
          <w:b/>
        </w:rPr>
      </w:pPr>
      <w:r>
        <w:rPr>
          <w:b/>
        </w:rPr>
        <w:tab/>
      </w:r>
      <w:r>
        <w:rPr>
          <w:rStyle w:val="CharDefText"/>
        </w:rPr>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statutory education service provider</w:t>
      </w:r>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 No. 24 of 2000 s. 13(1).]</w:t>
      </w:r>
    </w:p>
    <w:p>
      <w:pPr>
        <w:pStyle w:val="Heading5"/>
        <w:rPr>
          <w:snapToGrid w:val="0"/>
        </w:rPr>
      </w:pPr>
      <w:bookmarkStart w:id="13" w:name="_Toc378171577"/>
      <w:bookmarkStart w:id="14" w:name="_Toc455394494"/>
      <w:r>
        <w:rPr>
          <w:rStyle w:val="CharSectno"/>
        </w:rPr>
        <w:t>4</w:t>
      </w:r>
      <w:r>
        <w:rPr>
          <w:snapToGrid w:val="0"/>
        </w:rPr>
        <w:t>.</w:t>
      </w:r>
      <w:r>
        <w:rPr>
          <w:snapToGrid w:val="0"/>
        </w:rPr>
        <w:tab/>
        <w:t>Crown bound</w:t>
      </w:r>
      <w:bookmarkEnd w:id="13"/>
      <w:bookmarkEnd w:id="14"/>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15" w:name="_Toc378171578"/>
      <w:bookmarkStart w:id="16" w:name="_Toc455394495"/>
      <w:r>
        <w:rPr>
          <w:rStyle w:val="CharSectno"/>
        </w:rPr>
        <w:t>5</w:t>
      </w:r>
      <w:r>
        <w:rPr>
          <w:snapToGrid w:val="0"/>
        </w:rPr>
        <w:t>.</w:t>
      </w:r>
      <w:r>
        <w:rPr>
          <w:snapToGrid w:val="0"/>
        </w:rPr>
        <w:tab/>
      </w:r>
      <w:r>
        <w:rPr>
          <w:i/>
          <w:snapToGrid w:val="0"/>
        </w:rPr>
        <w:t>School Education Act 1999</w:t>
      </w:r>
      <w:r>
        <w:rPr>
          <w:snapToGrid w:val="0"/>
        </w:rPr>
        <w:t xml:space="preserve"> not affected</w:t>
      </w:r>
      <w:bookmarkEnd w:id="15"/>
      <w:bookmarkEnd w:id="16"/>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 No. 36 of 1999 s. 247.]</w:t>
      </w:r>
    </w:p>
    <w:p>
      <w:pPr>
        <w:pStyle w:val="Heading2"/>
      </w:pPr>
      <w:bookmarkStart w:id="17" w:name="_Toc378171579"/>
      <w:bookmarkStart w:id="18" w:name="_Toc416686275"/>
      <w:bookmarkStart w:id="19" w:name="_Toc416686335"/>
      <w:bookmarkStart w:id="20" w:name="_Toc455394496"/>
      <w:r>
        <w:rPr>
          <w:rStyle w:val="CharPartNo"/>
        </w:rPr>
        <w:t>Part 2</w:t>
      </w:r>
      <w:r>
        <w:t> — </w:t>
      </w:r>
      <w:r>
        <w:rPr>
          <w:rStyle w:val="CharPartText"/>
        </w:rPr>
        <w:t>Registration</w:t>
      </w:r>
      <w:bookmarkEnd w:id="17"/>
      <w:bookmarkEnd w:id="18"/>
      <w:bookmarkEnd w:id="19"/>
      <w:bookmarkEnd w:id="20"/>
    </w:p>
    <w:p>
      <w:pPr>
        <w:pStyle w:val="Heading3"/>
      </w:pPr>
      <w:bookmarkStart w:id="21" w:name="_Toc378171580"/>
      <w:bookmarkStart w:id="22" w:name="_Toc416686276"/>
      <w:bookmarkStart w:id="23" w:name="_Toc416686336"/>
      <w:bookmarkStart w:id="24" w:name="_Toc455394497"/>
      <w:r>
        <w:rPr>
          <w:rStyle w:val="CharDivNo"/>
        </w:rPr>
        <w:t>Division 1</w:t>
      </w:r>
      <w:r>
        <w:rPr>
          <w:snapToGrid w:val="0"/>
        </w:rPr>
        <w:t> — </w:t>
      </w:r>
      <w:r>
        <w:rPr>
          <w:rStyle w:val="CharDivText"/>
        </w:rPr>
        <w:t>General</w:t>
      </w:r>
      <w:bookmarkEnd w:id="21"/>
      <w:bookmarkEnd w:id="22"/>
      <w:bookmarkEnd w:id="23"/>
      <w:bookmarkEnd w:id="24"/>
    </w:p>
    <w:p>
      <w:pPr>
        <w:pStyle w:val="Heading5"/>
        <w:rPr>
          <w:snapToGrid w:val="0"/>
        </w:rPr>
      </w:pPr>
      <w:bookmarkStart w:id="25" w:name="_Toc378171581"/>
      <w:bookmarkStart w:id="26" w:name="_Toc455394498"/>
      <w:r>
        <w:rPr>
          <w:rStyle w:val="CharSectno"/>
        </w:rPr>
        <w:t>6</w:t>
      </w:r>
      <w:r>
        <w:rPr>
          <w:snapToGrid w:val="0"/>
        </w:rPr>
        <w:t>.</w:t>
      </w:r>
      <w:r>
        <w:rPr>
          <w:snapToGrid w:val="0"/>
        </w:rPr>
        <w:tab/>
        <w:t>Who has to be registered</w:t>
      </w:r>
      <w:bookmarkEnd w:id="25"/>
      <w:bookmarkEnd w:id="26"/>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 or</w:t>
      </w:r>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r>
        <w:rPr>
          <w:rStyle w:val="CharDefText"/>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 No. 24 of 2000 s. 13(2).]</w:t>
      </w:r>
    </w:p>
    <w:p>
      <w:pPr>
        <w:pStyle w:val="Heading3"/>
        <w:rPr>
          <w:snapToGrid w:val="0"/>
          <w:sz w:val="24"/>
        </w:rPr>
      </w:pPr>
      <w:bookmarkStart w:id="27" w:name="_Toc378171582"/>
      <w:bookmarkStart w:id="28" w:name="_Toc416686278"/>
      <w:bookmarkStart w:id="29" w:name="_Toc416686338"/>
      <w:bookmarkStart w:id="30" w:name="_Toc455394499"/>
      <w:r>
        <w:rPr>
          <w:rStyle w:val="CharDivNo"/>
        </w:rPr>
        <w:t>Division 2</w:t>
      </w:r>
      <w:r>
        <w:rPr>
          <w:snapToGrid w:val="0"/>
        </w:rPr>
        <w:t> — </w:t>
      </w:r>
      <w:r>
        <w:rPr>
          <w:rStyle w:val="CharDivText"/>
        </w:rPr>
        <w:t>Education service providers other than statutory education service providers</w:t>
      </w:r>
      <w:bookmarkEnd w:id="27"/>
      <w:bookmarkEnd w:id="28"/>
      <w:bookmarkEnd w:id="29"/>
      <w:bookmarkEnd w:id="30"/>
    </w:p>
    <w:p>
      <w:pPr>
        <w:pStyle w:val="Heading5"/>
        <w:rPr>
          <w:snapToGrid w:val="0"/>
        </w:rPr>
      </w:pPr>
      <w:bookmarkStart w:id="31" w:name="_Toc378171583"/>
      <w:bookmarkStart w:id="32" w:name="_Toc455394500"/>
      <w:r>
        <w:rPr>
          <w:rStyle w:val="CharSectno"/>
        </w:rPr>
        <w:t>7</w:t>
      </w:r>
      <w:r>
        <w:rPr>
          <w:snapToGrid w:val="0"/>
        </w:rPr>
        <w:t>.</w:t>
      </w:r>
      <w:r>
        <w:rPr>
          <w:snapToGrid w:val="0"/>
        </w:rPr>
        <w:tab/>
        <w:t>Application of this Division</w:t>
      </w:r>
      <w:bookmarkEnd w:id="31"/>
      <w:bookmarkEnd w:id="32"/>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33" w:name="_Toc378171584"/>
      <w:bookmarkStart w:id="34" w:name="_Toc455394501"/>
      <w:r>
        <w:rPr>
          <w:rStyle w:val="CharSectno"/>
        </w:rPr>
        <w:t>8</w:t>
      </w:r>
      <w:r>
        <w:rPr>
          <w:snapToGrid w:val="0"/>
        </w:rPr>
        <w:t>.</w:t>
      </w:r>
      <w:r>
        <w:rPr>
          <w:snapToGrid w:val="0"/>
        </w:rPr>
        <w:tab/>
        <w:t>Application for registration</w:t>
      </w:r>
      <w:bookmarkEnd w:id="33"/>
      <w:bookmarkEnd w:id="34"/>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 and</w:t>
      </w:r>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35" w:name="_Toc378171585"/>
      <w:bookmarkStart w:id="36" w:name="_Toc455394502"/>
      <w:r>
        <w:rPr>
          <w:rStyle w:val="CharSectno"/>
        </w:rPr>
        <w:t>9</w:t>
      </w:r>
      <w:r>
        <w:rPr>
          <w:snapToGrid w:val="0"/>
        </w:rPr>
        <w:t>.</w:t>
      </w:r>
      <w:r>
        <w:rPr>
          <w:snapToGrid w:val="0"/>
        </w:rPr>
        <w:tab/>
        <w:t>Natural persons, registration of</w:t>
      </w:r>
      <w:bookmarkEnd w:id="35"/>
      <w:bookmarkEnd w:id="36"/>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 xml:space="preserve">resides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is of good character and repute and a fit and proper person to be registered; and</w:t>
      </w:r>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37" w:name="_Toc378171586"/>
      <w:bookmarkStart w:id="38" w:name="_Toc455394503"/>
      <w:r>
        <w:rPr>
          <w:rStyle w:val="CharSectno"/>
        </w:rPr>
        <w:t>10</w:t>
      </w:r>
      <w:r>
        <w:rPr>
          <w:snapToGrid w:val="0"/>
        </w:rPr>
        <w:t>.</w:t>
      </w:r>
      <w:r>
        <w:rPr>
          <w:snapToGrid w:val="0"/>
        </w:rPr>
        <w:tab/>
        <w:t>Firms, registration of</w:t>
      </w:r>
      <w:bookmarkEnd w:id="37"/>
      <w:bookmarkEnd w:id="38"/>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 xml:space="preserve">consists of 2 partners, at least one of those persons resides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i"/>
        <w:rPr>
          <w:snapToGrid w:val="0"/>
        </w:rPr>
      </w:pPr>
      <w:r>
        <w:rPr>
          <w:snapToGrid w:val="0"/>
        </w:rPr>
        <w:tab/>
        <w:t>(ii)</w:t>
      </w:r>
      <w:r>
        <w:rPr>
          <w:snapToGrid w:val="0"/>
        </w:rPr>
        <w:tab/>
        <w:t xml:space="preserve">consists of more than 2 partners, at least 2 of those persons reside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i"/>
        <w:rPr>
          <w:snapToGrid w:val="0"/>
        </w:rPr>
      </w:pPr>
      <w:r>
        <w:rPr>
          <w:snapToGrid w:val="0"/>
        </w:rPr>
        <w:tab/>
        <w:t>(iii)</w:t>
      </w:r>
      <w:r>
        <w:rPr>
          <w:snapToGrid w:val="0"/>
        </w:rPr>
        <w:tab/>
        <w:t xml:space="preserve">is constituted by a partner that is a body corporate, the body corporate is incorporated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 and</w:t>
      </w:r>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39" w:name="_Toc378171587"/>
      <w:bookmarkStart w:id="40" w:name="_Toc455394504"/>
      <w:r>
        <w:rPr>
          <w:rStyle w:val="CharSectno"/>
        </w:rPr>
        <w:t>11</w:t>
      </w:r>
      <w:r>
        <w:rPr>
          <w:snapToGrid w:val="0"/>
        </w:rPr>
        <w:t>.</w:t>
      </w:r>
      <w:r>
        <w:rPr>
          <w:snapToGrid w:val="0"/>
        </w:rPr>
        <w:tab/>
        <w:t>Bodies corporate, registration of</w:t>
      </w:r>
      <w:bookmarkEnd w:id="39"/>
      <w:bookmarkEnd w:id="40"/>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 xml:space="preserve">the body corporate is incorporated in </w:t>
      </w:r>
      <w:smartTag w:uri="urn:schemas-microsoft-com:office:smarttags" w:element="place">
        <w:smartTag w:uri="urn:schemas-microsoft-com:office:smarttags" w:element="country-region">
          <w:r>
            <w:rPr>
              <w:snapToGrid w:val="0"/>
            </w:rPr>
            <w:t>Australia</w:t>
          </w:r>
        </w:smartTag>
      </w:smartTag>
      <w:r>
        <w:rPr>
          <w:snapToGrid w:val="0"/>
        </w:rPr>
        <w:t xml:space="preserve">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w:t>
      </w:r>
      <w:r>
        <w:rPr>
          <w:i/>
        </w:rPr>
        <w:t>2015</w:t>
      </w:r>
      <w:r>
        <w:rPr>
          <w:snapToGrid w:val="0"/>
        </w:rPr>
        <w:t xml:space="preserve"> or any other Act, that at least 2 of the members of the </w:t>
      </w:r>
      <w:r>
        <w:t xml:space="preserve">management </w:t>
      </w:r>
      <w:r>
        <w:rPr>
          <w:snapToGrid w:val="0"/>
        </w:rPr>
        <w:t>committee reside in Australia;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 and</w:t>
      </w:r>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 No. 10 of 2001 s. 61; No. 30 of 2015 s. 215.]</w:t>
      </w:r>
    </w:p>
    <w:p>
      <w:pPr>
        <w:pStyle w:val="Heading5"/>
        <w:keepLines w:val="0"/>
        <w:rPr>
          <w:snapToGrid w:val="0"/>
        </w:rPr>
      </w:pPr>
      <w:bookmarkStart w:id="41" w:name="_Toc378171588"/>
      <w:bookmarkStart w:id="42" w:name="_Toc455394505"/>
      <w:r>
        <w:rPr>
          <w:rStyle w:val="CharSectno"/>
        </w:rPr>
        <w:t>12</w:t>
      </w:r>
      <w:r>
        <w:rPr>
          <w:snapToGrid w:val="0"/>
        </w:rPr>
        <w:t>.</w:t>
      </w:r>
      <w:r>
        <w:rPr>
          <w:snapToGrid w:val="0"/>
        </w:rPr>
        <w:tab/>
        <w:t>Certain education service providers exempted</w:t>
      </w:r>
      <w:bookmarkEnd w:id="41"/>
      <w:bookmarkEnd w:id="42"/>
      <w:r>
        <w:rPr>
          <w:snapToGrid w:val="0"/>
        </w:rPr>
        <w:t xml:space="preserve"> </w:t>
      </w:r>
    </w:p>
    <w:p>
      <w:pPr>
        <w:pStyle w:val="Subsection"/>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43" w:name="_Toc378171589"/>
      <w:bookmarkStart w:id="44" w:name="_Toc455394506"/>
      <w:r>
        <w:rPr>
          <w:rStyle w:val="CharSectno"/>
        </w:rPr>
        <w:t>13</w:t>
      </w:r>
      <w:r>
        <w:rPr>
          <w:snapToGrid w:val="0"/>
        </w:rPr>
        <w:t>.</w:t>
      </w:r>
      <w:r>
        <w:rPr>
          <w:snapToGrid w:val="0"/>
        </w:rPr>
        <w:tab/>
        <w:t>Additional criteria for registration</w:t>
      </w:r>
      <w:bookmarkEnd w:id="43"/>
      <w:bookmarkEnd w:id="44"/>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 and</w:t>
      </w:r>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 and</w:t>
      </w:r>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 and</w:t>
      </w:r>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 and</w:t>
      </w:r>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 and</w:t>
      </w:r>
    </w:p>
    <w:p>
      <w:pPr>
        <w:pStyle w:val="Indenta"/>
        <w:rPr>
          <w:snapToGrid w:val="0"/>
        </w:rPr>
      </w:pPr>
      <w:r>
        <w:rPr>
          <w:snapToGrid w:val="0"/>
        </w:rPr>
        <w:tab/>
        <w:t>(f)</w:t>
      </w:r>
      <w:r>
        <w:rPr>
          <w:snapToGrid w:val="0"/>
        </w:rPr>
        <w:tab/>
        <w:t>that the applicant provides adequate procedures for the resolution of disputes between the applicant and full fee overseas students; and</w:t>
      </w:r>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45" w:name="_Toc378171590"/>
      <w:bookmarkStart w:id="46" w:name="_Toc455394507"/>
      <w:r>
        <w:rPr>
          <w:rStyle w:val="CharSectno"/>
        </w:rPr>
        <w:t>14</w:t>
      </w:r>
      <w:r>
        <w:rPr>
          <w:snapToGrid w:val="0"/>
        </w:rPr>
        <w:t>.</w:t>
      </w:r>
      <w:r>
        <w:rPr>
          <w:snapToGrid w:val="0"/>
        </w:rPr>
        <w:tab/>
        <w:t>Period of registration</w:t>
      </w:r>
      <w:bookmarkEnd w:id="45"/>
      <w:bookmarkEnd w:id="46"/>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 No. 24 of 2000 s. 13(3).]</w:t>
      </w:r>
    </w:p>
    <w:p>
      <w:pPr>
        <w:pStyle w:val="Heading5"/>
        <w:rPr>
          <w:snapToGrid w:val="0"/>
        </w:rPr>
      </w:pPr>
      <w:bookmarkStart w:id="47" w:name="_Toc378171591"/>
      <w:bookmarkStart w:id="48" w:name="_Toc455394508"/>
      <w:r>
        <w:rPr>
          <w:rStyle w:val="CharSectno"/>
        </w:rPr>
        <w:t>15</w:t>
      </w:r>
      <w:r>
        <w:rPr>
          <w:snapToGrid w:val="0"/>
        </w:rPr>
        <w:t>.</w:t>
      </w:r>
      <w:r>
        <w:rPr>
          <w:snapToGrid w:val="0"/>
        </w:rPr>
        <w:tab/>
        <w:t>Conditions of registration</w:t>
      </w:r>
      <w:bookmarkEnd w:id="47"/>
      <w:bookmarkEnd w:id="48"/>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49" w:name="_Toc378171592"/>
      <w:bookmarkStart w:id="50" w:name="_Toc455394509"/>
      <w:r>
        <w:rPr>
          <w:rStyle w:val="CharSectno"/>
        </w:rPr>
        <w:t>16</w:t>
      </w:r>
      <w:r>
        <w:rPr>
          <w:snapToGrid w:val="0"/>
        </w:rPr>
        <w:t>.</w:t>
      </w:r>
      <w:r>
        <w:rPr>
          <w:snapToGrid w:val="0"/>
        </w:rPr>
        <w:tab/>
        <w:t>Safeguarding students’ funds</w:t>
      </w:r>
      <w:bookmarkEnd w:id="49"/>
      <w:bookmarkEnd w:id="50"/>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For the purposes of ensuring that any fees, charges and other moneys (</w:t>
      </w:r>
      <w:r>
        <w:rPr>
          <w:rStyle w:val="CharDefText"/>
        </w:rPr>
        <w:t>students’ funds</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rStyle w:val="CharDefText"/>
        </w:rPr>
        <w:t>approved account</w:t>
      </w:r>
      <w:r>
        <w:rPr>
          <w:snapToGrid w:val="0"/>
        </w:rPr>
        <w:t xml:space="preserve">), or, into a trust account nominated by the chief executive officer, (an </w:t>
      </w:r>
      <w:r>
        <w:rPr>
          <w:rStyle w:val="CharDefText"/>
        </w:rPr>
        <w:t>approved trust account</w:t>
      </w:r>
      <w:r>
        <w:rPr>
          <w:snapToGrid w:val="0"/>
        </w:rPr>
        <w:t>), or both.</w:t>
      </w:r>
    </w:p>
    <w:p>
      <w:pPr>
        <w:pStyle w:val="Subsection"/>
        <w:keepNext/>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keepNext/>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51" w:name="_Toc378171593"/>
      <w:bookmarkStart w:id="52" w:name="_Toc455394510"/>
      <w:r>
        <w:rPr>
          <w:rStyle w:val="CharSectno"/>
        </w:rPr>
        <w:t>17</w:t>
      </w:r>
      <w:r>
        <w:rPr>
          <w:snapToGrid w:val="0"/>
        </w:rPr>
        <w:t>.</w:t>
      </w:r>
      <w:r>
        <w:rPr>
          <w:snapToGrid w:val="0"/>
        </w:rPr>
        <w:tab/>
        <w:t>Certificates of registration, issue of</w:t>
      </w:r>
      <w:bookmarkEnd w:id="51"/>
      <w:bookmarkEnd w:id="52"/>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 and</w:t>
      </w:r>
    </w:p>
    <w:p>
      <w:pPr>
        <w:pStyle w:val="Indenta"/>
        <w:rPr>
          <w:snapToGrid w:val="0"/>
        </w:rPr>
      </w:pPr>
      <w:r>
        <w:rPr>
          <w:snapToGrid w:val="0"/>
        </w:rPr>
        <w:tab/>
        <w:t>(b)</w:t>
      </w:r>
      <w:r>
        <w:rPr>
          <w:snapToGrid w:val="0"/>
        </w:rPr>
        <w:tab/>
        <w:t>the education service in relation to which registration is granted; and</w:t>
      </w:r>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53" w:name="_Toc378171594"/>
      <w:bookmarkStart w:id="54" w:name="_Toc455394511"/>
      <w:r>
        <w:rPr>
          <w:rStyle w:val="CharSectno"/>
        </w:rPr>
        <w:t>18</w:t>
      </w:r>
      <w:r>
        <w:rPr>
          <w:snapToGrid w:val="0"/>
        </w:rPr>
        <w:t>.</w:t>
      </w:r>
      <w:r>
        <w:rPr>
          <w:snapToGrid w:val="0"/>
        </w:rPr>
        <w:tab/>
        <w:t>Amending registration certificates; changes of particulars to be notified to CEO etc.</w:t>
      </w:r>
      <w:bookmarkEnd w:id="53"/>
      <w:bookmarkEnd w:id="54"/>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 No. 24 of 2000 s. 13(5).]</w:t>
      </w:r>
    </w:p>
    <w:p>
      <w:pPr>
        <w:pStyle w:val="Heading3"/>
        <w:rPr>
          <w:snapToGrid w:val="0"/>
        </w:rPr>
      </w:pPr>
      <w:bookmarkStart w:id="55" w:name="_Toc378171595"/>
      <w:bookmarkStart w:id="56" w:name="_Toc416686291"/>
      <w:bookmarkStart w:id="57" w:name="_Toc416686351"/>
      <w:bookmarkStart w:id="58" w:name="_Toc455394512"/>
      <w:r>
        <w:rPr>
          <w:rStyle w:val="CharDivNo"/>
        </w:rPr>
        <w:t>Division 3</w:t>
      </w:r>
      <w:r>
        <w:rPr>
          <w:snapToGrid w:val="0"/>
        </w:rPr>
        <w:t> — </w:t>
      </w:r>
      <w:r>
        <w:rPr>
          <w:rStyle w:val="CharDivText"/>
        </w:rPr>
        <w:t>Statutory education service providers</w:t>
      </w:r>
      <w:bookmarkEnd w:id="55"/>
      <w:bookmarkEnd w:id="56"/>
      <w:bookmarkEnd w:id="57"/>
      <w:bookmarkEnd w:id="58"/>
      <w:r>
        <w:rPr>
          <w:rStyle w:val="CharDivText"/>
        </w:rPr>
        <w:t xml:space="preserve"> </w:t>
      </w:r>
    </w:p>
    <w:p>
      <w:pPr>
        <w:pStyle w:val="Heading5"/>
        <w:rPr>
          <w:snapToGrid w:val="0"/>
        </w:rPr>
      </w:pPr>
      <w:bookmarkStart w:id="59" w:name="_Toc378171596"/>
      <w:bookmarkStart w:id="60" w:name="_Toc455394513"/>
      <w:r>
        <w:rPr>
          <w:rStyle w:val="CharSectno"/>
        </w:rPr>
        <w:t>19</w:t>
      </w:r>
      <w:r>
        <w:rPr>
          <w:snapToGrid w:val="0"/>
        </w:rPr>
        <w:t>.</w:t>
      </w:r>
      <w:r>
        <w:rPr>
          <w:snapToGrid w:val="0"/>
        </w:rPr>
        <w:tab/>
        <w:t>Application of Division</w:t>
      </w:r>
      <w:bookmarkEnd w:id="59"/>
      <w:bookmarkEnd w:id="60"/>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61" w:name="_Toc378171597"/>
      <w:bookmarkStart w:id="62" w:name="_Toc455394514"/>
      <w:r>
        <w:rPr>
          <w:rStyle w:val="CharSectno"/>
        </w:rPr>
        <w:t>20</w:t>
      </w:r>
      <w:r>
        <w:rPr>
          <w:snapToGrid w:val="0"/>
        </w:rPr>
        <w:t>.</w:t>
      </w:r>
      <w:r>
        <w:rPr>
          <w:snapToGrid w:val="0"/>
        </w:rPr>
        <w:tab/>
        <w:t>Statutory education service providers deemed to be registered; exceptions</w:t>
      </w:r>
      <w:bookmarkEnd w:id="61"/>
      <w:bookmarkEnd w:id="62"/>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63" w:name="_Toc378171598"/>
      <w:bookmarkStart w:id="64" w:name="_Toc416686294"/>
      <w:bookmarkStart w:id="65" w:name="_Toc416686354"/>
      <w:bookmarkStart w:id="66" w:name="_Toc455394515"/>
      <w:r>
        <w:rPr>
          <w:rStyle w:val="CharPartNo"/>
        </w:rPr>
        <w:t>Part 3</w:t>
      </w:r>
      <w:r>
        <w:rPr>
          <w:rStyle w:val="CharDivNo"/>
        </w:rPr>
        <w:t> </w:t>
      </w:r>
      <w:r>
        <w:t>—</w:t>
      </w:r>
      <w:r>
        <w:rPr>
          <w:rStyle w:val="CharDivText"/>
        </w:rPr>
        <w:t> </w:t>
      </w:r>
      <w:r>
        <w:rPr>
          <w:rStyle w:val="CharPartText"/>
        </w:rPr>
        <w:t>Audit</w:t>
      </w:r>
      <w:bookmarkEnd w:id="63"/>
      <w:bookmarkEnd w:id="64"/>
      <w:bookmarkEnd w:id="65"/>
      <w:bookmarkEnd w:id="66"/>
      <w:r>
        <w:rPr>
          <w:rStyle w:val="CharPartText"/>
        </w:rPr>
        <w:t xml:space="preserve"> </w:t>
      </w:r>
    </w:p>
    <w:p>
      <w:pPr>
        <w:pStyle w:val="Heading5"/>
        <w:rPr>
          <w:snapToGrid w:val="0"/>
        </w:rPr>
      </w:pPr>
      <w:bookmarkStart w:id="67" w:name="_Toc378171599"/>
      <w:bookmarkStart w:id="68" w:name="_Toc455394516"/>
      <w:r>
        <w:rPr>
          <w:rStyle w:val="CharSectno"/>
        </w:rPr>
        <w:t>21</w:t>
      </w:r>
      <w:r>
        <w:rPr>
          <w:snapToGrid w:val="0"/>
        </w:rPr>
        <w:t>.</w:t>
      </w:r>
      <w:r>
        <w:rPr>
          <w:snapToGrid w:val="0"/>
        </w:rPr>
        <w:tab/>
        <w:t>Application of Part</w:t>
      </w:r>
      <w:bookmarkEnd w:id="67"/>
      <w:bookmarkEnd w:id="68"/>
    </w:p>
    <w:p>
      <w:pPr>
        <w:pStyle w:val="Subsection"/>
        <w:rPr>
          <w:snapToGrid w:val="0"/>
        </w:rPr>
      </w:pPr>
      <w:r>
        <w:rPr>
          <w:snapToGrid w:val="0"/>
        </w:rPr>
        <w:tab/>
      </w:r>
      <w:r>
        <w:rPr>
          <w:snapToGrid w:val="0"/>
        </w:rPr>
        <w:tab/>
        <w:t>This Part does not apply to a statutory education service provider.</w:t>
      </w:r>
    </w:p>
    <w:p>
      <w:pPr>
        <w:pStyle w:val="Heading5"/>
        <w:rPr>
          <w:snapToGrid w:val="0"/>
        </w:rPr>
      </w:pPr>
      <w:bookmarkStart w:id="69" w:name="_Toc378171600"/>
      <w:bookmarkStart w:id="70" w:name="_Toc455394517"/>
      <w:r>
        <w:rPr>
          <w:rStyle w:val="CharSectno"/>
        </w:rPr>
        <w:t>22</w:t>
      </w:r>
      <w:r>
        <w:rPr>
          <w:snapToGrid w:val="0"/>
        </w:rPr>
        <w:t>.</w:t>
      </w:r>
      <w:r>
        <w:rPr>
          <w:snapToGrid w:val="0"/>
        </w:rPr>
        <w:tab/>
        <w:t>Auditors to be appointed by education service providers</w:t>
      </w:r>
      <w:bookmarkEnd w:id="69"/>
      <w:bookmarkEnd w:id="70"/>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 No. 10 of 2001 s. 62.]</w:t>
      </w:r>
    </w:p>
    <w:p>
      <w:pPr>
        <w:pStyle w:val="Heading5"/>
      </w:pPr>
      <w:bookmarkStart w:id="71" w:name="_Toc378171601"/>
      <w:bookmarkStart w:id="72" w:name="_Toc455394518"/>
      <w:r>
        <w:rPr>
          <w:rStyle w:val="CharSectno"/>
        </w:rPr>
        <w:t>23</w:t>
      </w:r>
      <w:r>
        <w:t>.</w:t>
      </w:r>
      <w:r>
        <w:tab/>
        <w:t>Audit of education service provider’s accounts, CEO may require</w:t>
      </w:r>
      <w:bookmarkEnd w:id="71"/>
      <w:bookmarkEnd w:id="72"/>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keepNext/>
        <w:rPr>
          <w:snapToGrid w:val="0"/>
        </w:rPr>
      </w:pPr>
      <w:r>
        <w:rPr>
          <w:snapToGrid w:val="0"/>
        </w:rPr>
        <w:tab/>
        <w:t>(2)</w:t>
      </w:r>
      <w:r>
        <w:rPr>
          <w:snapToGrid w:val="0"/>
        </w:rPr>
        <w:tab/>
        <w:t>An education service provider shall comply with a requirement under subsection (1).</w:t>
      </w:r>
    </w:p>
    <w:p>
      <w:pPr>
        <w:pStyle w:val="Footnotesection"/>
      </w:pPr>
      <w:r>
        <w:tab/>
        <w:t>[Section 23 inserted: No. 24 of 2000 s. 13(6).]</w:t>
      </w:r>
    </w:p>
    <w:p>
      <w:pPr>
        <w:pStyle w:val="Heading5"/>
        <w:rPr>
          <w:snapToGrid w:val="0"/>
        </w:rPr>
      </w:pPr>
      <w:bookmarkStart w:id="73" w:name="_Toc378171602"/>
      <w:bookmarkStart w:id="74" w:name="_Toc455394519"/>
      <w:r>
        <w:rPr>
          <w:rStyle w:val="CharSectno"/>
        </w:rPr>
        <w:t>24</w:t>
      </w:r>
      <w:r>
        <w:rPr>
          <w:snapToGrid w:val="0"/>
        </w:rPr>
        <w:t>.</w:t>
      </w:r>
      <w:r>
        <w:rPr>
          <w:snapToGrid w:val="0"/>
        </w:rPr>
        <w:tab/>
        <w:t>Auditor to conduct audit according to accepted auditing practice</w:t>
      </w:r>
      <w:bookmarkEnd w:id="73"/>
      <w:bookmarkEnd w:id="74"/>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75" w:name="_Toc378171603"/>
      <w:bookmarkStart w:id="76" w:name="_Toc455394520"/>
      <w:r>
        <w:rPr>
          <w:rStyle w:val="CharSectno"/>
        </w:rPr>
        <w:t>25</w:t>
      </w:r>
      <w:r>
        <w:rPr>
          <w:snapToGrid w:val="0"/>
        </w:rPr>
        <w:t>.</w:t>
      </w:r>
      <w:r>
        <w:rPr>
          <w:snapToGrid w:val="0"/>
        </w:rPr>
        <w:tab/>
        <w:t>Auditor to report material irregularity</w:t>
      </w:r>
      <w:bookmarkEnd w:id="75"/>
      <w:bookmarkEnd w:id="76"/>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77" w:name="_Toc378171604"/>
      <w:bookmarkStart w:id="78" w:name="_Toc455394521"/>
      <w:r>
        <w:rPr>
          <w:rStyle w:val="CharSectno"/>
        </w:rPr>
        <w:t>26</w:t>
      </w:r>
      <w:r>
        <w:rPr>
          <w:snapToGrid w:val="0"/>
        </w:rPr>
        <w:t>.</w:t>
      </w:r>
      <w:r>
        <w:rPr>
          <w:snapToGrid w:val="0"/>
        </w:rPr>
        <w:tab/>
        <w:t>Duty of care by auditor</w:t>
      </w:r>
      <w:bookmarkEnd w:id="77"/>
      <w:bookmarkEnd w:id="78"/>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79" w:name="_Toc378171605"/>
      <w:bookmarkStart w:id="80" w:name="_Toc455394522"/>
      <w:r>
        <w:rPr>
          <w:rStyle w:val="CharSectno"/>
        </w:rPr>
        <w:t>27</w:t>
      </w:r>
      <w:r>
        <w:rPr>
          <w:snapToGrid w:val="0"/>
        </w:rPr>
        <w:t>.</w:t>
      </w:r>
      <w:r>
        <w:rPr>
          <w:snapToGrid w:val="0"/>
        </w:rPr>
        <w:tab/>
        <w:t>Auditor to give further information if required by CEO</w:t>
      </w:r>
      <w:bookmarkEnd w:id="79"/>
      <w:bookmarkEnd w:id="80"/>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81" w:name="_Toc378171606"/>
      <w:bookmarkStart w:id="82" w:name="_Toc455394523"/>
      <w:r>
        <w:rPr>
          <w:rStyle w:val="CharSectno"/>
        </w:rPr>
        <w:t>28</w:t>
      </w:r>
      <w:r>
        <w:rPr>
          <w:snapToGrid w:val="0"/>
        </w:rPr>
        <w:t>.</w:t>
      </w:r>
      <w:r>
        <w:rPr>
          <w:snapToGrid w:val="0"/>
        </w:rPr>
        <w:tab/>
        <w:t>Penalty for breach of s. 24, 25 or 26</w:t>
      </w:r>
      <w:bookmarkEnd w:id="81"/>
      <w:bookmarkEnd w:id="82"/>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83" w:name="_Toc378171607"/>
      <w:bookmarkStart w:id="84" w:name="_Toc455394524"/>
      <w:r>
        <w:rPr>
          <w:rStyle w:val="CharSectno"/>
        </w:rPr>
        <w:t>29</w:t>
      </w:r>
      <w:r>
        <w:rPr>
          <w:snapToGrid w:val="0"/>
        </w:rPr>
        <w:t>.</w:t>
      </w:r>
      <w:r>
        <w:rPr>
          <w:snapToGrid w:val="0"/>
        </w:rPr>
        <w:tab/>
        <w:t>Defence to charge of offence under s. 24, 26 or 27</w:t>
      </w:r>
      <w:bookmarkEnd w:id="83"/>
      <w:bookmarkEnd w:id="84"/>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85" w:name="_Toc378171608"/>
      <w:bookmarkStart w:id="86" w:name="_Toc455394525"/>
      <w:r>
        <w:rPr>
          <w:rStyle w:val="CharSectno"/>
        </w:rPr>
        <w:t>30</w:t>
      </w:r>
      <w:r>
        <w:rPr>
          <w:snapToGrid w:val="0"/>
        </w:rPr>
        <w:t>.</w:t>
      </w:r>
      <w:r>
        <w:rPr>
          <w:snapToGrid w:val="0"/>
        </w:rPr>
        <w:tab/>
        <w:t>Exemptions from this Part</w:t>
      </w:r>
      <w:bookmarkEnd w:id="85"/>
      <w:bookmarkEnd w:id="86"/>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87" w:name="_Toc378171609"/>
      <w:bookmarkStart w:id="88" w:name="_Toc416686305"/>
      <w:bookmarkStart w:id="89" w:name="_Toc416686365"/>
      <w:bookmarkStart w:id="90" w:name="_Toc455394526"/>
      <w:r>
        <w:rPr>
          <w:rStyle w:val="CharPartNo"/>
        </w:rPr>
        <w:t>Part 4</w:t>
      </w:r>
      <w:r>
        <w:rPr>
          <w:rStyle w:val="CharDivNo"/>
        </w:rPr>
        <w:t> </w:t>
      </w:r>
      <w:r>
        <w:t>—</w:t>
      </w:r>
      <w:r>
        <w:rPr>
          <w:rStyle w:val="CharDivText"/>
        </w:rPr>
        <w:t> </w:t>
      </w:r>
      <w:r>
        <w:rPr>
          <w:rStyle w:val="CharPartText"/>
        </w:rPr>
        <w:t>Investigation and inquiry</w:t>
      </w:r>
      <w:bookmarkEnd w:id="87"/>
      <w:bookmarkEnd w:id="88"/>
      <w:bookmarkEnd w:id="89"/>
      <w:bookmarkEnd w:id="90"/>
      <w:r>
        <w:rPr>
          <w:rStyle w:val="CharPartText"/>
        </w:rPr>
        <w:t xml:space="preserve"> </w:t>
      </w:r>
    </w:p>
    <w:p>
      <w:pPr>
        <w:pStyle w:val="Heading5"/>
        <w:rPr>
          <w:snapToGrid w:val="0"/>
        </w:rPr>
      </w:pPr>
      <w:bookmarkStart w:id="91" w:name="_Toc378171610"/>
      <w:bookmarkStart w:id="92" w:name="_Toc455394527"/>
      <w:r>
        <w:rPr>
          <w:rStyle w:val="CharSectno"/>
        </w:rPr>
        <w:t>31</w:t>
      </w:r>
      <w:r>
        <w:rPr>
          <w:snapToGrid w:val="0"/>
        </w:rPr>
        <w:t>.</w:t>
      </w:r>
      <w:r>
        <w:rPr>
          <w:snapToGrid w:val="0"/>
        </w:rPr>
        <w:tab/>
        <w:t>Purposes of investigations and inquiries</w:t>
      </w:r>
      <w:bookmarkEnd w:id="91"/>
      <w:bookmarkEnd w:id="92"/>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93" w:name="_Toc378171611"/>
      <w:bookmarkStart w:id="94" w:name="_Toc455394528"/>
      <w:r>
        <w:rPr>
          <w:rStyle w:val="CharSectno"/>
        </w:rPr>
        <w:t>32</w:t>
      </w:r>
      <w:r>
        <w:rPr>
          <w:snapToGrid w:val="0"/>
        </w:rPr>
        <w:t>.</w:t>
      </w:r>
      <w:r>
        <w:rPr>
          <w:snapToGrid w:val="0"/>
        </w:rPr>
        <w:tab/>
        <w:t>Powers of the CEO and authorised persons to investigate</w:t>
      </w:r>
      <w:bookmarkEnd w:id="93"/>
      <w:bookmarkEnd w:id="94"/>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pPr>
      <w:r>
        <w:tab/>
        <w:t>[Section 32 amended: No. 24 of 2005 s. 63.]</w:t>
      </w:r>
    </w:p>
    <w:p>
      <w:pPr>
        <w:pStyle w:val="Heading5"/>
        <w:rPr>
          <w:snapToGrid w:val="0"/>
        </w:rPr>
      </w:pPr>
      <w:bookmarkStart w:id="95" w:name="_Toc378171612"/>
      <w:bookmarkStart w:id="96" w:name="_Toc455394529"/>
      <w:r>
        <w:rPr>
          <w:rStyle w:val="CharSectno"/>
        </w:rPr>
        <w:t>33</w:t>
      </w:r>
      <w:r>
        <w:rPr>
          <w:snapToGrid w:val="0"/>
        </w:rPr>
        <w:t>.</w:t>
      </w:r>
      <w:r>
        <w:rPr>
          <w:snapToGrid w:val="0"/>
        </w:rPr>
        <w:tab/>
        <w:t>Incriminating information, questions, or documents</w:t>
      </w:r>
      <w:bookmarkEnd w:id="95"/>
      <w:bookmarkEnd w:id="96"/>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97" w:name="_Toc378171613"/>
      <w:bookmarkStart w:id="98" w:name="_Toc455394530"/>
      <w:r>
        <w:rPr>
          <w:rStyle w:val="CharSectno"/>
        </w:rPr>
        <w:t>34</w:t>
      </w:r>
      <w:r>
        <w:rPr>
          <w:snapToGrid w:val="0"/>
        </w:rPr>
        <w:t>.</w:t>
      </w:r>
      <w:r>
        <w:rPr>
          <w:snapToGrid w:val="0"/>
        </w:rPr>
        <w:tab/>
        <w:t>Failure to comply with requirement made under s. 32</w:t>
      </w:r>
      <w:bookmarkEnd w:id="97"/>
      <w:bookmarkEnd w:id="98"/>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99" w:name="_Toc378171614"/>
      <w:bookmarkStart w:id="100" w:name="_Toc455394531"/>
      <w:r>
        <w:rPr>
          <w:rStyle w:val="CharSectno"/>
        </w:rPr>
        <w:t>35</w:t>
      </w:r>
      <w:r>
        <w:rPr>
          <w:snapToGrid w:val="0"/>
        </w:rPr>
        <w:t>.</w:t>
      </w:r>
      <w:r>
        <w:rPr>
          <w:snapToGrid w:val="0"/>
        </w:rPr>
        <w:tab/>
        <w:t>Obstruction of CEO or authorised person</w:t>
      </w:r>
      <w:bookmarkEnd w:id="99"/>
      <w:bookmarkEnd w:id="100"/>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101" w:name="_Toc378171615"/>
      <w:bookmarkStart w:id="102" w:name="_Toc455394532"/>
      <w:r>
        <w:rPr>
          <w:rStyle w:val="CharSectno"/>
        </w:rPr>
        <w:t>36</w:t>
      </w:r>
      <w:r>
        <w:rPr>
          <w:snapToGrid w:val="0"/>
        </w:rPr>
        <w:t>.</w:t>
      </w:r>
      <w:r>
        <w:rPr>
          <w:snapToGrid w:val="0"/>
        </w:rPr>
        <w:tab/>
        <w:t>Reasons for decision by CEO to be given</w:t>
      </w:r>
      <w:bookmarkEnd w:id="101"/>
      <w:bookmarkEnd w:id="102"/>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snapToGrid w:val="0"/>
        </w:rPr>
      </w:pPr>
      <w:bookmarkStart w:id="103" w:name="_Toc378171616"/>
      <w:bookmarkStart w:id="104" w:name="_Toc455394533"/>
      <w:r>
        <w:rPr>
          <w:rStyle w:val="CharSectno"/>
        </w:rPr>
        <w:t>37</w:t>
      </w:r>
      <w:r>
        <w:rPr>
          <w:snapToGrid w:val="0"/>
        </w:rPr>
        <w:t>.</w:t>
      </w:r>
      <w:r>
        <w:rPr>
          <w:snapToGrid w:val="0"/>
        </w:rPr>
        <w:tab/>
        <w:t>Disciplinary action against education service providers</w:t>
      </w:r>
      <w:bookmarkEnd w:id="103"/>
      <w:bookmarkEnd w:id="104"/>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 or</w:t>
      </w:r>
    </w:p>
    <w:p>
      <w:pPr>
        <w:pStyle w:val="Indenta"/>
        <w:rPr>
          <w:snapToGrid w:val="0"/>
        </w:rPr>
      </w:pPr>
      <w:r>
        <w:rPr>
          <w:snapToGrid w:val="0"/>
        </w:rPr>
        <w:tab/>
        <w:t>(b)</w:t>
      </w:r>
      <w:r>
        <w:rPr>
          <w:snapToGrid w:val="0"/>
        </w:rPr>
        <w:tab/>
        <w:t>initiate legal action in an appropriate court of law; or</w:t>
      </w:r>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105" w:name="_Toc378171617"/>
      <w:bookmarkStart w:id="106" w:name="_Toc455394534"/>
      <w:r>
        <w:rPr>
          <w:rStyle w:val="CharSectno"/>
        </w:rPr>
        <w:t>38</w:t>
      </w:r>
      <w:r>
        <w:rPr>
          <w:snapToGrid w:val="0"/>
        </w:rPr>
        <w:t>.</w:t>
      </w:r>
      <w:r>
        <w:rPr>
          <w:snapToGrid w:val="0"/>
        </w:rPr>
        <w:tab/>
        <w:t>Appeals against CEO’s decisions</w:t>
      </w:r>
      <w:bookmarkEnd w:id="105"/>
      <w:bookmarkEnd w:id="106"/>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107" w:name="_Toc378171618"/>
      <w:bookmarkStart w:id="108" w:name="_Toc416686314"/>
      <w:bookmarkStart w:id="109" w:name="_Toc416686374"/>
      <w:bookmarkStart w:id="110" w:name="_Toc455394535"/>
      <w:r>
        <w:rPr>
          <w:rStyle w:val="CharPartNo"/>
        </w:rPr>
        <w:t>Part 5</w:t>
      </w:r>
      <w:r>
        <w:rPr>
          <w:rStyle w:val="CharDivNo"/>
        </w:rPr>
        <w:t> </w:t>
      </w:r>
      <w:r>
        <w:t>—</w:t>
      </w:r>
      <w:r>
        <w:rPr>
          <w:rStyle w:val="CharDivText"/>
        </w:rPr>
        <w:t> </w:t>
      </w:r>
      <w:r>
        <w:rPr>
          <w:rStyle w:val="CharPartText"/>
        </w:rPr>
        <w:t>Miscellaneous</w:t>
      </w:r>
      <w:bookmarkEnd w:id="107"/>
      <w:bookmarkEnd w:id="108"/>
      <w:bookmarkEnd w:id="109"/>
      <w:bookmarkEnd w:id="110"/>
      <w:r>
        <w:rPr>
          <w:rStyle w:val="CharPartText"/>
        </w:rPr>
        <w:t xml:space="preserve"> </w:t>
      </w:r>
    </w:p>
    <w:p>
      <w:pPr>
        <w:pStyle w:val="Heading5"/>
        <w:rPr>
          <w:snapToGrid w:val="0"/>
        </w:rPr>
      </w:pPr>
      <w:bookmarkStart w:id="111" w:name="_Toc378171619"/>
      <w:bookmarkStart w:id="112" w:name="_Toc455394536"/>
      <w:r>
        <w:rPr>
          <w:rStyle w:val="CharSectno"/>
        </w:rPr>
        <w:t>39</w:t>
      </w:r>
      <w:r>
        <w:rPr>
          <w:snapToGrid w:val="0"/>
        </w:rPr>
        <w:t>.</w:t>
      </w:r>
      <w:r>
        <w:rPr>
          <w:snapToGrid w:val="0"/>
        </w:rPr>
        <w:tab/>
        <w:t>Advertisements promoting education services, restrictions as to</w:t>
      </w:r>
      <w:bookmarkEnd w:id="111"/>
      <w:bookmarkEnd w:id="112"/>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published</w:t>
      </w:r>
      <w:r>
        <w:t xml:space="preserve"> includes — </w:t>
      </w:r>
    </w:p>
    <w:p>
      <w:pPr>
        <w:pStyle w:val="Defpara"/>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 xml:space="preserve"> or elsewhere; or</w:t>
      </w:r>
    </w:p>
    <w:p>
      <w:pPr>
        <w:pStyle w:val="Defpara"/>
      </w:pPr>
      <w:r>
        <w:tab/>
        <w:t>(b)</w:t>
      </w:r>
      <w:r>
        <w:tab/>
        <w:t>publicly exhibited — </w:t>
      </w:r>
    </w:p>
    <w:p>
      <w:pPr>
        <w:pStyle w:val="Defsubpara"/>
      </w:pPr>
      <w:r>
        <w:tab/>
        <w:t>(i)</w:t>
      </w:r>
      <w:r>
        <w:tab/>
        <w:t>in, on, over or under any building, vehicle, or place (whether a public place or private place, and whether on land or water); or</w:t>
      </w:r>
    </w:p>
    <w:p>
      <w:pPr>
        <w:pStyle w:val="Defsubpara"/>
      </w:pPr>
      <w:r>
        <w:tab/>
        <w:t>(ii)</w:t>
      </w:r>
      <w:r>
        <w:tab/>
        <w:t>in the air, in view of persons being or passing in or on any public place;</w:t>
      </w:r>
    </w:p>
    <w:p>
      <w:pPr>
        <w:pStyle w:val="Defpara"/>
      </w:pPr>
      <w:r>
        <w:tab/>
      </w:r>
      <w:r>
        <w:tab/>
        <w:t>or</w:t>
      </w:r>
    </w:p>
    <w:p>
      <w:pPr>
        <w:pStyle w:val="Defpara"/>
      </w:pPr>
      <w:r>
        <w:tab/>
        <w:t>(c)</w:t>
      </w:r>
      <w:r>
        <w:tab/>
        <w:t>contained in any document gratuitously sent or delivered to any person or thrown or left upon premises in the occupation of any person; or</w:t>
      </w:r>
    </w:p>
    <w:p>
      <w:pPr>
        <w:pStyle w:val="Defpara"/>
      </w:pPr>
      <w:r>
        <w:tab/>
        <w:t>(d)</w:t>
      </w:r>
      <w:r>
        <w:tab/>
        <w:t>made verbally to any person; or</w:t>
      </w:r>
    </w:p>
    <w:p>
      <w:pPr>
        <w:pStyle w:val="Defpara"/>
      </w:pPr>
      <w:r>
        <w:tab/>
        <w:t>(e)</w:t>
      </w:r>
      <w:r>
        <w:tab/>
        <w:t>publicly announced by means of transmission of light or sound,</w:t>
      </w:r>
    </w:p>
    <w:p>
      <w:pPr>
        <w:pStyle w:val="Defstart"/>
      </w:pPr>
      <w:r>
        <w:tab/>
        <w:t>and publishes has a corresponding meaning.</w:t>
      </w:r>
    </w:p>
    <w:p>
      <w:pPr>
        <w:pStyle w:val="Heading5"/>
        <w:rPr>
          <w:snapToGrid w:val="0"/>
        </w:rPr>
      </w:pPr>
      <w:bookmarkStart w:id="113" w:name="_Toc378171620"/>
      <w:bookmarkStart w:id="114" w:name="_Toc455394537"/>
      <w:r>
        <w:rPr>
          <w:rStyle w:val="CharSectno"/>
        </w:rPr>
        <w:t>40</w:t>
      </w:r>
      <w:r>
        <w:rPr>
          <w:snapToGrid w:val="0"/>
        </w:rPr>
        <w:t>.</w:t>
      </w:r>
      <w:r>
        <w:rPr>
          <w:snapToGrid w:val="0"/>
        </w:rPr>
        <w:tab/>
        <w:t>Official information, disclosure of restricted</w:t>
      </w:r>
      <w:bookmarkEnd w:id="113"/>
      <w:bookmarkEnd w:id="114"/>
      <w:r>
        <w:rPr>
          <w:snapToGrid w:val="0"/>
        </w:rPr>
        <w:t xml:space="preserve"> </w:t>
      </w:r>
    </w:p>
    <w:p>
      <w:pPr>
        <w:pStyle w:val="Subsection"/>
        <w:keepNext/>
        <w:spacing w:before="120"/>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chief executive officer; or</w:t>
      </w:r>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spacing w:before="120"/>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r>
        <w:rPr>
          <w:i/>
          <w:iCs/>
        </w:rPr>
        <w:t>Fair Trading Act 2010</w:t>
      </w:r>
      <w:r>
        <w:t>; or</w:t>
      </w:r>
    </w:p>
    <w:p>
      <w:pPr>
        <w:pStyle w:val="Indenta"/>
        <w:rPr>
          <w:snapToGrid w:val="0"/>
        </w:rPr>
      </w:pPr>
      <w:r>
        <w:rPr>
          <w:snapToGrid w:val="0"/>
        </w:rPr>
        <w:tab/>
        <w:t>(b)</w:t>
      </w:r>
      <w:r>
        <w:rPr>
          <w:snapToGrid w:val="0"/>
        </w:rPr>
        <w:tab/>
        <w:t>for the purposes of any proceedings under an Act referred to in paragraph (a);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spacing w:before="60"/>
        <w:rPr>
          <w:snapToGrid w:val="0"/>
        </w:rPr>
      </w:pPr>
      <w:r>
        <w:rPr>
          <w:snapToGrid w:val="0"/>
        </w:rPr>
        <w:tab/>
        <w:t>(i)</w:t>
      </w:r>
      <w:r>
        <w:rPr>
          <w:snapToGrid w:val="0"/>
        </w:rPr>
        <w:tab/>
        <w:t>answering a question asked in a House of Parliament; or</w:t>
      </w:r>
    </w:p>
    <w:p>
      <w:pPr>
        <w:pStyle w:val="Indenti"/>
        <w:spacing w:before="60"/>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Footnotesection"/>
        <w:spacing w:before="60"/>
        <w:ind w:left="890" w:hanging="890"/>
      </w:pPr>
      <w:r>
        <w:tab/>
        <w:t>[Section 40 amended: No. 58 of 2010 s. 195.]</w:t>
      </w:r>
    </w:p>
    <w:p>
      <w:pPr>
        <w:pStyle w:val="Heading5"/>
        <w:rPr>
          <w:snapToGrid w:val="0"/>
        </w:rPr>
      </w:pPr>
      <w:bookmarkStart w:id="115" w:name="_Toc378171621"/>
      <w:bookmarkStart w:id="116" w:name="_Toc455394538"/>
      <w:r>
        <w:rPr>
          <w:rStyle w:val="CharSectno"/>
        </w:rPr>
        <w:t>41</w:t>
      </w:r>
      <w:r>
        <w:rPr>
          <w:snapToGrid w:val="0"/>
        </w:rPr>
        <w:t>.</w:t>
      </w:r>
      <w:r>
        <w:rPr>
          <w:snapToGrid w:val="0"/>
        </w:rPr>
        <w:tab/>
        <w:t>Register of education service providers</w:t>
      </w:r>
      <w:bookmarkEnd w:id="115"/>
      <w:bookmarkEnd w:id="116"/>
      <w:r>
        <w:rPr>
          <w:snapToGrid w:val="0"/>
        </w:rPr>
        <w:t xml:space="preserve"> </w:t>
      </w:r>
    </w:p>
    <w:p>
      <w:pPr>
        <w:pStyle w:val="Subsection"/>
        <w:spacing w:before="180"/>
        <w:rPr>
          <w:snapToGrid w:val="0"/>
        </w:rPr>
      </w:pPr>
      <w:r>
        <w:rPr>
          <w:snapToGrid w:val="0"/>
        </w:rPr>
        <w:tab/>
        <w:t>(1)</w:t>
      </w:r>
      <w:r>
        <w:rPr>
          <w:snapToGrid w:val="0"/>
        </w:rPr>
        <w:tab/>
        <w:t>The chief executive officer shall cause a register to be kept of education service providers registered under this Act.</w:t>
      </w:r>
    </w:p>
    <w:p>
      <w:pPr>
        <w:pStyle w:val="Subsection"/>
        <w:spacing w:before="180"/>
        <w:rPr>
          <w:snapToGrid w:val="0"/>
        </w:rPr>
      </w:pPr>
      <w:r>
        <w:rPr>
          <w:snapToGrid w:val="0"/>
        </w:rPr>
        <w:tab/>
        <w:t>(2)</w:t>
      </w:r>
      <w:r>
        <w:rPr>
          <w:snapToGrid w:val="0"/>
        </w:rPr>
        <w:tab/>
        <w:t>The register shall contain such particulars as are prescribed.</w:t>
      </w:r>
    </w:p>
    <w:p>
      <w:pPr>
        <w:pStyle w:val="Heading5"/>
        <w:spacing w:before="240"/>
        <w:rPr>
          <w:snapToGrid w:val="0"/>
        </w:rPr>
      </w:pPr>
      <w:bookmarkStart w:id="117" w:name="_Toc378171622"/>
      <w:bookmarkStart w:id="118" w:name="_Toc455394539"/>
      <w:r>
        <w:rPr>
          <w:rStyle w:val="CharSectno"/>
        </w:rPr>
        <w:t>42</w:t>
      </w:r>
      <w:r>
        <w:rPr>
          <w:snapToGrid w:val="0"/>
        </w:rPr>
        <w:t>.</w:t>
      </w:r>
      <w:r>
        <w:rPr>
          <w:snapToGrid w:val="0"/>
        </w:rPr>
        <w:tab/>
        <w:t>Delegation powers of Minister and CEO</w:t>
      </w:r>
      <w:bookmarkEnd w:id="117"/>
      <w:bookmarkEnd w:id="118"/>
    </w:p>
    <w:p>
      <w:pPr>
        <w:pStyle w:val="Subsection"/>
        <w:spacing w:before="180"/>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spacing w:before="180"/>
        <w:rPr>
          <w:snapToGrid w:val="0"/>
        </w:rPr>
      </w:pPr>
      <w:r>
        <w:rPr>
          <w:snapToGrid w:val="0"/>
        </w:rPr>
        <w:tab/>
        <w:t>(2)</w:t>
      </w:r>
      <w:r>
        <w:rPr>
          <w:snapToGrid w:val="0"/>
        </w:rPr>
        <w:tab/>
        <w:t>Notwithstanding (1) above the Minister may not delegate the power to hear appeals under section 38.</w:t>
      </w:r>
    </w:p>
    <w:p>
      <w:pPr>
        <w:pStyle w:val="Heading5"/>
        <w:spacing w:before="240"/>
        <w:rPr>
          <w:snapToGrid w:val="0"/>
        </w:rPr>
      </w:pPr>
      <w:bookmarkStart w:id="119" w:name="_Toc378171623"/>
      <w:bookmarkStart w:id="120" w:name="_Toc455394540"/>
      <w:r>
        <w:rPr>
          <w:rStyle w:val="CharSectno"/>
        </w:rPr>
        <w:t>43</w:t>
      </w:r>
      <w:r>
        <w:rPr>
          <w:snapToGrid w:val="0"/>
        </w:rPr>
        <w:t>.</w:t>
      </w:r>
      <w:r>
        <w:rPr>
          <w:snapToGrid w:val="0"/>
        </w:rPr>
        <w:tab/>
        <w:t>Advisory committee, appointment of</w:t>
      </w:r>
      <w:bookmarkEnd w:id="119"/>
      <w:bookmarkEnd w:id="120"/>
      <w:r>
        <w:rPr>
          <w:snapToGrid w:val="0"/>
        </w:rPr>
        <w:t xml:space="preserve"> </w:t>
      </w:r>
    </w:p>
    <w:p>
      <w:pPr>
        <w:pStyle w:val="Subsection"/>
        <w:spacing w:before="180"/>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spacing w:before="180"/>
        <w:rPr>
          <w:snapToGrid w:val="0"/>
        </w:rPr>
      </w:pPr>
      <w:r>
        <w:rPr>
          <w:snapToGrid w:val="0"/>
        </w:rPr>
        <w:tab/>
        <w:t>(2)</w:t>
      </w:r>
      <w:r>
        <w:rPr>
          <w:snapToGrid w:val="0"/>
        </w:rPr>
        <w:tab/>
        <w:t>The Minister may refer any matter relating to the administration of this Act to the committee appointed under subsection (1).</w:t>
      </w:r>
    </w:p>
    <w:p>
      <w:pPr>
        <w:pStyle w:val="Footnotesection"/>
      </w:pPr>
      <w:r>
        <w:tab/>
        <w:t>[Section 43 amended: No. 24 of 2000 s. 13(7).]</w:t>
      </w:r>
    </w:p>
    <w:p>
      <w:pPr>
        <w:pStyle w:val="Heading5"/>
        <w:spacing w:before="240"/>
        <w:rPr>
          <w:snapToGrid w:val="0"/>
        </w:rPr>
      </w:pPr>
      <w:bookmarkStart w:id="121" w:name="_Toc378171624"/>
      <w:bookmarkStart w:id="122" w:name="_Toc455394541"/>
      <w:r>
        <w:rPr>
          <w:rStyle w:val="CharSectno"/>
        </w:rPr>
        <w:t>44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1"/>
      <w:bookmarkEnd w:id="122"/>
    </w:p>
    <w:p>
      <w:pPr>
        <w:pStyle w:val="Subsection"/>
        <w:spacing w:before="18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Footnotesection"/>
      </w:pPr>
      <w:r>
        <w:tab/>
        <w:t>[Section 44 amended: No. 77 of 2006 Sch. 1 cl. 50.]</w:t>
      </w:r>
    </w:p>
    <w:p>
      <w:pPr>
        <w:pStyle w:val="Heading5"/>
        <w:rPr>
          <w:snapToGrid w:val="0"/>
        </w:rPr>
      </w:pPr>
      <w:bookmarkStart w:id="123" w:name="_Toc378171625"/>
      <w:bookmarkStart w:id="124" w:name="_Toc455394542"/>
      <w:r>
        <w:rPr>
          <w:rStyle w:val="CharSectno"/>
        </w:rPr>
        <w:t>45</w:t>
      </w:r>
      <w:r>
        <w:rPr>
          <w:snapToGrid w:val="0"/>
        </w:rPr>
        <w:t>.</w:t>
      </w:r>
      <w:r>
        <w:rPr>
          <w:snapToGrid w:val="0"/>
        </w:rPr>
        <w:tab/>
        <w:t>Protection from liability</w:t>
      </w:r>
      <w:bookmarkEnd w:id="123"/>
      <w:bookmarkEnd w:id="124"/>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snapToGrid w:val="0"/>
        </w:rPr>
      </w:pPr>
      <w:bookmarkStart w:id="125" w:name="_Toc378171626"/>
      <w:bookmarkStart w:id="126" w:name="_Toc455394543"/>
      <w:r>
        <w:rPr>
          <w:rStyle w:val="CharSectno"/>
        </w:rPr>
        <w:t>46</w:t>
      </w:r>
      <w:r>
        <w:rPr>
          <w:snapToGrid w:val="0"/>
        </w:rPr>
        <w:t>.</w:t>
      </w:r>
      <w:r>
        <w:rPr>
          <w:snapToGrid w:val="0"/>
        </w:rPr>
        <w:tab/>
        <w:t>Liability of directors etc. and corporations</w:t>
      </w:r>
      <w:bookmarkEnd w:id="125"/>
      <w:bookmarkEnd w:id="126"/>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127" w:name="_Toc378171627"/>
      <w:bookmarkStart w:id="128" w:name="_Toc455394544"/>
      <w:r>
        <w:rPr>
          <w:rStyle w:val="CharSectno"/>
        </w:rPr>
        <w:t>47</w:t>
      </w:r>
      <w:r>
        <w:rPr>
          <w:snapToGrid w:val="0"/>
        </w:rPr>
        <w:t>.</w:t>
      </w:r>
      <w:r>
        <w:rPr>
          <w:snapToGrid w:val="0"/>
        </w:rPr>
        <w:tab/>
        <w:t>Consent required for prosecutions</w:t>
      </w:r>
      <w:bookmarkEnd w:id="127"/>
      <w:bookmarkEnd w:id="128"/>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129" w:name="_Toc378171628"/>
      <w:bookmarkStart w:id="130" w:name="_Toc455394545"/>
      <w:r>
        <w:rPr>
          <w:rStyle w:val="CharSectno"/>
        </w:rPr>
        <w:t>48</w:t>
      </w:r>
      <w:r>
        <w:rPr>
          <w:snapToGrid w:val="0"/>
        </w:rPr>
        <w:t>.</w:t>
      </w:r>
      <w:r>
        <w:rPr>
          <w:snapToGrid w:val="0"/>
        </w:rPr>
        <w:tab/>
        <w:t>Penalties</w:t>
      </w:r>
      <w:bookmarkEnd w:id="129"/>
      <w:bookmarkEnd w:id="130"/>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131" w:name="_Toc378171629"/>
      <w:bookmarkStart w:id="132" w:name="_Toc455394546"/>
      <w:r>
        <w:rPr>
          <w:rStyle w:val="CharSectno"/>
        </w:rPr>
        <w:t>49</w:t>
      </w:r>
      <w:r>
        <w:rPr>
          <w:snapToGrid w:val="0"/>
        </w:rPr>
        <w:t>.</w:t>
      </w:r>
      <w:r>
        <w:rPr>
          <w:snapToGrid w:val="0"/>
        </w:rPr>
        <w:tab/>
        <w:t>Regulations</w:t>
      </w:r>
      <w:bookmarkEnd w:id="131"/>
      <w:bookmarkEnd w:id="1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 and</w:t>
      </w:r>
    </w:p>
    <w:p>
      <w:pPr>
        <w:pStyle w:val="Indenta"/>
        <w:rPr>
          <w:snapToGrid w:val="0"/>
        </w:rPr>
      </w:pPr>
      <w:r>
        <w:rPr>
          <w:snapToGrid w:val="0"/>
        </w:rPr>
        <w:tab/>
        <w:t>(b)</w:t>
      </w:r>
      <w:r>
        <w:rPr>
          <w:snapToGrid w:val="0"/>
        </w:rPr>
        <w:tab/>
        <w:t>provide for the registration and renewal of registration under this Act; and</w:t>
      </w:r>
    </w:p>
    <w:p>
      <w:pPr>
        <w:pStyle w:val="Indenta"/>
        <w:rPr>
          <w:snapToGrid w:val="0"/>
        </w:rPr>
      </w:pPr>
      <w:r>
        <w:rPr>
          <w:snapToGrid w:val="0"/>
        </w:rPr>
        <w:tab/>
        <w:t>(c)</w:t>
      </w:r>
      <w:r>
        <w:rPr>
          <w:snapToGrid w:val="0"/>
        </w:rPr>
        <w:tab/>
        <w:t>prescribe the information and returns to be given or made for the purposes of this Act; and</w:t>
      </w:r>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133" w:name="_Toc378171630"/>
      <w:bookmarkStart w:id="134" w:name="_Toc455394547"/>
      <w:r>
        <w:rPr>
          <w:rStyle w:val="CharSectno"/>
        </w:rPr>
        <w:t>50</w:t>
      </w:r>
      <w:r>
        <w:rPr>
          <w:snapToGrid w:val="0"/>
        </w:rPr>
        <w:t>.</w:t>
      </w:r>
      <w:r>
        <w:rPr>
          <w:snapToGrid w:val="0"/>
        </w:rPr>
        <w:tab/>
        <w:t>Review of Act</w:t>
      </w:r>
      <w:bookmarkEnd w:id="133"/>
      <w:bookmarkEnd w:id="134"/>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 and</w:t>
      </w:r>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pStyle w:val="CentredBaseLine"/>
        <w:jc w:val="center"/>
      </w:pPr>
      <w:r>
        <w:rPr>
          <w:noProof/>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nHeading2"/>
      </w:pPr>
      <w:bookmarkStart w:id="135" w:name="_Toc378171631"/>
      <w:bookmarkStart w:id="136" w:name="_Toc416686327"/>
      <w:bookmarkStart w:id="137" w:name="_Toc416686387"/>
      <w:bookmarkStart w:id="138" w:name="_Toc455394548"/>
      <w:r>
        <w:t>Notes</w:t>
      </w:r>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9" w:name="_Toc378171632"/>
      <w:bookmarkStart w:id="140" w:name="_Toc455394549"/>
      <w:r>
        <w:t>Compilation</w:t>
      </w:r>
      <w:r>
        <w:rPr>
          <w:snapToGrid w:val="0"/>
        </w:rPr>
        <w:t xml:space="preserve"> table</w:t>
      </w:r>
      <w:bookmarkEnd w:id="139"/>
      <w:bookmarkEnd w:id="14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Education Service Providers (Full Fee Overseas Students) Registration Act 1991</w:t>
            </w:r>
          </w:p>
        </w:tc>
        <w:tc>
          <w:tcPr>
            <w:tcW w:w="1134" w:type="dxa"/>
            <w:tcBorders>
              <w:top w:val="nil"/>
              <w:bottom w:val="nil"/>
            </w:tcBorders>
          </w:tcPr>
          <w:p>
            <w:pPr>
              <w:pStyle w:val="nTable"/>
              <w:spacing w:after="40"/>
            </w:pPr>
            <w:r>
              <w:t>58 of 1991</w:t>
            </w:r>
          </w:p>
        </w:tc>
        <w:tc>
          <w:tcPr>
            <w:tcW w:w="1134" w:type="dxa"/>
            <w:tcBorders>
              <w:top w:val="nil"/>
              <w:bottom w:val="nil"/>
            </w:tcBorders>
          </w:tcPr>
          <w:p>
            <w:pPr>
              <w:pStyle w:val="nTable"/>
              <w:spacing w:after="40"/>
            </w:pPr>
            <w:r>
              <w:t>30 Dec 1991</w:t>
            </w:r>
          </w:p>
        </w:tc>
        <w:tc>
          <w:tcPr>
            <w:tcW w:w="2551" w:type="dxa"/>
            <w:tcBorders>
              <w:top w:val="nil"/>
              <w:bottom w:val="nil"/>
            </w:tcBorders>
          </w:tcPr>
          <w:p>
            <w:pPr>
              <w:pStyle w:val="nTable"/>
              <w:spacing w:after="40"/>
            </w:pPr>
            <w:r>
              <w:t>s. 1 and 2: 30 Dec 1991;</w:t>
            </w:r>
            <w:r>
              <w:br/>
              <w:t xml:space="preserve">Act other than s. 1 and 2: 16 Oct 1992 (see s. 2 and </w:t>
            </w:r>
            <w:r>
              <w:rPr>
                <w:i/>
              </w:rPr>
              <w:t>Gazette</w:t>
            </w:r>
            <w:r>
              <w:t xml:space="preserve"> 16 Oct 1992 p. 5114)</w:t>
            </w:r>
          </w:p>
        </w:tc>
      </w:tr>
      <w:tr>
        <w:tc>
          <w:tcPr>
            <w:tcW w:w="2268" w:type="dxa"/>
            <w:tcBorders>
              <w:top w:val="nil"/>
              <w:bottom w:val="nil"/>
            </w:tcBorders>
          </w:tcPr>
          <w:p>
            <w:pPr>
              <w:pStyle w:val="nTable"/>
              <w:spacing w:after="40"/>
              <w:rPr>
                <w:i/>
              </w:rPr>
            </w:pPr>
            <w:r>
              <w:rPr>
                <w:i/>
              </w:rPr>
              <w:t xml:space="preserve">School Education Act 1999 </w:t>
            </w:r>
            <w:r>
              <w:t>s. 247</w:t>
            </w:r>
          </w:p>
        </w:tc>
        <w:tc>
          <w:tcPr>
            <w:tcW w:w="1134" w:type="dxa"/>
            <w:tcBorders>
              <w:top w:val="nil"/>
              <w:bottom w:val="nil"/>
            </w:tcBorders>
          </w:tcPr>
          <w:p>
            <w:pPr>
              <w:pStyle w:val="nTable"/>
              <w:spacing w:after="40"/>
            </w:pPr>
            <w:r>
              <w:t>36 of 1999</w:t>
            </w:r>
          </w:p>
        </w:tc>
        <w:tc>
          <w:tcPr>
            <w:tcW w:w="1134" w:type="dxa"/>
            <w:tcBorders>
              <w:top w:val="nil"/>
              <w:bottom w:val="nil"/>
            </w:tcBorders>
          </w:tcPr>
          <w:p>
            <w:pPr>
              <w:pStyle w:val="nTable"/>
              <w:spacing w:after="40"/>
            </w:pPr>
            <w:r>
              <w:t>2 Nov 1999</w:t>
            </w:r>
          </w:p>
        </w:tc>
        <w:tc>
          <w:tcPr>
            <w:tcW w:w="2551" w:type="dxa"/>
            <w:tcBorders>
              <w:top w:val="nil"/>
              <w:bottom w:val="nil"/>
            </w:tcBorders>
          </w:tcPr>
          <w:p>
            <w:pPr>
              <w:pStyle w:val="nTable"/>
              <w:spacing w:after="40"/>
            </w:pPr>
            <w:r>
              <w:t xml:space="preserve">1 Jan 2001 (see s. 2 and </w:t>
            </w:r>
            <w:r>
              <w:rPr>
                <w:i/>
              </w:rPr>
              <w:t>Gazette</w:t>
            </w:r>
            <w:r>
              <w:t xml:space="preserve"> 29 Dec 2000 p. 7904)</w:t>
            </w:r>
          </w:p>
        </w:tc>
      </w:tr>
      <w:tr>
        <w:tc>
          <w:tcPr>
            <w:tcW w:w="2268" w:type="dxa"/>
            <w:tcBorders>
              <w:top w:val="nil"/>
              <w:bottom w:val="nil"/>
            </w:tcBorders>
          </w:tcPr>
          <w:p>
            <w:pPr>
              <w:pStyle w:val="nTable"/>
              <w:spacing w:after="40"/>
              <w:rPr>
                <w:i/>
                <w:vertAlign w:val="superscript"/>
              </w:rPr>
            </w:pPr>
            <w:r>
              <w:rPr>
                <w:i/>
              </w:rPr>
              <w:t xml:space="preserve">Statutes (Repeals and Minor Amendments) Act 2000 </w:t>
            </w:r>
            <w:r>
              <w:t>s. 13 </w:t>
            </w:r>
            <w:r>
              <w:rPr>
                <w:vertAlign w:val="superscript"/>
              </w:rPr>
              <w:t>2</w:t>
            </w:r>
          </w:p>
        </w:tc>
        <w:tc>
          <w:tcPr>
            <w:tcW w:w="1134" w:type="dxa"/>
            <w:tcBorders>
              <w:top w:val="nil"/>
              <w:bottom w:val="nil"/>
            </w:tcBorders>
          </w:tcPr>
          <w:p>
            <w:pPr>
              <w:pStyle w:val="nTable"/>
              <w:spacing w:after="40"/>
            </w:pPr>
            <w:r>
              <w:t>24 of 2000</w:t>
            </w:r>
          </w:p>
        </w:tc>
        <w:tc>
          <w:tcPr>
            <w:tcW w:w="1134" w:type="dxa"/>
            <w:tcBorders>
              <w:top w:val="nil"/>
              <w:bottom w:val="nil"/>
            </w:tcBorders>
          </w:tcPr>
          <w:p>
            <w:pPr>
              <w:pStyle w:val="nTable"/>
              <w:spacing w:after="40"/>
            </w:pPr>
            <w:r>
              <w:t>4 Jul 2000</w:t>
            </w:r>
          </w:p>
        </w:tc>
        <w:tc>
          <w:tcPr>
            <w:tcW w:w="2551" w:type="dxa"/>
            <w:tcBorders>
              <w:top w:val="nil"/>
              <w:bottom w:val="nil"/>
            </w:tcBorders>
          </w:tcPr>
          <w:p>
            <w:pPr>
              <w:pStyle w:val="nTable"/>
              <w:spacing w:after="40"/>
            </w:pPr>
            <w:r>
              <w:t>4 Jul 2000 (see s. 2)</w:t>
            </w:r>
          </w:p>
        </w:tc>
      </w:tr>
      <w:tr>
        <w:tc>
          <w:tcPr>
            <w:tcW w:w="2268" w:type="dxa"/>
            <w:tcBorders>
              <w:top w:val="nil"/>
              <w:bottom w:val="nil"/>
            </w:tcBorders>
          </w:tcPr>
          <w:p>
            <w:pPr>
              <w:pStyle w:val="nTable"/>
              <w:spacing w:after="40"/>
              <w:rPr>
                <w:i/>
              </w:rPr>
            </w:pPr>
            <w:r>
              <w:rPr>
                <w:i/>
              </w:rPr>
              <w:t xml:space="preserve">Corporations (Consequential Amendments) Act 2001 </w:t>
            </w:r>
            <w:r>
              <w:t>Pt.</w:t>
            </w:r>
            <w:r>
              <w:rPr>
                <w:i/>
              </w:rPr>
              <w:t> </w:t>
            </w:r>
            <w:r>
              <w:t>21</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1"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Borders>
              <w:top w:val="nil"/>
              <w:bottom w:val="nil"/>
            </w:tcBorders>
          </w:tcPr>
          <w:p>
            <w:pPr>
              <w:pStyle w:val="nTable"/>
              <w:spacing w:after="40"/>
            </w:pPr>
            <w:r>
              <w:rPr>
                <w:b/>
              </w:rPr>
              <w:t xml:space="preserve">Reprint 1: The </w:t>
            </w:r>
            <w:r>
              <w:rPr>
                <w:b/>
                <w:i/>
              </w:rPr>
              <w:t>Education Service Providers (Full Fee Overseas Students) Registration Act 1991</w:t>
            </w:r>
            <w:r>
              <w:rPr>
                <w:b/>
              </w:rPr>
              <w:t xml:space="preserve"> as at 9 May 2003</w:t>
            </w:r>
            <w:r>
              <w:t xml:space="preserve"> (includes amendments listed above)</w:t>
            </w:r>
          </w:p>
        </w:tc>
      </w:tr>
      <w:tr>
        <w:tc>
          <w:tcPr>
            <w:tcW w:w="2268" w:type="dxa"/>
            <w:tcBorders>
              <w:top w:val="nil"/>
              <w:bottom w:val="nil"/>
            </w:tcBorders>
          </w:tcPr>
          <w:p>
            <w:pPr>
              <w:pStyle w:val="nTable"/>
              <w:spacing w:after="40"/>
              <w:rPr>
                <w:i/>
              </w:rPr>
            </w:pPr>
            <w:r>
              <w:rPr>
                <w:i/>
              </w:rPr>
              <w:t>Oaths, Affidavits and Statutory Declarations (Consequential Provisions) Act 2005</w:t>
            </w:r>
            <w:r>
              <w:rPr>
                <w:iCs/>
              </w:rPr>
              <w:t xml:space="preserve"> s. 63</w:t>
            </w:r>
          </w:p>
        </w:tc>
        <w:tc>
          <w:tcPr>
            <w:tcW w:w="1134" w:type="dxa"/>
            <w:tcBorders>
              <w:top w:val="nil"/>
              <w:bottom w:val="nil"/>
            </w:tcBorders>
          </w:tcPr>
          <w:p>
            <w:pPr>
              <w:pStyle w:val="nTable"/>
              <w:spacing w:after="40"/>
            </w:pPr>
            <w:r>
              <w:t>24 of 2005</w:t>
            </w:r>
          </w:p>
        </w:tc>
        <w:tc>
          <w:tcPr>
            <w:tcW w:w="1134" w:type="dxa"/>
            <w:tcBorders>
              <w:top w:val="nil"/>
              <w:bottom w:val="nil"/>
            </w:tcBorders>
          </w:tcPr>
          <w:p>
            <w:pPr>
              <w:pStyle w:val="nTable"/>
              <w:spacing w:after="40"/>
            </w:pPr>
            <w:r>
              <w:t>2 Dec 2005</w:t>
            </w:r>
          </w:p>
        </w:tc>
        <w:tc>
          <w:tcPr>
            <w:tcW w:w="2551" w:type="dxa"/>
            <w:tcBorders>
              <w:top w:val="nil"/>
              <w:bottom w:val="nil"/>
            </w:tcBorders>
          </w:tcPr>
          <w:p>
            <w:pPr>
              <w:pStyle w:val="nTable"/>
              <w:spacing w:after="40"/>
            </w:pPr>
            <w:r>
              <w:t xml:space="preserve">1 Jan 2006 (see s. 2 and </w:t>
            </w:r>
            <w:r>
              <w:rPr>
                <w:i/>
                <w:iCs/>
              </w:rPr>
              <w:t>Gazette</w:t>
            </w:r>
            <w:r>
              <w:t xml:space="preserve"> 23 Dec 2005 p. 6244)</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Sch. 1 cl. 50</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
                <w:snapToGrid w:val="0"/>
              </w:rPr>
            </w:pPr>
            <w:r>
              <w:rPr>
                <w:i/>
                <w:noProof/>
                <w:snapToGrid w:val="0"/>
              </w:rPr>
              <w:t>Acts Amendment (Fair Trading) Act 2010</w:t>
            </w:r>
            <w:r>
              <w:rPr>
                <w:iCs/>
                <w:noProof/>
                <w:snapToGrid w:val="0"/>
              </w:rPr>
              <w:t xml:space="preserve"> s. 195</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1"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c>
          <w:tcPr>
            <w:tcW w:w="7087" w:type="dxa"/>
            <w:gridSpan w:val="4"/>
            <w:tcBorders>
              <w:top w:val="nil"/>
              <w:bottom w:val="nil"/>
            </w:tcBorders>
          </w:tcPr>
          <w:p>
            <w:pPr>
              <w:pStyle w:val="nTable"/>
              <w:spacing w:after="40"/>
            </w:pPr>
            <w:r>
              <w:rPr>
                <w:b/>
              </w:rPr>
              <w:t xml:space="preserve">Reprint 2: The </w:t>
            </w:r>
            <w:r>
              <w:rPr>
                <w:b/>
                <w:i/>
              </w:rPr>
              <w:t>Education Service Providers (Full Fee Overseas Students) Registration Act 1991</w:t>
            </w:r>
            <w:r>
              <w:rPr>
                <w:b/>
              </w:rPr>
              <w:t xml:space="preserve"> as at 4 Nov 2011</w:t>
            </w:r>
            <w:r>
              <w:t xml:space="preserve"> (includes amendments listed above)</w:t>
            </w:r>
          </w:p>
        </w:tc>
      </w:tr>
      <w:tr>
        <w:tc>
          <w:tcPr>
            <w:tcW w:w="2268" w:type="dxa"/>
            <w:tcBorders>
              <w:top w:val="nil"/>
              <w:bottom w:val="single" w:sz="4" w:space="0" w:color="auto"/>
            </w:tcBorders>
          </w:tcPr>
          <w:p>
            <w:pPr>
              <w:pStyle w:val="nTable"/>
              <w:spacing w:after="40"/>
              <w:rPr>
                <w:i/>
                <w:snapToGrid w:val="0"/>
              </w:rPr>
            </w:pPr>
            <w:r>
              <w:rPr>
                <w:i/>
                <w:noProof/>
              </w:rPr>
              <w:t xml:space="preserve">Associations Incorporation Act 2015 </w:t>
            </w:r>
            <w:r>
              <w:rPr>
                <w:noProof/>
              </w:rPr>
              <w:t>s. 215</w:t>
            </w:r>
          </w:p>
        </w:tc>
        <w:tc>
          <w:tcPr>
            <w:tcW w:w="1134" w:type="dxa"/>
            <w:tcBorders>
              <w:top w:val="nil"/>
              <w:bottom w:val="single" w:sz="4" w:space="0" w:color="auto"/>
            </w:tcBorders>
          </w:tcPr>
          <w:p>
            <w:pPr>
              <w:pStyle w:val="nTable"/>
              <w:spacing w:after="40"/>
              <w:rPr>
                <w:snapToGrid w:val="0"/>
              </w:rPr>
            </w:pPr>
            <w:r>
              <w:t>30 of 2015</w:t>
            </w:r>
          </w:p>
        </w:tc>
        <w:tc>
          <w:tcPr>
            <w:tcW w:w="1134" w:type="dxa"/>
            <w:tcBorders>
              <w:top w:val="nil"/>
              <w:bottom w:val="single" w:sz="4" w:space="0" w:color="auto"/>
            </w:tcBorders>
          </w:tcPr>
          <w:p>
            <w:pPr>
              <w:pStyle w:val="nTable"/>
              <w:spacing w:after="40"/>
              <w:rPr>
                <w:snapToGrid w:val="0"/>
              </w:rPr>
            </w:pPr>
            <w:r>
              <w:t>2 Nov 2015</w:t>
            </w:r>
          </w:p>
        </w:tc>
        <w:tc>
          <w:tcPr>
            <w:tcW w:w="2551" w:type="dxa"/>
            <w:tcBorders>
              <w:top w:val="nil"/>
              <w:bottom w:val="single" w:sz="4" w:space="0" w:color="auto"/>
            </w:tcBorders>
          </w:tcPr>
          <w:p>
            <w:pPr>
              <w:pStyle w:val="nTable"/>
              <w:spacing w:after="40"/>
              <w:rPr>
                <w:snapToGrid w:val="0"/>
              </w:rPr>
            </w:pPr>
            <w:r>
              <w:t xml:space="preserve">1 Jul 2016 (see s. 2(b) and </w:t>
            </w:r>
            <w:r>
              <w:rPr>
                <w:i/>
              </w:rPr>
              <w:t>Gazette</w:t>
            </w:r>
            <w:r>
              <w:t xml:space="preserve"> 24 Jun 2016 p. 2291-2)</w:t>
            </w:r>
          </w:p>
        </w:tc>
      </w:tr>
    </w:tbl>
    <w:p>
      <w:pPr>
        <w:pStyle w:val="nSubsection"/>
        <w:keepNext/>
        <w:spacing w:before="160"/>
      </w:pPr>
      <w:r>
        <w:rPr>
          <w:vertAlign w:val="superscript"/>
        </w:rPr>
        <w:t>2</w:t>
      </w:r>
      <w:r>
        <w:tab/>
        <w:t xml:space="preserve">The </w:t>
      </w:r>
      <w:r>
        <w:rPr>
          <w:i/>
        </w:rPr>
        <w:t>Statutes (Repeals and Minor Amendments) Act 2000</w:t>
      </w:r>
      <w:r>
        <w:t xml:space="preserve"> s. 13(4) is a transitional provision of no further effect.</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42" w:name="_Toc416686389"/>
      <w:bookmarkStart w:id="143" w:name="_Toc455394550"/>
      <w:r>
        <w:rPr>
          <w:sz w:val="28"/>
        </w:rPr>
        <w:t>Defined terms</w:t>
      </w:r>
      <w:bookmarkEnd w:id="142"/>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6(2)</w:t>
      </w:r>
    </w:p>
    <w:p>
      <w:pPr>
        <w:pStyle w:val="DefinedTerms"/>
      </w:pPr>
      <w:r>
        <w:t>approved account</w:t>
      </w:r>
      <w:r>
        <w:tab/>
        <w:t>16(2)</w:t>
      </w:r>
    </w:p>
    <w:p>
      <w:pPr>
        <w:pStyle w:val="DefinedTerms"/>
      </w:pPr>
      <w:r>
        <w:t>approved trust account</w:t>
      </w:r>
      <w:r>
        <w:tab/>
        <w:t>16(2)</w:t>
      </w:r>
    </w:p>
    <w:p>
      <w:pPr>
        <w:pStyle w:val="DefinedTerms"/>
      </w:pPr>
      <w:r>
        <w:t>authorised person</w:t>
      </w:r>
      <w:r>
        <w:tab/>
        <w:t>3(1)</w:t>
      </w:r>
    </w:p>
    <w:p>
      <w:pPr>
        <w:pStyle w:val="DefinedTerms"/>
      </w:pPr>
      <w:r>
        <w:t>chief executive officer</w:t>
      </w:r>
      <w:r>
        <w:tab/>
        <w:t>3(1)</w:t>
      </w:r>
    </w:p>
    <w:p>
      <w:pPr>
        <w:pStyle w:val="DefinedTerms"/>
      </w:pPr>
      <w:r>
        <w:t>department</w:t>
      </w:r>
      <w:r>
        <w:tab/>
        <w:t>3(1)</w:t>
      </w:r>
    </w:p>
    <w:p>
      <w:pPr>
        <w:pStyle w:val="DefinedTerms"/>
      </w:pPr>
      <w:r>
        <w:t>education service</w:t>
      </w:r>
      <w:r>
        <w:tab/>
        <w:t>3(1)</w:t>
      </w:r>
    </w:p>
    <w:p>
      <w:pPr>
        <w:pStyle w:val="DefinedTerms"/>
      </w:pPr>
      <w:r>
        <w:t>education service provider</w:t>
      </w:r>
      <w:r>
        <w:tab/>
        <w:t>3(1)</w:t>
      </w:r>
    </w:p>
    <w:p>
      <w:pPr>
        <w:pStyle w:val="DefinedTerms"/>
      </w:pPr>
      <w:r>
        <w:t>enrol</w:t>
      </w:r>
      <w:r>
        <w:tab/>
        <w:t>3(1)</w:t>
      </w:r>
    </w:p>
    <w:p>
      <w:pPr>
        <w:pStyle w:val="DefinedTerms"/>
      </w:pPr>
      <w:r>
        <w:t>full fee</w:t>
      </w:r>
      <w:r>
        <w:tab/>
        <w:t>3(1)</w:t>
      </w:r>
    </w:p>
    <w:p>
      <w:pPr>
        <w:pStyle w:val="DefinedTerms"/>
      </w:pPr>
      <w:r>
        <w:t>full fee overseas student</w:t>
      </w:r>
      <w:r>
        <w:tab/>
        <w:t>3(1)</w:t>
      </w:r>
    </w:p>
    <w:p>
      <w:pPr>
        <w:pStyle w:val="DefinedTerms"/>
      </w:pPr>
      <w:r>
        <w:t>published</w:t>
      </w:r>
      <w:r>
        <w:tab/>
        <w:t>39(2)</w:t>
      </w:r>
    </w:p>
    <w:p>
      <w:pPr>
        <w:pStyle w:val="DefinedTerms"/>
      </w:pPr>
      <w:r>
        <w:t>registered</w:t>
      </w:r>
      <w:r>
        <w:tab/>
        <w:t>3(1)</w:t>
      </w:r>
    </w:p>
    <w:p>
      <w:pPr>
        <w:pStyle w:val="DefinedTerms"/>
      </w:pPr>
      <w:r>
        <w:t>statutory education service provider</w:t>
      </w:r>
      <w:r>
        <w:tab/>
        <w:t>3(1)</w:t>
      </w:r>
    </w:p>
    <w:p>
      <w:pPr>
        <w:pStyle w:val="DefinedTerms"/>
      </w:pPr>
      <w:r>
        <w:t>students’ funds</w:t>
      </w:r>
      <w:r>
        <w:tab/>
        <w:t>16(2)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lvlText w:val="%1."/>
      <w:lvlJc w:val="left"/>
      <w:pPr>
        <w:tabs>
          <w:tab w:val="num" w:pos="1492"/>
        </w:tabs>
        <w:ind w:left="1492" w:hanging="360"/>
      </w:pPr>
    </w:lvl>
  </w:abstractNum>
  <w:abstractNum w:abstractNumId="1">
    <w:nsid w:val="FFFFFF7D"/>
    <w:multiLevelType w:val="singleLevel"/>
    <w:tmpl w:val="FE36F640"/>
    <w:lvl w:ilvl="0">
      <w:start w:val="1"/>
      <w:numFmt w:val="decimal"/>
      <w:lvlText w:val="%1."/>
      <w:lvlJc w:val="left"/>
      <w:pPr>
        <w:tabs>
          <w:tab w:val="num" w:pos="1209"/>
        </w:tabs>
        <w:ind w:left="1209" w:hanging="360"/>
      </w:pPr>
    </w:lvl>
  </w:abstractNum>
  <w:abstractNum w:abstractNumId="2">
    <w:nsid w:val="FFFFFF7E"/>
    <w:multiLevelType w:val="singleLevel"/>
    <w:tmpl w:val="83E20298"/>
    <w:lvl w:ilvl="0">
      <w:start w:val="1"/>
      <w:numFmt w:val="decimal"/>
      <w:lvlText w:val="%1."/>
      <w:lvlJc w:val="left"/>
      <w:pPr>
        <w:tabs>
          <w:tab w:val="num" w:pos="926"/>
        </w:tabs>
        <w:ind w:left="926" w:hanging="360"/>
      </w:pPr>
    </w:lvl>
  </w:abstractNum>
  <w:abstractNum w:abstractNumId="3">
    <w:nsid w:val="FFFFFF7F"/>
    <w:multiLevelType w:val="singleLevel"/>
    <w:tmpl w:val="9D4A8E9C"/>
    <w:lvl w:ilvl="0">
      <w:start w:val="1"/>
      <w:numFmt w:val="decimal"/>
      <w:lvlText w:val="%1."/>
      <w:lvlJc w:val="left"/>
      <w:pPr>
        <w:tabs>
          <w:tab w:val="num" w:pos="643"/>
        </w:tabs>
        <w:ind w:left="643" w:hanging="360"/>
      </w:pPr>
    </w:lvl>
  </w:abstractNum>
  <w:abstractNum w:abstractNumId="4">
    <w:nsid w:val="FFFFFF80"/>
    <w:multiLevelType w:val="singleLevel"/>
    <w:tmpl w:val="35E872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lvlText w:val="%1."/>
      <w:lvlJc w:val="left"/>
      <w:pPr>
        <w:tabs>
          <w:tab w:val="num" w:pos="360"/>
        </w:tabs>
        <w:ind w:left="360" w:hanging="360"/>
      </w:pPr>
    </w:lvl>
  </w:abstractNum>
  <w:abstractNum w:abstractNumId="9">
    <w:nsid w:val="FFFFFF89"/>
    <w:multiLevelType w:val="singleLevel"/>
    <w:tmpl w:val="39AABE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8ABF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530"/>
    <w:docVar w:name="WAFER_20140122162158" w:val="RemoveTocBookmarks,RemoveUnusedBookmarks,RemoveLanguageTags,UsedStyles,ResetPageSize,UpdateArrangement"/>
    <w:docVar w:name="WAFER_20140122162158_GUID" w:val="1d7a6db5-bae8-4fa3-b2a1-1031056d50c5"/>
    <w:docVar w:name="WAFER_20140122162721" w:val="RemoveTocBookmarks,RunningHeaders"/>
    <w:docVar w:name="WAFER_20140122162721_GUID" w:val="970054ab-de78-4f92-a9fd-f3a1600dcafc"/>
    <w:docVar w:name="WAFER_20150413093719" w:val="ResetPageSize,UpdateArrangement,UpdateNTable"/>
    <w:docVar w:name="WAFER_20150413093719_GUID" w:val="06e241ee-fb9a-42cf-b1c1-87fd63f74d30"/>
    <w:docVar w:name="WAFER_20151104142530" w:val="UpdateStyles,UsedStyles"/>
    <w:docVar w:name="WAFER_20151104142530_GUID" w:val="c5e7008a-b2cb-4a23-85c8-1776983b20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46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8037</Words>
  <Characters>40188</Characters>
  <Application>Microsoft Office Word</Application>
  <DocSecurity>0</DocSecurity>
  <Lines>1086</Lines>
  <Paragraphs>574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1991 - 02-c0-01</dc:title>
  <dc:subject/>
  <dc:creator/>
  <cp:keywords/>
  <dc:description/>
  <cp:lastModifiedBy>svcMRProcess</cp:lastModifiedBy>
  <cp:revision>4</cp:revision>
  <cp:lastPrinted>2011-11-08T06:11:00Z</cp:lastPrinted>
  <dcterms:created xsi:type="dcterms:W3CDTF">2019-01-21T03:13:00Z</dcterms:created>
  <dcterms:modified xsi:type="dcterms:W3CDTF">2019-01-21T03:13:00Z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DocumentType">
    <vt:lpwstr>Act</vt:lpwstr>
  </property>
  <property fmtid="{D5CDD505-2E9C-101B-9397-08002B2CF9AE}" pid="4" name="OwlsUID">
    <vt:i4>240</vt:i4>
  </property>
  <property fmtid="{D5CDD505-2E9C-101B-9397-08002B2CF9AE}" pid="5" name="ReprintNo">
    <vt:lpwstr>2</vt:lpwstr>
  </property>
  <property fmtid="{D5CDD505-2E9C-101B-9397-08002B2CF9AE}" pid="6" name="ReprintedAsAt">
    <vt:filetime>2011-11-03T16:00:00Z</vt:filetime>
  </property>
  <property fmtid="{D5CDD505-2E9C-101B-9397-08002B2CF9AE}" pid="7" name="CommencementDate">
    <vt:lpwstr>20160701</vt:lpwstr>
  </property>
  <property fmtid="{D5CDD505-2E9C-101B-9397-08002B2CF9AE}" pid="8" name="AsAtDate">
    <vt:lpwstr>01 Jul 2016</vt:lpwstr>
  </property>
  <property fmtid="{D5CDD505-2E9C-101B-9397-08002B2CF9AE}" pid="9" name="Suffix">
    <vt:lpwstr>02-c0-01</vt:lpwstr>
  </property>
</Properties>
</file>