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Hale School Act 1876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Hale School Act 1876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_Toc455395143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_Toc455395144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The Governors of Hale School, a body corporate</w:t>
      </w:r>
      <w:r>
        <w:tab/>
      </w:r>
      <w:r>
        <w:fldChar w:fldCharType="begin"/>
      </w:r>
      <w:r>
        <w:instrText xml:space="preserve"> PAGEREF _Toc455395145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the Board</w:t>
      </w:r>
      <w:r>
        <w:tab/>
      </w:r>
      <w:r>
        <w:fldChar w:fldCharType="begin"/>
      </w:r>
      <w:r>
        <w:instrText xml:space="preserve"> PAGEREF _Toc455395146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of office and vacancies</w:t>
      </w:r>
      <w:r>
        <w:tab/>
      </w:r>
      <w:r>
        <w:fldChar w:fldCharType="begin"/>
      </w:r>
      <w:r>
        <w:instrText xml:space="preserve"> PAGEREF _Toc455395147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Visitor</w:t>
      </w:r>
      <w:r>
        <w:tab/>
      </w:r>
      <w:r>
        <w:fldChar w:fldCharType="begin"/>
      </w:r>
      <w:r>
        <w:instrText xml:space="preserve"> PAGEREF _Toc455395148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Dealings in property</w:t>
      </w:r>
      <w:r>
        <w:tab/>
      </w:r>
      <w:r>
        <w:fldChar w:fldCharType="begin"/>
      </w:r>
      <w:r>
        <w:instrText xml:space="preserve"> PAGEREF _Toc455395149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school</w:t>
      </w:r>
      <w:r>
        <w:tab/>
      </w:r>
      <w:r>
        <w:fldChar w:fldCharType="begin"/>
      </w:r>
      <w:r>
        <w:instrText xml:space="preserve"> PAGEREF _Toc455395150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Board’s proceedings</w:t>
      </w:r>
      <w:r>
        <w:tab/>
      </w:r>
      <w:r>
        <w:fldChar w:fldCharType="begin"/>
      </w:r>
      <w:r>
        <w:instrText xml:space="preserve"> PAGEREF _Toc455395151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Borrowing</w:t>
      </w:r>
      <w:r>
        <w:tab/>
      </w:r>
      <w:r>
        <w:fldChar w:fldCharType="begin"/>
      </w:r>
      <w:r>
        <w:instrText xml:space="preserve"> PAGEREF _Toc455395152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Rating and taxation exemption</w:t>
      </w:r>
      <w:r>
        <w:tab/>
      </w:r>
      <w:r>
        <w:fldChar w:fldCharType="begin"/>
      </w:r>
      <w:r>
        <w:instrText xml:space="preserve"> PAGEREF _Toc455395153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Agreement relating to Reserve A3421</w:t>
      </w:r>
      <w:r>
        <w:tab/>
      </w:r>
      <w:r>
        <w:fldChar w:fldCharType="begin"/>
      </w:r>
      <w:r>
        <w:instrText xml:space="preserve"> PAGEREF _Toc455395154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_Toc455395156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36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r>
        <w:t xml:space="preserve"> Act 1876 </w:t>
      </w:r>
    </w:p>
    <w:p>
      <w:pPr>
        <w:pStyle w:val="LongTitle"/>
        <w:spacing w:before="120"/>
        <w:rPr>
          <w:snapToGrid w:val="0"/>
        </w:rPr>
      </w:pPr>
      <w:r>
        <w:rPr>
          <w:snapToGrid w:val="0"/>
        </w:rPr>
        <w:t xml:space="preserve">An Act to make provision for the higher education of boys. </w:t>
      </w:r>
    </w:p>
    <w:p>
      <w:pPr>
        <w:pStyle w:val="Preamble1"/>
        <w:rPr>
          <w:snapToGrid w:val="0"/>
        </w:rPr>
      </w:pPr>
      <w:r>
        <w:rPr>
          <w:snapToGrid w:val="0"/>
        </w:rPr>
        <w:t>Preamble</w:t>
      </w:r>
    </w:p>
    <w:p>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pPr>
        <w:pStyle w:val="Heading5"/>
        <w:rPr>
          <w:snapToGrid w:val="0"/>
        </w:rPr>
      </w:pPr>
      <w:bookmarkStart w:id="3" w:name="_Toc378669012"/>
      <w:bookmarkStart w:id="4" w:name="_Toc455395143"/>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No. 34 of 1958 s. 1(3).] </w:t>
      </w:r>
    </w:p>
    <w:p>
      <w:pPr>
        <w:pStyle w:val="Heading5"/>
        <w:rPr>
          <w:snapToGrid w:val="0"/>
        </w:rPr>
      </w:pPr>
      <w:bookmarkStart w:id="5" w:name="_Toc378669013"/>
      <w:bookmarkStart w:id="6" w:name="_Toc455395144"/>
      <w:r>
        <w:rPr>
          <w:rStyle w:val="CharSectno"/>
        </w:rPr>
        <w:t>1A</w:t>
      </w:r>
      <w:r>
        <w:rPr>
          <w:snapToGrid w:val="0"/>
        </w:rPr>
        <w:t>.</w:t>
      </w:r>
      <w:r>
        <w:rPr>
          <w:snapToGrid w:val="0"/>
        </w:rPr>
        <w:tab/>
        <w:t>Interpretation</w:t>
      </w:r>
      <w:bookmarkEnd w:id="5"/>
      <w:bookmarkEnd w:id="6"/>
      <w:r>
        <w:rPr>
          <w:snapToGrid w:val="0"/>
        </w:rPr>
        <w:t xml:space="preserve"> </w:t>
      </w:r>
    </w:p>
    <w:p>
      <w:pPr>
        <w:pStyle w:val="Subsection"/>
        <w:spacing w:before="120"/>
        <w:rPr>
          <w:snapToGrid w:val="0"/>
        </w:rPr>
      </w:pPr>
      <w:r>
        <w:rPr>
          <w:snapToGrid w:val="0"/>
        </w:rPr>
        <w:tab/>
      </w:r>
      <w:r>
        <w:rPr>
          <w:snapToGrid w:val="0"/>
        </w:rPr>
        <w:tab/>
        <w:t>In this Act, subject to the context — </w:t>
      </w:r>
    </w:p>
    <w:p>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pPr>
        <w:pStyle w:val="Defstart"/>
      </w:pPr>
      <w:r>
        <w:rPr>
          <w:b/>
        </w:rPr>
        <w:tab/>
      </w:r>
      <w:r>
        <w:rPr>
          <w:rStyle w:val="CharDefText"/>
        </w:rPr>
        <w:t>Association</w:t>
      </w:r>
      <w:r>
        <w:t xml:space="preserve"> means the association taken to be incorporated under the </w:t>
      </w:r>
      <w:r>
        <w:rPr>
          <w:i/>
        </w:rPr>
        <w:t>Associations Incorporation Act 2015</w:t>
      </w:r>
      <w:r>
        <w:t>, under the name “Old Haleians’ Association (Inc.)” and includes its successors for the time being;</w:t>
      </w:r>
    </w:p>
    <w:p>
      <w:pPr>
        <w:pStyle w:val="Defstart"/>
      </w:pPr>
      <w:r>
        <w:rPr>
          <w:b/>
        </w:rPr>
        <w:tab/>
      </w:r>
      <w:r>
        <w:rPr>
          <w:rStyle w:val="CharDefText"/>
        </w:rPr>
        <w:t>Board</w:t>
      </w:r>
      <w:r>
        <w:t xml:space="preserve"> means the corporation known as “The Governors of Hale School” constituted by this Act;</w:t>
      </w:r>
    </w:p>
    <w:p>
      <w:pPr>
        <w:pStyle w:val="Defstart"/>
      </w:pPr>
      <w:r>
        <w:rPr>
          <w:b/>
        </w:rPr>
        <w:tab/>
      </w:r>
      <w:r>
        <w:rPr>
          <w:rStyle w:val="CharDefText"/>
        </w:rPr>
        <w:t>School</w:t>
      </w:r>
      <w:r>
        <w:t xml:space="preserve"> means the school known as </w:t>
      </w:r>
      <w:smartTag w:uri="urn:schemas-microsoft-com:office:smarttags" w:element="PlaceName">
        <w:r>
          <w:t>Hale</w:t>
        </w:r>
      </w:smartTag>
      <w:r>
        <w:t xml:space="preserve"> </w:t>
      </w:r>
      <w:smartTag w:uri="urn:schemas-microsoft-com:office:smarttags" w:element="PlaceType">
        <w:r>
          <w:t>School</w:t>
        </w:r>
      </w:smartTag>
      <w:r>
        <w:t xml:space="preserve">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Trustees</w:t>
      </w:r>
      <w:r>
        <w:t xml:space="preserve"> means the corporation known as The Perth Diocesan Trustees referred to in section 11 of Act No. 34 of 1918.</w:t>
      </w:r>
    </w:p>
    <w:p>
      <w:pPr>
        <w:pStyle w:val="Footnotesection"/>
      </w:pPr>
      <w:r>
        <w:tab/>
        <w:t xml:space="preserve">[Section 1A inserted: No. 34 of 1958 s. 4; amended: No. 121 of 1976 s. 7; No. 30 of 2015 s. 218(2).] </w:t>
      </w:r>
    </w:p>
    <w:p>
      <w:pPr>
        <w:pStyle w:val="Heading5"/>
        <w:keepNext w:val="0"/>
        <w:keepLines w:val="0"/>
        <w:rPr>
          <w:snapToGrid w:val="0"/>
        </w:rPr>
      </w:pPr>
      <w:bookmarkStart w:id="7" w:name="_Toc378669014"/>
      <w:bookmarkStart w:id="8" w:name="_Toc455395145"/>
      <w:r>
        <w:rPr>
          <w:rStyle w:val="CharSectno"/>
        </w:rPr>
        <w:t>2</w:t>
      </w:r>
      <w:r>
        <w:rPr>
          <w:snapToGrid w:val="0"/>
        </w:rPr>
        <w:t>.</w:t>
      </w:r>
      <w:r>
        <w:rPr>
          <w:snapToGrid w:val="0"/>
        </w:rPr>
        <w:tab/>
        <w:t>The Governors of Hale School, a body corporate</w:t>
      </w:r>
      <w:bookmarkEnd w:id="7"/>
      <w:bookmarkEnd w:id="8"/>
      <w:r>
        <w:rPr>
          <w:snapToGrid w:val="0"/>
        </w:rPr>
        <w:t xml:space="preserve"> </w:t>
      </w:r>
    </w:p>
    <w:p>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pPr>
        <w:pStyle w:val="Footnotesection"/>
        <w:keepLines w:val="0"/>
      </w:pPr>
      <w:r>
        <w:tab/>
        <w:t>[Section 2 amended: 42 Vict. No. 28 (1878) s. 4; 55 Vict. No. 29 (1892) s. 7 </w:t>
      </w:r>
      <w:r>
        <w:rPr>
          <w:i w:val="0"/>
          <w:vertAlign w:val="superscript"/>
        </w:rPr>
        <w:t>3</w:t>
      </w:r>
      <w:r>
        <w:t xml:space="preserve">; No. 34 of 1958 s. 5.] </w:t>
      </w:r>
    </w:p>
    <w:p>
      <w:pPr>
        <w:pStyle w:val="Ednotesection"/>
      </w:pPr>
      <w:r>
        <w:t>[</w:t>
      </w:r>
      <w:r>
        <w:rPr>
          <w:b/>
        </w:rPr>
        <w:t>3, 4</w:t>
      </w:r>
      <w:r>
        <w:t>.</w:t>
      </w:r>
      <w:r>
        <w:tab/>
      </w:r>
      <w:r>
        <w:tab/>
        <w:t xml:space="preserve">Deleted: No. 34 of 1958 s. 3.] </w:t>
      </w:r>
    </w:p>
    <w:p>
      <w:pPr>
        <w:pStyle w:val="Heading5"/>
        <w:rPr>
          <w:snapToGrid w:val="0"/>
        </w:rPr>
      </w:pPr>
      <w:bookmarkStart w:id="9" w:name="_Toc378669015"/>
      <w:bookmarkStart w:id="10" w:name="_Toc455395146"/>
      <w:r>
        <w:rPr>
          <w:rStyle w:val="CharSectno"/>
        </w:rPr>
        <w:t>5</w:t>
      </w:r>
      <w:r>
        <w:rPr>
          <w:snapToGrid w:val="0"/>
        </w:rPr>
        <w:t>.</w:t>
      </w:r>
      <w:r>
        <w:rPr>
          <w:snapToGrid w:val="0"/>
        </w:rPr>
        <w:tab/>
        <w:t>Constitution of the Board</w:t>
      </w:r>
      <w:bookmarkEnd w:id="9"/>
      <w:bookmarkEnd w:id="10"/>
      <w:r>
        <w:rPr>
          <w:snapToGrid w:val="0"/>
        </w:rPr>
        <w:t xml:space="preserve"> </w:t>
      </w:r>
    </w:p>
    <w:p>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pPr>
        <w:pStyle w:val="Footnotesection"/>
      </w:pPr>
      <w:r>
        <w:tab/>
        <w:t xml:space="preserve">[Section 5 inserted: No. 75 of 1994 s. 3.] </w:t>
      </w:r>
    </w:p>
    <w:p>
      <w:pPr>
        <w:pStyle w:val="Heading5"/>
        <w:rPr>
          <w:snapToGrid w:val="0"/>
        </w:rPr>
      </w:pPr>
      <w:bookmarkStart w:id="11" w:name="_Toc378669016"/>
      <w:bookmarkStart w:id="12" w:name="_Toc455395147"/>
      <w:r>
        <w:rPr>
          <w:rStyle w:val="CharSectno"/>
        </w:rPr>
        <w:t>6</w:t>
      </w:r>
      <w:r>
        <w:rPr>
          <w:snapToGrid w:val="0"/>
        </w:rPr>
        <w:t>.</w:t>
      </w:r>
      <w:r>
        <w:rPr>
          <w:snapToGrid w:val="0"/>
        </w:rPr>
        <w:tab/>
        <w:t>Terms of office and vacancies</w:t>
      </w:r>
      <w:bookmarkEnd w:id="11"/>
      <w:bookmarkEnd w:id="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w:t>
      </w:r>
      <w:r>
        <w:t>, in relation to a member, means appointed by the Trustees or the Association;</w:t>
      </w:r>
    </w:p>
    <w:p>
      <w:pPr>
        <w:pStyle w:val="Defstart"/>
      </w:pPr>
      <w:r>
        <w:rPr>
          <w:b/>
        </w:rPr>
        <w:tab/>
      </w:r>
      <w:r>
        <w:rPr>
          <w:rStyle w:val="CharDefText"/>
        </w:rPr>
        <w:t>casual vacancy</w:t>
      </w:r>
      <w:r>
        <w:t xml:space="preserve"> means a vacancy that occurs otherwise than when a term of office expires;</w:t>
      </w:r>
    </w:p>
    <w:p>
      <w:pPr>
        <w:pStyle w:val="Defstart"/>
      </w:pPr>
      <w:r>
        <w:rPr>
          <w:b/>
        </w:rPr>
        <w:tab/>
      </w:r>
      <w:r>
        <w:rPr>
          <w:rStyle w:val="CharDefText"/>
        </w:rPr>
        <w:t>member</w:t>
      </w:r>
      <w:r>
        <w:t xml:space="preserve"> means a member of the Board;</w:t>
      </w:r>
    </w:p>
    <w:p>
      <w:pPr>
        <w:pStyle w:val="Defstart"/>
      </w:pPr>
      <w:r>
        <w:rPr>
          <w:b/>
        </w:rPr>
        <w:tab/>
      </w:r>
      <w:r>
        <w:rPr>
          <w:rStyle w:val="CharDefText"/>
        </w:rPr>
        <w:t>periodical vacancy</w:t>
      </w:r>
      <w:r>
        <w:t xml:space="preserve"> means a vacancy that occurs when a term of office expires.</w:t>
      </w:r>
    </w:p>
    <w:p>
      <w:pPr>
        <w:pStyle w:val="Subsection"/>
        <w:rPr>
          <w:snapToGrid w:val="0"/>
        </w:rPr>
      </w:pPr>
      <w:r>
        <w:rPr>
          <w:snapToGrid w:val="0"/>
        </w:rPr>
        <w:tab/>
        <w:t>(2)</w:t>
      </w:r>
      <w:r>
        <w:rPr>
          <w:snapToGrid w:val="0"/>
        </w:rPr>
        <w:tab/>
        <w:t>A member appointed to a periodical vacancy may hold office for a period ending — </w:t>
      </w:r>
    </w:p>
    <w:p>
      <w:pPr>
        <w:pStyle w:val="Indenta"/>
        <w:rPr>
          <w:snapToGrid w:val="0"/>
        </w:rPr>
      </w:pPr>
      <w:r>
        <w:rPr>
          <w:snapToGrid w:val="0"/>
        </w:rPr>
        <w:tab/>
        <w:t>(a)</w:t>
      </w:r>
      <w:r>
        <w:rPr>
          <w:snapToGrid w:val="0"/>
        </w:rPr>
        <w:tab/>
        <w:t>4 years from when the vacancy occurred, if it occurred before 31 December 1994; or</w:t>
      </w:r>
    </w:p>
    <w:p>
      <w:pPr>
        <w:pStyle w:val="Indenta"/>
        <w:rPr>
          <w:snapToGrid w:val="0"/>
        </w:rPr>
      </w:pPr>
      <w:r>
        <w:rPr>
          <w:snapToGrid w:val="0"/>
        </w:rPr>
        <w:tab/>
        <w:t>(b)</w:t>
      </w:r>
      <w:r>
        <w:rPr>
          <w:snapToGrid w:val="0"/>
        </w:rPr>
        <w:tab/>
        <w:t>5 years from when the vacancy occurred, if it occurred on or after 31 December 1994.</w:t>
      </w:r>
    </w:p>
    <w:p>
      <w:pPr>
        <w:pStyle w:val="Subsection"/>
        <w:rPr>
          <w:snapToGrid w:val="0"/>
        </w:rPr>
      </w:pPr>
      <w:r>
        <w:rPr>
          <w:snapToGrid w:val="0"/>
        </w:rPr>
        <w:tab/>
        <w:t>(3)</w:t>
      </w:r>
      <w:r>
        <w:rPr>
          <w:snapToGrid w:val="0"/>
        </w:rPr>
        <w:tab/>
        <w:t xml:space="preserve">Each of the first members appointed to fill the 2 vacancies created by the commencement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Amendment Act 1994</w:t>
      </w:r>
      <w:r>
        <w:rPr>
          <w:snapToGrid w:val="0"/>
        </w:rPr>
        <w:t xml:space="preserve"> may hold office for the period ending on 31 December 1998.</w:t>
      </w:r>
    </w:p>
    <w:p>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pPr>
        <w:pStyle w:val="Subsection"/>
        <w:rPr>
          <w:snapToGrid w:val="0"/>
        </w:rPr>
      </w:pPr>
      <w:r>
        <w:rPr>
          <w:snapToGrid w:val="0"/>
        </w:rPr>
        <w:tab/>
        <w:t>(5)</w:t>
      </w:r>
      <w:r>
        <w:rPr>
          <w:snapToGrid w:val="0"/>
        </w:rPr>
        <w:tab/>
        <w:t>An appointed member whose term of office expires is eligible for reappointment.</w:t>
      </w:r>
    </w:p>
    <w:p>
      <w:pPr>
        <w:pStyle w:val="Subsection"/>
        <w:rPr>
          <w:snapToGrid w:val="0"/>
        </w:rPr>
      </w:pPr>
      <w:r>
        <w:rPr>
          <w:snapToGrid w:val="0"/>
        </w:rPr>
        <w:tab/>
        <w:t>(6)</w:t>
      </w:r>
      <w:r>
        <w:rPr>
          <w:snapToGrid w:val="0"/>
        </w:rPr>
        <w:tab/>
        <w:t>The body which appointed a member may at any time terminate the appointment or remove the member from office.</w:t>
      </w:r>
    </w:p>
    <w:p>
      <w:pPr>
        <w:pStyle w:val="Subsection"/>
        <w:rPr>
          <w:snapToGrid w:val="0"/>
        </w:rPr>
      </w:pPr>
      <w:r>
        <w:rPr>
          <w:snapToGrid w:val="0"/>
        </w:rPr>
        <w:tab/>
        <w:t>(7)</w:t>
      </w:r>
      <w:r>
        <w:rPr>
          <w:snapToGrid w:val="0"/>
        </w:rPr>
        <w:tab/>
        <w:t>The office of an appointed member becomes vacant if — </w:t>
      </w:r>
    </w:p>
    <w:p>
      <w:pPr>
        <w:pStyle w:val="Indenta"/>
        <w:rPr>
          <w:snapToGrid w:val="0"/>
        </w:rPr>
      </w:pPr>
      <w:r>
        <w:rPr>
          <w:snapToGrid w:val="0"/>
        </w:rPr>
        <w:tab/>
        <w:t>(a)</w:t>
      </w:r>
      <w:r>
        <w:rPr>
          <w:snapToGrid w:val="0"/>
        </w:rPr>
        <w:tab/>
        <w:t>the term of office expires;</w:t>
      </w:r>
    </w:p>
    <w:p>
      <w:pPr>
        <w:pStyle w:val="Indenta"/>
        <w:rPr>
          <w:snapToGrid w:val="0"/>
        </w:rPr>
      </w:pPr>
      <w:r>
        <w:rPr>
          <w:snapToGrid w:val="0"/>
        </w:rPr>
        <w:tab/>
        <w:t>(b)</w:t>
      </w:r>
      <w:r>
        <w:rPr>
          <w:snapToGrid w:val="0"/>
        </w:rPr>
        <w:tab/>
        <w:t>the appointment is terminated, or the member is removed from office, under subsection (6);</w:t>
      </w:r>
    </w:p>
    <w:p>
      <w:pPr>
        <w:pStyle w:val="Indenta"/>
        <w:rPr>
          <w:snapToGrid w:val="0"/>
        </w:rPr>
      </w:pPr>
      <w:r>
        <w:rPr>
          <w:snapToGrid w:val="0"/>
        </w:rPr>
        <w:tab/>
        <w:t>(c)</w:t>
      </w:r>
      <w:r>
        <w:rPr>
          <w:snapToGrid w:val="0"/>
        </w:rPr>
        <w:tab/>
        <w:t>the member dies; or</w:t>
      </w:r>
    </w:p>
    <w:p>
      <w:pPr>
        <w:pStyle w:val="Indenta"/>
        <w:rPr>
          <w:snapToGrid w:val="0"/>
        </w:rPr>
      </w:pPr>
      <w:r>
        <w:rPr>
          <w:snapToGrid w:val="0"/>
        </w:rPr>
        <w:tab/>
        <w:t>(d)</w:t>
      </w:r>
      <w:r>
        <w:rPr>
          <w:snapToGrid w:val="0"/>
        </w:rPr>
        <w:tab/>
        <w:t>the member resigns by written notice addressed to the Chairman of the Board.</w:t>
      </w:r>
    </w:p>
    <w:p>
      <w:pPr>
        <w:pStyle w:val="Subsection"/>
        <w:rPr>
          <w:snapToGrid w:val="0"/>
        </w:rPr>
      </w:pPr>
      <w:r>
        <w:rPr>
          <w:snapToGrid w:val="0"/>
        </w:rPr>
        <w:tab/>
        <w:t>(8)</w:t>
      </w:r>
      <w:r>
        <w:rPr>
          <w:snapToGrid w:val="0"/>
        </w:rPr>
        <w:tab/>
        <w:t>The continuing members may act despite any vacancy on the Board.</w:t>
      </w:r>
    </w:p>
    <w:p>
      <w:pPr>
        <w:pStyle w:val="Footnotesection"/>
      </w:pPr>
      <w:r>
        <w:tab/>
        <w:t xml:space="preserve">[Section 6 inserted: No. 75 of 1994 s. 3.] </w:t>
      </w:r>
    </w:p>
    <w:p>
      <w:pPr>
        <w:pStyle w:val="Heading5"/>
        <w:rPr>
          <w:snapToGrid w:val="0"/>
        </w:rPr>
      </w:pPr>
      <w:bookmarkStart w:id="13" w:name="_Toc378669017"/>
      <w:bookmarkStart w:id="14" w:name="_Toc455395148"/>
      <w:r>
        <w:rPr>
          <w:rStyle w:val="CharSectno"/>
        </w:rPr>
        <w:t>7</w:t>
      </w:r>
      <w:r>
        <w:rPr>
          <w:snapToGrid w:val="0"/>
        </w:rPr>
        <w:t>.</w:t>
      </w:r>
      <w:r>
        <w:rPr>
          <w:snapToGrid w:val="0"/>
        </w:rPr>
        <w:tab/>
        <w:t>Visitor</w:t>
      </w:r>
      <w:bookmarkEnd w:id="13"/>
      <w:bookmarkEnd w:id="14"/>
      <w:r>
        <w:rPr>
          <w:snapToGrid w:val="0"/>
        </w:rPr>
        <w:t xml:space="preserve"> </w:t>
      </w:r>
    </w:p>
    <w:p>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pPr>
        <w:pStyle w:val="Footnotesection"/>
      </w:pPr>
      <w:r>
        <w:tab/>
        <w:t xml:space="preserve">[Section 7 inserted: No. 34 of 1958 s. 6; amended: No. 121 of 1976 s. 7.] </w:t>
      </w:r>
    </w:p>
    <w:p>
      <w:pPr>
        <w:pStyle w:val="Heading5"/>
        <w:rPr>
          <w:snapToGrid w:val="0"/>
        </w:rPr>
      </w:pPr>
      <w:bookmarkStart w:id="15" w:name="_Toc378669018"/>
      <w:bookmarkStart w:id="16" w:name="_Toc455395149"/>
      <w:r>
        <w:rPr>
          <w:rStyle w:val="CharSectno"/>
        </w:rPr>
        <w:t>8</w:t>
      </w:r>
      <w:r>
        <w:rPr>
          <w:snapToGrid w:val="0"/>
        </w:rPr>
        <w:t>.</w:t>
      </w:r>
      <w:r>
        <w:rPr>
          <w:snapToGrid w:val="0"/>
        </w:rPr>
        <w:tab/>
        <w:t>Dealings in property</w:t>
      </w:r>
      <w:bookmarkEnd w:id="15"/>
      <w:bookmarkEnd w:id="16"/>
      <w:r>
        <w:rPr>
          <w:snapToGrid w:val="0"/>
        </w:rPr>
        <w:t xml:space="preserve"> </w:t>
      </w:r>
    </w:p>
    <w:p>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pPr>
        <w:pStyle w:val="Footnotesection"/>
      </w:pPr>
      <w:r>
        <w:tab/>
        <w:t xml:space="preserve">[Section 8 inserted: No. 34 of 1958 s. 6.] </w:t>
      </w:r>
    </w:p>
    <w:p>
      <w:pPr>
        <w:pStyle w:val="Heading5"/>
        <w:rPr>
          <w:snapToGrid w:val="0"/>
        </w:rPr>
      </w:pPr>
      <w:bookmarkStart w:id="17" w:name="_Toc378669019"/>
      <w:bookmarkStart w:id="18" w:name="_Toc455395150"/>
      <w:r>
        <w:rPr>
          <w:rStyle w:val="CharSectno"/>
        </w:rPr>
        <w:t>9</w:t>
      </w:r>
      <w:r>
        <w:rPr>
          <w:snapToGrid w:val="0"/>
        </w:rPr>
        <w:t>.</w:t>
      </w:r>
      <w:r>
        <w:rPr>
          <w:snapToGrid w:val="0"/>
        </w:rPr>
        <w:tab/>
        <w:t>Management of school</w:t>
      </w:r>
      <w:bookmarkEnd w:id="17"/>
      <w:bookmarkEnd w:id="18"/>
    </w:p>
    <w:p>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w:t>
      </w:r>
      <w:r>
        <w:rPr>
          <w:i/>
        </w:rPr>
        <w:t>2015</w:t>
      </w:r>
      <w:r>
        <w:t>,</w:t>
      </w:r>
      <w:r>
        <w:rPr>
          <w:snapToGrid w:val="0"/>
        </w:rPr>
        <w:t xml:space="preserve"> upon an association incorporated under that Act.</w:t>
      </w:r>
    </w:p>
    <w:p>
      <w:pPr>
        <w:pStyle w:val="Footnotesection"/>
      </w:pPr>
      <w:r>
        <w:tab/>
        <w:t xml:space="preserve">[Section 9 inserted: No. 34 of 1958 s. 6; amended: No. 30 of 2015 s. 218(3).] </w:t>
      </w:r>
    </w:p>
    <w:p>
      <w:pPr>
        <w:pStyle w:val="Heading5"/>
        <w:rPr>
          <w:snapToGrid w:val="0"/>
        </w:rPr>
      </w:pPr>
      <w:bookmarkStart w:id="19" w:name="_Toc378669020"/>
      <w:bookmarkStart w:id="20" w:name="_Toc455395151"/>
      <w:r>
        <w:rPr>
          <w:rStyle w:val="CharSectno"/>
        </w:rPr>
        <w:t>10</w:t>
      </w:r>
      <w:r>
        <w:rPr>
          <w:snapToGrid w:val="0"/>
        </w:rPr>
        <w:t>.</w:t>
      </w:r>
      <w:r>
        <w:rPr>
          <w:snapToGrid w:val="0"/>
        </w:rPr>
        <w:tab/>
        <w:t>Board’s proceedings</w:t>
      </w:r>
      <w:bookmarkEnd w:id="19"/>
      <w:bookmarkEnd w:id="20"/>
    </w:p>
    <w:p>
      <w:pPr>
        <w:pStyle w:val="Subsection"/>
        <w:rPr>
          <w:snapToGrid w:val="0"/>
        </w:rPr>
      </w:pPr>
      <w:r>
        <w:rPr>
          <w:snapToGrid w:val="0"/>
        </w:rPr>
        <w:tab/>
        <w:t>(1)</w:t>
      </w:r>
      <w:r>
        <w:rPr>
          <w:snapToGrid w:val="0"/>
        </w:rPr>
        <w:tab/>
        <w:t>At a meeting of the Board 6 members shall form a quorum.</w:t>
      </w:r>
    </w:p>
    <w:p>
      <w:pPr>
        <w:pStyle w:val="Subsection"/>
        <w:rPr>
          <w:snapToGrid w:val="0"/>
        </w:rPr>
      </w:pPr>
      <w:r>
        <w:rPr>
          <w:snapToGrid w:val="0"/>
        </w:rPr>
        <w:tab/>
        <w:t>(2)</w:t>
      </w:r>
      <w:r>
        <w:rPr>
          <w:snapToGrid w:val="0"/>
        </w:rPr>
        <w:tab/>
        <w:t>The Chairman shall have a deliberative but not a second or casting vote.</w:t>
      </w:r>
    </w:p>
    <w:p>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pPr>
        <w:pStyle w:val="Footnotesection"/>
      </w:pPr>
      <w:r>
        <w:tab/>
        <w:t xml:space="preserve">[Section 10 inserted: No. 34 of 1958 s. 6; amended: No. 75 of 1994 s. 4.] </w:t>
      </w:r>
    </w:p>
    <w:p>
      <w:pPr>
        <w:pStyle w:val="Heading5"/>
        <w:rPr>
          <w:snapToGrid w:val="0"/>
        </w:rPr>
      </w:pPr>
      <w:bookmarkStart w:id="21" w:name="_Toc378669021"/>
      <w:bookmarkStart w:id="22" w:name="_Toc455395152"/>
      <w:r>
        <w:rPr>
          <w:rStyle w:val="CharSectno"/>
        </w:rPr>
        <w:t>11</w:t>
      </w:r>
      <w:r>
        <w:rPr>
          <w:snapToGrid w:val="0"/>
        </w:rPr>
        <w:t>.</w:t>
      </w:r>
      <w:r>
        <w:rPr>
          <w:snapToGrid w:val="0"/>
        </w:rPr>
        <w:tab/>
        <w:t>Borrowing</w:t>
      </w:r>
      <w:bookmarkEnd w:id="21"/>
      <w:bookmarkEnd w:id="22"/>
      <w:r>
        <w:rPr>
          <w:snapToGrid w:val="0"/>
        </w:rPr>
        <w:t xml:space="preserve"> </w:t>
      </w:r>
    </w:p>
    <w:p>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pPr>
        <w:pStyle w:val="Footnotesection"/>
      </w:pPr>
      <w:r>
        <w:tab/>
        <w:t xml:space="preserve">[Section 11 inserted: No. 34 of 1958 s. 6.] </w:t>
      </w:r>
    </w:p>
    <w:p>
      <w:pPr>
        <w:pStyle w:val="Heading5"/>
        <w:rPr>
          <w:snapToGrid w:val="0"/>
        </w:rPr>
      </w:pPr>
      <w:bookmarkStart w:id="23" w:name="_Toc378669022"/>
      <w:bookmarkStart w:id="24" w:name="_Toc455395153"/>
      <w:r>
        <w:rPr>
          <w:rStyle w:val="CharSectno"/>
        </w:rPr>
        <w:t>12</w:t>
      </w:r>
      <w:r>
        <w:rPr>
          <w:snapToGrid w:val="0"/>
        </w:rPr>
        <w:t>.</w:t>
      </w:r>
      <w:r>
        <w:rPr>
          <w:snapToGrid w:val="0"/>
        </w:rPr>
        <w:tab/>
        <w:t>Rating and taxation exemption</w:t>
      </w:r>
      <w:bookmarkEnd w:id="23"/>
      <w:bookmarkEnd w:id="24"/>
      <w:r>
        <w:rPr>
          <w:snapToGrid w:val="0"/>
        </w:rPr>
        <w:t xml:space="preserve"> </w:t>
      </w:r>
    </w:p>
    <w:p>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w:t>
      </w:r>
      <w:r>
        <w:t xml:space="preserve">and, if the land is not connected to water service works as defined in the </w:t>
      </w:r>
      <w:r>
        <w:rPr>
          <w:i/>
          <w:iCs/>
        </w:rPr>
        <w:t xml:space="preserve">Water Services Act 2012 </w:t>
      </w:r>
      <w:r>
        <w:t>section 3(1), from statutory water service charges under that Act</w:t>
      </w:r>
      <w:r>
        <w:rPr>
          <w:snapToGrid w:val="0"/>
        </w:rPr>
        <w:t xml:space="preserve"> and from </w:t>
      </w:r>
      <w:r>
        <w:t xml:space="preserve">land tax imposed by the </w:t>
      </w:r>
      <w:r>
        <w:rPr>
          <w:i/>
        </w:rPr>
        <w:t>Land Tax Act 2002</w:t>
      </w:r>
      <w:r>
        <w:rPr>
          <w:snapToGrid w:val="0"/>
        </w:rPr>
        <w:t>.</w:t>
      </w:r>
    </w:p>
    <w:p>
      <w:pPr>
        <w:pStyle w:val="Footnotesection"/>
      </w:pPr>
      <w:r>
        <w:tab/>
        <w:t xml:space="preserve">[Section 12 inserted: No. 34 of 1958 s. 6; amended: No. 14 of 1996 s. 4; No. 45 of 2002 s. 14; No. 25 of 2012 s. 215.] </w:t>
      </w:r>
    </w:p>
    <w:p>
      <w:pPr>
        <w:pStyle w:val="Heading5"/>
        <w:rPr>
          <w:snapToGrid w:val="0"/>
        </w:rPr>
      </w:pPr>
      <w:bookmarkStart w:id="25" w:name="_Toc378669023"/>
      <w:bookmarkStart w:id="26" w:name="_Toc455395154"/>
      <w:r>
        <w:rPr>
          <w:rStyle w:val="CharSectno"/>
        </w:rPr>
        <w:t>13</w:t>
      </w:r>
      <w:r>
        <w:rPr>
          <w:snapToGrid w:val="0"/>
        </w:rPr>
        <w:t>.</w:t>
      </w:r>
      <w:r>
        <w:rPr>
          <w:snapToGrid w:val="0"/>
        </w:rPr>
        <w:tab/>
        <w:t>Agreement relating to Reserve A3421</w:t>
      </w:r>
      <w:bookmarkEnd w:id="25"/>
      <w:bookmarkEnd w:id="26"/>
      <w:r>
        <w:rPr>
          <w:snapToGrid w:val="0"/>
        </w:rPr>
        <w:t xml:space="preserve"> </w:t>
      </w:r>
    </w:p>
    <w:p>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pPr>
        <w:pStyle w:val="Footnotesection"/>
      </w:pPr>
      <w:r>
        <w:tab/>
        <w:t xml:space="preserve">[Section 13 inserted: No. 34 of 1958 s. 6.]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7" w:name="_Toc378669024"/>
      <w:bookmarkStart w:id="28" w:name="_Toc419210193"/>
      <w:bookmarkStart w:id="29" w:name="_Toc455395155"/>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and includes the amendments made by the other written laws referred to in the following table</w:t>
      </w:r>
      <w:r>
        <w:rPr>
          <w:snapToGrid w:val="0"/>
          <w:vertAlign w:val="superscript"/>
        </w:rPr>
        <w:t> 9</w:t>
      </w:r>
      <w:r>
        <w:rPr>
          <w:snapToGrid w:val="0"/>
        </w:rPr>
        <w:t>.  The table also contains information about any reprint.</w:t>
      </w:r>
    </w:p>
    <w:p>
      <w:pPr>
        <w:pStyle w:val="nHeading3"/>
        <w:rPr>
          <w:snapToGrid w:val="0"/>
        </w:rPr>
      </w:pPr>
      <w:bookmarkStart w:id="30" w:name="_Toc378669025"/>
      <w:bookmarkStart w:id="31" w:name="_Toc455395156"/>
      <w:r>
        <w:rPr>
          <w:snapToGrid w:val="0"/>
        </w:rPr>
        <w:t>Compilation table</w:t>
      </w:r>
      <w:bookmarkEnd w:id="30"/>
      <w:bookmarkEnd w:id="31"/>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The High School Act 1876</w:t>
            </w:r>
            <w:r>
              <w:rPr>
                <w:vertAlign w:val="superscript"/>
              </w:rPr>
              <w:t> 6</w:t>
            </w:r>
          </w:p>
        </w:tc>
        <w:tc>
          <w:tcPr>
            <w:tcW w:w="1134" w:type="dxa"/>
            <w:gridSpan w:val="2"/>
          </w:tcPr>
          <w:p>
            <w:pPr>
              <w:pStyle w:val="nTable"/>
              <w:spacing w:before="120"/>
            </w:pPr>
            <w:r>
              <w:t>40 Vict. No. 8 (1876)</w:t>
            </w:r>
          </w:p>
        </w:tc>
        <w:tc>
          <w:tcPr>
            <w:tcW w:w="1134" w:type="dxa"/>
          </w:tcPr>
          <w:p>
            <w:pPr>
              <w:pStyle w:val="nTable"/>
              <w:spacing w:before="120"/>
            </w:pPr>
            <w:r>
              <w:t>12 Sep 1876</w:t>
            </w:r>
          </w:p>
        </w:tc>
        <w:tc>
          <w:tcPr>
            <w:tcW w:w="2552" w:type="dxa"/>
          </w:tcPr>
          <w:p>
            <w:pPr>
              <w:pStyle w:val="nTable"/>
              <w:spacing w:before="120"/>
            </w:pPr>
            <w:r>
              <w:t>12 Sep 1876</w:t>
            </w:r>
          </w:p>
        </w:tc>
      </w:tr>
      <w:tr>
        <w:trPr>
          <w:cantSplit/>
        </w:trPr>
        <w:tc>
          <w:tcPr>
            <w:tcW w:w="2268" w:type="dxa"/>
          </w:tcPr>
          <w:p>
            <w:pPr>
              <w:pStyle w:val="nTable"/>
              <w:spacing w:before="120"/>
              <w:ind w:right="113"/>
            </w:pPr>
          </w:p>
        </w:tc>
        <w:tc>
          <w:tcPr>
            <w:tcW w:w="1134" w:type="dxa"/>
            <w:gridSpan w:val="2"/>
          </w:tcPr>
          <w:p>
            <w:pPr>
              <w:pStyle w:val="nTable"/>
              <w:spacing w:before="120"/>
              <w:rPr>
                <w:rFonts w:ascii=" " w:hAnsi=" "/>
                <w:vertAlign w:val="superscript"/>
              </w:rPr>
            </w:pPr>
            <w:r>
              <w:t>42 Vict. No. 28 (1878)</w:t>
            </w:r>
            <w:r>
              <w:rPr>
                <w:vertAlign w:val="superscript"/>
              </w:rPr>
              <w:t> 7</w:t>
            </w:r>
          </w:p>
        </w:tc>
        <w:tc>
          <w:tcPr>
            <w:tcW w:w="1134" w:type="dxa"/>
          </w:tcPr>
          <w:p>
            <w:pPr>
              <w:pStyle w:val="nTable"/>
              <w:spacing w:before="120"/>
            </w:pPr>
            <w:r>
              <w:t>24 Jul 1878</w:t>
            </w:r>
          </w:p>
        </w:tc>
        <w:tc>
          <w:tcPr>
            <w:tcW w:w="2552" w:type="dxa"/>
          </w:tcPr>
          <w:p>
            <w:pPr>
              <w:pStyle w:val="nTable"/>
              <w:spacing w:before="120"/>
            </w:pPr>
            <w:r>
              <w:t>24 Jul 1878</w:t>
            </w:r>
          </w:p>
        </w:tc>
      </w:tr>
      <w:tr>
        <w:trPr>
          <w:cantSplit/>
        </w:trPr>
        <w:tc>
          <w:tcPr>
            <w:tcW w:w="2268" w:type="dxa"/>
          </w:tcPr>
          <w:p>
            <w:pPr>
              <w:pStyle w:val="nTable"/>
              <w:spacing w:before="120"/>
              <w:ind w:right="113"/>
              <w:rPr>
                <w:vertAlign w:val="superscript"/>
              </w:rPr>
            </w:pPr>
            <w:r>
              <w:rPr>
                <w:i/>
              </w:rPr>
              <w:t xml:space="preserve">The Governors of High School Appointment Act </w:t>
            </w:r>
            <w:r>
              <w:rPr>
                <w:vertAlign w:val="superscript"/>
              </w:rPr>
              <w:t>8</w:t>
            </w:r>
          </w:p>
        </w:tc>
        <w:tc>
          <w:tcPr>
            <w:tcW w:w="1134" w:type="dxa"/>
            <w:gridSpan w:val="2"/>
          </w:tcPr>
          <w:p>
            <w:pPr>
              <w:pStyle w:val="nTable"/>
              <w:spacing w:before="120"/>
            </w:pPr>
            <w:r>
              <w:t>55 Vict. No. 29 (1892)</w:t>
            </w:r>
          </w:p>
        </w:tc>
        <w:tc>
          <w:tcPr>
            <w:tcW w:w="1134" w:type="dxa"/>
          </w:tcPr>
          <w:p>
            <w:pPr>
              <w:pStyle w:val="nTable"/>
              <w:spacing w:before="120"/>
            </w:pPr>
            <w:r>
              <w:t>18 Mar 1892</w:t>
            </w:r>
          </w:p>
        </w:tc>
        <w:tc>
          <w:tcPr>
            <w:tcW w:w="2552" w:type="dxa"/>
          </w:tcPr>
          <w:p>
            <w:pPr>
              <w:pStyle w:val="nTable"/>
              <w:spacing w:before="120"/>
            </w:pPr>
            <w:r>
              <w:t>18 Mar 1892</w:t>
            </w:r>
          </w:p>
        </w:tc>
      </w:tr>
      <w:tr>
        <w:trPr>
          <w:cantSplit/>
        </w:trPr>
        <w:tc>
          <w:tcPr>
            <w:tcW w:w="2268" w:type="dxa"/>
          </w:tcPr>
          <w:p>
            <w:pPr>
              <w:pStyle w:val="nTable"/>
              <w:spacing w:before="120"/>
              <w:ind w:right="113"/>
            </w:pPr>
          </w:p>
        </w:tc>
        <w:tc>
          <w:tcPr>
            <w:tcW w:w="1134" w:type="dxa"/>
            <w:gridSpan w:val="2"/>
          </w:tcPr>
          <w:p>
            <w:pPr>
              <w:pStyle w:val="nTable"/>
              <w:spacing w:before="120"/>
              <w:rPr>
                <w:vertAlign w:val="superscript"/>
              </w:rPr>
            </w:pPr>
            <w:r>
              <w:t>61 Vict. No. 12 (1897)</w:t>
            </w:r>
            <w:r>
              <w:rPr>
                <w:vertAlign w:val="superscript"/>
              </w:rPr>
              <w:t> 8</w:t>
            </w:r>
          </w:p>
        </w:tc>
        <w:tc>
          <w:tcPr>
            <w:tcW w:w="1134" w:type="dxa"/>
          </w:tcPr>
          <w:p>
            <w:pPr>
              <w:pStyle w:val="nTable"/>
              <w:spacing w:before="120"/>
            </w:pPr>
            <w:r>
              <w:t>23 Dec 1897</w:t>
            </w:r>
          </w:p>
        </w:tc>
        <w:tc>
          <w:tcPr>
            <w:tcW w:w="2552" w:type="dxa"/>
          </w:tcPr>
          <w:p>
            <w:pPr>
              <w:pStyle w:val="nTable"/>
              <w:spacing w:before="120"/>
            </w:pPr>
            <w:r>
              <w:t>23 Dec 1897</w:t>
            </w:r>
          </w:p>
        </w:tc>
      </w:tr>
      <w:tr>
        <w:trPr>
          <w:cantSplit/>
        </w:trPr>
        <w:tc>
          <w:tcPr>
            <w:tcW w:w="2268" w:type="dxa"/>
          </w:tcPr>
          <w:p>
            <w:pPr>
              <w:pStyle w:val="nTable"/>
              <w:spacing w:before="120"/>
              <w:ind w:right="113"/>
              <w:rPr>
                <w:vertAlign w:val="superscript"/>
              </w:rPr>
            </w:pPr>
            <w:r>
              <w:rPr>
                <w:i/>
              </w:rPr>
              <w:t>High School Act Amendment Act 1912</w:t>
            </w:r>
            <w:r>
              <w:rPr>
                <w:i/>
                <w:vertAlign w:val="superscript"/>
              </w:rPr>
              <w:t> </w:t>
            </w:r>
            <w:r>
              <w:rPr>
                <w:vertAlign w:val="superscript"/>
              </w:rPr>
              <w:t>8</w:t>
            </w:r>
          </w:p>
        </w:tc>
        <w:tc>
          <w:tcPr>
            <w:tcW w:w="1134" w:type="dxa"/>
            <w:gridSpan w:val="2"/>
          </w:tcPr>
          <w:p>
            <w:pPr>
              <w:pStyle w:val="nTable"/>
              <w:spacing w:before="120"/>
            </w:pPr>
            <w:r>
              <w:t>44 of 1912</w:t>
            </w:r>
          </w:p>
        </w:tc>
        <w:tc>
          <w:tcPr>
            <w:tcW w:w="1134" w:type="dxa"/>
          </w:tcPr>
          <w:p>
            <w:pPr>
              <w:pStyle w:val="nTable"/>
              <w:spacing w:before="120"/>
            </w:pPr>
            <w:r>
              <w:t>24 Dec 1912</w:t>
            </w:r>
          </w:p>
        </w:tc>
        <w:tc>
          <w:tcPr>
            <w:tcW w:w="2552" w:type="dxa"/>
          </w:tcPr>
          <w:p>
            <w:pPr>
              <w:pStyle w:val="nTable"/>
              <w:spacing w:before="120"/>
            </w:pPr>
            <w:r>
              <w:t>24 Dec 1912</w:t>
            </w:r>
          </w:p>
        </w:tc>
      </w:tr>
      <w:tr>
        <w:trPr>
          <w:cantSplit/>
        </w:trPr>
        <w:tc>
          <w:tcPr>
            <w:tcW w:w="2268" w:type="dxa"/>
          </w:tcPr>
          <w:p>
            <w:pPr>
              <w:pStyle w:val="nTable"/>
              <w:spacing w:before="120"/>
              <w:ind w:right="113"/>
              <w:rPr>
                <w:i/>
                <w:vertAlign w:val="superscript"/>
              </w:rPr>
            </w:pPr>
            <w:r>
              <w:rPr>
                <w:i/>
              </w:rPr>
              <w:t>High School Act Amendment Act 1920 </w:t>
            </w:r>
            <w:r>
              <w:rPr>
                <w:i/>
                <w:vertAlign w:val="superscript"/>
              </w:rPr>
              <w:t>8</w:t>
            </w:r>
          </w:p>
        </w:tc>
        <w:tc>
          <w:tcPr>
            <w:tcW w:w="1134" w:type="dxa"/>
            <w:gridSpan w:val="2"/>
          </w:tcPr>
          <w:p>
            <w:pPr>
              <w:pStyle w:val="nTable"/>
              <w:spacing w:before="120"/>
            </w:pPr>
            <w:r>
              <w:t>6 of 1920</w:t>
            </w:r>
          </w:p>
        </w:tc>
        <w:tc>
          <w:tcPr>
            <w:tcW w:w="1134" w:type="dxa"/>
          </w:tcPr>
          <w:p>
            <w:pPr>
              <w:pStyle w:val="nTable"/>
              <w:spacing w:before="120"/>
            </w:pPr>
            <w:r>
              <w:t>21 Oct 1920</w:t>
            </w:r>
          </w:p>
        </w:tc>
        <w:tc>
          <w:tcPr>
            <w:tcW w:w="2552" w:type="dxa"/>
          </w:tcPr>
          <w:p>
            <w:pPr>
              <w:pStyle w:val="nTable"/>
              <w:spacing w:before="120"/>
            </w:pPr>
            <w:r>
              <w:t>21 Oct 1920</w:t>
            </w:r>
          </w:p>
        </w:tc>
      </w:tr>
      <w:tr>
        <w:trPr>
          <w:cantSplit/>
        </w:trPr>
        <w:tc>
          <w:tcPr>
            <w:tcW w:w="2268" w:type="dxa"/>
          </w:tcPr>
          <w:p>
            <w:pPr>
              <w:pStyle w:val="nTable"/>
              <w:spacing w:before="120"/>
              <w:ind w:right="113"/>
              <w:rPr>
                <w:i/>
                <w:vertAlign w:val="superscript"/>
              </w:rPr>
            </w:pPr>
            <w:r>
              <w:rPr>
                <w:i/>
              </w:rPr>
              <w:t>High School Act Amendment Act 1929</w:t>
            </w:r>
            <w:r>
              <w:rPr>
                <w:i/>
                <w:vertAlign w:val="superscript"/>
              </w:rPr>
              <w:t> 8</w:t>
            </w:r>
          </w:p>
        </w:tc>
        <w:tc>
          <w:tcPr>
            <w:tcW w:w="1134" w:type="dxa"/>
            <w:gridSpan w:val="2"/>
          </w:tcPr>
          <w:p>
            <w:pPr>
              <w:pStyle w:val="nTable"/>
              <w:spacing w:before="120"/>
            </w:pPr>
            <w:r>
              <w:t>16 of 1929</w:t>
            </w:r>
          </w:p>
        </w:tc>
        <w:tc>
          <w:tcPr>
            <w:tcW w:w="1134" w:type="dxa"/>
          </w:tcPr>
          <w:p>
            <w:pPr>
              <w:pStyle w:val="nTable"/>
              <w:spacing w:before="120"/>
            </w:pPr>
            <w:r>
              <w:t>15 Nov 1929</w:t>
            </w:r>
          </w:p>
        </w:tc>
        <w:tc>
          <w:tcPr>
            <w:tcW w:w="2552" w:type="dxa"/>
          </w:tcPr>
          <w:p>
            <w:pPr>
              <w:pStyle w:val="nTable"/>
              <w:spacing w:before="120"/>
            </w:pPr>
            <w:r>
              <w:t xml:space="preserve">29 Nov 1929 (see s. 1(2) and </w:t>
            </w:r>
            <w:r>
              <w:rPr>
                <w:i/>
              </w:rPr>
              <w:t>Gazette</w:t>
            </w:r>
            <w:r>
              <w:t xml:space="preserve"> 29 Nov 1929 p. 2630)</w:t>
            </w:r>
          </w:p>
        </w:tc>
      </w:tr>
      <w:tr>
        <w:trPr>
          <w:cantSplit/>
        </w:trPr>
        <w:tc>
          <w:tcPr>
            <w:tcW w:w="2268" w:type="dxa"/>
          </w:tcPr>
          <w:p>
            <w:pPr>
              <w:pStyle w:val="nTable"/>
              <w:spacing w:before="120"/>
              <w:ind w:right="113"/>
              <w:rPr>
                <w:vertAlign w:val="superscript"/>
              </w:rPr>
            </w:pPr>
            <w:r>
              <w:rPr>
                <w:i/>
              </w:rPr>
              <w:t>High School Act Amendment Act 1930</w:t>
            </w:r>
            <w:r>
              <w:rPr>
                <w:i/>
                <w:vertAlign w:val="superscript"/>
              </w:rPr>
              <w:t> </w:t>
            </w:r>
            <w:r>
              <w:rPr>
                <w:vertAlign w:val="superscript"/>
              </w:rPr>
              <w:t>8</w:t>
            </w:r>
          </w:p>
        </w:tc>
        <w:tc>
          <w:tcPr>
            <w:tcW w:w="1134" w:type="dxa"/>
            <w:gridSpan w:val="2"/>
          </w:tcPr>
          <w:p>
            <w:pPr>
              <w:pStyle w:val="nTable"/>
              <w:spacing w:before="120"/>
            </w:pPr>
            <w:r>
              <w:t>2 of 1930</w:t>
            </w:r>
          </w:p>
        </w:tc>
        <w:tc>
          <w:tcPr>
            <w:tcW w:w="1134" w:type="dxa"/>
          </w:tcPr>
          <w:p>
            <w:pPr>
              <w:pStyle w:val="nTable"/>
              <w:spacing w:before="120"/>
            </w:pPr>
            <w:r>
              <w:t>23 Oct 1930</w:t>
            </w:r>
          </w:p>
        </w:tc>
        <w:tc>
          <w:tcPr>
            <w:tcW w:w="2552" w:type="dxa"/>
          </w:tcPr>
          <w:p>
            <w:pPr>
              <w:pStyle w:val="nTable"/>
              <w:spacing w:before="120"/>
            </w:pPr>
            <w:r>
              <w:t>23 Oct 1930</w:t>
            </w:r>
          </w:p>
        </w:tc>
      </w:tr>
      <w:tr>
        <w:trPr>
          <w:cantSplit/>
        </w:trPr>
        <w:tc>
          <w:tcPr>
            <w:tcW w:w="2268" w:type="dxa"/>
          </w:tcPr>
          <w:p>
            <w:pPr>
              <w:pStyle w:val="nTable"/>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Amendment Act 1958</w:t>
            </w:r>
          </w:p>
        </w:tc>
        <w:tc>
          <w:tcPr>
            <w:tcW w:w="1134" w:type="dxa"/>
            <w:gridSpan w:val="2"/>
          </w:tcPr>
          <w:p>
            <w:pPr>
              <w:pStyle w:val="nTable"/>
              <w:spacing w:before="120"/>
            </w:pPr>
            <w:r>
              <w:t>34 of 1958</w:t>
            </w:r>
          </w:p>
        </w:tc>
        <w:tc>
          <w:tcPr>
            <w:tcW w:w="1134" w:type="dxa"/>
          </w:tcPr>
          <w:p>
            <w:pPr>
              <w:pStyle w:val="nTable"/>
              <w:spacing w:before="120"/>
            </w:pPr>
            <w:r>
              <w:t>11 Dec 1958</w:t>
            </w:r>
          </w:p>
        </w:tc>
        <w:tc>
          <w:tcPr>
            <w:tcW w:w="2552" w:type="dxa"/>
          </w:tcPr>
          <w:p>
            <w:pPr>
              <w:pStyle w:val="nTable"/>
              <w:spacing w:before="120"/>
            </w:pPr>
            <w:r>
              <w:t>11 Jan 1959 (see s. 2)</w:t>
            </w:r>
          </w:p>
        </w:tc>
      </w:tr>
      <w:tr>
        <w:trPr>
          <w:cantSplit/>
        </w:trPr>
        <w:tc>
          <w:tcPr>
            <w:tcW w:w="2268" w:type="dxa"/>
          </w:tcPr>
          <w:p>
            <w:pPr>
              <w:pStyle w:val="nTable"/>
              <w:spacing w:before="120"/>
              <w:ind w:right="113"/>
              <w:rPr>
                <w:i/>
                <w:vertAlign w:val="superscript"/>
              </w:rPr>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 xml:space="preserve">s. 7 </w:t>
            </w:r>
            <w:r>
              <w:rPr>
                <w:vertAlign w:val="superscript"/>
              </w:rPr>
              <w:t>7</w:t>
            </w:r>
          </w:p>
        </w:tc>
        <w:tc>
          <w:tcPr>
            <w:tcW w:w="1134" w:type="dxa"/>
            <w:gridSpan w:val="2"/>
          </w:tcPr>
          <w:p>
            <w:pPr>
              <w:pStyle w:val="nTable"/>
              <w:spacing w:before="12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7088" w:type="dxa"/>
            <w:gridSpan w:val="5"/>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20 Aug 1987</w:t>
            </w:r>
            <w:r>
              <w:t xml:space="preserve"> </w:t>
            </w:r>
            <w:r>
              <w:br/>
              <w:t>(includes amendments listed above)</w:t>
            </w:r>
          </w:p>
        </w:tc>
      </w:tr>
      <w:tr>
        <w:trPr>
          <w:cantSplit/>
        </w:trPr>
        <w:tc>
          <w:tcPr>
            <w:tcW w:w="2268" w:type="dxa"/>
          </w:tcPr>
          <w:p>
            <w:pPr>
              <w:pStyle w:val="nTable"/>
              <w:keepNext/>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Amendment Act 1994</w:t>
            </w:r>
          </w:p>
        </w:tc>
        <w:tc>
          <w:tcPr>
            <w:tcW w:w="1134" w:type="dxa"/>
            <w:gridSpan w:val="2"/>
          </w:tcPr>
          <w:p>
            <w:pPr>
              <w:pStyle w:val="nTable"/>
              <w:spacing w:before="120"/>
            </w:pPr>
            <w:r>
              <w:t>75 of 1994</w:t>
            </w:r>
          </w:p>
        </w:tc>
        <w:tc>
          <w:tcPr>
            <w:tcW w:w="1134" w:type="dxa"/>
          </w:tcPr>
          <w:p>
            <w:pPr>
              <w:pStyle w:val="nTable"/>
              <w:spacing w:before="120"/>
            </w:pPr>
            <w:r>
              <w:t>13 Dec 1994</w:t>
            </w:r>
          </w:p>
        </w:tc>
        <w:tc>
          <w:tcPr>
            <w:tcW w:w="2552" w:type="dxa"/>
          </w:tcPr>
          <w:p>
            <w:pPr>
              <w:pStyle w:val="nTable"/>
              <w:spacing w:before="120"/>
            </w:pPr>
            <w:r>
              <w:t>10 Jan 1995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gridSpan w:val="2"/>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5"/>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17 Jun 2002</w:t>
            </w:r>
            <w:r>
              <w:t xml:space="preserve"> </w:t>
            </w:r>
            <w:r>
              <w:br/>
              <w:t>(includes amendments listed above)</w:t>
            </w:r>
          </w:p>
        </w:tc>
      </w:tr>
      <w:tr>
        <w:trPr>
          <w:cantSplit/>
        </w:trPr>
        <w:tc>
          <w:tcPr>
            <w:tcW w:w="2438" w:type="dxa"/>
            <w:gridSpan w:val="2"/>
          </w:tcPr>
          <w:p>
            <w:pPr>
              <w:pStyle w:val="nTable"/>
              <w:spacing w:before="120"/>
              <w:ind w:right="113"/>
            </w:pPr>
            <w:r>
              <w:rPr>
                <w:i/>
              </w:rPr>
              <w:t>Taxation Administration (Consequential Provisions) Act 2002</w:t>
            </w:r>
            <w:r>
              <w:t xml:space="preserve"> s. 14</w:t>
            </w:r>
            <w:r>
              <w:rPr>
                <w:vertAlign w:val="superscript"/>
              </w:rPr>
              <w:t> 10</w:t>
            </w:r>
          </w:p>
        </w:tc>
        <w:tc>
          <w:tcPr>
            <w:tcW w:w="964" w:type="dxa"/>
          </w:tcPr>
          <w:p>
            <w:pPr>
              <w:pStyle w:val="nTable"/>
              <w:spacing w:before="12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r>
        <w:trPr>
          <w:cantSplit/>
        </w:trPr>
        <w:tc>
          <w:tcPr>
            <w:tcW w:w="2438" w:type="dxa"/>
            <w:gridSpan w:val="2"/>
          </w:tcPr>
          <w:p>
            <w:pPr>
              <w:pStyle w:val="nTable"/>
              <w:spacing w:before="120"/>
              <w:ind w:right="113"/>
              <w:rPr>
                <w:i/>
              </w:rPr>
            </w:pPr>
            <w:r>
              <w:rPr>
                <w:i/>
              </w:rPr>
              <w:t>Water Services Legislation Amendment and Repeal Act 2012</w:t>
            </w:r>
            <w:r>
              <w:t xml:space="preserve"> s. 215</w:t>
            </w:r>
          </w:p>
        </w:tc>
        <w:tc>
          <w:tcPr>
            <w:tcW w:w="964" w:type="dxa"/>
          </w:tcPr>
          <w:p>
            <w:pPr>
              <w:pStyle w:val="nTable"/>
              <w:spacing w:before="120"/>
            </w:pPr>
            <w:r>
              <w:rPr>
                <w:snapToGrid w:val="0"/>
              </w:rPr>
              <w:t>25 of 2012</w:t>
            </w:r>
          </w:p>
        </w:tc>
        <w:tc>
          <w:tcPr>
            <w:tcW w:w="1134" w:type="dxa"/>
          </w:tcPr>
          <w:p>
            <w:pPr>
              <w:pStyle w:val="nTable"/>
              <w:spacing w:before="120"/>
            </w:pPr>
            <w:r>
              <w:t>3 Sep 2012</w:t>
            </w:r>
          </w:p>
        </w:tc>
        <w:tc>
          <w:tcPr>
            <w:tcW w:w="2552" w:type="dxa"/>
          </w:tcPr>
          <w:p>
            <w:pPr>
              <w:pStyle w:val="nTable"/>
              <w:spacing w:before="120"/>
            </w:pPr>
            <w:r>
              <w:t xml:space="preserve">18 Nov 2013 (see s. 2(b) and </w:t>
            </w:r>
            <w:r>
              <w:rPr>
                <w:i/>
              </w:rPr>
              <w:t>Gazette</w:t>
            </w:r>
            <w:r>
              <w:t xml:space="preserve"> 14 Nov 2013 p. 5028)</w:t>
            </w:r>
          </w:p>
        </w:tc>
      </w:tr>
      <w:tr>
        <w:trPr>
          <w:cantSplit/>
        </w:trPr>
        <w:tc>
          <w:tcPr>
            <w:tcW w:w="2438" w:type="dxa"/>
            <w:gridSpan w:val="2"/>
            <w:tcBorders>
              <w:bottom w:val="single" w:sz="4" w:space="0" w:color="auto"/>
            </w:tcBorders>
          </w:tcPr>
          <w:p>
            <w:pPr>
              <w:pStyle w:val="nTable"/>
              <w:spacing w:before="120"/>
              <w:ind w:right="113"/>
              <w:rPr>
                <w:i/>
              </w:rPr>
            </w:pPr>
            <w:r>
              <w:rPr>
                <w:i/>
                <w:noProof/>
              </w:rPr>
              <w:t xml:space="preserve">Associations Incorporation Act 2015 </w:t>
            </w:r>
            <w:r>
              <w:rPr>
                <w:noProof/>
              </w:rPr>
              <w:t>s. 218</w:t>
            </w:r>
          </w:p>
        </w:tc>
        <w:tc>
          <w:tcPr>
            <w:tcW w:w="964" w:type="dxa"/>
            <w:tcBorders>
              <w:bottom w:val="single" w:sz="4" w:space="0" w:color="auto"/>
            </w:tcBorders>
          </w:tcPr>
          <w:p>
            <w:pPr>
              <w:pStyle w:val="nTable"/>
              <w:spacing w:before="120"/>
              <w:rPr>
                <w:snapToGrid w:val="0"/>
              </w:rPr>
            </w:pPr>
            <w:r>
              <w:t>30 of 2015</w:t>
            </w:r>
          </w:p>
        </w:tc>
        <w:tc>
          <w:tcPr>
            <w:tcW w:w="1134" w:type="dxa"/>
            <w:tcBorders>
              <w:bottom w:val="single" w:sz="4" w:space="0" w:color="auto"/>
            </w:tcBorders>
          </w:tcPr>
          <w:p>
            <w:pPr>
              <w:pStyle w:val="nTable"/>
              <w:spacing w:before="120"/>
            </w:pPr>
            <w:r>
              <w:t>2 Nov 2015</w:t>
            </w:r>
          </w:p>
        </w:tc>
        <w:tc>
          <w:tcPr>
            <w:tcW w:w="2552" w:type="dxa"/>
            <w:tcBorders>
              <w:bottom w:val="single" w:sz="4" w:space="0" w:color="auto"/>
            </w:tcBorders>
          </w:tcPr>
          <w:p>
            <w:pPr>
              <w:pStyle w:val="nTable"/>
              <w:spacing w:before="120"/>
            </w:pPr>
            <w:r>
              <w:t xml:space="preserve">1 Jul 2016 (see s. 2(b) and </w:t>
            </w:r>
            <w:r>
              <w:rPr>
                <w:i/>
              </w:rPr>
              <w:t>Gazette</w:t>
            </w:r>
            <w:r>
              <w:t xml:space="preserve"> 24 Jun 2016 p. 2291-2)</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pPr>
        <w:pStyle w:val="nSubsection"/>
        <w:rPr>
          <w:snapToGrid w:val="0"/>
        </w:rPr>
      </w:pPr>
      <w:r>
        <w:rPr>
          <w:snapToGrid w:val="0"/>
          <w:vertAlign w:val="superscript"/>
        </w:rPr>
        <w:t>7</w:t>
      </w:r>
      <w:r>
        <w:rPr>
          <w:snapToGrid w:val="0"/>
          <w:vertAlign w:val="superscript"/>
        </w:rPr>
        <w:tab/>
      </w:r>
      <w:r>
        <w:rPr>
          <w:snapToGrid w:val="0"/>
        </w:rPr>
        <w:t>Repealed by 55 Vict. No. 29 (1892) s. 8.</w:t>
      </w:r>
    </w:p>
    <w:p>
      <w:pPr>
        <w:pStyle w:val="nSubsection"/>
        <w:rPr>
          <w:snapToGrid w:val="0"/>
        </w:rPr>
      </w:pPr>
      <w:r>
        <w:rPr>
          <w:snapToGrid w:val="0"/>
          <w:vertAlign w:val="superscript"/>
        </w:rPr>
        <w:t>8</w:t>
      </w:r>
      <w:r>
        <w:rPr>
          <w:snapToGrid w:val="0"/>
        </w:rPr>
        <w:tab/>
        <w:t>Repealed by No. 34 of 1958 s. 3.</w:t>
      </w:r>
    </w:p>
    <w:p>
      <w:pPr>
        <w:pStyle w:val="nSubsection"/>
        <w:rPr>
          <w:snapToGrid w:val="0"/>
        </w:rPr>
      </w:pPr>
      <w:r>
        <w:rPr>
          <w:snapToGrid w:val="0"/>
          <w:vertAlign w:val="superscript"/>
        </w:rPr>
        <w:t>9</w:t>
      </w:r>
      <w:r>
        <w:rPr>
          <w:snapToGrid w:val="0"/>
          <w:vertAlign w:val="superscript"/>
        </w:rPr>
        <w:tab/>
      </w:r>
      <w:r>
        <w:rPr>
          <w:snapToGrid w:val="0"/>
        </w:rPr>
        <w:t>This Act was affected by:</w:t>
      </w:r>
    </w:p>
    <w:p>
      <w:pPr>
        <w:pStyle w:val="nSubsection"/>
        <w:ind w:left="0" w:firstLine="0"/>
        <w:rPr>
          <w:i/>
          <w:snapToGrid w:val="0"/>
        </w:rPr>
      </w:pPr>
      <w:r>
        <w:rPr>
          <w:snapToGrid w:val="0"/>
        </w:rPr>
        <w:tab/>
      </w:r>
      <w:r>
        <w:rPr>
          <w:snapToGrid w:val="0"/>
        </w:rPr>
        <w:tab/>
      </w:r>
      <w:r>
        <w:rPr>
          <w:i/>
          <w:snapToGrid w:val="0"/>
        </w:rPr>
        <w:t xml:space="preserve">The High School </w:t>
      </w:r>
      <w:smartTag w:uri="urn:schemas-microsoft-com:office:smarttags" w:element="place">
        <w:smartTag w:uri="urn:schemas-microsoft-com:office:smarttags" w:element="City">
          <w:r>
            <w:rPr>
              <w:i/>
              <w:snapToGrid w:val="0"/>
            </w:rPr>
            <w:t>Perth</w:t>
          </w:r>
        </w:smartTag>
      </w:smartTag>
      <w:r>
        <w:rPr>
          <w:i/>
          <w:snapToGrid w:val="0"/>
        </w:rPr>
        <w:t xml:space="preserve"> Mortgage Act, 1883 </w:t>
      </w:r>
      <w:r>
        <w:rPr>
          <w:snapToGrid w:val="0"/>
        </w:rPr>
        <w:t>(47 Vict. No. 11);</w:t>
      </w:r>
    </w:p>
    <w:p>
      <w:pPr>
        <w:pStyle w:val="nSubsection"/>
        <w:ind w:left="0" w:firstLine="0"/>
        <w:rPr>
          <w:i/>
          <w:snapToGrid w:val="0"/>
        </w:rPr>
      </w:pPr>
      <w:r>
        <w:rPr>
          <w:i/>
          <w:snapToGrid w:val="0"/>
        </w:rPr>
        <w:tab/>
      </w:r>
      <w:r>
        <w:rPr>
          <w:i/>
          <w:snapToGrid w:val="0"/>
        </w:rPr>
        <w:tab/>
        <w:t xml:space="preserve">High School Act 1924 </w:t>
      </w:r>
      <w:r>
        <w:rPr>
          <w:snapToGrid w:val="0"/>
        </w:rPr>
        <w:t>(No. 5 of 1924)</w:t>
      </w:r>
    </w:p>
    <w:p>
      <w:pPr>
        <w:pStyle w:val="nSubsection"/>
      </w:pPr>
      <w:r>
        <w:tab/>
        <w:t>Both Acts were repealed by No. 34 of 1958 s. 3.</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3" w:name="_Toc455395157"/>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w:t>
      </w:r>
      <w:r>
        <w:tab/>
        <w:t>6(1)</w:t>
      </w:r>
    </w:p>
    <w:p>
      <w:pPr>
        <w:pStyle w:val="DefinedTerms"/>
      </w:pPr>
      <w:r>
        <w:t>Archbishop</w:t>
      </w:r>
      <w:r>
        <w:tab/>
        <w:t>1A</w:t>
      </w:r>
    </w:p>
    <w:p>
      <w:pPr>
        <w:pStyle w:val="DefinedTerms"/>
      </w:pPr>
      <w:r>
        <w:t>Association</w:t>
      </w:r>
      <w:r>
        <w:tab/>
        <w:t>1A</w:t>
      </w:r>
    </w:p>
    <w:p>
      <w:pPr>
        <w:pStyle w:val="DefinedTerms"/>
      </w:pPr>
      <w:r>
        <w:t>Board</w:t>
      </w:r>
      <w:r>
        <w:tab/>
        <w:t>1A</w:t>
      </w:r>
    </w:p>
    <w:p>
      <w:pPr>
        <w:pStyle w:val="DefinedTerms"/>
      </w:pPr>
      <w:r>
        <w:t>casual vacancy</w:t>
      </w:r>
      <w:r>
        <w:tab/>
        <w:t>6(1)</w:t>
      </w:r>
    </w:p>
    <w:p>
      <w:pPr>
        <w:pStyle w:val="DefinedTerms"/>
      </w:pPr>
      <w:r>
        <w:t>member</w:t>
      </w:r>
      <w:r>
        <w:tab/>
        <w:t>6(1)</w:t>
      </w:r>
    </w:p>
    <w:p>
      <w:pPr>
        <w:pStyle w:val="DefinedTerms"/>
      </w:pPr>
      <w:r>
        <w:t>periodical vacancy</w:t>
      </w:r>
      <w:r>
        <w:tab/>
        <w:t>6(1)</w:t>
      </w:r>
    </w:p>
    <w:p>
      <w:pPr>
        <w:pStyle w:val="DefinedTerms"/>
      </w:pPr>
      <w:r>
        <w:t>School</w:t>
      </w:r>
      <w:r>
        <w:tab/>
        <w:t>1A</w:t>
      </w:r>
    </w:p>
    <w:p>
      <w:pPr>
        <w:pStyle w:val="DefinedTerms"/>
      </w:pPr>
      <w:r>
        <w:t>Trustees</w:t>
      </w:r>
      <w:r>
        <w:tab/>
        <w:t>1A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lvlText w:val="%1."/>
      <w:lvlJc w:val="left"/>
      <w:pPr>
        <w:tabs>
          <w:tab w:val="num" w:pos="1800"/>
        </w:tabs>
        <w:ind w:left="1800" w:hanging="360"/>
      </w:pPr>
    </w:lvl>
  </w:abstractNum>
  <w:abstractNum w:abstractNumId="1">
    <w:nsid w:val="FFFFFF7D"/>
    <w:multiLevelType w:val="singleLevel"/>
    <w:tmpl w:val="9182B92E"/>
    <w:lvl w:ilvl="0">
      <w:start w:val="1"/>
      <w:numFmt w:val="decimal"/>
      <w:lvlText w:val="%1."/>
      <w:lvlJc w:val="left"/>
      <w:pPr>
        <w:tabs>
          <w:tab w:val="num" w:pos="1440"/>
        </w:tabs>
        <w:ind w:left="1440" w:hanging="360"/>
      </w:pPr>
    </w:lvl>
  </w:abstractNum>
  <w:abstractNum w:abstractNumId="2">
    <w:nsid w:val="FFFFFF7E"/>
    <w:multiLevelType w:val="singleLevel"/>
    <w:tmpl w:val="9F061C86"/>
    <w:lvl w:ilvl="0">
      <w:start w:val="1"/>
      <w:numFmt w:val="decimal"/>
      <w:lvlText w:val="%1."/>
      <w:lvlJc w:val="left"/>
      <w:pPr>
        <w:tabs>
          <w:tab w:val="num" w:pos="1080"/>
        </w:tabs>
        <w:ind w:left="1080" w:hanging="360"/>
      </w:pPr>
    </w:lvl>
  </w:abstractNum>
  <w:abstractNum w:abstractNumId="3">
    <w:nsid w:val="FFFFFF7F"/>
    <w:multiLevelType w:val="singleLevel"/>
    <w:tmpl w:val="A65ED748"/>
    <w:lvl w:ilvl="0">
      <w:start w:val="1"/>
      <w:numFmt w:val="decimal"/>
      <w:lvlText w:val="%1."/>
      <w:lvlJc w:val="left"/>
      <w:pPr>
        <w:tabs>
          <w:tab w:val="num" w:pos="720"/>
        </w:tabs>
        <w:ind w:left="720" w:hanging="360"/>
      </w:pPr>
    </w:lvl>
  </w:abstractNum>
  <w:abstractNum w:abstractNumId="4">
    <w:nsid w:val="FFFFFF80"/>
    <w:multiLevelType w:val="singleLevel"/>
    <w:tmpl w:val="765620F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lvlText w:val="%1."/>
      <w:lvlJc w:val="left"/>
      <w:pPr>
        <w:tabs>
          <w:tab w:val="num" w:pos="360"/>
        </w:tabs>
        <w:ind w:left="360" w:hanging="360"/>
      </w:pPr>
    </w:lvl>
  </w:abstractNum>
  <w:abstractNum w:abstractNumId="9">
    <w:nsid w:val="FFFFFF89"/>
    <w:multiLevelType w:val="singleLevel"/>
    <w:tmpl w:val="FA8ED02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3A1A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53"/>
    <w:docVar w:name="WAFER_20140128103854" w:val="RemoveTocBookmarks,RemoveUnusedBookmarks,RemoveLanguageTags,UsedStyles,ResetPageSize,UpdateArrangement"/>
    <w:docVar w:name="WAFER_20140128103854_GUID" w:val="a19fe160-600b-453a-95f9-1b31e55ce3f5"/>
    <w:docVar w:name="WAFER_20140128103905" w:val="RemoveTocBookmarks,RunningHeaders"/>
    <w:docVar w:name="WAFER_20140128103905_GUID" w:val="960a8d22-ebb8-4e5c-9ecf-b4d14f877dd8"/>
    <w:docVar w:name="WAFER_20150512151327" w:val="ResetPageSize,UpdateArrangement,UpdateNTable"/>
    <w:docVar w:name="WAFER_20150512151327_GUID" w:val="32ef26ea-5c6d-4f38-bf1a-fc7d88b2d4e3"/>
    <w:docVar w:name="WAFER_20151104142653" w:val="UpdateStyles,UsedStyles"/>
    <w:docVar w:name="WAFER_20151104142653_GUID" w:val="2fa3623e-45c3-4201-8133-359f4f3d9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83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4738</Words>
  <Characters>21799</Characters>
  <Application>Microsoft Office Word</Application>
  <DocSecurity>0</DocSecurity>
  <Lines>622</Lines>
  <Paragraphs>349</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
  <LinksUpToDate>false</LinksUpToDate>
  <CharactersWithSpaces>26188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1876 - 02-f0-01</dc:title>
  <dc:subject/>
  <dc:creator/>
  <cp:keywords/>
  <dc:description/>
  <cp:lastModifiedBy>svcMRProcess</cp:lastModifiedBy>
  <cp:revision>4</cp:revision>
  <cp:lastPrinted>2002-06-14T01:04:00Z</cp:lastPrinted>
  <dcterms:created xsi:type="dcterms:W3CDTF">2019-01-22T01:36:00Z</dcterms:created>
  <dcterms:modified xsi:type="dcterms:W3CDTF">2019-01-22T01:36:00Z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OWLSUId">
    <vt:i4>341</vt:i4>
  </property>
  <property fmtid="{D5CDD505-2E9C-101B-9397-08002B2CF9AE}" pid="4" name="DocumentType">
    <vt:lpwstr>Act</vt:lpwstr>
  </property>
  <property fmtid="{D5CDD505-2E9C-101B-9397-08002B2CF9AE}" pid="5" name="CommencementDate">
    <vt:lpwstr>20160701</vt:lpwstr>
  </property>
  <property fmtid="{D5CDD505-2E9C-101B-9397-08002B2CF9AE}" pid="6" name="AsAtDate">
    <vt:lpwstr>01 Jul 2016</vt:lpwstr>
  </property>
  <property fmtid="{D5CDD505-2E9C-101B-9397-08002B2CF9AE}" pid="7" name="Suffix">
    <vt:lpwstr>02-f0-01</vt:lpwstr>
  </property>
</Properties>
</file>