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_Toc455412398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_Toc455412399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_Toc455412400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developmental anomaly</w:t>
      </w:r>
      <w:r>
        <w:tab/>
      </w:r>
      <w:r>
        <w:fldChar w:fldCharType="begin"/>
      </w:r>
      <w:r>
        <w:instrText xml:space="preserve"> PAGEREF _Toc455412401 \h </w:instrText>
      </w:r>
      <w:r>
        <w:fldChar w:fldCharType="separate"/>
      </w:r>
      <w:r>
        <w:t>2</w:t>
      </w:r>
      <w:r>
        <w:fldChar w:fldCharType="end"/>
      </w:r>
    </w:p>
    <w:p>
      <w:pPr>
        <w:pStyle w:val="TOC8"/>
        <w:rPr>
          <w:rFonts w:asciiTheme="minorHAnsi" w:eastAsiaTheme="minorEastAsia" w:hAnsiTheme="minorHAnsi" w:cstheme="minorBidi"/>
          <w:szCs w:val="22"/>
        </w:rPr>
      </w:pPr>
      <w:r>
        <w:t>5.</w:t>
      </w:r>
      <w:r>
        <w:tab/>
        <w:t>Developmental anomaly a prescribed condition of health</w:t>
      </w:r>
      <w:r>
        <w:tab/>
      </w:r>
      <w:r>
        <w:fldChar w:fldCharType="begin"/>
      </w:r>
      <w:r>
        <w:instrText xml:space="preserve"> PAGEREF _Toc455412402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Notification of developmental anomalies</w:t>
      </w:r>
    </w:p>
    <w:p>
      <w:pPr>
        <w:pStyle w:val="TOC8"/>
        <w:rPr>
          <w:rFonts w:asciiTheme="minorHAnsi" w:eastAsiaTheme="minorEastAsia" w:hAnsiTheme="minorHAnsi" w:cstheme="minorBidi"/>
          <w:szCs w:val="22"/>
        </w:rPr>
      </w:pPr>
      <w:r>
        <w:t>6.</w:t>
      </w:r>
      <w:r>
        <w:tab/>
        <w:t>Notification of diagnosis of developmental anomaly</w:t>
      </w:r>
      <w:r>
        <w:tab/>
      </w:r>
      <w:r>
        <w:fldChar w:fldCharType="begin"/>
      </w:r>
      <w:r>
        <w:instrText xml:space="preserve"> PAGEREF _Toc455412404 \h </w:instrText>
      </w:r>
      <w:r>
        <w:fldChar w:fldCharType="separate"/>
      </w:r>
      <w:r>
        <w:t>4</w:t>
      </w:r>
      <w:r>
        <w:fldChar w:fldCharType="end"/>
      </w:r>
    </w:p>
    <w:p>
      <w:pPr>
        <w:pStyle w:val="TOC8"/>
        <w:rPr>
          <w:rFonts w:asciiTheme="minorHAnsi" w:eastAsiaTheme="minorEastAsia" w:hAnsiTheme="minorHAnsi" w:cstheme="minorBidi"/>
          <w:szCs w:val="22"/>
        </w:rPr>
      </w:pPr>
      <w:r>
        <w:t>7.</w:t>
      </w:r>
      <w:r>
        <w:tab/>
        <w:t>EDPH may require information</w:t>
      </w:r>
      <w:r>
        <w:tab/>
      </w:r>
      <w:r>
        <w:fldChar w:fldCharType="begin"/>
      </w:r>
      <w:r>
        <w:instrText xml:space="preserve"> PAGEREF _Toc455412405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Register of Developmental Anomalies</w:t>
      </w:r>
    </w:p>
    <w:p>
      <w:pPr>
        <w:pStyle w:val="TOC8"/>
        <w:rPr>
          <w:rFonts w:asciiTheme="minorHAnsi" w:eastAsiaTheme="minorEastAsia" w:hAnsiTheme="minorHAnsi" w:cstheme="minorBidi"/>
          <w:szCs w:val="22"/>
        </w:rPr>
      </w:pPr>
      <w:r>
        <w:t>8.</w:t>
      </w:r>
      <w:r>
        <w:tab/>
        <w:t>Western Australian Register of Developmental Anomalies</w:t>
      </w:r>
      <w:r>
        <w:tab/>
      </w:r>
      <w:r>
        <w:fldChar w:fldCharType="begin"/>
      </w:r>
      <w:r>
        <w:instrText xml:space="preserve"> PAGEREF _Toc455412407 \h </w:instrText>
      </w:r>
      <w:r>
        <w:fldChar w:fldCharType="separate"/>
      </w:r>
      <w:r>
        <w:t>6</w:t>
      </w:r>
      <w:r>
        <w:fldChar w:fldCharType="end"/>
      </w:r>
    </w:p>
    <w:p>
      <w:pPr>
        <w:pStyle w:val="TOC8"/>
        <w:rPr>
          <w:rFonts w:asciiTheme="minorHAnsi" w:eastAsiaTheme="minorEastAsia" w:hAnsiTheme="minorHAnsi" w:cstheme="minorBidi"/>
          <w:szCs w:val="22"/>
        </w:rPr>
      </w:pPr>
      <w:r>
        <w:t>9.</w:t>
      </w:r>
      <w:r>
        <w:tab/>
        <w:t>Offence to disclose information without authority</w:t>
      </w:r>
      <w:r>
        <w:tab/>
      </w:r>
      <w:r>
        <w:fldChar w:fldCharType="begin"/>
      </w:r>
      <w:r>
        <w:instrText xml:space="preserve"> PAGEREF _Toc455412408 \h </w:instrText>
      </w:r>
      <w:r>
        <w:fldChar w:fldCharType="separate"/>
      </w:r>
      <w:r>
        <w:t>7</w:t>
      </w:r>
      <w:r>
        <w:fldChar w:fldCharType="end"/>
      </w:r>
    </w:p>
    <w:p>
      <w:pPr>
        <w:pStyle w:val="TOC8"/>
        <w:rPr>
          <w:rFonts w:asciiTheme="minorHAnsi" w:eastAsiaTheme="minorEastAsia" w:hAnsiTheme="minorHAnsi" w:cstheme="minorBidi"/>
          <w:szCs w:val="22"/>
        </w:rPr>
      </w:pPr>
      <w:r>
        <w:t>10.</w:t>
      </w:r>
      <w:r>
        <w:tab/>
        <w:t>EDPH may authorise disclosure of information</w:t>
      </w:r>
      <w:r>
        <w:tab/>
      </w:r>
      <w:r>
        <w:fldChar w:fldCharType="begin"/>
      </w:r>
      <w:r>
        <w:instrText xml:space="preserve"> PAGEREF _Toc455412409 \h </w:instrText>
      </w:r>
      <w:r>
        <w:fldChar w:fldCharType="separate"/>
      </w:r>
      <w:r>
        <w:t>7</w:t>
      </w:r>
      <w:r>
        <w:fldChar w:fldCharType="end"/>
      </w:r>
    </w:p>
    <w:p>
      <w:pPr>
        <w:pStyle w:val="TOC8"/>
        <w:rPr>
          <w:rFonts w:asciiTheme="minorHAnsi" w:eastAsiaTheme="minorEastAsia" w:hAnsiTheme="minorHAnsi" w:cstheme="minorBidi"/>
          <w:szCs w:val="22"/>
        </w:rPr>
      </w:pPr>
      <w:r>
        <w:t>11.</w:t>
      </w:r>
      <w:r>
        <w:tab/>
        <w:t>Right to know of information on the register</w:t>
      </w:r>
      <w:r>
        <w:tab/>
      </w:r>
      <w:r>
        <w:fldChar w:fldCharType="begin"/>
      </w:r>
      <w:r>
        <w:instrText xml:space="preserve"> PAGEREF _Toc455412410 \h </w:instrText>
      </w:r>
      <w:r>
        <w:fldChar w:fldCharType="separate"/>
      </w:r>
      <w:r>
        <w:t>8</w:t>
      </w:r>
      <w:r>
        <w:fldChar w:fldCharType="end"/>
      </w:r>
    </w:p>
    <w:p>
      <w:pPr>
        <w:pStyle w:val="TOC8"/>
        <w:rPr>
          <w:rFonts w:asciiTheme="minorHAnsi" w:eastAsiaTheme="minorEastAsia" w:hAnsiTheme="minorHAnsi" w:cstheme="minorBidi"/>
          <w:szCs w:val="22"/>
        </w:rPr>
      </w:pPr>
      <w:r>
        <w:t>12.</w:t>
      </w:r>
      <w:r>
        <w:tab/>
        <w:t>Identifying information may be removed from register</w:t>
      </w:r>
      <w:r>
        <w:tab/>
      </w:r>
      <w:r>
        <w:fldChar w:fldCharType="begin"/>
      </w:r>
      <w:r>
        <w:instrText xml:space="preserve"> PAGEREF _Toc455412411 \h </w:instrText>
      </w:r>
      <w:r>
        <w:fldChar w:fldCharType="separate"/>
      </w:r>
      <w:r>
        <w:t>8</w:t>
      </w:r>
      <w:r>
        <w:fldChar w:fldCharType="end"/>
      </w:r>
    </w:p>
    <w:p>
      <w:pPr>
        <w:pStyle w:val="TOC8"/>
        <w:rPr>
          <w:rFonts w:asciiTheme="minorHAnsi" w:eastAsiaTheme="minorEastAsia" w:hAnsiTheme="minorHAnsi" w:cstheme="minorBidi"/>
          <w:szCs w:val="22"/>
        </w:rPr>
      </w:pPr>
      <w:r>
        <w:t>13.</w:t>
      </w:r>
      <w:r>
        <w:tab/>
        <w:t>Persons under a legal disability</w:t>
      </w:r>
      <w:r>
        <w:tab/>
      </w:r>
      <w:r>
        <w:fldChar w:fldCharType="begin"/>
      </w:r>
      <w:r>
        <w:instrText xml:space="preserve"> PAGEREF _Toc455412412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_Toc455412414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Act 1911</w:t>
      </w:r>
    </w:p>
    <w:p>
      <w:pPr>
        <w:pStyle w:val="NameofActReg"/>
      </w:pPr>
      <w:r>
        <w:t>Health (Western Australian Register of Developmental Anomalies) Regulations 2010</w:t>
      </w:r>
    </w:p>
    <w:p>
      <w:pPr>
        <w:pStyle w:val="Heading2"/>
        <w:keepNext w:val="0"/>
        <w:pageBreakBefore w:val="0"/>
        <w:spacing w:before="240"/>
      </w:pPr>
      <w:bookmarkStart w:id="3" w:name="_Toc378751087"/>
      <w:bookmarkStart w:id="4" w:name="_Toc419460593"/>
      <w:bookmarkStart w:id="5" w:name="_Toc4554123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751088"/>
      <w:bookmarkStart w:id="7" w:name="_Toc455412398"/>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9" w:name="_Toc378751089"/>
      <w:bookmarkStart w:id="10" w:name="_Toc45541239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1" w:name="_Toc378751090"/>
      <w:bookmarkStart w:id="12" w:name="_Toc45541240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in relation to a hospital, means the person who, subject to the control of the health service provider for the hospital or the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has functions that correspond or substantially correspond to the functions of the EDPH under these regulations;</w:t>
      </w:r>
    </w:p>
    <w:p>
      <w:pPr>
        <w:pStyle w:val="Defstart"/>
      </w:pPr>
      <w:r>
        <w:tab/>
      </w:r>
      <w:r>
        <w:rPr>
          <w:rStyle w:val="CharDefText"/>
        </w:rPr>
        <w:t>developmental anomaly</w:t>
      </w:r>
      <w:r>
        <w:t xml:space="preserve"> has the meaning given in regulation 4;</w:t>
      </w:r>
    </w:p>
    <w:p>
      <w:pPr>
        <w:pStyle w:val="Defstart"/>
      </w:pPr>
      <w:r>
        <w:tab/>
      </w:r>
      <w:r>
        <w:rPr>
          <w:rStyle w:val="CharDefText"/>
        </w:rPr>
        <w:t>EDPH</w:t>
      </w:r>
      <w:r>
        <w:t xml:space="preserve"> means the Executive Director, Public Health;</w:t>
      </w:r>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Footnotesection"/>
      </w:pPr>
      <w:r>
        <w:tab/>
        <w:t>[Regulation 3 amended in Gazette 24 Jun 2016 p. 2314.]</w:t>
      </w:r>
    </w:p>
    <w:p>
      <w:pPr>
        <w:pStyle w:val="Heading5"/>
        <w:rPr>
          <w:snapToGrid w:val="0"/>
        </w:rPr>
      </w:pPr>
      <w:bookmarkStart w:id="13" w:name="_Toc378751091"/>
      <w:bookmarkStart w:id="14" w:name="_Toc455412401"/>
      <w:r>
        <w:rPr>
          <w:rStyle w:val="CharSectno"/>
        </w:rPr>
        <w:t>4</w:t>
      </w:r>
      <w:r>
        <w:rPr>
          <w:snapToGrid w:val="0"/>
        </w:rPr>
        <w:t>.</w:t>
      </w:r>
      <w:r>
        <w:rPr>
          <w:snapToGrid w:val="0"/>
        </w:rPr>
        <w:tab/>
        <w:t>Term used: developmental anomaly</w:t>
      </w:r>
      <w:bookmarkEnd w:id="13"/>
      <w:bookmarkEnd w:id="14"/>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15" w:name="_Toc378751092"/>
      <w:bookmarkStart w:id="16" w:name="_Toc455412402"/>
      <w:r>
        <w:rPr>
          <w:rStyle w:val="CharSectno"/>
        </w:rPr>
        <w:t>5</w:t>
      </w:r>
      <w:r>
        <w:t>.</w:t>
      </w:r>
      <w:r>
        <w:tab/>
        <w:t>Developmental anomaly a prescribed condition of health</w:t>
      </w:r>
      <w:bookmarkEnd w:id="15"/>
      <w:bookmarkEnd w:id="16"/>
    </w:p>
    <w:p>
      <w:pPr>
        <w:pStyle w:val="Subsection"/>
      </w:pPr>
      <w:r>
        <w:rPr>
          <w:snapToGrid w:val="0"/>
        </w:rPr>
        <w:tab/>
      </w:r>
      <w:r>
        <w:rPr>
          <w:snapToGrid w:val="0"/>
        </w:rPr>
        <w:tab/>
        <w:t>Developmental anomaly is prescribed as a condition of health to which Part IXA of the Act applies.</w:t>
      </w:r>
    </w:p>
    <w:p>
      <w:pPr>
        <w:pStyle w:val="Heading2"/>
      </w:pPr>
      <w:bookmarkStart w:id="17" w:name="_Toc378751093"/>
      <w:bookmarkStart w:id="18" w:name="_Toc419460599"/>
      <w:bookmarkStart w:id="19" w:name="_Toc455412403"/>
      <w:r>
        <w:rPr>
          <w:rStyle w:val="CharPartNo"/>
        </w:rPr>
        <w:t>Part 2</w:t>
      </w:r>
      <w:r>
        <w:rPr>
          <w:rStyle w:val="CharDivNo"/>
        </w:rPr>
        <w:t> </w:t>
      </w:r>
      <w:r>
        <w:t>—</w:t>
      </w:r>
      <w:r>
        <w:rPr>
          <w:rStyle w:val="CharDivText"/>
        </w:rPr>
        <w:t> </w:t>
      </w:r>
      <w:r>
        <w:rPr>
          <w:rStyle w:val="CharPartText"/>
        </w:rPr>
        <w:t>Notification of developmental anomalies</w:t>
      </w:r>
      <w:bookmarkEnd w:id="17"/>
      <w:bookmarkEnd w:id="18"/>
      <w:bookmarkEnd w:id="19"/>
    </w:p>
    <w:p>
      <w:pPr>
        <w:pStyle w:val="Heading5"/>
      </w:pPr>
      <w:bookmarkStart w:id="20" w:name="_Toc378751094"/>
      <w:bookmarkStart w:id="21" w:name="_Toc455412404"/>
      <w:r>
        <w:rPr>
          <w:rStyle w:val="CharSectno"/>
        </w:rPr>
        <w:t>6</w:t>
      </w:r>
      <w:r>
        <w:t>.</w:t>
      </w:r>
      <w:r>
        <w:tab/>
        <w:t>Notification of diagnosis of developmental anomaly</w:t>
      </w:r>
      <w:bookmarkEnd w:id="20"/>
      <w:bookmarkEnd w:id="21"/>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If a developmental anomaly is diagnosed the responsible person must, within 6 months of the diagnosis, cause the EDPH to be notified of the diagnosis, and to be provided with information relating to the diagnosis, in such form as the EDPH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Heading5"/>
      </w:pPr>
      <w:bookmarkStart w:id="22" w:name="_Toc378751095"/>
      <w:bookmarkStart w:id="23" w:name="_Toc455412405"/>
      <w:r>
        <w:rPr>
          <w:rStyle w:val="CharSectno"/>
        </w:rPr>
        <w:t>7</w:t>
      </w:r>
      <w:r>
        <w:t>.</w:t>
      </w:r>
      <w:r>
        <w:tab/>
        <w:t>EDPH may require information</w:t>
      </w:r>
      <w:bookmarkEnd w:id="22"/>
      <w:bookmarkEnd w:id="23"/>
    </w:p>
    <w:p>
      <w:pPr>
        <w:pStyle w:val="Subsection"/>
        <w:rPr>
          <w:snapToGrid w:val="0"/>
        </w:rPr>
      </w:pPr>
      <w:r>
        <w:rPr>
          <w:snapToGrid w:val="0"/>
        </w:rPr>
        <w:tab/>
        <w:t>(1)</w:t>
      </w:r>
      <w:r>
        <w:rPr>
          <w:snapToGrid w:val="0"/>
        </w:rPr>
        <w:tab/>
        <w:t>If the EDPH is aware of a child with a developmental anomaly, the EDPH may request a medical practitioner or a chief executive officer of a hospital to notify the EDPH in writing of any information specified by the EDPH 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2"/>
      </w:pPr>
      <w:bookmarkStart w:id="24" w:name="_Toc378751096"/>
      <w:bookmarkStart w:id="25" w:name="_Toc419460602"/>
      <w:bookmarkStart w:id="26" w:name="_Toc455412406"/>
      <w:r>
        <w:rPr>
          <w:rStyle w:val="CharPartNo"/>
        </w:rPr>
        <w:t>Part 3</w:t>
      </w:r>
      <w:r>
        <w:rPr>
          <w:rStyle w:val="CharDivNo"/>
        </w:rPr>
        <w:t> </w:t>
      </w:r>
      <w:r>
        <w:t>—</w:t>
      </w:r>
      <w:r>
        <w:rPr>
          <w:rStyle w:val="CharDivText"/>
        </w:rPr>
        <w:t> </w:t>
      </w:r>
      <w:r>
        <w:rPr>
          <w:rStyle w:val="CharPartText"/>
        </w:rPr>
        <w:t>Western Australian Register of Developmental Anomalies</w:t>
      </w:r>
      <w:bookmarkEnd w:id="24"/>
      <w:bookmarkEnd w:id="25"/>
      <w:bookmarkEnd w:id="26"/>
    </w:p>
    <w:p>
      <w:pPr>
        <w:pStyle w:val="Heading5"/>
      </w:pPr>
      <w:bookmarkStart w:id="27" w:name="_Toc378751097"/>
      <w:bookmarkStart w:id="28" w:name="_Toc455412407"/>
      <w:r>
        <w:rPr>
          <w:rStyle w:val="CharSectno"/>
        </w:rPr>
        <w:t>8</w:t>
      </w:r>
      <w:r>
        <w:t>.</w:t>
      </w:r>
      <w:r>
        <w:tab/>
        <w:t>Western Australian Register of Developmental Anomalies</w:t>
      </w:r>
      <w:bookmarkEnd w:id="27"/>
      <w:bookmarkEnd w:id="28"/>
    </w:p>
    <w:p>
      <w:pPr>
        <w:pStyle w:val="Subsection"/>
        <w:rPr>
          <w:snapToGrid w:val="0"/>
        </w:rPr>
      </w:pPr>
      <w:r>
        <w:rPr>
          <w:snapToGrid w:val="0"/>
        </w:rPr>
        <w:tab/>
        <w:t>(1)</w:t>
      </w:r>
      <w:r>
        <w:rPr>
          <w:snapToGrid w:val="0"/>
        </w:rPr>
        <w:tab/>
        <w:t>The EDPH 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to the EDPH by a corresponding officer; and</w:t>
      </w:r>
    </w:p>
    <w:p>
      <w:pPr>
        <w:pStyle w:val="Indenta"/>
      </w:pPr>
      <w:r>
        <w:tab/>
        <w:t>(b)</w:t>
      </w:r>
      <w:r>
        <w:tab/>
        <w:t>any other information that the EDPH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The register is to be kept in a manner and form determined by the EDPH.</w:t>
      </w:r>
    </w:p>
    <w:p>
      <w:pPr>
        <w:pStyle w:val="Heading5"/>
      </w:pPr>
      <w:bookmarkStart w:id="29" w:name="_Toc378751098"/>
      <w:bookmarkStart w:id="30" w:name="_Toc455412408"/>
      <w:r>
        <w:rPr>
          <w:rStyle w:val="CharSectno"/>
        </w:rPr>
        <w:t>9</w:t>
      </w:r>
      <w:r>
        <w:t>.</w:t>
      </w:r>
      <w:r>
        <w:tab/>
        <w:t>Offence to disclose information without authority</w:t>
      </w:r>
      <w:bookmarkEnd w:id="29"/>
      <w:bookmarkEnd w:id="30"/>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31" w:name="_Toc378751099"/>
      <w:bookmarkStart w:id="32" w:name="_Toc455412409"/>
      <w:r>
        <w:rPr>
          <w:rStyle w:val="CharSectno"/>
        </w:rPr>
        <w:t>10</w:t>
      </w:r>
      <w:r>
        <w:t>.</w:t>
      </w:r>
      <w:r>
        <w:tab/>
        <w:t>EDPH may authorise disclosure of information</w:t>
      </w:r>
      <w:bookmarkEnd w:id="31"/>
      <w:bookmarkEnd w:id="32"/>
    </w:p>
    <w:p>
      <w:pPr>
        <w:pStyle w:val="Subsection"/>
      </w:pPr>
      <w:r>
        <w:tab/>
        <w:t>(1)</w:t>
      </w:r>
      <w:r>
        <w:tab/>
        <w:t xml:space="preserve">The EDPH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to the Australian Institute of Health and Welfare if the EDPH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to a corresponding officer in another State or a Territory, if the EDPH is satisfied that the usual place of residence of the person to whom the information relates is or was in that State or Territory.</w:t>
      </w:r>
    </w:p>
    <w:p>
      <w:pPr>
        <w:pStyle w:val="Subsection"/>
      </w:pPr>
      <w:r>
        <w:tab/>
        <w:t>(2)</w:t>
      </w:r>
      <w:r>
        <w:tab/>
        <w:t>The EDPH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Heading5"/>
      </w:pPr>
      <w:bookmarkStart w:id="33" w:name="_Toc378751100"/>
      <w:bookmarkStart w:id="34" w:name="_Toc455412410"/>
      <w:r>
        <w:rPr>
          <w:rStyle w:val="CharSectno"/>
        </w:rPr>
        <w:t>11</w:t>
      </w:r>
      <w:r>
        <w:t>.</w:t>
      </w:r>
      <w:r>
        <w:tab/>
        <w:t>Right to know of information on the register</w:t>
      </w:r>
      <w:bookmarkEnd w:id="33"/>
      <w:bookmarkEnd w:id="34"/>
    </w:p>
    <w:p>
      <w:pPr>
        <w:pStyle w:val="Subsection"/>
      </w:pPr>
      <w:r>
        <w:tab/>
      </w:r>
      <w:r>
        <w:tab/>
        <w:t xml:space="preserve">On the written request of any person, the EDPH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Heading5"/>
      </w:pPr>
      <w:bookmarkStart w:id="35" w:name="_Toc378751101"/>
      <w:bookmarkStart w:id="36" w:name="_Toc455412411"/>
      <w:r>
        <w:rPr>
          <w:rStyle w:val="CharSectno"/>
        </w:rPr>
        <w:t>12</w:t>
      </w:r>
      <w:r>
        <w:t>.</w:t>
      </w:r>
      <w:r>
        <w:tab/>
        <w:t>Identifying information may be removed from register</w:t>
      </w:r>
      <w:bookmarkEnd w:id="35"/>
      <w:bookmarkEnd w:id="36"/>
    </w:p>
    <w:p>
      <w:pPr>
        <w:pStyle w:val="Subsection"/>
      </w:pPr>
      <w:r>
        <w:tab/>
        <w:t>(1)</w:t>
      </w:r>
      <w:r>
        <w:tab/>
        <w:t>A person may request in writing to the EDPH that any identifying information relating to the person which, at the time of the request, has been kept on the register for a period of 6 years or more be removed.</w:t>
      </w:r>
    </w:p>
    <w:p>
      <w:pPr>
        <w:pStyle w:val="Subsection"/>
      </w:pPr>
      <w:r>
        <w:tab/>
        <w:t>(2)</w:t>
      </w:r>
      <w:r>
        <w:tab/>
        <w:t>The EDPH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Heading5"/>
      </w:pPr>
      <w:bookmarkStart w:id="37" w:name="_Toc378751102"/>
      <w:bookmarkStart w:id="38" w:name="_Toc455412412"/>
      <w:r>
        <w:rPr>
          <w:rStyle w:val="CharSectno"/>
        </w:rPr>
        <w:t>13</w:t>
      </w:r>
      <w:r>
        <w:t>.</w:t>
      </w:r>
      <w:r>
        <w:tab/>
        <w:t>Persons under a legal disability</w:t>
      </w:r>
      <w:bookmarkEnd w:id="37"/>
      <w:bookmarkEnd w:id="38"/>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9" w:name="_Toc378751103"/>
      <w:bookmarkStart w:id="40" w:name="_Toc419460609"/>
      <w:bookmarkStart w:id="41" w:name="_Toc455412413"/>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r>
        <w:rPr>
          <w:snapToGrid w:val="0"/>
        </w:rPr>
        <w:t xml:space="preserve"> and includes the amendments made by the other written laws referred to in the following table.</w:t>
      </w:r>
    </w:p>
    <w:p>
      <w:pPr>
        <w:pStyle w:val="nHeading3"/>
      </w:pPr>
      <w:bookmarkStart w:id="42" w:name="_Toc378751104"/>
      <w:bookmarkStart w:id="43" w:name="_Toc455412414"/>
      <w:r>
        <w:t>Compilation table</w:t>
      </w:r>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Register of Developmental Anomalies) Regulations 2010</w:t>
            </w:r>
          </w:p>
        </w:tc>
        <w:tc>
          <w:tcPr>
            <w:tcW w:w="1276" w:type="dxa"/>
            <w:tcBorders>
              <w:bottom w:val="nil"/>
            </w:tcBorders>
          </w:tcPr>
          <w:p>
            <w:pPr>
              <w:pStyle w:val="nTable"/>
              <w:spacing w:after="40"/>
            </w:pPr>
            <w:r>
              <w:t>7 Jan 2011 p. 29</w:t>
            </w:r>
            <w:r>
              <w:noBreakHyphen/>
              <w:t>41</w:t>
            </w:r>
          </w:p>
        </w:tc>
        <w:tc>
          <w:tcPr>
            <w:tcW w:w="2693" w:type="dxa"/>
            <w:tcBorders>
              <w:bottom w:val="nil"/>
            </w:tcBorders>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r>
        <w:tc>
          <w:tcPr>
            <w:tcW w:w="3118" w:type="dxa"/>
            <w:tcBorders>
              <w:top w:val="nil"/>
              <w:bottom w:val="single" w:sz="4" w:space="0" w:color="auto"/>
            </w:tcBorders>
          </w:tcPr>
          <w:p>
            <w:pPr>
              <w:pStyle w:val="nTable"/>
              <w:spacing w:after="40"/>
              <w:rPr>
                <w:i/>
                <w:noProof/>
                <w:snapToGrid w:val="0"/>
              </w:rPr>
            </w:pPr>
            <w:r>
              <w:rPr>
                <w:i/>
              </w:rPr>
              <w:t>Health Services (Consequential Amendments) Regulations 2016</w:t>
            </w:r>
            <w:r>
              <w:t xml:space="preserve"> Pt. 5</w:t>
            </w:r>
          </w:p>
        </w:tc>
        <w:tc>
          <w:tcPr>
            <w:tcW w:w="1276" w:type="dxa"/>
            <w:tcBorders>
              <w:top w:val="nil"/>
              <w:bottom w:val="single" w:sz="4" w:space="0" w:color="auto"/>
            </w:tcBorders>
          </w:tcPr>
          <w:p>
            <w:pPr>
              <w:pStyle w:val="nTable"/>
              <w:spacing w:after="40"/>
            </w:pPr>
            <w:r>
              <w:t>24 Jun 2016 p. 2311</w:t>
            </w:r>
            <w:r>
              <w:noBreakHyphen/>
              <w:t>15</w:t>
            </w:r>
          </w:p>
        </w:tc>
        <w:tc>
          <w:tcPr>
            <w:tcW w:w="2693" w:type="dxa"/>
            <w:tcBorders>
              <w:top w:val="nil"/>
              <w:bottom w:val="single" w:sz="4" w:space="0" w:color="auto"/>
            </w:tcBorders>
          </w:tcPr>
          <w:p>
            <w:pPr>
              <w:pStyle w:val="nTable"/>
              <w:spacing w:after="40"/>
              <w:rPr>
                <w:snapToGrid w:val="0"/>
                <w:spacing w:val="-2"/>
              </w:rPr>
            </w:pPr>
            <w:r>
              <w:t xml:space="preserve">1 Jul 2016 (see r. 2 and </w:t>
            </w:r>
            <w:r>
              <w:rPr>
                <w:i/>
              </w:rPr>
              <w:t>Gazette</w:t>
            </w:r>
            <w:r>
              <w:t xml:space="preserve"> 24 Jun 2016 p. 2291)</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5" w:name="_Toc455412415"/>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Institute of Health and Welfare</w:t>
      </w:r>
      <w:r>
        <w:tab/>
        <w:t>3</w:t>
      </w:r>
    </w:p>
    <w:p>
      <w:pPr>
        <w:pStyle w:val="DefinedTerms"/>
      </w:pPr>
      <w:r>
        <w:t>chief executive officer</w:t>
      </w:r>
      <w:r>
        <w:tab/>
        <w:t>3</w:t>
      </w:r>
    </w:p>
    <w:p>
      <w:pPr>
        <w:pStyle w:val="DefinedTerms"/>
      </w:pPr>
      <w:r>
        <w:t>child</w:t>
      </w:r>
      <w:r>
        <w:tab/>
        <w:t>3</w:t>
      </w:r>
    </w:p>
    <w:p>
      <w:pPr>
        <w:pStyle w:val="DefinedTerms"/>
      </w:pPr>
      <w:r>
        <w:t>corresponding officer</w:t>
      </w:r>
      <w:r>
        <w:tab/>
        <w:t>3</w:t>
      </w:r>
    </w:p>
    <w:p>
      <w:pPr>
        <w:pStyle w:val="DefinedTerms"/>
      </w:pPr>
      <w:r>
        <w:t>developmental anomaly</w:t>
      </w:r>
      <w:r>
        <w:tab/>
        <w:t>3, 4(1)</w:t>
      </w:r>
    </w:p>
    <w:p>
      <w:pPr>
        <w:pStyle w:val="DefinedTerms"/>
      </w:pPr>
      <w:r>
        <w:t>EDPH</w:t>
      </w:r>
      <w:r>
        <w:tab/>
        <w:t>3</w:t>
      </w:r>
    </w:p>
    <w:p>
      <w:pPr>
        <w:pStyle w:val="DefinedTerms"/>
      </w:pPr>
      <w:r>
        <w:t>hospital</w:t>
      </w:r>
      <w:r>
        <w:tab/>
        <w:t>3</w:t>
      </w:r>
    </w:p>
    <w:p>
      <w:pPr>
        <w:pStyle w:val="DefinedTerms"/>
      </w:pPr>
      <w:r>
        <w:t xml:space="preserve">identifying information </w:t>
      </w:r>
      <w:r>
        <w:tab/>
        <w:t>3</w:t>
      </w:r>
    </w:p>
    <w:p>
      <w:pPr>
        <w:pStyle w:val="DefinedTerms"/>
      </w:pPr>
      <w:r>
        <w:t>notified information</w:t>
      </w:r>
      <w:r>
        <w:tab/>
        <w:t>3</w:t>
      </w:r>
    </w:p>
    <w:p>
      <w:pPr>
        <w:pStyle w:val="DefinedTerms"/>
      </w:pPr>
      <w:r>
        <w:t>register</w:t>
      </w:r>
      <w:r>
        <w:tab/>
        <w:t>3</w:t>
      </w:r>
    </w:p>
    <w:p>
      <w:pPr>
        <w:pStyle w:val="DefinedTerms"/>
      </w:pPr>
      <w:r>
        <w:t>responsible person</w:t>
      </w:r>
      <w:r>
        <w:tab/>
        <w:t>6(1)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8C8EC"/>
    <w:lvl w:ilvl="0">
      <w:start w:val="1"/>
      <w:numFmt w:val="decimal"/>
      <w:lvlText w:val="%1."/>
      <w:lvlJc w:val="left"/>
      <w:pPr>
        <w:tabs>
          <w:tab w:val="num" w:pos="1492"/>
        </w:tabs>
        <w:ind w:left="1492" w:hanging="360"/>
      </w:pPr>
    </w:lvl>
  </w:abstractNum>
  <w:abstractNum w:abstractNumId="1">
    <w:nsid w:val="FFFFFF7D"/>
    <w:multiLevelType w:val="singleLevel"/>
    <w:tmpl w:val="84E8446C"/>
    <w:lvl w:ilvl="0">
      <w:start w:val="1"/>
      <w:numFmt w:val="decimal"/>
      <w:lvlText w:val="%1."/>
      <w:lvlJc w:val="left"/>
      <w:pPr>
        <w:tabs>
          <w:tab w:val="num" w:pos="1209"/>
        </w:tabs>
        <w:ind w:left="1209" w:hanging="360"/>
      </w:pPr>
    </w:lvl>
  </w:abstractNum>
  <w:abstractNum w:abstractNumId="2">
    <w:nsid w:val="FFFFFF7E"/>
    <w:multiLevelType w:val="singleLevel"/>
    <w:tmpl w:val="EEA01596"/>
    <w:lvl w:ilvl="0">
      <w:start w:val="1"/>
      <w:numFmt w:val="decimal"/>
      <w:lvlText w:val="%1."/>
      <w:lvlJc w:val="left"/>
      <w:pPr>
        <w:tabs>
          <w:tab w:val="num" w:pos="926"/>
        </w:tabs>
        <w:ind w:left="926" w:hanging="360"/>
      </w:pPr>
    </w:lvl>
  </w:abstractNum>
  <w:abstractNum w:abstractNumId="3">
    <w:nsid w:val="FFFFFF7F"/>
    <w:multiLevelType w:val="singleLevel"/>
    <w:tmpl w:val="3F702006"/>
    <w:lvl w:ilvl="0">
      <w:start w:val="1"/>
      <w:numFmt w:val="decimal"/>
      <w:lvlText w:val="%1."/>
      <w:lvlJc w:val="left"/>
      <w:pPr>
        <w:tabs>
          <w:tab w:val="num" w:pos="643"/>
        </w:tabs>
        <w:ind w:left="643" w:hanging="360"/>
      </w:pPr>
    </w:lvl>
  </w:abstractNum>
  <w:abstractNum w:abstractNumId="4">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603E52"/>
    <w:lvl w:ilvl="0">
      <w:start w:val="1"/>
      <w:numFmt w:val="decimal"/>
      <w:lvlText w:val="%1."/>
      <w:lvlJc w:val="left"/>
      <w:pPr>
        <w:tabs>
          <w:tab w:val="num" w:pos="360"/>
        </w:tabs>
        <w:ind w:left="360" w:hanging="360"/>
      </w:pPr>
    </w:lvl>
  </w:abstractNum>
  <w:abstractNum w:abstractNumId="9">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143"/>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1867</Words>
  <Characters>9675</Characters>
  <Application>Microsoft Office Word</Application>
  <DocSecurity>0</DocSecurity>
  <Lines>293</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2010 - 00-b0-01</dc:title>
  <dc:subject/>
  <dc:creator/>
  <cp:keywords/>
  <dc:description/>
  <cp:lastModifiedBy>svcMRProcess</cp:lastModifiedBy>
  <cp:revision>4</cp:revision>
  <cp:lastPrinted>2016-06-30T07:44:00Z</cp:lastPrinted>
  <dcterms:created xsi:type="dcterms:W3CDTF">2016-07-21T03:38:00Z</dcterms:created>
  <dcterms:modified xsi:type="dcterms:W3CDTF">2016-07-21T03:38:00Z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DocumentType">
    <vt:lpwstr>Reg</vt:lpwstr>
  </property>
  <property fmtid="{D5CDD505-2E9C-101B-9397-08002B2CF9AE}" pid="4" name="OwlsUID">
    <vt:i4>42221</vt:i4>
  </property>
  <property fmtid="{D5CDD505-2E9C-101B-9397-08002B2CF9AE}" pid="5" name="AsAtDate">
    <vt:lpwstr>01 Jul 2016</vt:lpwstr>
  </property>
  <property fmtid="{D5CDD505-2E9C-101B-9397-08002B2CF9AE}" pid="6" name="Suffix">
    <vt:lpwstr>00-b0-01</vt:lpwstr>
  </property>
  <property fmtid="{D5CDD505-2E9C-101B-9397-08002B2CF9AE}" pid="7" name="CommencementDate">
    <vt:lpwstr>20160701</vt:lpwstr>
  </property>
</Properties>
</file>