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Queen Elizabeth II Medical Centre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_Toc32420304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_Toc32420305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_Toc32420306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land</w:t>
      </w:r>
      <w:r>
        <w:tab/>
      </w:r>
      <w:r>
        <w:fldChar w:fldCharType="begin"/>
      </w:r>
      <w:r>
        <w:instrText xml:space="preserve"> PAGEREF _Toc32420307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Excision of certain land for drainage or road purposes</w:t>
      </w:r>
      <w:r>
        <w:tab/>
      </w:r>
      <w:r>
        <w:fldChar w:fldCharType="begin"/>
      </w:r>
      <w:r>
        <w:instrText xml:space="preserve"> PAGEREF _Toc32420308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Creation of reserve</w:t>
      </w:r>
      <w:r>
        <w:tab/>
      </w:r>
      <w:r>
        <w:fldChar w:fldCharType="begin"/>
      </w:r>
      <w:r>
        <w:instrText xml:space="preserve"> PAGEREF _Toc32420309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of The Queen Elizabeth II Medical Centre Trust</w:t>
      </w:r>
      <w:r>
        <w:tab/>
      </w:r>
      <w:r>
        <w:fldChar w:fldCharType="begin"/>
      </w:r>
      <w:r>
        <w:instrText xml:space="preserve"> PAGEREF _Toc32420310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w:t>
      </w:r>
      <w:r>
        <w:tab/>
      </w:r>
      <w:r>
        <w:fldChar w:fldCharType="begin"/>
      </w:r>
      <w:r>
        <w:instrText xml:space="preserve"> PAGEREF _Toc32420311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Vacancies</w:t>
      </w:r>
      <w:r>
        <w:tab/>
      </w:r>
      <w:r>
        <w:fldChar w:fldCharType="begin"/>
      </w:r>
      <w:r>
        <w:instrText xml:space="preserve"> PAGEREF _Toc32420312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Trust</w:t>
      </w:r>
      <w:r>
        <w:tab/>
      </w:r>
      <w:r>
        <w:fldChar w:fldCharType="begin"/>
      </w:r>
      <w:r>
        <w:instrText xml:space="preserve"> PAGEREF _Toc32420313 \h </w:instrText>
      </w:r>
      <w:r>
        <w:fldChar w:fldCharType="separate"/>
      </w:r>
      <w:r>
        <w:t>6</w:t>
      </w:r>
      <w:r>
        <w:fldChar w:fldCharType="end"/>
      </w:r>
    </w:p>
    <w:p>
      <w:pPr>
        <w:pStyle w:val="TOC8"/>
        <w:rPr>
          <w:rFonts w:asciiTheme="minorHAnsi" w:eastAsiaTheme="minorEastAsia" w:hAnsiTheme="minorHAnsi" w:cstheme="minorBidi"/>
          <w:szCs w:val="22"/>
        </w:rPr>
      </w:pPr>
      <w:r>
        <w:t>11A.</w:t>
      </w:r>
      <w:r>
        <w:rPr>
          <w:snapToGrid w:val="0"/>
        </w:rPr>
        <w:tab/>
        <w:t>Holding meetings remotely</w:t>
      </w:r>
      <w:r>
        <w:tab/>
      </w:r>
      <w:r>
        <w:fldChar w:fldCharType="begin"/>
      </w:r>
      <w:r>
        <w:instrText xml:space="preserve"> PAGEREF _Toc32420314 \h </w:instrText>
      </w:r>
      <w:r>
        <w:fldChar w:fldCharType="separate"/>
      </w:r>
      <w:r>
        <w:t>6</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Resolution without meeting</w:t>
      </w:r>
      <w:r>
        <w:tab/>
      </w:r>
      <w:r>
        <w:fldChar w:fldCharType="begin"/>
      </w:r>
      <w:r>
        <w:instrText xml:space="preserve"> PAGEREF _Toc32420315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Use of common seal</w:t>
      </w:r>
      <w:r>
        <w:tab/>
      </w:r>
      <w:r>
        <w:fldChar w:fldCharType="begin"/>
      </w:r>
      <w:r>
        <w:instrText xml:space="preserve"> PAGEREF _Toc32420316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_Toc32420317 \h </w:instrText>
      </w:r>
      <w:r>
        <w:fldChar w:fldCharType="separate"/>
      </w:r>
      <w:r>
        <w:t>7</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Remuneration and allowances</w:t>
      </w:r>
      <w:r>
        <w:tab/>
      </w:r>
      <w:r>
        <w:fldChar w:fldCharType="begin"/>
      </w:r>
      <w:r>
        <w:instrText xml:space="preserve"> PAGEREF _Toc32420318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Trust</w:t>
      </w:r>
      <w:r>
        <w:tab/>
      </w:r>
      <w:r>
        <w:fldChar w:fldCharType="begin"/>
      </w:r>
      <w:r>
        <w:instrText xml:space="preserve"> PAGEREF _Toc32420319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Additional land for reserve</w:t>
      </w:r>
      <w:r>
        <w:tab/>
      </w:r>
      <w:r>
        <w:fldChar w:fldCharType="begin"/>
      </w:r>
      <w:r>
        <w:instrText xml:space="preserve"> PAGEREF _Toc32420320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employees</w:t>
      </w:r>
      <w:r>
        <w:tab/>
      </w:r>
      <w:r>
        <w:fldChar w:fldCharType="begin"/>
      </w:r>
      <w:r>
        <w:instrText xml:space="preserve"> PAGEREF _Toc32420321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_Toc32420322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Indemnity</w:t>
      </w:r>
      <w:r>
        <w:tab/>
      </w:r>
      <w:r>
        <w:fldChar w:fldCharType="begin"/>
      </w:r>
      <w:r>
        <w:instrText xml:space="preserve"> PAGEREF _Toc32420323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Senate to apply fees and other money to reserve</w:t>
      </w:r>
      <w:r>
        <w:tab/>
      </w:r>
      <w:r>
        <w:fldChar w:fldCharType="begin"/>
      </w:r>
      <w:r>
        <w:instrText xml:space="preserve"> PAGEREF _Toc32420324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Saving</w:t>
      </w:r>
      <w:r>
        <w:tab/>
      </w:r>
      <w:r>
        <w:fldChar w:fldCharType="begin"/>
      </w:r>
      <w:r>
        <w:instrText xml:space="preserve"> PAGEREF _Toc32420325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By</w:t>
      </w:r>
      <w:r>
        <w:rPr>
          <w:snapToGrid w:val="0"/>
        </w:rPr>
        <w:noBreakHyphen/>
        <w:t>laws</w:t>
      </w:r>
      <w:r>
        <w:tab/>
      </w:r>
      <w:r>
        <w:fldChar w:fldCharType="begin"/>
      </w:r>
      <w:r>
        <w:instrText xml:space="preserve"> PAGEREF _Toc32420326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Review of Act</w:t>
      </w:r>
      <w:r>
        <w:tab/>
      </w:r>
      <w:r>
        <w:fldChar w:fldCharType="begin"/>
      </w:r>
      <w:r>
        <w:instrText xml:space="preserve"> PAGEREF _Toc32420327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Medical centre land</w:t>
      </w:r>
    </w:p>
    <w:p>
      <w:pPr>
        <w:pStyle w:val="TOC4"/>
        <w:tabs>
          <w:tab w:val="right" w:leader="dot" w:pos="7077"/>
        </w:tabs>
        <w:rPr>
          <w:rFonts w:asciiTheme="minorHAnsi" w:eastAsiaTheme="minorEastAsia" w:hAnsiTheme="minorHAnsi" w:cstheme="minorBidi"/>
          <w:b w:val="0"/>
          <w:szCs w:val="22"/>
        </w:rPr>
      </w:pPr>
      <w:r>
        <w:rPr>
          <w:rFonts w:eastAsia="MS Mincho"/>
        </w:rPr>
        <w:t>Part I</w:t>
      </w:r>
      <w:r>
        <w:rPr>
          <w:rFonts w:eastAsia="MS Mincho"/>
          <w:b w:val="0"/>
        </w:rPr>
        <w:t> </w:t>
      </w:r>
      <w:r>
        <w:rPr>
          <w:rFonts w:eastAsia="MS Mincho"/>
        </w:rPr>
        <w:t>— Original land</w:t>
      </w:r>
    </w:p>
    <w:p>
      <w:pPr>
        <w:pStyle w:val="TOC4"/>
        <w:tabs>
          <w:tab w:val="right" w:leader="dot" w:pos="7077"/>
        </w:tabs>
        <w:rPr>
          <w:rFonts w:asciiTheme="minorHAnsi" w:eastAsiaTheme="minorEastAsia" w:hAnsiTheme="minorHAnsi" w:cstheme="minorBidi"/>
          <w:b w:val="0"/>
          <w:szCs w:val="22"/>
        </w:rPr>
      </w:pPr>
      <w:r>
        <w:rPr>
          <w:rFonts w:eastAsia="MS Mincho"/>
        </w:rPr>
        <w:t>Part II — Further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_Toc32420332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_Toc32420333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_Toc32420334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3" w:name="_Toc32420304"/>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w:t>
      </w:r>
    </w:p>
    <w:p>
      <w:pPr>
        <w:pStyle w:val="Footnotesection"/>
      </w:pPr>
      <w:r>
        <w:tab/>
        <w:t>[Section 1 amended: No. 6 of 1977 s. 1.]</w:t>
      </w:r>
    </w:p>
    <w:p>
      <w:pPr>
        <w:pStyle w:val="Heading5"/>
        <w:rPr>
          <w:snapToGrid w:val="0"/>
        </w:rPr>
      </w:pPr>
      <w:bookmarkStart w:id="4" w:name="_Toc32420305"/>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This Act shall come into operation on a date to be fixed by proclamation.</w:t>
      </w:r>
    </w:p>
    <w:p>
      <w:pPr>
        <w:pStyle w:val="Heading5"/>
        <w:rPr>
          <w:snapToGrid w:val="0"/>
        </w:rPr>
      </w:pPr>
      <w:bookmarkStart w:id="5" w:name="_Toc32420306"/>
      <w:r>
        <w:rPr>
          <w:rStyle w:val="CharSectno"/>
        </w:rPr>
        <w:t>3</w:t>
      </w:r>
      <w:r>
        <w:rPr>
          <w:snapToGrid w:val="0"/>
        </w:rPr>
        <w:t>.</w:t>
      </w:r>
      <w:r>
        <w:rPr>
          <w:snapToGrid w:val="0"/>
        </w:rPr>
        <w:tab/>
        <w:t>Terms used</w:t>
      </w:r>
      <w:bookmarkEnd w:id="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tab/>
      </w:r>
      <w:r>
        <w:rPr>
          <w:rStyle w:val="CharDefText"/>
        </w:rPr>
        <w:t>reserve</w:t>
      </w:r>
      <w:r>
        <w:t xml:space="preserve"> means the land reserved to Her Majesty pursuant to section 6 as The Queen Elizabeth II Medical Centre Reserve;</w:t>
      </w:r>
    </w:p>
    <w:p>
      <w:pPr>
        <w:pStyle w:val="Defstart"/>
      </w:pPr>
      <w:r>
        <w:rPr>
          <w:b/>
        </w:rPr>
        <w:tab/>
      </w:r>
      <w:r>
        <w:rPr>
          <w:rStyle w:val="CharDefText"/>
        </w:rPr>
        <w:t>Schedule</w:t>
      </w:r>
      <w:r>
        <w:t xml:space="preserve"> means the Schedule to this Act;</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No. 6 of 1977 s. 3; No. 31 of 1991 s. 3; No. 2 of 1996 s. 61</w:t>
      </w:r>
      <w:r>
        <w:rPr>
          <w:spacing w:val="-4"/>
        </w:rPr>
        <w:t>; No. 47 of 2011 s.</w:t>
      </w:r>
      <w:r>
        <w:t> 27.]</w:t>
      </w:r>
    </w:p>
    <w:p>
      <w:pPr>
        <w:pStyle w:val="Heading5"/>
        <w:rPr>
          <w:snapToGrid w:val="0"/>
        </w:rPr>
      </w:pPr>
      <w:bookmarkStart w:id="6" w:name="_Toc32420307"/>
      <w:r>
        <w:rPr>
          <w:rStyle w:val="CharSectno"/>
        </w:rPr>
        <w:t>4</w:t>
      </w:r>
      <w:r>
        <w:rPr>
          <w:snapToGrid w:val="0"/>
        </w:rPr>
        <w:t>.</w:t>
      </w:r>
      <w:r>
        <w:rPr>
          <w:snapToGrid w:val="0"/>
        </w:rPr>
        <w:tab/>
        <w:t>Vesting of land</w:t>
      </w:r>
      <w:bookmarkEnd w:id="6"/>
    </w:p>
    <w:p>
      <w:pPr>
        <w:pStyle w:val="Subsection"/>
        <w:rPr>
          <w:snapToGrid w:val="0"/>
        </w:rPr>
      </w:pPr>
      <w:r>
        <w:rPr>
          <w:snapToGrid w:val="0"/>
        </w:rPr>
        <w:tab/>
        <w:t>(1)</w:t>
      </w:r>
      <w:r>
        <w:rPr>
          <w:snapToGrid w:val="0"/>
        </w:rPr>
        <w:tab/>
        <w:t>On the coming into operation of this Act,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r>
        <w:tab/>
        <w:t>[Section 4 amended: No. 19 of 2010 s. 51.]</w:t>
      </w:r>
    </w:p>
    <w:p>
      <w:pPr>
        <w:pStyle w:val="Heading5"/>
        <w:rPr>
          <w:snapToGrid w:val="0"/>
        </w:rPr>
      </w:pPr>
      <w:bookmarkStart w:id="7" w:name="_Toc32420308"/>
      <w:r>
        <w:rPr>
          <w:rStyle w:val="CharSectno"/>
        </w:rPr>
        <w:t>5</w:t>
      </w:r>
      <w:r>
        <w:rPr>
          <w:snapToGrid w:val="0"/>
        </w:rPr>
        <w:t>.</w:t>
      </w:r>
      <w:r>
        <w:rPr>
          <w:snapToGrid w:val="0"/>
        </w:rPr>
        <w:tab/>
        <w:t>Excision of certain land for drainage or road purposes</w:t>
      </w:r>
      <w:bookmarkEnd w:id="7"/>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ha and may deal with, and dispose of, the land so excised for the purpose of drainage or roads, or both drainage and roads.</w:t>
      </w:r>
    </w:p>
    <w:p>
      <w:pPr>
        <w:pStyle w:val="Footnotesection"/>
      </w:pPr>
      <w:r>
        <w:tab/>
        <w:t>[Section 5 amended: No. 2 of 1976 s. 2.]</w:t>
      </w:r>
    </w:p>
    <w:p>
      <w:pPr>
        <w:pStyle w:val="Heading5"/>
        <w:rPr>
          <w:snapToGrid w:val="0"/>
        </w:rPr>
      </w:pPr>
      <w:bookmarkStart w:id="8" w:name="_Toc32420309"/>
      <w:r>
        <w:rPr>
          <w:rStyle w:val="CharSectno"/>
        </w:rPr>
        <w:t>6</w:t>
      </w:r>
      <w:r>
        <w:rPr>
          <w:snapToGrid w:val="0"/>
        </w:rPr>
        <w:t>.</w:t>
      </w:r>
      <w:r>
        <w:rPr>
          <w:snapToGrid w:val="0"/>
        </w:rPr>
        <w:tab/>
        <w:t>Creation of reserve</w:t>
      </w:r>
      <w:bookmarkEnd w:id="8"/>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No. 6 of 1977 s. 4.]</w:t>
      </w:r>
    </w:p>
    <w:p>
      <w:pPr>
        <w:pStyle w:val="Heading5"/>
        <w:rPr>
          <w:snapToGrid w:val="0"/>
        </w:rPr>
      </w:pPr>
      <w:bookmarkStart w:id="9" w:name="_Toc32420310"/>
      <w:r>
        <w:rPr>
          <w:rStyle w:val="CharSectno"/>
        </w:rPr>
        <w:t>7</w:t>
      </w:r>
      <w:r>
        <w:rPr>
          <w:snapToGrid w:val="0"/>
        </w:rPr>
        <w:t>.</w:t>
      </w:r>
      <w:r>
        <w:rPr>
          <w:snapToGrid w:val="0"/>
        </w:rPr>
        <w:tab/>
        <w:t>Constitution of The Queen Elizabeth II Medical Centre Trust</w:t>
      </w:r>
      <w:bookmarkEnd w:id="9"/>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 and</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 No. 6 of 1977 s. 5; No. 59 of 1985 s. 3; No. 19 of 2010 s. 51.]</w:t>
      </w:r>
    </w:p>
    <w:p>
      <w:pPr>
        <w:pStyle w:val="Heading5"/>
        <w:rPr>
          <w:snapToGrid w:val="0"/>
        </w:rPr>
      </w:pPr>
      <w:bookmarkStart w:id="10" w:name="_Toc32420311"/>
      <w:r>
        <w:rPr>
          <w:rStyle w:val="CharSectno"/>
        </w:rPr>
        <w:t>8</w:t>
      </w:r>
      <w:r>
        <w:rPr>
          <w:snapToGrid w:val="0"/>
        </w:rPr>
        <w:t>.</w:t>
      </w:r>
      <w:r>
        <w:rPr>
          <w:snapToGrid w:val="0"/>
        </w:rPr>
        <w:tab/>
        <w:t>Quorum</w:t>
      </w:r>
      <w:bookmarkEnd w:id="10"/>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 No. 6 of 2013 s. 4.]</w:t>
      </w:r>
    </w:p>
    <w:p>
      <w:pPr>
        <w:pStyle w:val="Heading5"/>
        <w:rPr>
          <w:snapToGrid w:val="0"/>
        </w:rPr>
      </w:pPr>
      <w:bookmarkStart w:id="11" w:name="_Toc32420312"/>
      <w:r>
        <w:rPr>
          <w:rStyle w:val="CharSectno"/>
        </w:rPr>
        <w:t>9</w:t>
      </w:r>
      <w:r>
        <w:rPr>
          <w:snapToGrid w:val="0"/>
        </w:rPr>
        <w:t>.</w:t>
      </w:r>
      <w:r>
        <w:rPr>
          <w:snapToGrid w:val="0"/>
        </w:rPr>
        <w:tab/>
        <w:t>Vacancies</w:t>
      </w:r>
      <w:bookmarkEnd w:id="11"/>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12" w:name="_Toc32420313"/>
      <w:r>
        <w:rPr>
          <w:rStyle w:val="CharSectno"/>
        </w:rPr>
        <w:t>10</w:t>
      </w:r>
      <w:r>
        <w:rPr>
          <w:snapToGrid w:val="0"/>
        </w:rPr>
        <w:t>.</w:t>
      </w:r>
      <w:r>
        <w:rPr>
          <w:snapToGrid w:val="0"/>
        </w:rPr>
        <w:tab/>
        <w:t>Meetings of Trust</w:t>
      </w:r>
      <w:bookmarkEnd w:id="12"/>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13" w:name="_Toc32420314"/>
      <w:r>
        <w:rPr>
          <w:rStyle w:val="CharSectno"/>
        </w:rPr>
        <w:t>11A</w:t>
      </w:r>
      <w:r>
        <w:t>.</w:t>
      </w:r>
      <w:r>
        <w:rPr>
          <w:snapToGrid w:val="0"/>
        </w:rPr>
        <w:tab/>
        <w:t>Holding meetings remotely</w:t>
      </w:r>
      <w:bookmarkEnd w:id="13"/>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r>
        <w:tab/>
        <w:t>[Section 11A inserted: No. 6 of 2013 s. 5.]</w:t>
      </w:r>
    </w:p>
    <w:p>
      <w:pPr>
        <w:pStyle w:val="Heading5"/>
        <w:rPr>
          <w:snapToGrid w:val="0"/>
        </w:rPr>
      </w:pPr>
      <w:bookmarkStart w:id="14" w:name="_Toc32420315"/>
      <w:r>
        <w:rPr>
          <w:rStyle w:val="CharSectno"/>
        </w:rPr>
        <w:t>11B</w:t>
      </w:r>
      <w:r>
        <w:rPr>
          <w:snapToGrid w:val="0"/>
        </w:rPr>
        <w:t>.</w:t>
      </w:r>
      <w:r>
        <w:rPr>
          <w:snapToGrid w:val="0"/>
        </w:rPr>
        <w:tab/>
        <w:t>Resolution without meeting</w:t>
      </w:r>
      <w:bookmarkEnd w:id="14"/>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No. 6 of 2013 s. 5.]</w:t>
      </w:r>
    </w:p>
    <w:p>
      <w:pPr>
        <w:pStyle w:val="Heading5"/>
        <w:rPr>
          <w:snapToGrid w:val="0"/>
        </w:rPr>
      </w:pPr>
      <w:bookmarkStart w:id="15" w:name="_Toc32420316"/>
      <w:r>
        <w:rPr>
          <w:rStyle w:val="CharSectno"/>
        </w:rPr>
        <w:t>11</w:t>
      </w:r>
      <w:r>
        <w:rPr>
          <w:snapToGrid w:val="0"/>
        </w:rPr>
        <w:t>.</w:t>
      </w:r>
      <w:r>
        <w:rPr>
          <w:snapToGrid w:val="0"/>
        </w:rPr>
        <w:tab/>
        <w:t>Use of common seal</w:t>
      </w:r>
      <w:bookmarkEnd w:id="1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16" w:name="_Toc32420317"/>
      <w:r>
        <w:rPr>
          <w:rStyle w:val="CharSectno"/>
        </w:rPr>
        <w:t>12</w:t>
      </w:r>
      <w:r>
        <w:rPr>
          <w:snapToGrid w:val="0"/>
        </w:rPr>
        <w:t>.</w:t>
      </w:r>
      <w:r>
        <w:rPr>
          <w:snapToGrid w:val="0"/>
        </w:rPr>
        <w:tab/>
        <w:t>Delegation</w:t>
      </w:r>
      <w:bookmarkEnd w:id="16"/>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No. 72 of 1973 s. 2.]</w:t>
      </w:r>
    </w:p>
    <w:p>
      <w:pPr>
        <w:pStyle w:val="Heading5"/>
        <w:rPr>
          <w:snapToGrid w:val="0"/>
        </w:rPr>
      </w:pPr>
      <w:bookmarkStart w:id="17" w:name="_Toc32420318"/>
      <w:r>
        <w:rPr>
          <w:rStyle w:val="CharSectno"/>
        </w:rPr>
        <w:t>12A</w:t>
      </w:r>
      <w:r>
        <w:rPr>
          <w:snapToGrid w:val="0"/>
        </w:rPr>
        <w:t>.</w:t>
      </w:r>
      <w:r>
        <w:rPr>
          <w:snapToGrid w:val="0"/>
        </w:rPr>
        <w:tab/>
        <w:t>Remuneration and allowances</w:t>
      </w:r>
      <w:bookmarkEnd w:id="17"/>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No. 6 of 2013 s. 6.]</w:t>
      </w:r>
    </w:p>
    <w:p>
      <w:pPr>
        <w:pStyle w:val="Heading5"/>
        <w:rPr>
          <w:snapToGrid w:val="0"/>
        </w:rPr>
      </w:pPr>
      <w:bookmarkStart w:id="18" w:name="_Toc32420319"/>
      <w:r>
        <w:rPr>
          <w:rStyle w:val="CharSectno"/>
        </w:rPr>
        <w:t>13</w:t>
      </w:r>
      <w:r>
        <w:rPr>
          <w:snapToGrid w:val="0"/>
        </w:rPr>
        <w:t>.</w:t>
      </w:r>
      <w:r>
        <w:rPr>
          <w:snapToGrid w:val="0"/>
        </w:rPr>
        <w:tab/>
        <w:t>Functions of Trust</w:t>
      </w:r>
      <w:bookmarkEnd w:id="18"/>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 or</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granted or lent to the delegate under subsection (2k); or</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1</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 or</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 and</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 and</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 and</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 and</w:t>
      </w:r>
    </w:p>
    <w:p>
      <w:pPr>
        <w:pStyle w:val="Indenta"/>
        <w:rPr>
          <w:snapToGrid w:val="0"/>
        </w:rPr>
      </w:pPr>
      <w:r>
        <w:rPr>
          <w:snapToGrid w:val="0"/>
        </w:rPr>
        <w:tab/>
        <w:t>(b)</w:t>
      </w:r>
      <w:r>
        <w:rPr>
          <w:snapToGrid w:val="0"/>
        </w:rPr>
        <w:tab/>
        <w:t>all moneys borrowed by the Trust under subsection (3A); and</w:t>
      </w:r>
    </w:p>
    <w:p>
      <w:pPr>
        <w:pStyle w:val="Indenta"/>
        <w:rPr>
          <w:snapToGrid w:val="0"/>
        </w:rPr>
      </w:pPr>
      <w:r>
        <w:rPr>
          <w:snapToGrid w:val="0"/>
        </w:rPr>
        <w:tab/>
        <w:t>(c)</w:t>
      </w:r>
      <w:r>
        <w:rPr>
          <w:snapToGrid w:val="0"/>
        </w:rPr>
        <w:tab/>
        <w:t>the sums and funds referred to in subsection (5); and</w:t>
      </w:r>
    </w:p>
    <w:p>
      <w:pPr>
        <w:pStyle w:val="Indenta"/>
        <w:rPr>
          <w:snapToGrid w:val="0"/>
        </w:rPr>
      </w:pPr>
      <w:r>
        <w:rPr>
          <w:snapToGrid w:val="0"/>
        </w:rPr>
        <w:tab/>
        <w:t>(d)</w:t>
      </w:r>
      <w:r>
        <w:rPr>
          <w:snapToGrid w:val="0"/>
        </w:rPr>
        <w:tab/>
        <w:t>the proceeds, and the income from any investment of the proceeds, referred to in subsection (7); and</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No. 59 of 1985 s. 4; No. 98 of 1985 s. 3; No. 6 of 1993 s. 11; No. 49 of 1996 s. 64; No. 1 of 1997 s. 18; No. 77 of 2006 s. 4; No. 19 of 2010 s. 51; No. 6 of 2013 s. 7.]</w:t>
      </w:r>
    </w:p>
    <w:p>
      <w:pPr>
        <w:pStyle w:val="Heading5"/>
        <w:rPr>
          <w:snapToGrid w:val="0"/>
        </w:rPr>
      </w:pPr>
      <w:bookmarkStart w:id="19" w:name="_Toc32420320"/>
      <w:r>
        <w:rPr>
          <w:rStyle w:val="CharSectno"/>
        </w:rPr>
        <w:t>13A</w:t>
      </w:r>
      <w:r>
        <w:rPr>
          <w:snapToGrid w:val="0"/>
        </w:rPr>
        <w:t>.</w:t>
      </w:r>
      <w:r>
        <w:rPr>
          <w:snapToGrid w:val="0"/>
        </w:rPr>
        <w:tab/>
        <w:t>Additional land for reserve</w:t>
      </w:r>
      <w:bookmarkEnd w:id="19"/>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No. 72 of 1973 s. 3.]</w:t>
      </w:r>
    </w:p>
    <w:p>
      <w:pPr>
        <w:pStyle w:val="Heading5"/>
        <w:rPr>
          <w:snapToGrid w:val="0"/>
        </w:rPr>
      </w:pPr>
      <w:bookmarkStart w:id="20" w:name="_Toc32420321"/>
      <w:r>
        <w:rPr>
          <w:rStyle w:val="CharSectno"/>
        </w:rPr>
        <w:t>14</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21" w:name="_Toc32420322"/>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2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No. 98 of 1985 s. 3; amended: No. 77 of 2006 Sch. 1 cl. 141.]</w:t>
      </w:r>
    </w:p>
    <w:p>
      <w:pPr>
        <w:pStyle w:val="Ednotesection"/>
      </w:pPr>
      <w:r>
        <w:t>[</w:t>
      </w:r>
      <w:r>
        <w:rPr>
          <w:b/>
        </w:rPr>
        <w:t>16.</w:t>
      </w:r>
      <w:r>
        <w:tab/>
        <w:t>Deleted: No. 11 of 2016 s. 301(4).]</w:t>
      </w:r>
    </w:p>
    <w:p>
      <w:pPr>
        <w:pStyle w:val="Heading5"/>
        <w:rPr>
          <w:snapToGrid w:val="0"/>
        </w:rPr>
      </w:pPr>
      <w:bookmarkStart w:id="22" w:name="_Toc32420323"/>
      <w:r>
        <w:rPr>
          <w:rStyle w:val="CharSectno"/>
        </w:rPr>
        <w:t>17</w:t>
      </w:r>
      <w:r>
        <w:rPr>
          <w:snapToGrid w:val="0"/>
        </w:rPr>
        <w:t>.</w:t>
      </w:r>
      <w:r>
        <w:rPr>
          <w:snapToGrid w:val="0"/>
        </w:rPr>
        <w:tab/>
        <w:t>Indemnity</w:t>
      </w:r>
      <w:bookmarkEnd w:id="2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23" w:name="_Toc32420324"/>
      <w:r>
        <w:rPr>
          <w:rStyle w:val="CharSectno"/>
        </w:rPr>
        <w:t>18</w:t>
      </w:r>
      <w:r>
        <w:rPr>
          <w:snapToGrid w:val="0"/>
        </w:rPr>
        <w:t>.</w:t>
      </w:r>
      <w:r>
        <w:rPr>
          <w:snapToGrid w:val="0"/>
        </w:rPr>
        <w:tab/>
        <w:t>Power of Senate to apply fees and other money to reserve</w:t>
      </w:r>
      <w:bookmarkEnd w:id="23"/>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24" w:name="_Toc32420325"/>
      <w:r>
        <w:rPr>
          <w:rStyle w:val="CharSectno"/>
        </w:rPr>
        <w:t>19</w:t>
      </w:r>
      <w:r>
        <w:rPr>
          <w:snapToGrid w:val="0"/>
        </w:rPr>
        <w:t>.</w:t>
      </w:r>
      <w:r>
        <w:rPr>
          <w:snapToGrid w:val="0"/>
        </w:rPr>
        <w:tab/>
        <w:t>Saving</w:t>
      </w:r>
      <w:bookmarkEnd w:id="24"/>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zCs w:val="24"/>
        </w:rPr>
        <w:t>Private Hospitals and Health Services Act 1927</w:t>
      </w:r>
      <w:r>
        <w:rPr>
          <w:szCs w:val="24"/>
        </w:rPr>
        <w:t xml:space="preserve">, the </w:t>
      </w:r>
      <w:r>
        <w:rPr>
          <w:i/>
          <w:szCs w:val="24"/>
        </w:rPr>
        <w:t>Health Services Act 2016</w:t>
      </w:r>
      <w:r>
        <w:rPr>
          <w:szCs w:val="24"/>
        </w:rPr>
        <w:t xml:space="preserve">, </w:t>
      </w:r>
      <w:r>
        <w:rPr>
          <w:snapToGrid w:val="0"/>
        </w:rPr>
        <w:t xml:space="preserve">or the </w:t>
      </w:r>
      <w:r>
        <w:rPr>
          <w:i/>
          <w:snapToGrid w:val="0"/>
        </w:rPr>
        <w:t>Cancer Council of Western Australia Act 1958</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No. 103 of 1994 s. 18; No. 11 of 2016 s. 301(5).]</w:t>
      </w:r>
    </w:p>
    <w:p>
      <w:pPr>
        <w:pStyle w:val="Heading5"/>
        <w:rPr>
          <w:snapToGrid w:val="0"/>
        </w:rPr>
      </w:pPr>
      <w:bookmarkStart w:id="25" w:name="_Toc32420326"/>
      <w:r>
        <w:rPr>
          <w:rStyle w:val="CharSectno"/>
        </w:rPr>
        <w:t>20</w:t>
      </w:r>
      <w:r>
        <w:rPr>
          <w:snapToGrid w:val="0"/>
        </w:rPr>
        <w:t>.</w:t>
      </w:r>
      <w:r>
        <w:rPr>
          <w:snapToGrid w:val="0"/>
        </w:rPr>
        <w:tab/>
        <w:t>By</w:t>
      </w:r>
      <w:r>
        <w:rPr>
          <w:snapToGrid w:val="0"/>
        </w:rPr>
        <w:noBreakHyphen/>
        <w:t>laws</w:t>
      </w:r>
      <w:bookmarkEnd w:id="25"/>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 and</w:t>
      </w:r>
    </w:p>
    <w:p>
      <w:pPr>
        <w:pStyle w:val="Indenta"/>
        <w:rPr>
          <w:snapToGrid w:val="0"/>
        </w:rPr>
      </w:pPr>
      <w:r>
        <w:rPr>
          <w:snapToGrid w:val="0"/>
        </w:rPr>
        <w:tab/>
        <w:t>(b)</w:t>
      </w:r>
      <w:r>
        <w:rPr>
          <w:snapToGrid w:val="0"/>
        </w:rPr>
        <w:tab/>
        <w:t>the provision of pathways, roadways, kerbing, signs, landscaping, lighting, sewerage and drainage; and</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No. 6 of 1977 s. 6; No. 59 of 1985 s. 7; No. 6 of 2013 s. 8.]</w:t>
      </w:r>
    </w:p>
    <w:p>
      <w:pPr>
        <w:pStyle w:val="Heading5"/>
        <w:rPr>
          <w:snapToGrid w:val="0"/>
        </w:rPr>
      </w:pPr>
      <w:bookmarkStart w:id="26" w:name="_Toc32420327"/>
      <w:r>
        <w:rPr>
          <w:rStyle w:val="CharSectno"/>
        </w:rPr>
        <w:t>21</w:t>
      </w:r>
      <w:r>
        <w:rPr>
          <w:snapToGrid w:val="0"/>
        </w:rPr>
        <w:t>.</w:t>
      </w:r>
      <w:r>
        <w:rPr>
          <w:snapToGrid w:val="0"/>
        </w:rPr>
        <w:tab/>
        <w:t>Review of Act</w:t>
      </w:r>
      <w:bookmarkEnd w:id="26"/>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 and</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No. 59 of 1985 s. 8.]</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7" w:name="_Toc32420296"/>
      <w:bookmarkStart w:id="28" w:name="_Toc32420328"/>
      <w:r>
        <w:rPr>
          <w:rStyle w:val="CharSchNo"/>
          <w:rFonts w:eastAsia="MS Mincho"/>
        </w:rPr>
        <w:t>Schedule</w:t>
      </w:r>
      <w:r>
        <w:rPr>
          <w:rFonts w:eastAsia="MS Mincho"/>
        </w:rPr>
        <w:t> — </w:t>
      </w:r>
      <w:r>
        <w:rPr>
          <w:rStyle w:val="CharSchText"/>
          <w:rFonts w:eastAsia="MS Mincho"/>
        </w:rPr>
        <w:t>Medical centre land</w:t>
      </w:r>
      <w:bookmarkEnd w:id="27"/>
      <w:bookmarkEnd w:id="28"/>
    </w:p>
    <w:p>
      <w:pPr>
        <w:pStyle w:val="yShoulderClause"/>
        <w:rPr>
          <w:rFonts w:eastAsia="MS Mincho"/>
        </w:rPr>
      </w:pPr>
      <w:r>
        <w:rPr>
          <w:rFonts w:eastAsia="MS Mincho"/>
        </w:rPr>
        <w:t>[s. 4, 5 and 6]</w:t>
      </w:r>
    </w:p>
    <w:p>
      <w:pPr>
        <w:pStyle w:val="yFootnotesection"/>
      </w:pPr>
      <w:r>
        <w:tab/>
        <w:t>[Heading inserted: No. 19 of 2010 s. 27(2).]</w:t>
      </w:r>
    </w:p>
    <w:p>
      <w:pPr>
        <w:pStyle w:val="yHeading3"/>
        <w:rPr>
          <w:rFonts w:eastAsia="MS Mincho"/>
        </w:rPr>
      </w:pPr>
      <w:bookmarkStart w:id="29" w:name="_Toc32420297"/>
      <w:bookmarkStart w:id="30" w:name="_Toc32420329"/>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29"/>
      <w:bookmarkEnd w:id="30"/>
    </w:p>
    <w:p>
      <w:pPr>
        <w:pStyle w:val="yFootnotesection"/>
      </w:pPr>
      <w:r>
        <w:tab/>
        <w:t>[Heading inserted: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31" w:name="_Toc32420298"/>
      <w:bookmarkStart w:id="32" w:name="_Toc32420330"/>
      <w:r>
        <w:rPr>
          <w:rStyle w:val="CharSDivNo"/>
          <w:rFonts w:eastAsia="MS Mincho"/>
        </w:rPr>
        <w:t>Part II</w:t>
      </w:r>
      <w:r>
        <w:rPr>
          <w:rFonts w:eastAsia="MS Mincho"/>
        </w:rPr>
        <w:t> — </w:t>
      </w:r>
      <w:r>
        <w:rPr>
          <w:rStyle w:val="CharSDivNo"/>
          <w:rFonts w:eastAsia="MS Mincho"/>
        </w:rPr>
        <w:t>Further land</w:t>
      </w:r>
      <w:bookmarkEnd w:id="31"/>
      <w:bookmarkEnd w:id="32"/>
    </w:p>
    <w:p>
      <w:pPr>
        <w:pStyle w:val="yFootnotesection"/>
      </w:pPr>
      <w:r>
        <w:tab/>
        <w:t>[Heading inserted: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No. 72 of 1973 s.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4" w:name="_Toc32420299"/>
      <w:bookmarkStart w:id="35" w:name="_Toc32420331"/>
      <w:r>
        <w:t>Notes</w:t>
      </w:r>
      <w:bookmarkEnd w:id="34"/>
      <w:bookmarkEnd w:id="35"/>
    </w:p>
    <w:p>
      <w:pPr>
        <w:pStyle w:val="nStatement"/>
      </w:pPr>
      <w:r>
        <w:t xml:space="preserve">This is a compilation of the </w:t>
      </w:r>
      <w:r>
        <w:rPr>
          <w:i/>
          <w:noProof/>
        </w:rPr>
        <w:t>Queen Elizabeth II Medical Centre Act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 w:name="_Toc32420332"/>
      <w:r>
        <w:t>Compilation table</w:t>
      </w:r>
      <w:bookmarkEnd w:id="3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pPr>
            <w:r>
              <w:rPr>
                <w:i/>
              </w:rPr>
              <w:t>Perth Medical Centre Act 1966</w:t>
            </w:r>
            <w:r>
              <w:rPr>
                <w:vertAlign w:val="superscript"/>
              </w:rPr>
              <w:t> 3</w:t>
            </w:r>
          </w:p>
        </w:tc>
        <w:tc>
          <w:tcPr>
            <w:tcW w:w="1134" w:type="dxa"/>
          </w:tcPr>
          <w:p>
            <w:pPr>
              <w:pStyle w:val="nTable"/>
              <w:spacing w:before="50" w:after="50"/>
            </w:pPr>
            <w:r>
              <w:t>54 of 1966</w:t>
            </w:r>
          </w:p>
        </w:tc>
        <w:tc>
          <w:tcPr>
            <w:tcW w:w="1134" w:type="dxa"/>
          </w:tcPr>
          <w:p>
            <w:pPr>
              <w:pStyle w:val="nTable"/>
              <w:spacing w:before="50" w:after="50"/>
            </w:pPr>
            <w:r>
              <w:t>5 Dec 1966</w:t>
            </w:r>
          </w:p>
        </w:tc>
        <w:tc>
          <w:tcPr>
            <w:tcW w:w="2552" w:type="dxa"/>
          </w:tcPr>
          <w:p>
            <w:pPr>
              <w:pStyle w:val="nTable"/>
              <w:spacing w:before="50" w:after="50"/>
            </w:pPr>
            <w:r>
              <w:t xml:space="preserve">13 Sep 1968 (see s. 2 and </w:t>
            </w:r>
            <w:r>
              <w:rPr>
                <w:i/>
              </w:rPr>
              <w:t>Gazette</w:t>
            </w:r>
            <w:r>
              <w:t xml:space="preserve"> 13 Sep 1968 p. 2747)</w:t>
            </w:r>
          </w:p>
        </w:tc>
      </w:tr>
      <w:tr>
        <w:trPr>
          <w:cantSplit/>
        </w:trPr>
        <w:tc>
          <w:tcPr>
            <w:tcW w:w="2268" w:type="dxa"/>
          </w:tcPr>
          <w:p>
            <w:pPr>
              <w:pStyle w:val="nTable"/>
              <w:spacing w:before="50" w:after="50"/>
              <w:rPr>
                <w:i/>
              </w:rPr>
            </w:pPr>
            <w:r>
              <w:rPr>
                <w:i/>
              </w:rPr>
              <w:t>Perth Medical Centre Act Amendment Act 1973</w:t>
            </w:r>
          </w:p>
        </w:tc>
        <w:tc>
          <w:tcPr>
            <w:tcW w:w="1134" w:type="dxa"/>
          </w:tcPr>
          <w:p>
            <w:pPr>
              <w:pStyle w:val="nTable"/>
              <w:spacing w:before="50" w:after="50"/>
            </w:pPr>
            <w:r>
              <w:t>72 of 1973</w:t>
            </w:r>
          </w:p>
        </w:tc>
        <w:tc>
          <w:tcPr>
            <w:tcW w:w="1134" w:type="dxa"/>
          </w:tcPr>
          <w:p>
            <w:pPr>
              <w:pStyle w:val="nTable"/>
              <w:spacing w:before="50" w:after="50"/>
            </w:pPr>
            <w:r>
              <w:t>6 Dec 1973</w:t>
            </w:r>
          </w:p>
        </w:tc>
        <w:tc>
          <w:tcPr>
            <w:tcW w:w="2552" w:type="dxa"/>
          </w:tcPr>
          <w:p>
            <w:pPr>
              <w:pStyle w:val="nTable"/>
              <w:spacing w:before="50" w:after="50"/>
            </w:pPr>
            <w:r>
              <w:t>s. 4: 12 Sep 1968 (see s. 4(2));</w:t>
            </w:r>
            <w:r>
              <w:br/>
              <w:t>Act other than s. 4: 6 Dec 1973</w:t>
            </w:r>
          </w:p>
        </w:tc>
      </w:tr>
      <w:tr>
        <w:trPr>
          <w:cantSplit/>
        </w:trPr>
        <w:tc>
          <w:tcPr>
            <w:tcW w:w="2268" w:type="dxa"/>
          </w:tcPr>
          <w:p>
            <w:pPr>
              <w:pStyle w:val="nTable"/>
              <w:spacing w:before="50" w:after="50"/>
              <w:rPr>
                <w:i/>
              </w:rPr>
            </w:pPr>
            <w:r>
              <w:rPr>
                <w:i/>
              </w:rPr>
              <w:t>Perth Medical Centre Act Amendment Act 1976</w:t>
            </w:r>
          </w:p>
        </w:tc>
        <w:tc>
          <w:tcPr>
            <w:tcW w:w="1134" w:type="dxa"/>
          </w:tcPr>
          <w:p>
            <w:pPr>
              <w:pStyle w:val="nTable"/>
              <w:spacing w:before="50" w:after="50"/>
            </w:pPr>
            <w:r>
              <w:t>2 of 1976</w:t>
            </w:r>
          </w:p>
        </w:tc>
        <w:tc>
          <w:tcPr>
            <w:tcW w:w="1134" w:type="dxa"/>
          </w:tcPr>
          <w:p>
            <w:pPr>
              <w:pStyle w:val="nTable"/>
              <w:spacing w:before="50" w:after="50"/>
            </w:pPr>
            <w:r>
              <w:t>25 May 1976</w:t>
            </w:r>
          </w:p>
        </w:tc>
        <w:tc>
          <w:tcPr>
            <w:tcW w:w="2552" w:type="dxa"/>
          </w:tcPr>
          <w:p>
            <w:pPr>
              <w:pStyle w:val="nTable"/>
              <w:spacing w:before="50" w:after="50"/>
            </w:pPr>
            <w:r>
              <w:t>25 May 1976</w:t>
            </w:r>
          </w:p>
        </w:tc>
      </w:tr>
      <w:tr>
        <w:trPr>
          <w:cantSplit/>
        </w:trPr>
        <w:tc>
          <w:tcPr>
            <w:tcW w:w="2268" w:type="dxa"/>
          </w:tcPr>
          <w:p>
            <w:pPr>
              <w:pStyle w:val="nTable"/>
              <w:spacing w:before="50" w:after="50"/>
              <w:rPr>
                <w:i/>
              </w:rPr>
            </w:pPr>
            <w:r>
              <w:rPr>
                <w:i/>
              </w:rPr>
              <w:t>Perth Medical Centre Act Amendment Act 1977</w:t>
            </w:r>
          </w:p>
        </w:tc>
        <w:tc>
          <w:tcPr>
            <w:tcW w:w="1134" w:type="dxa"/>
          </w:tcPr>
          <w:p>
            <w:pPr>
              <w:pStyle w:val="nTable"/>
              <w:spacing w:before="50" w:after="50"/>
            </w:pPr>
            <w:r>
              <w:t>6 of 1977</w:t>
            </w:r>
          </w:p>
        </w:tc>
        <w:tc>
          <w:tcPr>
            <w:tcW w:w="1134" w:type="dxa"/>
          </w:tcPr>
          <w:p>
            <w:pPr>
              <w:pStyle w:val="nTable"/>
              <w:spacing w:before="50" w:after="50"/>
            </w:pPr>
            <w:r>
              <w:t>30 Sep 1977</w:t>
            </w:r>
          </w:p>
        </w:tc>
        <w:tc>
          <w:tcPr>
            <w:tcW w:w="2552" w:type="dxa"/>
          </w:tcPr>
          <w:p>
            <w:pPr>
              <w:pStyle w:val="nTable"/>
              <w:spacing w:before="50" w:after="50"/>
            </w:pPr>
            <w:r>
              <w:t>28 Mar 1977 (see s. 2)</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approved 21 Nov 1978</w:t>
            </w:r>
            <w:r>
              <w:rPr>
                <w:b/>
              </w:rPr>
              <w:br/>
            </w:r>
            <w:r>
              <w:t>(includes amendments listed above)</w:t>
            </w:r>
          </w:p>
        </w:tc>
      </w:tr>
      <w:tr>
        <w:trPr>
          <w:cantSplit/>
        </w:trPr>
        <w:tc>
          <w:tcPr>
            <w:tcW w:w="2268" w:type="dxa"/>
          </w:tcPr>
          <w:p>
            <w:pPr>
              <w:pStyle w:val="nTable"/>
              <w:spacing w:before="50" w:after="50"/>
            </w:pPr>
            <w:r>
              <w:rPr>
                <w:i/>
              </w:rPr>
              <w:t>Queen Elizabeth II Medical Centre Amendment Act 1985</w:t>
            </w:r>
            <w:r>
              <w:rPr>
                <w:vertAlign w:val="superscript"/>
              </w:rPr>
              <w:t> 1</w:t>
            </w:r>
          </w:p>
        </w:tc>
        <w:tc>
          <w:tcPr>
            <w:tcW w:w="1134" w:type="dxa"/>
          </w:tcPr>
          <w:p>
            <w:pPr>
              <w:pStyle w:val="nTable"/>
              <w:spacing w:before="50" w:after="50"/>
            </w:pPr>
            <w:r>
              <w:t>59 of 1985</w:t>
            </w:r>
          </w:p>
        </w:tc>
        <w:tc>
          <w:tcPr>
            <w:tcW w:w="1134" w:type="dxa"/>
          </w:tcPr>
          <w:p>
            <w:pPr>
              <w:pStyle w:val="nTable"/>
              <w:spacing w:before="50" w:after="50"/>
            </w:pPr>
            <w:r>
              <w:t>5 Nov 1985</w:t>
            </w:r>
          </w:p>
        </w:tc>
        <w:tc>
          <w:tcPr>
            <w:tcW w:w="2552" w:type="dxa"/>
          </w:tcPr>
          <w:p>
            <w:pPr>
              <w:pStyle w:val="nTable"/>
              <w:spacing w:before="50" w:after="50"/>
            </w:pPr>
            <w:r>
              <w:t>s. 1 and 2: 5 Nov 1985;</w:t>
            </w:r>
            <w:r>
              <w:br/>
              <w:t xml:space="preserve">Act other than s. 1 and 2: 1 Nov 1986 (see s. 2 and </w:t>
            </w:r>
            <w:r>
              <w:rPr>
                <w:i/>
              </w:rPr>
              <w:t>Gazette</w:t>
            </w:r>
            <w:r>
              <w:t xml:space="preserve"> 24 Oct 1986 p. 3938)</w:t>
            </w:r>
          </w:p>
        </w:tc>
      </w:tr>
      <w:tr>
        <w:trPr>
          <w:cantSplit/>
        </w:trPr>
        <w:tc>
          <w:tcPr>
            <w:tcW w:w="2268" w:type="dxa"/>
          </w:tcPr>
          <w:p>
            <w:pPr>
              <w:pStyle w:val="nTable"/>
              <w:spacing w:before="50" w:after="50"/>
            </w:pPr>
            <w:r>
              <w:rPr>
                <w:i/>
              </w:rPr>
              <w:t>Acts Amendment (Financial Administration and Audit) Act 1985</w:t>
            </w:r>
            <w:r>
              <w:t xml:space="preserve"> s. 3</w:t>
            </w:r>
          </w:p>
        </w:tc>
        <w:tc>
          <w:tcPr>
            <w:tcW w:w="1134" w:type="dxa"/>
          </w:tcPr>
          <w:p>
            <w:pPr>
              <w:pStyle w:val="nTable"/>
              <w:spacing w:before="50" w:after="50"/>
            </w:pPr>
            <w:r>
              <w:t>98 of 1985</w:t>
            </w:r>
          </w:p>
        </w:tc>
        <w:tc>
          <w:tcPr>
            <w:tcW w:w="1134" w:type="dxa"/>
          </w:tcPr>
          <w:p>
            <w:pPr>
              <w:pStyle w:val="nTable"/>
              <w:spacing w:before="50" w:after="50"/>
            </w:pPr>
            <w:r>
              <w:t>4 Dec 1985</w:t>
            </w:r>
          </w:p>
        </w:tc>
        <w:tc>
          <w:tcPr>
            <w:tcW w:w="2552" w:type="dxa"/>
          </w:tcPr>
          <w:p>
            <w:pPr>
              <w:pStyle w:val="nTable"/>
              <w:spacing w:before="50" w:after="50"/>
            </w:pPr>
            <w:r>
              <w:t xml:space="preserve">1 Jul 1986 (see s. 2 and </w:t>
            </w:r>
            <w:r>
              <w:rPr>
                <w:i/>
              </w:rPr>
              <w:t>Gazette</w:t>
            </w:r>
            <w:r>
              <w:t xml:space="preserve"> 30 Jun 1986 p. 2255)</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8 Sep 1988</w:t>
            </w:r>
            <w:r>
              <w:rPr>
                <w:b/>
              </w:rPr>
              <w:br/>
            </w:r>
            <w:r>
              <w:t>(includes amendments listed above)</w:t>
            </w:r>
          </w:p>
        </w:tc>
      </w:tr>
      <w:tr>
        <w:trPr>
          <w:cantSplit/>
        </w:trPr>
        <w:tc>
          <w:tcPr>
            <w:tcW w:w="2268" w:type="dxa"/>
          </w:tcPr>
          <w:p>
            <w:pPr>
              <w:pStyle w:val="nTable"/>
              <w:spacing w:before="50" w:after="50"/>
            </w:pPr>
            <w:r>
              <w:rPr>
                <w:i/>
              </w:rPr>
              <w:t>Queen Elizabeth II Medical Centre Amendment Act 1991</w:t>
            </w:r>
          </w:p>
        </w:tc>
        <w:tc>
          <w:tcPr>
            <w:tcW w:w="1134" w:type="dxa"/>
          </w:tcPr>
          <w:p>
            <w:pPr>
              <w:pStyle w:val="nTable"/>
              <w:spacing w:before="50" w:after="50"/>
            </w:pPr>
            <w:r>
              <w:t>31 of 1991</w:t>
            </w:r>
          </w:p>
        </w:tc>
        <w:tc>
          <w:tcPr>
            <w:tcW w:w="1134" w:type="dxa"/>
          </w:tcPr>
          <w:p>
            <w:pPr>
              <w:pStyle w:val="nTable"/>
              <w:spacing w:before="50" w:after="50"/>
            </w:pPr>
            <w:r>
              <w:t>23 Nov 1991</w:t>
            </w:r>
          </w:p>
        </w:tc>
        <w:tc>
          <w:tcPr>
            <w:tcW w:w="2552" w:type="dxa"/>
          </w:tcPr>
          <w:p>
            <w:pPr>
              <w:pStyle w:val="nTable"/>
              <w:spacing w:before="50" w:after="50"/>
            </w:pPr>
            <w:r>
              <w:t>23 Nov 1991 (see s. 2)</w:t>
            </w:r>
          </w:p>
        </w:tc>
      </w:tr>
      <w:tr>
        <w:trPr>
          <w:cantSplit/>
        </w:trPr>
        <w:tc>
          <w:tcPr>
            <w:tcW w:w="2268" w:type="dxa"/>
          </w:tcPr>
          <w:p>
            <w:pPr>
              <w:pStyle w:val="nTable"/>
              <w:spacing w:before="50" w:after="50"/>
            </w:pPr>
            <w:r>
              <w:rPr>
                <w:i/>
              </w:rPr>
              <w:t>Financial Administration Legislation Amendment Act 1993</w:t>
            </w:r>
            <w:r>
              <w:t xml:space="preserve"> s. 11</w:t>
            </w:r>
          </w:p>
        </w:tc>
        <w:tc>
          <w:tcPr>
            <w:tcW w:w="1134"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pPr>
            <w:r>
              <w:rPr>
                <w:i/>
              </w:rPr>
              <w:t>Hospitals Amendment Act 1994</w:t>
            </w:r>
            <w:r>
              <w:t xml:space="preserve"> s. 18</w:t>
            </w:r>
          </w:p>
        </w:tc>
        <w:tc>
          <w:tcPr>
            <w:tcW w:w="1134" w:type="dxa"/>
          </w:tcPr>
          <w:p>
            <w:pPr>
              <w:pStyle w:val="nTable"/>
              <w:spacing w:before="50" w:after="50"/>
            </w:pPr>
            <w:r>
              <w:t>103 of 1994</w:t>
            </w:r>
          </w:p>
        </w:tc>
        <w:tc>
          <w:tcPr>
            <w:tcW w:w="1134" w:type="dxa"/>
          </w:tcPr>
          <w:p>
            <w:pPr>
              <w:pStyle w:val="nTable"/>
              <w:spacing w:before="50" w:after="50"/>
            </w:pPr>
            <w:r>
              <w:t>11 Jan 1995</w:t>
            </w:r>
          </w:p>
        </w:tc>
        <w:tc>
          <w:tcPr>
            <w:tcW w:w="2552" w:type="dxa"/>
          </w:tcPr>
          <w:p>
            <w:pPr>
              <w:pStyle w:val="nTable"/>
              <w:spacing w:before="50" w:after="50"/>
            </w:pPr>
            <w:r>
              <w:t xml:space="preserve">3 Feb 1995 (see s. 2 and </w:t>
            </w:r>
            <w:r>
              <w:rPr>
                <w:i/>
              </w:rPr>
              <w:t>Gazette</w:t>
            </w:r>
            <w:r>
              <w:t xml:space="preserve"> 3 Feb 1995 p. 333)</w:t>
            </w:r>
          </w:p>
        </w:tc>
      </w:tr>
      <w:tr>
        <w:trPr>
          <w:cantSplit/>
        </w:trPr>
        <w:tc>
          <w:tcPr>
            <w:tcW w:w="2268" w:type="dxa"/>
          </w:tcPr>
          <w:p>
            <w:pPr>
              <w:pStyle w:val="nTable"/>
              <w:spacing w:before="50" w:after="50"/>
            </w:pPr>
            <w:r>
              <w:rPr>
                <w:i/>
              </w:rPr>
              <w:t>Coroners Act 1996</w:t>
            </w:r>
            <w:r>
              <w:t xml:space="preserve"> s. 61</w:t>
            </w:r>
          </w:p>
        </w:tc>
        <w:tc>
          <w:tcPr>
            <w:tcW w:w="1134" w:type="dxa"/>
          </w:tcPr>
          <w:p>
            <w:pPr>
              <w:pStyle w:val="nTable"/>
              <w:spacing w:before="50" w:after="50"/>
            </w:pPr>
            <w:r>
              <w:t>2 of 1996</w:t>
            </w:r>
          </w:p>
        </w:tc>
        <w:tc>
          <w:tcPr>
            <w:tcW w:w="1134" w:type="dxa"/>
          </w:tcPr>
          <w:p>
            <w:pPr>
              <w:pStyle w:val="nTable"/>
              <w:spacing w:before="50" w:after="50"/>
            </w:pPr>
            <w:r>
              <w:t>24 May 1996</w:t>
            </w:r>
          </w:p>
        </w:tc>
        <w:tc>
          <w:tcPr>
            <w:tcW w:w="2552" w:type="dxa"/>
          </w:tcPr>
          <w:p>
            <w:pPr>
              <w:pStyle w:val="nTable"/>
              <w:spacing w:before="50" w:after="50"/>
            </w:pPr>
            <w:r>
              <w:t xml:space="preserve">7 Apr 1997 (see s. 2 and </w:t>
            </w:r>
            <w:r>
              <w:rPr>
                <w:i/>
              </w:rPr>
              <w:t>Gazette</w:t>
            </w:r>
            <w:r>
              <w:t xml:space="preserve"> 18 Mar 1997 p. 1529)</w:t>
            </w:r>
          </w:p>
        </w:tc>
      </w:tr>
      <w:tr>
        <w:trPr>
          <w:cantSplit/>
        </w:trPr>
        <w:tc>
          <w:tcPr>
            <w:tcW w:w="2268" w:type="dxa"/>
          </w:tcPr>
          <w:p>
            <w:pPr>
              <w:pStyle w:val="nTable"/>
              <w:spacing w:before="50" w:after="50"/>
            </w:pPr>
            <w:r>
              <w:rPr>
                <w:i/>
              </w:rPr>
              <w:t>Financial Legislation Amendment Act 1996</w:t>
            </w:r>
            <w:r>
              <w:t xml:space="preserve"> s. 64</w:t>
            </w:r>
          </w:p>
        </w:tc>
        <w:tc>
          <w:tcPr>
            <w:tcW w:w="1134" w:type="dxa"/>
          </w:tcPr>
          <w:p>
            <w:pPr>
              <w:pStyle w:val="nTable"/>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pPr>
            <w:r>
              <w:rPr>
                <w:i/>
              </w:rPr>
              <w:t>Trustees Amendment Act 1997</w:t>
            </w:r>
            <w:r>
              <w:t xml:space="preserve"> s. 18</w:t>
            </w:r>
          </w:p>
        </w:tc>
        <w:tc>
          <w:tcPr>
            <w:tcW w:w="1134"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3 Aug 2001</w:t>
            </w:r>
            <w:r>
              <w:rPr>
                <w:b/>
              </w:rPr>
              <w:br/>
            </w:r>
            <w:r>
              <w:t>(includes amendments listed above)</w:t>
            </w:r>
          </w:p>
        </w:tc>
      </w:tr>
      <w:tr>
        <w:trPr>
          <w:cantSplit/>
        </w:trPr>
        <w:tc>
          <w:tcPr>
            <w:tcW w:w="2268" w:type="dxa"/>
          </w:tcPr>
          <w:p>
            <w:pPr>
              <w:pStyle w:val="nTable"/>
              <w:spacing w:before="50" w:after="50"/>
            </w:pPr>
            <w:r>
              <w:rPr>
                <w:i/>
              </w:rPr>
              <w:t>Health Legislation Amendment Act 2004</w:t>
            </w:r>
            <w:r>
              <w:t xml:space="preserve"> Pt. 5</w:t>
            </w:r>
            <w:r>
              <w:rPr>
                <w:vertAlign w:val="superscript"/>
              </w:rPr>
              <w:t> 4</w:t>
            </w:r>
          </w:p>
        </w:tc>
        <w:tc>
          <w:tcPr>
            <w:tcW w:w="1134" w:type="dxa"/>
          </w:tcPr>
          <w:p>
            <w:pPr>
              <w:pStyle w:val="nTable"/>
              <w:spacing w:before="50" w:after="50"/>
            </w:pPr>
            <w:r>
              <w:t>61 of 2004</w:t>
            </w:r>
          </w:p>
        </w:tc>
        <w:tc>
          <w:tcPr>
            <w:tcW w:w="1134" w:type="dxa"/>
          </w:tcPr>
          <w:p>
            <w:pPr>
              <w:pStyle w:val="nTable"/>
              <w:spacing w:before="50" w:after="50"/>
            </w:pPr>
            <w:r>
              <w:t>24 Nov 2004</w:t>
            </w:r>
          </w:p>
        </w:tc>
        <w:tc>
          <w:tcPr>
            <w:tcW w:w="2552" w:type="dxa"/>
          </w:tcPr>
          <w:p>
            <w:pPr>
              <w:pStyle w:val="nTable"/>
              <w:spacing w:before="50" w:after="50"/>
            </w:pPr>
            <w:r>
              <w:rPr>
                <w:spacing w:val="-2"/>
              </w:rPr>
              <w:t>24 Nov 2004 (see s. 2)</w:t>
            </w:r>
          </w:p>
        </w:tc>
      </w:tr>
      <w:tr>
        <w:trPr>
          <w:cantSplit/>
        </w:trPr>
        <w:tc>
          <w:tcPr>
            <w:tcW w:w="2268" w:type="dxa"/>
          </w:tcPr>
          <w:p>
            <w:pPr>
              <w:pStyle w:val="nTable"/>
              <w:spacing w:before="50" w:after="50"/>
              <w:rPr>
                <w:i/>
                <w:snapToGrid w:val="0"/>
              </w:rPr>
            </w:pPr>
            <w:r>
              <w:rPr>
                <w:i/>
                <w:snapToGrid w:val="0"/>
              </w:rPr>
              <w:t xml:space="preserve">Financial Legislation Amendment and Repeal Act 2006 </w:t>
            </w:r>
            <w:r>
              <w:rPr>
                <w:snapToGrid w:val="0"/>
              </w:rPr>
              <w:t>s. 4 and Sch. 1 cl. 141</w:t>
            </w:r>
          </w:p>
        </w:tc>
        <w:tc>
          <w:tcPr>
            <w:tcW w:w="1134" w:type="dxa"/>
          </w:tcPr>
          <w:p>
            <w:pPr>
              <w:pStyle w:val="nTable"/>
              <w:spacing w:before="50" w:after="50"/>
              <w:rPr>
                <w:snapToGrid w:val="0"/>
              </w:rPr>
            </w:pPr>
            <w:r>
              <w:rPr>
                <w:snapToGrid w:val="0"/>
              </w:rPr>
              <w:t xml:space="preserve">77 of 2006 </w:t>
            </w:r>
          </w:p>
        </w:tc>
        <w:tc>
          <w:tcPr>
            <w:tcW w:w="1134" w:type="dxa"/>
          </w:tcPr>
          <w:p>
            <w:pPr>
              <w:pStyle w:val="nTable"/>
              <w:spacing w:before="50" w:after="50"/>
            </w:pPr>
            <w:r>
              <w:rPr>
                <w:snapToGrid w:val="0"/>
              </w:rPr>
              <w:t>21 Dec 2006</w:t>
            </w:r>
          </w:p>
        </w:tc>
        <w:tc>
          <w:tcPr>
            <w:tcW w:w="2552" w:type="dxa"/>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50" w:after="50"/>
              <w:rPr>
                <w:i/>
                <w:snapToGrid w:val="0"/>
              </w:rPr>
            </w:pPr>
            <w:r>
              <w:rPr>
                <w:i/>
                <w:snapToGrid w:val="0"/>
              </w:rPr>
              <w:t>Medical Practitioners Act 2008</w:t>
            </w:r>
            <w:r>
              <w:t xml:space="preserve"> Sch. 3 cl. 50</w:t>
            </w:r>
          </w:p>
        </w:tc>
        <w:tc>
          <w:tcPr>
            <w:tcW w:w="1134" w:type="dxa"/>
          </w:tcPr>
          <w:p>
            <w:pPr>
              <w:pStyle w:val="nTable"/>
              <w:spacing w:before="50" w:after="50"/>
              <w:rPr>
                <w:snapToGrid w:val="0"/>
              </w:rPr>
            </w:pPr>
            <w:r>
              <w:t>22 of 2008</w:t>
            </w:r>
          </w:p>
        </w:tc>
        <w:tc>
          <w:tcPr>
            <w:tcW w:w="1134" w:type="dxa"/>
          </w:tcPr>
          <w:p>
            <w:pPr>
              <w:pStyle w:val="nTable"/>
              <w:spacing w:before="50" w:after="50"/>
              <w:rPr>
                <w:snapToGrid w:val="0"/>
              </w:rPr>
            </w:pPr>
            <w:r>
              <w:t>27 May 2008</w:t>
            </w:r>
          </w:p>
        </w:tc>
        <w:tc>
          <w:tcPr>
            <w:tcW w:w="2552" w:type="dxa"/>
          </w:tcPr>
          <w:p>
            <w:pPr>
              <w:pStyle w:val="nTable"/>
              <w:spacing w:before="50" w:after="5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50" w:after="50"/>
              <w:rPr>
                <w:snapToGrid w:val="0"/>
              </w:rPr>
            </w:pPr>
            <w:r>
              <w:rPr>
                <w:b/>
              </w:rPr>
              <w:t xml:space="preserve">Reprint 4: The </w:t>
            </w:r>
            <w:r>
              <w:rPr>
                <w:b/>
                <w:i/>
              </w:rPr>
              <w:t>Queen Elizabeth II Medical Centre Act 1966</w:t>
            </w:r>
            <w:r>
              <w:rPr>
                <w:b/>
              </w:rPr>
              <w:t xml:space="preserve"> as at 6 Feb 2009</w:t>
            </w:r>
            <w:r>
              <w:rPr>
                <w:b/>
              </w:rPr>
              <w:br/>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105</w:t>
            </w:r>
          </w:p>
        </w:tc>
        <w:tc>
          <w:tcPr>
            <w:tcW w:w="1134" w:type="dxa"/>
          </w:tcPr>
          <w:p>
            <w:pPr>
              <w:pStyle w:val="nTable"/>
              <w:spacing w:before="50" w:after="50"/>
            </w:pPr>
            <w:r>
              <w:t xml:space="preserve">8 of 2009 </w:t>
            </w:r>
          </w:p>
        </w:tc>
        <w:tc>
          <w:tcPr>
            <w:tcW w:w="1134" w:type="dxa"/>
          </w:tcPr>
          <w:p>
            <w:pPr>
              <w:pStyle w:val="nTable"/>
              <w:spacing w:before="50" w:after="50"/>
            </w:pPr>
            <w:r>
              <w:t>21 May 2009</w:t>
            </w:r>
          </w:p>
        </w:tc>
        <w:tc>
          <w:tcPr>
            <w:tcW w:w="2552"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27 and 51</w:t>
            </w:r>
          </w:p>
        </w:tc>
        <w:tc>
          <w:tcPr>
            <w:tcW w:w="1134" w:type="dxa"/>
          </w:tcPr>
          <w:p>
            <w:pPr>
              <w:pStyle w:val="nTable"/>
              <w:spacing w:before="50" w:after="50"/>
              <w:rPr>
                <w:snapToGrid w:val="0"/>
              </w:rPr>
            </w:pPr>
            <w:r>
              <w:rPr>
                <w:snapToGrid w:val="0"/>
              </w:rPr>
              <w:t>19 of 2010</w:t>
            </w:r>
          </w:p>
        </w:tc>
        <w:tc>
          <w:tcPr>
            <w:tcW w:w="1134" w:type="dxa"/>
          </w:tcPr>
          <w:p>
            <w:pPr>
              <w:pStyle w:val="nTable"/>
              <w:spacing w:before="50" w:after="50"/>
              <w:rPr>
                <w:snapToGrid w:val="0"/>
              </w:rPr>
            </w:pPr>
            <w:r>
              <w:rPr>
                <w:snapToGrid w:val="0"/>
              </w:rPr>
              <w:t>28 Jun 2010</w:t>
            </w:r>
          </w:p>
        </w:tc>
        <w:tc>
          <w:tcPr>
            <w:tcW w:w="2552"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rPr>
                <w:i/>
                <w:snapToGrid w:val="0"/>
              </w:rPr>
            </w:pPr>
            <w:r>
              <w:rPr>
                <w:i/>
                <w:snapToGrid w:val="0"/>
              </w:rPr>
              <w:t>Health Practitioner Regulation National Law (WA) Act 2010</w:t>
            </w:r>
            <w:r>
              <w:rPr>
                <w:iCs/>
                <w:snapToGrid w:val="0"/>
              </w:rPr>
              <w:t xml:space="preserve"> Pt. 5 Div. 43</w:t>
            </w:r>
          </w:p>
        </w:tc>
        <w:tc>
          <w:tcPr>
            <w:tcW w:w="1134" w:type="dxa"/>
          </w:tcPr>
          <w:p>
            <w:pPr>
              <w:pStyle w:val="nTable"/>
              <w:spacing w:before="50" w:after="50"/>
              <w:rPr>
                <w:snapToGrid w:val="0"/>
              </w:rPr>
            </w:pPr>
            <w:r>
              <w:rPr>
                <w:snapToGrid w:val="0"/>
              </w:rPr>
              <w:t>35 of 2010</w:t>
            </w:r>
          </w:p>
        </w:tc>
        <w:tc>
          <w:tcPr>
            <w:tcW w:w="1134" w:type="dxa"/>
          </w:tcPr>
          <w:p>
            <w:pPr>
              <w:pStyle w:val="nTable"/>
              <w:spacing w:before="50" w:after="50"/>
              <w:rPr>
                <w:snapToGrid w:val="0"/>
              </w:rPr>
            </w:pPr>
            <w:r>
              <w:rPr>
                <w:snapToGrid w:val="0"/>
              </w:rPr>
              <w:t>30 Aug 2010</w:t>
            </w:r>
          </w:p>
        </w:tc>
        <w:tc>
          <w:tcPr>
            <w:tcW w:w="2552" w:type="dxa"/>
          </w:tcPr>
          <w:p>
            <w:pPr>
              <w:pStyle w:val="nTable"/>
              <w:spacing w:before="50" w:after="5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before="50" w:after="50"/>
              <w:ind w:right="113"/>
              <w:rPr>
                <w:snapToGrid w:val="0"/>
              </w:rPr>
            </w:pPr>
            <w:r>
              <w:rPr>
                <w:i/>
                <w:snapToGrid w:val="0"/>
              </w:rPr>
              <w:t>Statutes (Repeals and Minor Amendments) Act 2011</w:t>
            </w:r>
            <w:r>
              <w:rPr>
                <w:snapToGrid w:val="0"/>
              </w:rPr>
              <w:t xml:space="preserve"> s. 27</w:t>
            </w:r>
          </w:p>
        </w:tc>
        <w:tc>
          <w:tcPr>
            <w:tcW w:w="1134" w:type="dxa"/>
          </w:tcPr>
          <w:p>
            <w:pPr>
              <w:pStyle w:val="nTable"/>
              <w:spacing w:before="50" w:after="50"/>
              <w:rPr>
                <w:snapToGrid w:val="0"/>
              </w:rPr>
            </w:pPr>
            <w:r>
              <w:rPr>
                <w:snapToGrid w:val="0"/>
              </w:rPr>
              <w:t>47 of 2011</w:t>
            </w:r>
          </w:p>
        </w:tc>
        <w:tc>
          <w:tcPr>
            <w:tcW w:w="1134" w:type="dxa"/>
          </w:tcPr>
          <w:p>
            <w:pPr>
              <w:pStyle w:val="nTable"/>
              <w:spacing w:before="50" w:after="50"/>
              <w:rPr>
                <w:snapToGrid w:val="0"/>
              </w:rPr>
            </w:pPr>
            <w:r>
              <w:rPr>
                <w:snapToGrid w:val="0"/>
              </w:rPr>
              <w:t>25 Oct 2011</w:t>
            </w:r>
          </w:p>
        </w:tc>
        <w:tc>
          <w:tcPr>
            <w:tcW w:w="2552"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Queen Elizabeth II Medical Centre Amendment Act 2013</w:t>
            </w:r>
          </w:p>
        </w:tc>
        <w:tc>
          <w:tcPr>
            <w:tcW w:w="1134" w:type="dxa"/>
            <w:shd w:val="clear" w:color="auto" w:fill="auto"/>
          </w:tcPr>
          <w:p>
            <w:pPr>
              <w:pStyle w:val="nTable"/>
              <w:spacing w:before="50" w:after="50"/>
              <w:rPr>
                <w:snapToGrid w:val="0"/>
              </w:rPr>
            </w:pPr>
            <w:r>
              <w:rPr>
                <w:snapToGrid w:val="0"/>
              </w:rPr>
              <w:t>6 of 2013</w:t>
            </w:r>
          </w:p>
        </w:tc>
        <w:tc>
          <w:tcPr>
            <w:tcW w:w="1134" w:type="dxa"/>
            <w:shd w:val="clear" w:color="auto" w:fill="auto"/>
          </w:tcPr>
          <w:p>
            <w:pPr>
              <w:pStyle w:val="nTable"/>
              <w:spacing w:before="50" w:after="50"/>
              <w:rPr>
                <w:snapToGrid w:val="0"/>
              </w:rPr>
            </w:pPr>
            <w:r>
              <w:rPr>
                <w:snapToGrid w:val="0"/>
              </w:rPr>
              <w:t>19 Aug 2013</w:t>
            </w:r>
          </w:p>
        </w:tc>
        <w:tc>
          <w:tcPr>
            <w:tcW w:w="2552" w:type="dxa"/>
            <w:shd w:val="clear" w:color="auto" w:fill="auto"/>
          </w:tcPr>
          <w:p>
            <w:pPr>
              <w:pStyle w:val="nTable"/>
              <w:spacing w:before="50" w:after="5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before="50" w:after="50"/>
              <w:rPr>
                <w:snapToGrid w:val="0"/>
              </w:rPr>
            </w:pPr>
            <w:r>
              <w:rPr>
                <w:b/>
              </w:rPr>
              <w:t xml:space="preserve">Reprint 5: The </w:t>
            </w:r>
            <w:r>
              <w:rPr>
                <w:b/>
                <w:i/>
              </w:rPr>
              <w:t>Queen Elizabeth II Medical Centre Act 1966</w:t>
            </w:r>
            <w:r>
              <w:rPr>
                <w:b/>
              </w:rPr>
              <w:t xml:space="preserve"> as at 13 Dec 2013</w:t>
            </w:r>
            <w:r>
              <w:rPr>
                <w:b/>
              </w:rPr>
              <w:br/>
            </w:r>
            <w:r>
              <w:t>(includes amendments listed above)</w:t>
            </w:r>
          </w:p>
        </w:tc>
      </w:tr>
      <w:tr>
        <w:trPr>
          <w:cantSplit/>
        </w:trPr>
        <w:tc>
          <w:tcPr>
            <w:tcW w:w="2268" w:type="dxa"/>
            <w:tcBorders>
              <w:bottom w:val="single" w:sz="4" w:space="0" w:color="auto"/>
            </w:tcBorders>
            <w:shd w:val="clear" w:color="auto" w:fill="auto"/>
          </w:tcPr>
          <w:p>
            <w:pPr>
              <w:pStyle w:val="nTable"/>
              <w:spacing w:before="50" w:after="50"/>
              <w:ind w:right="113"/>
              <w:rPr>
                <w:i/>
                <w:snapToGrid w:val="0"/>
              </w:rPr>
            </w:pPr>
            <w:r>
              <w:rPr>
                <w:i/>
                <w:snapToGrid w:val="0"/>
              </w:rPr>
              <w:t>Health Services Act 2016</w:t>
            </w:r>
            <w:r>
              <w:rPr>
                <w:snapToGrid w:val="0"/>
              </w:rPr>
              <w:t xml:space="preserve"> s. 301(1), (4) and (5)</w:t>
            </w:r>
          </w:p>
        </w:tc>
        <w:tc>
          <w:tcPr>
            <w:tcW w:w="1134" w:type="dxa"/>
            <w:tcBorders>
              <w:bottom w:val="single" w:sz="4" w:space="0" w:color="auto"/>
            </w:tcBorders>
            <w:shd w:val="clear" w:color="auto" w:fill="auto"/>
          </w:tcPr>
          <w:p>
            <w:pPr>
              <w:pStyle w:val="nTable"/>
              <w:spacing w:before="50" w:after="50"/>
              <w:rPr>
                <w:snapToGrid w:val="0"/>
              </w:rPr>
            </w:pPr>
            <w:r>
              <w:t>11 of 2016</w:t>
            </w:r>
          </w:p>
        </w:tc>
        <w:tc>
          <w:tcPr>
            <w:tcW w:w="1134" w:type="dxa"/>
            <w:tcBorders>
              <w:bottom w:val="single" w:sz="4" w:space="0" w:color="auto"/>
            </w:tcBorders>
            <w:shd w:val="clear" w:color="auto" w:fill="auto"/>
          </w:tcPr>
          <w:p>
            <w:pPr>
              <w:pStyle w:val="nTable"/>
              <w:spacing w:before="50" w:after="50"/>
              <w:rPr>
                <w:snapToGrid w:val="0"/>
              </w:rPr>
            </w:pPr>
            <w:r>
              <w:t>26 May 2016</w:t>
            </w:r>
          </w:p>
        </w:tc>
        <w:tc>
          <w:tcPr>
            <w:tcW w:w="2552" w:type="dxa"/>
            <w:tcBorders>
              <w:bottom w:val="single" w:sz="4" w:space="0" w:color="auto"/>
            </w:tcBorders>
            <w:shd w:val="clear" w:color="auto" w:fill="auto"/>
          </w:tcPr>
          <w:p>
            <w:pPr>
              <w:pStyle w:val="nTable"/>
              <w:spacing w:before="50" w:after="50"/>
              <w:rPr>
                <w:snapToGrid w:val="0"/>
              </w:rPr>
            </w:pPr>
            <w:r>
              <w:rPr>
                <w:snapToGrid w:val="0"/>
              </w:rPr>
              <w:t xml:space="preserve">s. 301(1), (4) and (5): 1 Jul 2016 (see s. 2(b) and </w:t>
            </w:r>
            <w:r>
              <w:rPr>
                <w:i/>
                <w:snapToGrid w:val="0"/>
              </w:rPr>
              <w:t>Gazette</w:t>
            </w:r>
            <w:r>
              <w:rPr>
                <w:snapToGrid w:val="0"/>
              </w:rPr>
              <w:t xml:space="preserve"> 24 Jun 2016 p. 2291)</w:t>
            </w:r>
          </w:p>
        </w:tc>
      </w:tr>
    </w:tbl>
    <w:p>
      <w:pPr>
        <w:pStyle w:val="nHeading3"/>
      </w:pPr>
      <w:bookmarkStart w:id="37" w:name="_Toc32420333"/>
      <w:r>
        <w:t>Uncommenced provisions table</w:t>
      </w:r>
      <w:bookmarkEnd w:id="37"/>
    </w:p>
    <w:p>
      <w:pPr>
        <w:pStyle w:val="nStatement"/>
        <w:keepNext/>
        <w:spacing w:after="240"/>
      </w:pPr>
      <w:r>
        <w:t xml:space="preserve">To view the text of the uncommenced provisions see </w:t>
      </w:r>
      <w:r>
        <w:rPr>
          <w:i/>
        </w:rPr>
        <w:t>Acts as passed</w:t>
      </w:r>
      <w:r>
        <w:t xml:space="preserve"> on the WA Legislation website.</w:t>
      </w:r>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301(2), (3), (6) and (7)</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Heading3"/>
      </w:pPr>
      <w:bookmarkStart w:id="38" w:name="_Toc32420334"/>
      <w:r>
        <w:t>Other notes</w:t>
      </w:r>
      <w:bookmarkEnd w:id="38"/>
    </w:p>
    <w:p>
      <w:pPr>
        <w:pStyle w:val="nNote"/>
        <w:keepNext/>
        <w:rPr>
          <w:snapToGrid w:val="0"/>
        </w:rPr>
      </w:pPr>
      <w:r>
        <w:rPr>
          <w:snapToGrid w:val="0"/>
          <w:vertAlign w:val="superscript"/>
        </w:rPr>
        <w:t>1</w:t>
      </w:r>
      <w:r>
        <w:rPr>
          <w:snapToGrid w:val="0"/>
        </w:rPr>
        <w:tab/>
        <w:t xml:space="preserve">The </w:t>
      </w:r>
      <w:r>
        <w:rPr>
          <w:i/>
        </w:rPr>
        <w:t>Queen Elizabeth II Medical Centre Amendment Act 1985</w:t>
      </w:r>
      <w:r>
        <w:rPr>
          <w:iCs/>
          <w:snapToGrid w:val="0"/>
        </w:rPr>
        <w:t xml:space="preserve"> s. 9 reads as follows:</w:t>
      </w:r>
    </w:p>
    <w:p>
      <w:pPr>
        <w:pStyle w:val="BlankOpen"/>
      </w:pP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p>
    <w:p>
      <w:pPr>
        <w:pStyle w:val="nNote"/>
        <w:rPr>
          <w:snapToGrid w:val="0"/>
        </w:rPr>
      </w:pPr>
      <w:r>
        <w:rPr>
          <w:snapToGrid w:val="0"/>
          <w:vertAlign w:val="superscript"/>
        </w:rPr>
        <w:t>2</w:t>
      </w:r>
      <w:r>
        <w:rPr>
          <w:snapToGrid w:val="0"/>
        </w:rPr>
        <w:tab/>
        <w:t xml:space="preserve">Repealed by the </w:t>
      </w:r>
      <w:r>
        <w:rPr>
          <w:i/>
          <w:snapToGrid w:val="0"/>
        </w:rPr>
        <w:t>Cancer Council of Western Australia Act Repeal Act 1982</w:t>
      </w:r>
      <w:r>
        <w:rPr>
          <w:snapToGrid w:val="0"/>
        </w:rPr>
        <w:t>.</w:t>
      </w:r>
    </w:p>
    <w:p>
      <w:pPr>
        <w:pStyle w:val="nNote"/>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Note"/>
      </w:pPr>
      <w:r>
        <w:rPr>
          <w:vertAlign w:val="superscript"/>
        </w:rPr>
        <w:t>4</w:t>
      </w:r>
      <w:r>
        <w:tab/>
        <w:t xml:space="preserve">The </w:t>
      </w:r>
      <w:r>
        <w:rPr>
          <w:i/>
        </w:rPr>
        <w:t>Health Legislation Amendment Act 2004</w:t>
      </w:r>
      <w:r>
        <w:t xml:space="preserve"> s. 18 reads as follows:</w:t>
      </w:r>
    </w:p>
    <w:p>
      <w:pPr>
        <w:pStyle w:val="BlankOpen"/>
        <w:rPr>
          <w:rStyle w:val="CharSectno"/>
          <w:sz w:val="18"/>
        </w:rPr>
      </w:pPr>
    </w:p>
    <w:p>
      <w:pPr>
        <w:pStyle w:val="nzHeading5"/>
      </w:pPr>
      <w:r>
        <w:rPr>
          <w:rStyle w:val="CharSectno"/>
        </w:rPr>
        <w:t>18</w:t>
      </w:r>
      <w:r>
        <w:t>.</w:t>
      </w:r>
      <w:r>
        <w:tab/>
        <w:t>Validation</w:t>
      </w:r>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17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0" w:name="_Toc32420303"/>
      <w:bookmarkStart w:id="41" w:name="_Toc32420335"/>
      <w:r>
        <w:rPr>
          <w:sz w:val="28"/>
        </w:rPr>
        <w:t>Defined terms</w:t>
      </w:r>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delegate</w:t>
      </w:r>
      <w:r>
        <w:tab/>
        <w:t>13(2a)</w:t>
      </w:r>
    </w:p>
    <w:p>
      <w:pPr>
        <w:pStyle w:val="DefinedTerms"/>
      </w:pPr>
      <w:r>
        <w:t>former delegate</w:t>
      </w:r>
      <w:r>
        <w:tab/>
        <w:t>13(2l)</w:t>
      </w:r>
    </w:p>
    <w:p>
      <w:pPr>
        <w:pStyle w:val="DefinedTerms"/>
      </w:pPr>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reserve</w:t>
      </w:r>
      <w:r>
        <w:tab/>
        <w:t>3(1)</w:t>
      </w:r>
    </w:p>
    <w:p>
      <w:pPr>
        <w:pStyle w:val="DefinedTerms"/>
      </w:pPr>
      <w:r>
        <w:t>Schedule</w:t>
      </w:r>
      <w:r>
        <w:tab/>
        <w:t>3(1)</w:t>
      </w:r>
    </w:p>
    <w:p>
      <w:pPr>
        <w:pStyle w:val="DefinedTerms"/>
      </w:pPr>
      <w:r>
        <w:t>Senate</w:t>
      </w:r>
      <w:r>
        <w:tab/>
        <w:t>3(1)</w:t>
      </w:r>
    </w:p>
    <w:p>
      <w:pPr>
        <w:pStyle w:val="DefinedTerms"/>
      </w:pPr>
      <w:r>
        <w:t>site</w:t>
      </w:r>
      <w:r>
        <w:tab/>
        <w:t>13(2a)</w:t>
      </w:r>
    </w:p>
    <w:p>
      <w:pPr>
        <w:pStyle w:val="DefinedTerms"/>
      </w:pPr>
      <w:r>
        <w:t>specified</w:t>
      </w:r>
      <w:r>
        <w:tab/>
        <w:t>20(1b)</w:t>
      </w:r>
    </w:p>
    <w:p>
      <w:pPr>
        <w:pStyle w:val="DefinedTerms"/>
      </w:pPr>
      <w:r>
        <w:t>teaching hospital</w:t>
      </w:r>
      <w:r>
        <w:tab/>
        <w:t>16(8)</w:t>
      </w:r>
    </w:p>
    <w:p>
      <w:pPr>
        <w:pStyle w:val="DefinedTerms"/>
      </w:pPr>
      <w:r>
        <w:t>Trust</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E4E3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71552"/>
    <w:docVar w:name="WAFER_20140115162230" w:val="RemoveTocBookmarks,RemoveUnusedBookmarks,RemoveLanguageTags,UsedStyles,ResetPageSize,UpdateArrangement"/>
    <w:docVar w:name="WAFER_20140115162230_GUID" w:val="7899459b-7d6e-4b5a-a993-0b9169acca6e"/>
    <w:docVar w:name="WAFER_20140115162605" w:val="RemoveTocBookmarks,RunningHeaders"/>
    <w:docVar w:name="WAFER_20140115162605_GUID" w:val="73efa033-52bf-4fdb-ab16-4822b6f639fa"/>
    <w:docVar w:name="WAFER_20150710113907" w:val="ResetPageSize,UpdateArrangement,UpdateNTable"/>
    <w:docVar w:name="WAFER_20150710113907_GUID" w:val="4ef52172-2125-408a-a8e7-f4dc79c1eae9"/>
    <w:docVar w:name="WAFER_20151111162230" w:val="UpdateStyles,UsedStyles"/>
    <w:docVar w:name="WAFER_20151111162230_GUID" w:val="546f7323-f5a6-4ece-a519-43c33c2ca704"/>
    <w:docVar w:name="WAFER_20200212171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552_GUID" w:val="100a7e91-44f6-4f28-a867-0d90713bf0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7925</Words>
  <Characters>36777</Characters>
  <Application>Microsoft Office Word</Application>
  <DocSecurity>0</DocSecurity>
  <Lines>1050</Lines>
  <Paragraphs>551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1966 - 05-c0-03</dc:title>
  <dc:subject/>
  <dc:creator/>
  <cp:keywords/>
  <dc:description/>
  <cp:lastModifiedBy>svcMRProcess</cp:lastModifiedBy>
  <cp:revision>4</cp:revision>
  <cp:lastPrinted>2013-12-18T23:50:00Z</cp:lastPrinted>
  <dcterms:created xsi:type="dcterms:W3CDTF">2020-02-25T03:37:00Z</dcterms:created>
  <dcterms:modified xsi:type="dcterms:W3CDTF">2020-02-25T03:37:00Z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DocumentType">
    <vt:lpwstr>Act</vt:lpwstr>
  </property>
  <property fmtid="{D5CDD505-2E9C-101B-9397-08002B2CF9AE}" pid="4" name="OwlsUID">
    <vt:i4>650</vt:i4>
  </property>
  <property fmtid="{D5CDD505-2E9C-101B-9397-08002B2CF9AE}" pid="5" name="ReprintNo">
    <vt:lpwstr>5</vt:lpwstr>
  </property>
  <property fmtid="{D5CDD505-2E9C-101B-9397-08002B2CF9AE}" pid="6" name="ReprintedAsAt">
    <vt:filetime>2013-12-12T16:00:00Z</vt:filetime>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05-c0-03</vt:lpwstr>
  </property>
</Properties>
</file>