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_Toc452541220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_Toc452541221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_Toc452541222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_Toc452541225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_Toc452541226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_Toc452541227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_Toc452541228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_Toc452541229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_Toc452541230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_Toc452541231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_Toc452541232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_Toc452541234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_Toc452541235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_Toc452541236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_Toc452541237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_Toc452541238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_Toc452541239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_Toc452541241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_Toc452541242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_Toc452541243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_Toc452541244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_Toc452541245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_Toc452541246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_Toc452541247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_Toc452541248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_Toc452541249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_Toc452541250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_Toc452541251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_Toc452541253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_Toc452541254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_Toc452541255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_Toc452541256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_Toc452541258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_Toc452541259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_Toc452541260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_Toc452541261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_Toc452541262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_Toc452541263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_Toc452541277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_Toc452541278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50306259"/>
      <w:bookmarkStart w:id="4" w:name="_Toc450311552"/>
      <w:bookmarkStart w:id="5" w:name="_Toc45254121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by No. 19 of 2010 s. 43(2).]</w:t>
      </w:r>
    </w:p>
    <w:p>
      <w:pPr>
        <w:pStyle w:val="Heading5"/>
        <w:spacing w:before="240"/>
        <w:rPr>
          <w:snapToGrid w:val="0"/>
        </w:rPr>
      </w:pPr>
      <w:bookmarkStart w:id="6" w:name="_Toc45254122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452541221"/>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452541222"/>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450306263"/>
      <w:bookmarkStart w:id="10" w:name="_Toc450311556"/>
      <w:bookmarkStart w:id="11" w:name="_Toc452541223"/>
      <w:r>
        <w:rPr>
          <w:rStyle w:val="CharPartNo"/>
        </w:rPr>
        <w:t>Part I</w:t>
      </w:r>
      <w:r>
        <w:t> — </w:t>
      </w:r>
      <w:r>
        <w:rPr>
          <w:rStyle w:val="CharPartText"/>
        </w:rPr>
        <w:t>Legislature</w:t>
      </w:r>
      <w:bookmarkEnd w:id="9"/>
      <w:bookmarkEnd w:id="10"/>
      <w:bookmarkEnd w:id="11"/>
    </w:p>
    <w:p>
      <w:pPr>
        <w:pStyle w:val="Heading3"/>
      </w:pPr>
      <w:bookmarkStart w:id="12" w:name="_Toc450306264"/>
      <w:bookmarkStart w:id="13" w:name="_Toc450311557"/>
      <w:bookmarkStart w:id="14" w:name="_Toc452541224"/>
      <w:r>
        <w:rPr>
          <w:rStyle w:val="CharDivNo"/>
        </w:rPr>
        <w:t>Division 1</w:t>
      </w:r>
      <w:r>
        <w:t> — </w:t>
      </w:r>
      <w:r>
        <w:rPr>
          <w:rStyle w:val="CharDivText"/>
        </w:rPr>
        <w:t>Legislative Council</w:t>
      </w:r>
      <w:bookmarkEnd w:id="12"/>
      <w:bookmarkEnd w:id="13"/>
      <w:bookmarkEnd w:id="14"/>
    </w:p>
    <w:p>
      <w:pPr>
        <w:pStyle w:val="Footnoteheading"/>
      </w:pPr>
      <w:r>
        <w:tab/>
        <w:t>[Heading inserted by No. 19 of 2010 s. 44(2).]</w:t>
      </w:r>
    </w:p>
    <w:p>
      <w:pPr>
        <w:pStyle w:val="Heading5"/>
        <w:rPr>
          <w:snapToGrid w:val="0"/>
        </w:rPr>
      </w:pPr>
      <w:bookmarkStart w:id="15" w:name="_Toc452541225"/>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6" w:name="_Toc452541226"/>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452541227"/>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8" w:name="_Toc452541228"/>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9" w:name="_Toc452541229"/>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0" w:name="_Toc452541230"/>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1" w:name="_Toc452541231"/>
      <w:r>
        <w:rPr>
          <w:rStyle w:val="CharSectno"/>
        </w:rPr>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452541232"/>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3" w:name="_Toc450306273"/>
      <w:bookmarkStart w:id="24" w:name="_Toc450311566"/>
      <w:bookmarkStart w:id="25" w:name="_Toc452541233"/>
      <w:r>
        <w:rPr>
          <w:rStyle w:val="CharDivNo"/>
        </w:rPr>
        <w:t>Division 2</w:t>
      </w:r>
      <w:r>
        <w:t> — </w:t>
      </w:r>
      <w:r>
        <w:rPr>
          <w:rStyle w:val="CharDivText"/>
        </w:rPr>
        <w:t>Legislative Assembly</w:t>
      </w:r>
      <w:bookmarkEnd w:id="23"/>
      <w:bookmarkEnd w:id="24"/>
      <w:bookmarkEnd w:id="25"/>
    </w:p>
    <w:p>
      <w:pPr>
        <w:pStyle w:val="Footnoteheading"/>
        <w:spacing w:before="140"/>
      </w:pPr>
      <w:r>
        <w:tab/>
        <w:t>[Heading inserted by No. 19 of 2010 s. 44(2).]</w:t>
      </w:r>
    </w:p>
    <w:p>
      <w:pPr>
        <w:pStyle w:val="Heading5"/>
        <w:keepNext w:val="0"/>
        <w:keepLines w:val="0"/>
        <w:spacing w:before="240"/>
      </w:pPr>
      <w:bookmarkStart w:id="26" w:name="_Toc452541234"/>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7" w:name="_Toc452541235"/>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8" w:name="_Toc452541236"/>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452541237"/>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452541238"/>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452541239"/>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2" w:name="_Toc450306280"/>
      <w:bookmarkStart w:id="33" w:name="_Toc450311573"/>
      <w:bookmarkStart w:id="34" w:name="_Toc452541240"/>
      <w:r>
        <w:rPr>
          <w:rStyle w:val="CharDivNo"/>
        </w:rPr>
        <w:t>Division 3</w:t>
      </w:r>
      <w:r>
        <w:t> — </w:t>
      </w:r>
      <w:r>
        <w:rPr>
          <w:rStyle w:val="CharDivText"/>
        </w:rPr>
        <w:t>General</w:t>
      </w:r>
      <w:bookmarkEnd w:id="32"/>
      <w:bookmarkEnd w:id="33"/>
      <w:bookmarkEnd w:id="3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5" w:name="_Toc452541241"/>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6" w:name="_Toc452541242"/>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7" w:name="_Toc452541243"/>
      <w:r>
        <w:rPr>
          <w:rStyle w:val="CharSectno"/>
        </w:rPr>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8" w:name="_Toc452541244"/>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9" w:name="_Toc452541245"/>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0" w:name="_Toc452541246"/>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1" w:name="_Toc452541247"/>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2" w:name="_Toc452541248"/>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3" w:name="_Toc452541249"/>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4" w:name="_Toc452541250"/>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5" w:name="_Toc452541251"/>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6" w:name="_Toc450306292"/>
      <w:bookmarkStart w:id="47" w:name="_Toc450311585"/>
      <w:bookmarkStart w:id="48" w:name="_Toc452541252"/>
      <w:r>
        <w:rPr>
          <w:rStyle w:val="CharPartNo"/>
        </w:rPr>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452541253"/>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0" w:name="_Toc452541254"/>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452541255"/>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2" w:name="_Toc452541256"/>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3" w:name="_Toc450306297"/>
      <w:bookmarkStart w:id="54" w:name="_Toc450311590"/>
      <w:bookmarkStart w:id="55" w:name="_Toc452541257"/>
      <w:r>
        <w:rPr>
          <w:rStyle w:val="CharPartNo"/>
        </w:rPr>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452541258"/>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7" w:name="_Toc452541259"/>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452541260"/>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452541261"/>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0" w:name="_Toc452541262"/>
      <w:r>
        <w:rPr>
          <w:rStyle w:val="CharSectno"/>
        </w:rPr>
        <w:t>51</w:t>
      </w:r>
      <w:r>
        <w:rPr>
          <w:snapToGrid w:val="0"/>
        </w:rPr>
        <w:t>.</w:t>
      </w:r>
      <w:r>
        <w:rPr>
          <w:snapToGrid w:val="0"/>
        </w:rPr>
        <w:tab/>
        <w:t>No action to lie against officials of either House</w:t>
      </w:r>
      <w:bookmarkEnd w:id="6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1" w:name="_Toc452541263"/>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2" w:name="_Toc450306304"/>
      <w:bookmarkStart w:id="63" w:name="_Toc450311597"/>
      <w:bookmarkStart w:id="64" w:name="_Toc452541264"/>
      <w:r>
        <w:rPr>
          <w:rStyle w:val="CharSchNo"/>
        </w:rPr>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5" w:name="_Toc450306305"/>
      <w:bookmarkStart w:id="66" w:name="_Toc450311598"/>
      <w:bookmarkStart w:id="67" w:name="_Toc452541265"/>
      <w:r>
        <w:rPr>
          <w:rStyle w:val="CharSchNo"/>
        </w:rPr>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68" w:name="_Toc450306306"/>
      <w:bookmarkStart w:id="69" w:name="_Toc450311599"/>
      <w:bookmarkStart w:id="70" w:name="_Toc452541266"/>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by No. 19 of 2010 s. 14(3).]</w:t>
      </w:r>
    </w:p>
    <w:p>
      <w:pPr>
        <w:pStyle w:val="yHeading4"/>
        <w:spacing w:before="260"/>
        <w:rPr>
          <w:rFonts w:eastAsia="MS Mincho"/>
        </w:rPr>
      </w:pPr>
      <w:bookmarkStart w:id="71" w:name="_Toc450306307"/>
      <w:bookmarkStart w:id="72" w:name="_Toc450311600"/>
      <w:bookmarkStart w:id="73" w:name="_Toc452541267"/>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74" w:name="_Toc450306308"/>
      <w:bookmarkStart w:id="75" w:name="_Toc450311601"/>
      <w:bookmarkStart w:id="76" w:name="_Toc452541268"/>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77" w:name="_Toc450306309"/>
      <w:bookmarkStart w:id="78" w:name="_Toc450311602"/>
      <w:bookmarkStart w:id="79" w:name="_Toc452541269"/>
      <w:r>
        <w:rPr>
          <w:rStyle w:val="CharSDivNo"/>
          <w:rFonts w:eastAsia="MS Mincho"/>
        </w:rPr>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pPr>
      <w:r>
        <w:tab/>
        <w:t>[Heading inserted by No. 19 of 2010 s. 14(5).]</w:t>
      </w:r>
    </w:p>
    <w:p>
      <w:pPr>
        <w:pStyle w:val="yHeading4"/>
        <w:spacing w:before="260"/>
        <w:rPr>
          <w:rFonts w:eastAsia="MS Mincho"/>
        </w:rPr>
      </w:pPr>
      <w:bookmarkStart w:id="80" w:name="_Toc450306310"/>
      <w:bookmarkStart w:id="81" w:name="_Toc450311603"/>
      <w:bookmarkStart w:id="82" w:name="_Toc452541270"/>
      <w:r>
        <w:rPr>
          <w:rFonts w:eastAsia="MS Mincho"/>
        </w:rPr>
        <w:t>Division 1</w:t>
      </w:r>
      <w:r>
        <w:rPr>
          <w:rFonts w:eastAsia="MS Mincho"/>
          <w:b w:val="0"/>
        </w:rPr>
        <w:t> — </w:t>
      </w:r>
      <w:r>
        <w:rPr>
          <w:rFonts w:eastAsia="MS Mincho"/>
        </w:rPr>
        <w:t>Tribunal and board offices</w:t>
      </w:r>
      <w:bookmarkEnd w:id="80"/>
      <w:bookmarkEnd w:id="81"/>
      <w:bookmarkEnd w:id="8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83" w:name="_Toc450306311"/>
      <w:bookmarkStart w:id="84" w:name="_Toc450311604"/>
      <w:bookmarkStart w:id="85" w:name="_Toc452541271"/>
      <w:r>
        <w:rPr>
          <w:rFonts w:eastAsia="MS Mincho"/>
        </w:rPr>
        <w:t>Division 2</w:t>
      </w:r>
      <w:r>
        <w:rPr>
          <w:rFonts w:eastAsia="MS Mincho"/>
          <w:b w:val="0"/>
        </w:rPr>
        <w:t> — </w:t>
      </w:r>
      <w:r>
        <w:rPr>
          <w:rFonts w:eastAsia="MS Mincho"/>
        </w:rPr>
        <w:t>Other offices or places</w:t>
      </w:r>
      <w:bookmarkEnd w:id="83"/>
      <w:bookmarkEnd w:id="84"/>
      <w:bookmarkEnd w:id="8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86" w:name="_Toc450306312"/>
      <w:bookmarkStart w:id="87" w:name="_Toc450311605"/>
      <w:bookmarkStart w:id="88" w:name="_Toc452541272"/>
      <w:r>
        <w:rPr>
          <w:rStyle w:val="CharSDivNo"/>
          <w:rFonts w:eastAsia="MS Mincho"/>
        </w:rPr>
        <w:t>Part 3</w:t>
      </w:r>
      <w:r>
        <w:rPr>
          <w:rFonts w:eastAsia="MS Mincho"/>
          <w:b w:val="0"/>
        </w:rPr>
        <w:t> — </w:t>
      </w:r>
      <w:r>
        <w:rPr>
          <w:rStyle w:val="CharSDivText"/>
          <w:rFonts w:eastAsia="MS Mincho"/>
        </w:rPr>
        <w:t>Bodies membership of which is vacated on election</w:t>
      </w:r>
      <w:bookmarkEnd w:id="86"/>
      <w:bookmarkEnd w:id="87"/>
      <w:bookmarkEnd w:id="8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11 of 2016 s. 288</w:t>
      </w:r>
      <w:r>
        <w:t>.]</w:t>
      </w:r>
    </w:p>
    <w:p>
      <w:pPr>
        <w:pStyle w:val="yScheduleHeading"/>
      </w:pPr>
      <w:bookmarkStart w:id="89" w:name="_Toc450306313"/>
      <w:bookmarkStart w:id="90" w:name="_Toc450311606"/>
      <w:bookmarkStart w:id="91" w:name="_Toc452541273"/>
      <w:r>
        <w:rPr>
          <w:rStyle w:val="CharSchNo"/>
        </w:rPr>
        <w:t>Schedule VI</w:t>
      </w:r>
      <w:r>
        <w:t> — </w:t>
      </w:r>
      <w:r>
        <w:rPr>
          <w:rStyle w:val="CharSchText"/>
        </w:rPr>
        <w:t>Oaths and affirmations of office</w:t>
      </w:r>
      <w:bookmarkEnd w:id="89"/>
      <w:bookmarkEnd w:id="90"/>
      <w:bookmarkEnd w:id="91"/>
    </w:p>
    <w:p>
      <w:pPr>
        <w:pStyle w:val="yShoulderClause"/>
      </w:pPr>
      <w:r>
        <w:t>[s. 43(4), 44A(6) &amp; 45]</w:t>
      </w:r>
    </w:p>
    <w:p>
      <w:pPr>
        <w:pStyle w:val="yFootnoteheading"/>
      </w:pPr>
      <w:r>
        <w:tab/>
        <w:t>[Heading inserted by No. 24 of 2005 s. 12.]</w:t>
      </w:r>
    </w:p>
    <w:p>
      <w:pPr>
        <w:pStyle w:val="yHeading3"/>
      </w:pPr>
      <w:bookmarkStart w:id="92" w:name="_Toc450306314"/>
      <w:bookmarkStart w:id="93" w:name="_Toc450311607"/>
      <w:bookmarkStart w:id="94" w:name="_Toc452541274"/>
      <w:r>
        <w:rPr>
          <w:rStyle w:val="CharSDivNo"/>
        </w:rPr>
        <w:t>Division 1</w:t>
      </w:r>
      <w:r>
        <w:rPr>
          <w:b w:val="0"/>
        </w:rPr>
        <w:t> — </w:t>
      </w:r>
      <w:r>
        <w:rPr>
          <w:rStyle w:val="CharSDivText"/>
        </w:rPr>
        <w:t>Holders of principal executive offices and for Parliamentary Secretaries</w:t>
      </w:r>
      <w:bookmarkEnd w:id="92"/>
      <w:bookmarkEnd w:id="93"/>
      <w:bookmarkEnd w:id="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5" w:name="_Toc450306315"/>
      <w:bookmarkStart w:id="96" w:name="_Toc450311608"/>
      <w:bookmarkStart w:id="97" w:name="_Toc452541275"/>
      <w:r>
        <w:rPr>
          <w:rStyle w:val="CharSDivNo"/>
        </w:rPr>
        <w:t>Division 2</w:t>
      </w:r>
      <w:r>
        <w:t> — </w:t>
      </w:r>
      <w:r>
        <w:rPr>
          <w:rStyle w:val="CharSDivText"/>
        </w:rPr>
        <w:t>Members of the Executive Council</w:t>
      </w:r>
      <w:bookmarkEnd w:id="95"/>
      <w:bookmarkEnd w:id="96"/>
      <w:bookmarkEnd w:id="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98" w:name="_Toc450306316"/>
      <w:bookmarkStart w:id="99" w:name="_Toc450311609"/>
      <w:bookmarkStart w:id="100" w:name="_Toc452541276"/>
      <w:r>
        <w:t>Notes</w:t>
      </w:r>
      <w:bookmarkEnd w:id="98"/>
      <w:bookmarkEnd w:id="99"/>
      <w:bookmarkEnd w:id="10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01" w:name="_Toc452541277"/>
      <w:r>
        <w:t>Compilation table</w:t>
      </w:r>
      <w:bookmarkEnd w:id="10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 w:name="_Toc452541278"/>
      <w:r>
        <w:t>Provisions that have not come into operation</w:t>
      </w:r>
      <w:bookmarkEnd w:id="102"/>
    </w:p>
    <w:tbl>
      <w:tblPr>
        <w:tblW w:w="7161" w:type="dxa"/>
        <w:tblInd w:w="56" w:type="dxa"/>
        <w:tblLayout w:type="fixed"/>
        <w:tblCellMar>
          <w:left w:w="56" w:type="dxa"/>
          <w:right w:w="56" w:type="dxa"/>
        </w:tblCellMar>
        <w:tblLook w:val="0000" w:firstRow="0" w:lastRow="0" w:firstColumn="0" w:lastColumn="0" w:noHBand="0" w:noVBand="0"/>
      </w:tblPr>
      <w:tblGrid>
        <w:gridCol w:w="2278"/>
        <w:gridCol w:w="1129"/>
        <w:gridCol w:w="10"/>
        <w:gridCol w:w="1124"/>
        <w:gridCol w:w="14"/>
        <w:gridCol w:w="2584"/>
        <w:gridCol w:w="22"/>
      </w:tblGrid>
      <w:tr>
        <w:trPr>
          <w:cantSplit/>
          <w:tblHeader/>
        </w:trPr>
        <w:tc>
          <w:tcPr>
            <w:tcW w:w="227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9"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8"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606"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7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9" w:type="dxa"/>
            <w:gridSpan w:val="2"/>
            <w:tcBorders>
              <w:top w:val="single" w:sz="4" w:space="0" w:color="auto"/>
            </w:tcBorders>
          </w:tcPr>
          <w:p>
            <w:pPr>
              <w:pStyle w:val="nTable"/>
              <w:spacing w:after="40"/>
              <w:rPr>
                <w:szCs w:val="19"/>
              </w:rPr>
            </w:pPr>
            <w:r>
              <w:rPr>
                <w:szCs w:val="19"/>
              </w:rPr>
              <w:t>60 of 1999</w:t>
            </w:r>
          </w:p>
        </w:tc>
        <w:tc>
          <w:tcPr>
            <w:tcW w:w="1138" w:type="dxa"/>
            <w:gridSpan w:val="2"/>
            <w:tcBorders>
              <w:top w:val="single" w:sz="4" w:space="0" w:color="auto"/>
            </w:tcBorders>
          </w:tcPr>
          <w:p>
            <w:pPr>
              <w:pStyle w:val="nTable"/>
              <w:spacing w:after="40"/>
              <w:rPr>
                <w:szCs w:val="19"/>
              </w:rPr>
            </w:pPr>
            <w:r>
              <w:rPr>
                <w:szCs w:val="19"/>
              </w:rPr>
              <w:t>10 Jan 2000</w:t>
            </w:r>
          </w:p>
        </w:tc>
        <w:tc>
          <w:tcPr>
            <w:tcW w:w="2606" w:type="dxa"/>
            <w:gridSpan w:val="2"/>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7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gridSpan w:val="2"/>
          </w:tcPr>
          <w:p>
            <w:pPr>
              <w:pStyle w:val="nTable"/>
              <w:spacing w:after="40"/>
              <w:rPr>
                <w:szCs w:val="19"/>
              </w:rPr>
            </w:pPr>
            <w:r>
              <w:rPr>
                <w:szCs w:val="19"/>
              </w:rPr>
              <w:t>13 of 2014</w:t>
            </w:r>
          </w:p>
        </w:tc>
        <w:tc>
          <w:tcPr>
            <w:tcW w:w="1138" w:type="dxa"/>
            <w:gridSpan w:val="2"/>
          </w:tcPr>
          <w:p>
            <w:pPr>
              <w:pStyle w:val="nTable"/>
              <w:spacing w:after="40"/>
              <w:rPr>
                <w:szCs w:val="19"/>
              </w:rPr>
            </w:pPr>
            <w:r>
              <w:rPr>
                <w:szCs w:val="19"/>
              </w:rPr>
              <w:t>2 Jul 2014</w:t>
            </w:r>
          </w:p>
        </w:tc>
        <w:tc>
          <w:tcPr>
            <w:tcW w:w="2606" w:type="dxa"/>
            <w:gridSpan w:val="2"/>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rPr>
          <w:gridAfter w:val="1"/>
          <w:wAfter w:w="22" w:type="dxa"/>
        </w:trPr>
        <w:tc>
          <w:tcPr>
            <w:tcW w:w="2278" w:type="dxa"/>
            <w:tcBorders>
              <w:top w:val="nil"/>
              <w:bottom w:val="nil"/>
            </w:tcBorders>
          </w:tcPr>
          <w:p>
            <w:pPr>
              <w:pStyle w:val="nTable"/>
              <w:spacing w:after="40"/>
              <w:rPr>
                <w:szCs w:val="19"/>
                <w:vertAlign w:val="superscript"/>
              </w:rPr>
            </w:pPr>
            <w:r>
              <w:rPr>
                <w:i/>
                <w:noProof/>
                <w:szCs w:val="19"/>
              </w:rPr>
              <w:t xml:space="preserve">Western Australian Health Promotion Foundation Act 2016 </w:t>
            </w:r>
            <w:r>
              <w:rPr>
                <w:noProof/>
                <w:szCs w:val="19"/>
              </w:rPr>
              <w:t xml:space="preserve">Pt. 8 Div. 1 </w:t>
            </w:r>
            <w:r>
              <w:rPr>
                <w:noProof/>
                <w:szCs w:val="19"/>
                <w:vertAlign w:val="superscript"/>
              </w:rPr>
              <w:t>58</w:t>
            </w:r>
          </w:p>
        </w:tc>
        <w:tc>
          <w:tcPr>
            <w:tcW w:w="1139" w:type="dxa"/>
            <w:gridSpan w:val="2"/>
            <w:tcBorders>
              <w:top w:val="nil"/>
              <w:bottom w:val="nil"/>
            </w:tcBorders>
          </w:tcPr>
          <w:p>
            <w:pPr>
              <w:pStyle w:val="nTable"/>
              <w:spacing w:after="40"/>
              <w:rPr>
                <w:szCs w:val="19"/>
              </w:rPr>
            </w:pPr>
            <w:r>
              <w:rPr>
                <w:szCs w:val="19"/>
              </w:rPr>
              <w:t>3 of 2016</w:t>
            </w:r>
          </w:p>
        </w:tc>
        <w:tc>
          <w:tcPr>
            <w:tcW w:w="1138" w:type="dxa"/>
            <w:gridSpan w:val="2"/>
            <w:tcBorders>
              <w:top w:val="nil"/>
              <w:bottom w:val="nil"/>
            </w:tcBorders>
          </w:tcPr>
          <w:p>
            <w:pPr>
              <w:pStyle w:val="nTable"/>
              <w:spacing w:after="40"/>
              <w:rPr>
                <w:szCs w:val="19"/>
              </w:rPr>
            </w:pPr>
            <w:r>
              <w:rPr>
                <w:szCs w:val="19"/>
              </w:rPr>
              <w:t>21 Mar 2016</w:t>
            </w:r>
          </w:p>
        </w:tc>
        <w:tc>
          <w:tcPr>
            <w:tcW w:w="2584" w:type="dxa"/>
            <w:tcBorders>
              <w:top w:val="nil"/>
              <w:bottom w:val="nil"/>
            </w:tcBorders>
          </w:tcPr>
          <w:p>
            <w:pPr>
              <w:pStyle w:val="nTable"/>
              <w:spacing w:after="40"/>
              <w:rPr>
                <w:szCs w:val="19"/>
              </w:rPr>
            </w:pPr>
            <w:r>
              <w:t xml:space="preserve">1 Sep 2016 (see s. 2(b) and </w:t>
            </w:r>
            <w:r>
              <w:rPr>
                <w:i/>
              </w:rPr>
              <w:t>Gazette</w:t>
            </w:r>
            <w:r>
              <w:t xml:space="preserve"> 26 Jul 2016 p. 3145)</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single" w:sz="4" w:space="0" w:color="auto"/>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29" w:type="dxa"/>
            <w:tcBorders>
              <w:top w:val="nil"/>
              <w:bottom w:val="single" w:sz="4" w:space="0" w:color="auto"/>
            </w:tcBorders>
          </w:tcPr>
          <w:p>
            <w:pPr>
              <w:pStyle w:val="nTable"/>
              <w:spacing w:after="40"/>
              <w:rPr>
                <w:szCs w:val="19"/>
              </w:rPr>
            </w:pPr>
            <w:r>
              <w:rPr>
                <w:szCs w:val="19"/>
              </w:rPr>
              <w:t>19 of 2016</w:t>
            </w:r>
          </w:p>
        </w:tc>
        <w:tc>
          <w:tcPr>
            <w:tcW w:w="1134" w:type="dxa"/>
            <w:gridSpan w:val="2"/>
            <w:tcBorders>
              <w:top w:val="nil"/>
              <w:bottom w:val="single" w:sz="4" w:space="0" w:color="auto"/>
            </w:tcBorders>
          </w:tcPr>
          <w:p>
            <w:pPr>
              <w:pStyle w:val="nTable"/>
              <w:spacing w:after="40"/>
              <w:rPr>
                <w:szCs w:val="19"/>
              </w:rPr>
            </w:pPr>
            <w:r>
              <w:rPr>
                <w:szCs w:val="19"/>
              </w:rPr>
              <w:t>25 Jul 2016</w:t>
            </w:r>
          </w:p>
        </w:tc>
        <w:tc>
          <w:tcPr>
            <w:tcW w:w="2620" w:type="dxa"/>
            <w:gridSpan w:val="3"/>
            <w:tcBorders>
              <w:top w:val="nil"/>
              <w:bottom w:val="single" w:sz="4" w:space="0" w:color="auto"/>
            </w:tcBorders>
          </w:tcPr>
          <w:p>
            <w:pPr>
              <w:pStyle w:val="nTable"/>
              <w:spacing w:after="40"/>
              <w:rPr>
                <w:snapToGrid w:val="0"/>
                <w:szCs w:val="19"/>
              </w:rPr>
            </w:pPr>
            <w:r>
              <w:rPr>
                <w:snapToGrid w:val="0"/>
                <w:szCs w:val="19"/>
              </w:rPr>
              <w:t>To be proclaimed (see s. 2(1)(c))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w:t>
      </w:r>
      <w:r>
        <w:rPr>
          <w:snapToGrid w:val="0"/>
        </w:rPr>
        <w:tab/>
      </w:r>
      <w:r>
        <w:t>Footnote</w:t>
      </w:r>
      <w:r>
        <w:rPr>
          <w:snapToGrid w:val="0"/>
        </w:rPr>
        <w:t xml:space="preserve"> no longer applicable.</w:t>
      </w:r>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103" w:name="_Toc403555103"/>
      <w:bookmarkStart w:id="104" w:name="_Toc403555597"/>
      <w:bookmarkStart w:id="105" w:name="_Toc403557229"/>
      <w:bookmarkStart w:id="106" w:name="_Toc403557723"/>
      <w:bookmarkStart w:id="107" w:name="_Toc403559951"/>
      <w:bookmarkStart w:id="108" w:name="_Toc404175115"/>
      <w:bookmarkStart w:id="109" w:name="_Toc404179420"/>
      <w:bookmarkStart w:id="110" w:name="_Toc404181430"/>
      <w:bookmarkStart w:id="111" w:name="_Toc404253698"/>
      <w:bookmarkStart w:id="112" w:name="_Toc436300702"/>
      <w:bookmarkStart w:id="113" w:name="_Toc436303685"/>
      <w:bookmarkStart w:id="114" w:name="_Toc436304181"/>
      <w:bookmarkStart w:id="115" w:name="_Toc436661057"/>
      <w:bookmarkStart w:id="116" w:name="_Toc455465868"/>
      <w:bookmarkStart w:id="117" w:name="_Toc455475126"/>
      <w:bookmarkStart w:id="118" w:name="_Toc455475608"/>
      <w:bookmarkStart w:id="119" w:name="_Toc455749690"/>
      <w:bookmarkStart w:id="120" w:name="_Toc456087351"/>
      <w:bookmarkStart w:id="121" w:name="_Toc457226561"/>
      <w:r>
        <w:rPr>
          <w:rStyle w:val="CharPartNo"/>
        </w:rPr>
        <w:t>Part 3</w:t>
      </w:r>
      <w:r>
        <w:t> — </w:t>
      </w:r>
      <w:r>
        <w:rPr>
          <w:rStyle w:val="CharPartText"/>
        </w:rPr>
        <w:t>Amendments to other Acts and repeals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zHeading3"/>
      </w:pPr>
      <w:bookmarkStart w:id="122" w:name="_Toc403555125"/>
      <w:bookmarkStart w:id="123" w:name="_Toc403555619"/>
      <w:bookmarkStart w:id="124" w:name="_Toc403557251"/>
      <w:bookmarkStart w:id="125" w:name="_Toc403557745"/>
      <w:bookmarkStart w:id="126" w:name="_Toc403559973"/>
      <w:bookmarkStart w:id="127" w:name="_Toc404175137"/>
      <w:bookmarkStart w:id="128" w:name="_Toc404179442"/>
      <w:bookmarkStart w:id="129" w:name="_Toc404181452"/>
      <w:bookmarkStart w:id="130" w:name="_Toc404253720"/>
      <w:bookmarkStart w:id="131" w:name="_Toc436300724"/>
      <w:bookmarkStart w:id="132" w:name="_Toc436303707"/>
      <w:bookmarkStart w:id="133" w:name="_Toc436304203"/>
      <w:bookmarkStart w:id="134" w:name="_Toc436661079"/>
      <w:bookmarkStart w:id="135" w:name="_Toc455465890"/>
      <w:bookmarkStart w:id="136" w:name="_Toc455475152"/>
      <w:bookmarkStart w:id="137" w:name="_Toc455475634"/>
      <w:bookmarkStart w:id="138" w:name="_Toc455749716"/>
      <w:bookmarkStart w:id="139" w:name="_Toc456087377"/>
      <w:bookmarkStart w:id="140" w:name="_Toc457226587"/>
      <w:r>
        <w:rPr>
          <w:rStyle w:val="CharDivNo"/>
        </w:rPr>
        <w:t>Division 8</w:t>
      </w:r>
      <w:r>
        <w:t> — </w:t>
      </w:r>
      <w:r>
        <w:rPr>
          <w:rStyle w:val="CharDivText"/>
          <w:i/>
        </w:rPr>
        <w:t>Constitution Acts Amendment Act 1899</w:t>
      </w:r>
      <w:r>
        <w:rPr>
          <w:rStyle w:val="CharDivText"/>
        </w:rPr>
        <w:t xml:space="preserve"> amended</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nzHeading5"/>
      </w:pPr>
      <w:bookmarkStart w:id="141" w:name="_Toc456087378"/>
      <w:bookmarkStart w:id="142" w:name="_Toc457226588"/>
      <w:r>
        <w:rPr>
          <w:rStyle w:val="CharSectno"/>
        </w:rPr>
        <w:t>119</w:t>
      </w:r>
      <w:r>
        <w:t>.</w:t>
      </w:r>
      <w:r>
        <w:tab/>
      </w:r>
      <w:r>
        <w:rPr>
          <w:iCs/>
        </w:rPr>
        <w:t>Act amended</w:t>
      </w:r>
      <w:bookmarkEnd w:id="141"/>
      <w:bookmarkEnd w:id="142"/>
    </w:p>
    <w:p>
      <w:pPr>
        <w:pStyle w:val="nzSubsection"/>
      </w:pPr>
      <w:r>
        <w:tab/>
      </w:r>
      <w:r>
        <w:tab/>
        <w:t xml:space="preserve">This Division amends the </w:t>
      </w:r>
      <w:r>
        <w:rPr>
          <w:i/>
        </w:rPr>
        <w:t>Constitution Acts Amendment Act 1899</w:t>
      </w:r>
      <w:r>
        <w:rPr>
          <w:iCs/>
        </w:rPr>
        <w:t>.</w:t>
      </w:r>
    </w:p>
    <w:p>
      <w:pPr>
        <w:pStyle w:val="nzHeading5"/>
      </w:pPr>
      <w:bookmarkStart w:id="143" w:name="_Toc456087379"/>
      <w:bookmarkStart w:id="144" w:name="_Toc457226589"/>
      <w:r>
        <w:rPr>
          <w:rStyle w:val="CharSectno"/>
        </w:rPr>
        <w:t>120</w:t>
      </w:r>
      <w:r>
        <w:t>.</w:t>
      </w:r>
      <w:r>
        <w:tab/>
        <w:t>Schedule V amended</w:t>
      </w:r>
      <w:bookmarkEnd w:id="143"/>
      <w:bookmarkEnd w:id="144"/>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FE549-38BC-4634-AAD7-60312FC5C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22400</Words>
  <Characters>101029</Characters>
  <Application>Microsoft Office Word</Application>
  <DocSecurity>0</DocSecurity>
  <Lines>3741</Lines>
  <Paragraphs>2285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1899 - 20-h0-00</dc:title>
  <dc:subject/>
  <dc:creator/>
  <cp:keywords/>
  <dc:description/>
  <cp:lastModifiedBy>svcMRProcess</cp:lastModifiedBy>
  <cp:revision>4</cp:revision>
  <cp:lastPrinted>2015-12-01T08:17:00Z</cp:lastPrinted>
  <dcterms:created xsi:type="dcterms:W3CDTF">2018-08-28T00:57:00Z</dcterms:created>
  <dcterms:modified xsi:type="dcterms:W3CDTF">2018-08-28T00:57:00Z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25 Jul 2016</vt:lpwstr>
  </property>
  <property fmtid="{D5CDD505-2E9C-101B-9397-08002B2CF9AE}" pid="9" name="Suffix">
    <vt:lpwstr>20-h0-00</vt:lpwstr>
  </property>
  <property fmtid="{D5CDD505-2E9C-101B-9397-08002B2CF9AE}" pid="10" name="CommencementDate">
    <vt:lpwstr>20160725</vt:lpwstr>
  </property>
</Properties>
</file>