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_Toc472002811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_Toc472002812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_Toc472002813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Area</w:t>
      </w:r>
    </w:p>
    <w:p>
      <w:pPr>
        <w:pStyle w:val="TOC8"/>
        <w:rPr>
          <w:rFonts w:asciiTheme="minorHAnsi" w:eastAsiaTheme="minorEastAsia" w:hAnsiTheme="minorHAnsi" w:cstheme="minorBidi"/>
          <w:szCs w:val="22"/>
        </w:rPr>
      </w:pPr>
      <w:r>
        <w:t>6</w:t>
      </w:r>
      <w:r>
        <w:rPr>
          <w:snapToGrid w:val="0"/>
        </w:rPr>
        <w:t>.</w:t>
      </w:r>
      <w:r>
        <w:rPr>
          <w:snapToGrid w:val="0"/>
        </w:rPr>
        <w:tab/>
        <w:t>Constitution of Area</w:t>
      </w:r>
      <w:r>
        <w:tab/>
      </w:r>
      <w:r>
        <w:fldChar w:fldCharType="begin"/>
      </w:r>
      <w:r>
        <w:instrText xml:space="preserve"> PAGEREF _Toc472002815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Altering or extending boundaries of Area</w:t>
      </w:r>
      <w:r>
        <w:tab/>
      </w:r>
      <w:r>
        <w:fldChar w:fldCharType="begin"/>
      </w:r>
      <w:r>
        <w:instrText xml:space="preserve"> PAGEREF _Toc472002816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Water reserves</w:t>
      </w:r>
    </w:p>
    <w:p>
      <w:pPr>
        <w:pStyle w:val="TOC8"/>
        <w:rPr>
          <w:rFonts w:asciiTheme="minorHAnsi" w:eastAsiaTheme="minorEastAsia" w:hAnsiTheme="minorHAnsi" w:cstheme="minorBidi"/>
          <w:szCs w:val="22"/>
        </w:rPr>
      </w:pPr>
      <w:r>
        <w:t>13</w:t>
      </w:r>
      <w:r>
        <w:rPr>
          <w:snapToGrid w:val="0"/>
        </w:rPr>
        <w:t>.</w:t>
      </w:r>
      <w:r>
        <w:rPr>
          <w:snapToGrid w:val="0"/>
        </w:rPr>
        <w:tab/>
        <w:t>Water reserves and catchment areas</w:t>
      </w:r>
      <w:r>
        <w:tab/>
      </w:r>
      <w:r>
        <w:fldChar w:fldCharType="begin"/>
      </w:r>
      <w:r>
        <w:instrText xml:space="preserve"> PAGEREF _Toc472002818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Water services licensees’ power to take water</w:t>
      </w:r>
      <w:r>
        <w:tab/>
      </w:r>
      <w:r>
        <w:fldChar w:fldCharType="begin"/>
      </w:r>
      <w:r>
        <w:instrText xml:space="preserve"> PAGEREF _Toc472002819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power to take land</w:t>
      </w:r>
      <w:r>
        <w:tab/>
      </w:r>
      <w:r>
        <w:fldChar w:fldCharType="begin"/>
      </w:r>
      <w:r>
        <w:instrText xml:space="preserve"> PAGEREF _Toc472002820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Unauthorised taking of water, offence</w:t>
      </w:r>
      <w:r>
        <w:tab/>
      </w:r>
      <w:r>
        <w:fldChar w:fldCharType="begin"/>
      </w:r>
      <w:r>
        <w:instrText xml:space="preserve"> PAGEREF _Toc472002821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Pollution of water, Minister’s powers to prevent</w:t>
      </w:r>
      <w:r>
        <w:tab/>
      </w:r>
      <w:r>
        <w:fldChar w:fldCharType="begin"/>
      </w:r>
      <w:r>
        <w:instrText xml:space="preserve"> PAGEREF _Toc472002822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The protection of underground water</w:t>
      </w:r>
    </w:p>
    <w:p>
      <w:pPr>
        <w:pStyle w:val="TOC8"/>
        <w:rPr>
          <w:rFonts w:asciiTheme="minorHAnsi" w:eastAsiaTheme="minorEastAsia" w:hAnsiTheme="minorHAnsi" w:cstheme="minorBidi"/>
          <w:szCs w:val="22"/>
        </w:rPr>
      </w:pPr>
      <w:r>
        <w:t>57A</w:t>
      </w:r>
      <w:r>
        <w:rPr>
          <w:snapToGrid w:val="0"/>
        </w:rPr>
        <w:t>.</w:t>
      </w:r>
      <w:r>
        <w:rPr>
          <w:snapToGrid w:val="0"/>
        </w:rPr>
        <w:tab/>
        <w:t>Underground Water Pollution Control Areas</w:t>
      </w:r>
      <w:r>
        <w:tab/>
      </w:r>
      <w:r>
        <w:fldChar w:fldCharType="begin"/>
      </w:r>
      <w:r>
        <w:instrText xml:space="preserve"> PAGEREF _Toc472002824 \h </w:instrText>
      </w:r>
      <w:r>
        <w:fldChar w:fldCharType="separate"/>
      </w:r>
      <w:r>
        <w:t>11</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By</w:t>
      </w:r>
      <w:r>
        <w:rPr>
          <w:snapToGrid w:val="0"/>
        </w:rPr>
        <w:noBreakHyphen/>
        <w:t>laws for pollution areas</w:t>
      </w:r>
      <w:r>
        <w:tab/>
      </w:r>
      <w:r>
        <w:fldChar w:fldCharType="begin"/>
      </w:r>
      <w:r>
        <w:instrText xml:space="preserve"> PAGEREF _Toc472002825 \h </w:instrText>
      </w:r>
      <w:r>
        <w:fldChar w:fldCharType="separate"/>
      </w:r>
      <w:r>
        <w:t>11</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Dispensation from by</w:t>
      </w:r>
      <w:r>
        <w:rPr>
          <w:snapToGrid w:val="0"/>
        </w:rPr>
        <w:noBreakHyphen/>
        <w:t>laws: grant by Minister</w:t>
      </w:r>
      <w:r>
        <w:tab/>
      </w:r>
      <w:r>
        <w:fldChar w:fldCharType="begin"/>
      </w:r>
      <w:r>
        <w:instrText xml:space="preserve"> PAGEREF _Toc472002826 \h </w:instrText>
      </w:r>
      <w:r>
        <w:fldChar w:fldCharType="separate"/>
      </w:r>
      <w:r>
        <w:t>12</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Dispensation from by-laws: review by SAT</w:t>
      </w:r>
      <w:r>
        <w:tab/>
      </w:r>
      <w:r>
        <w:fldChar w:fldCharType="begin"/>
      </w:r>
      <w:r>
        <w:instrText xml:space="preserve"> PAGEREF _Toc472002827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XI — By</w:t>
      </w:r>
      <w:r>
        <w:noBreakHyphen/>
        <w:t>laws</w:t>
      </w:r>
    </w:p>
    <w:p>
      <w:pPr>
        <w:pStyle w:val="TOC8"/>
        <w:rPr>
          <w:rFonts w:asciiTheme="minorHAnsi" w:eastAsiaTheme="minorEastAsia" w:hAnsiTheme="minorHAnsi" w:cstheme="minorBidi"/>
          <w:szCs w:val="22"/>
        </w:rPr>
      </w:pPr>
      <w:r>
        <w:t>146</w:t>
      </w:r>
      <w:r>
        <w:rPr>
          <w:snapToGrid w:val="0"/>
        </w:rPr>
        <w:t>.</w:t>
      </w:r>
      <w:r>
        <w:rPr>
          <w:snapToGrid w:val="0"/>
        </w:rPr>
        <w:tab/>
        <w:t>Minister may make by</w:t>
      </w:r>
      <w:r>
        <w:rPr>
          <w:snapToGrid w:val="0"/>
        </w:rPr>
        <w:noBreakHyphen/>
        <w:t>laws</w:t>
      </w:r>
      <w:r>
        <w:tab/>
      </w:r>
      <w:r>
        <w:fldChar w:fldCharType="begin"/>
      </w:r>
      <w:r>
        <w:instrText xml:space="preserve"> PAGEREF _Toc472002829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XII — General provisions</w:t>
      </w:r>
    </w:p>
    <w:p>
      <w:pPr>
        <w:pStyle w:val="TOC8"/>
        <w:rPr>
          <w:rFonts w:asciiTheme="minorHAnsi" w:eastAsiaTheme="minorEastAsia" w:hAnsiTheme="minorHAnsi" w:cstheme="minorBidi"/>
          <w:szCs w:val="22"/>
        </w:rPr>
      </w:pPr>
      <w:r>
        <w:t>149</w:t>
      </w:r>
      <w:r>
        <w:rPr>
          <w:snapToGrid w:val="0"/>
        </w:rPr>
        <w:t>.</w:t>
      </w:r>
      <w:r>
        <w:rPr>
          <w:snapToGrid w:val="0"/>
        </w:rPr>
        <w:tab/>
        <w:t>Notices and demands, form of</w:t>
      </w:r>
      <w:r>
        <w:tab/>
      </w:r>
      <w:r>
        <w:fldChar w:fldCharType="begin"/>
      </w:r>
      <w:r>
        <w:instrText xml:space="preserve"> PAGEREF _Toc472002831 \h </w:instrText>
      </w:r>
      <w:r>
        <w:fldChar w:fldCharType="separate"/>
      </w:r>
      <w:r>
        <w:t>16</w:t>
      </w:r>
      <w:r>
        <w:fldChar w:fldCharType="end"/>
      </w:r>
    </w:p>
    <w:p>
      <w:pPr>
        <w:pStyle w:val="TOC8"/>
        <w:rPr>
          <w:rFonts w:asciiTheme="minorHAnsi" w:eastAsiaTheme="minorEastAsia" w:hAnsiTheme="minorHAnsi" w:cstheme="minorBidi"/>
          <w:szCs w:val="22"/>
        </w:rPr>
      </w:pPr>
      <w:r>
        <w:t>152A.</w:t>
      </w:r>
      <w:r>
        <w:tab/>
        <w:t>Limitation period for prosecutions</w:t>
      </w:r>
      <w:r>
        <w:tab/>
      </w:r>
      <w:r>
        <w:fldChar w:fldCharType="begin"/>
      </w:r>
      <w:r>
        <w:instrText xml:space="preserve"> PAGEREF _Toc472002832 \h </w:instrText>
      </w:r>
      <w:r>
        <w:fldChar w:fldCharType="separate"/>
      </w:r>
      <w:r>
        <w:t>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Civil remedies not affected by convictions or proceedings</w:t>
      </w:r>
      <w:r>
        <w:tab/>
      </w:r>
      <w:r>
        <w:fldChar w:fldCharType="begin"/>
      </w:r>
      <w:r>
        <w:instrText xml:space="preserve"> PAGEREF _Toc472002833 \h </w:instrText>
      </w:r>
      <w:r>
        <w:fldChar w:fldCharType="separate"/>
      </w:r>
      <w:r>
        <w:t>16</w:t>
      </w:r>
      <w:r>
        <w:fldChar w:fldCharType="end"/>
      </w:r>
    </w:p>
    <w:p>
      <w:pPr>
        <w:pStyle w:val="TOC8"/>
        <w:rPr>
          <w:rFonts w:asciiTheme="minorHAnsi" w:eastAsiaTheme="minorEastAsia" w:hAnsiTheme="minorHAnsi" w:cstheme="minorBidi"/>
          <w:szCs w:val="22"/>
        </w:rPr>
      </w:pPr>
      <w:r>
        <w:t>156.</w:t>
      </w:r>
      <w:r>
        <w:tab/>
        <w:t>Obstructing Minister, officers or authorised persons in performance of duty</w:t>
      </w:r>
      <w:r>
        <w:tab/>
      </w:r>
      <w:r>
        <w:fldChar w:fldCharType="begin"/>
      </w:r>
      <w:r>
        <w:instrText xml:space="preserve"> PAGEREF _Toc472002834 \h </w:instrText>
      </w:r>
      <w:r>
        <w:fldChar w:fldCharType="separate"/>
      </w:r>
      <w:r>
        <w:t>16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Refusing to give up possession of certain property, offence</w:t>
      </w:r>
      <w:r>
        <w:tab/>
      </w:r>
      <w:r>
        <w:fldChar w:fldCharType="begin"/>
      </w:r>
      <w:r>
        <w:instrText xml:space="preserve"> PAGEREF _Toc472002835 \h </w:instrText>
      </w:r>
      <w:r>
        <w:fldChar w:fldCharType="separate"/>
      </w:r>
      <w:r>
        <w:t>17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Arrest powers</w:t>
      </w:r>
      <w:r>
        <w:tab/>
      </w:r>
      <w:r>
        <w:fldChar w:fldCharType="begin"/>
      </w:r>
      <w:r>
        <w:instrText xml:space="preserve"> PAGEREF _Toc472002836 \h </w:instrText>
      </w:r>
      <w:r>
        <w:fldChar w:fldCharType="separate"/>
      </w:r>
      <w:r>
        <w:t>17</w:t>
      </w:r>
      <w:r>
        <w:fldChar w:fldCharType="end"/>
      </w:r>
    </w:p>
    <w:p>
      <w:pPr>
        <w:pStyle w:val="TOC8"/>
        <w:rPr>
          <w:rFonts w:asciiTheme="minorHAnsi" w:eastAsiaTheme="minorEastAsia" w:hAnsiTheme="minorHAnsi" w:cstheme="minorBidi"/>
          <w:szCs w:val="22"/>
        </w:rPr>
      </w:pPr>
      <w:r>
        <w:t>158A</w:t>
      </w:r>
      <w:r>
        <w:rPr>
          <w:snapToGrid w:val="0"/>
        </w:rPr>
        <w:t>.</w:t>
      </w:r>
      <w:r>
        <w:rPr>
          <w:snapToGrid w:val="0"/>
        </w:rPr>
        <w:tab/>
        <w:t>General penalty</w:t>
      </w:r>
      <w:r>
        <w:tab/>
      </w:r>
      <w:r>
        <w:fldChar w:fldCharType="begin"/>
      </w:r>
      <w:r>
        <w:instrText xml:space="preserve"> PAGEREF _Toc472002837 \h </w:instrText>
      </w:r>
      <w:r>
        <w:fldChar w:fldCharType="separate"/>
      </w:r>
      <w:r>
        <w:t>17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Prosecutions</w:t>
      </w:r>
      <w:r>
        <w:tab/>
      </w:r>
      <w:r>
        <w:fldChar w:fldCharType="begin"/>
      </w:r>
      <w:r>
        <w:instrText xml:space="preserve"> PAGEREF _Toc472002838 \h </w:instrText>
      </w:r>
      <w:r>
        <w:fldChar w:fldCharType="separate"/>
      </w:r>
      <w:r>
        <w:t>18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Proof of ownership or occupancy</w:t>
      </w:r>
      <w:r>
        <w:tab/>
      </w:r>
      <w:r>
        <w:fldChar w:fldCharType="begin"/>
      </w:r>
      <w:r>
        <w:instrText xml:space="preserve"> PAGEREF _Toc472002839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_Toc472002841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_Toc472002842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NoteHeading"/>
        <w:sectPr>
          <w:headerReference w:type="even" r:id="rId22"/>
          <w:headerReference w:type="default" r:id="rId23"/>
          <w:pgSz w:w="11907" w:h="16840" w:code="9"/>
          <w:pgMar w:top="2376" w:right="2404" w:bottom="3544" w:left="2404" w:header="720" w:footer="3379" w:gutter="0"/>
          <w:cols w:space="720"/>
          <w:noEndnote/>
          <w:docGrid w:linePitch="326"/>
        </w:sectPr>
      </w:pPr>
    </w:p>
    <w:p>
      <w:pPr>
        <w:pStyle w:val="Heading2"/>
      </w:pPr>
      <w:bookmarkStart w:id="3" w:name="_Toc471907302"/>
      <w:bookmarkStart w:id="4" w:name="_Toc472002810"/>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200281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6" w:name="_Toc47200281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7" w:name="_Toc472002813"/>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8" w:name="_Toc471907306"/>
      <w:bookmarkStart w:id="9" w:name="_Toc472002814"/>
      <w:r>
        <w:rPr>
          <w:rStyle w:val="CharPartNo"/>
        </w:rPr>
        <w:t>Part II</w:t>
      </w:r>
      <w:r>
        <w:rPr>
          <w:rStyle w:val="CharDivNo"/>
        </w:rPr>
        <w:t> </w:t>
      </w:r>
      <w:r>
        <w:t>—</w:t>
      </w:r>
      <w:r>
        <w:rPr>
          <w:rStyle w:val="CharDivText"/>
        </w:rPr>
        <w:t> </w:t>
      </w:r>
      <w:r>
        <w:rPr>
          <w:rStyle w:val="CharPartText"/>
        </w:rPr>
        <w:t>The Area</w:t>
      </w:r>
      <w:bookmarkEnd w:id="8"/>
      <w:bookmarkEnd w:id="9"/>
    </w:p>
    <w:p>
      <w:pPr>
        <w:pStyle w:val="Footnoteheading"/>
        <w:rPr>
          <w:snapToGrid w:val="0"/>
        </w:rPr>
      </w:pPr>
      <w:r>
        <w:rPr>
          <w:snapToGrid w:val="0"/>
        </w:rPr>
        <w:tab/>
        <w:t>[Heading amended by No. 14 of 1967 s. 6.]</w:t>
      </w:r>
    </w:p>
    <w:p>
      <w:pPr>
        <w:pStyle w:val="Heading5"/>
        <w:rPr>
          <w:snapToGrid w:val="0"/>
        </w:rPr>
      </w:pPr>
      <w:bookmarkStart w:id="10" w:name="_Toc472002815"/>
      <w:r>
        <w:rPr>
          <w:rStyle w:val="CharSectno"/>
        </w:rPr>
        <w:t>6</w:t>
      </w:r>
      <w:r>
        <w:rPr>
          <w:snapToGrid w:val="0"/>
        </w:rPr>
        <w:t>.</w:t>
      </w:r>
      <w:r>
        <w:rPr>
          <w:snapToGrid w:val="0"/>
        </w:rPr>
        <w:tab/>
        <w:t>Constitution of Area</w:t>
      </w:r>
      <w:bookmarkEnd w:id="1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1" w:name="_Toc472002816"/>
      <w:r>
        <w:rPr>
          <w:rStyle w:val="CharSectno"/>
        </w:rPr>
        <w:t>7</w:t>
      </w:r>
      <w:r>
        <w:rPr>
          <w:snapToGrid w:val="0"/>
        </w:rPr>
        <w:t>.</w:t>
      </w:r>
      <w:r>
        <w:rPr>
          <w:snapToGrid w:val="0"/>
        </w:rPr>
        <w:tab/>
        <w:t>Altering or extending boundaries of Area</w:t>
      </w:r>
      <w:bookmarkEnd w:id="1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12" w:name="_Toc471907309"/>
      <w:bookmarkStart w:id="13" w:name="_Toc472002817"/>
      <w:r>
        <w:rPr>
          <w:rStyle w:val="CharPartNo"/>
        </w:rPr>
        <w:t>Part IV</w:t>
      </w:r>
      <w:r>
        <w:rPr>
          <w:rStyle w:val="CharDivNo"/>
        </w:rPr>
        <w:t> </w:t>
      </w:r>
      <w:r>
        <w:t>—</w:t>
      </w:r>
      <w:r>
        <w:rPr>
          <w:rStyle w:val="CharDivText"/>
        </w:rPr>
        <w:t> </w:t>
      </w:r>
      <w:r>
        <w:rPr>
          <w:rStyle w:val="CharPartText"/>
        </w:rPr>
        <w:t>Water reserves</w:t>
      </w:r>
      <w:bookmarkEnd w:id="12"/>
      <w:bookmarkEnd w:id="13"/>
    </w:p>
    <w:p>
      <w:pPr>
        <w:pStyle w:val="Heading5"/>
        <w:rPr>
          <w:snapToGrid w:val="0"/>
        </w:rPr>
      </w:pPr>
      <w:bookmarkStart w:id="14" w:name="_Toc472002818"/>
      <w:r>
        <w:rPr>
          <w:rStyle w:val="CharSectno"/>
        </w:rPr>
        <w:t>13</w:t>
      </w:r>
      <w:r>
        <w:rPr>
          <w:snapToGrid w:val="0"/>
        </w:rPr>
        <w:t>.</w:t>
      </w:r>
      <w:r>
        <w:rPr>
          <w:snapToGrid w:val="0"/>
        </w:rPr>
        <w:tab/>
        <w:t>Water reserves and catchment areas</w:t>
      </w:r>
      <w:bookmarkEnd w:id="14"/>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5" w:name="_Toc472002819"/>
      <w:r>
        <w:rPr>
          <w:rStyle w:val="CharSectno"/>
        </w:rPr>
        <w:t>14</w:t>
      </w:r>
      <w:r>
        <w:rPr>
          <w:snapToGrid w:val="0"/>
        </w:rPr>
        <w:t>.</w:t>
      </w:r>
      <w:r>
        <w:rPr>
          <w:snapToGrid w:val="0"/>
        </w:rPr>
        <w:tab/>
        <w:t>Water services licensees’ power to take water</w:t>
      </w:r>
      <w:bookmarkEnd w:id="15"/>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16" w:name="_Toc472002820"/>
      <w:r>
        <w:rPr>
          <w:rStyle w:val="CharSectno"/>
        </w:rPr>
        <w:t>15</w:t>
      </w:r>
      <w:r>
        <w:rPr>
          <w:snapToGrid w:val="0"/>
        </w:rPr>
        <w:t>.</w:t>
      </w:r>
      <w:r>
        <w:rPr>
          <w:snapToGrid w:val="0"/>
        </w:rPr>
        <w:tab/>
        <w:t>Minister’s power to take land</w:t>
      </w:r>
      <w:bookmarkEnd w:id="16"/>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17" w:name="_Toc472002821"/>
      <w:r>
        <w:rPr>
          <w:rStyle w:val="CharSectno"/>
        </w:rPr>
        <w:t>16</w:t>
      </w:r>
      <w:r>
        <w:rPr>
          <w:snapToGrid w:val="0"/>
        </w:rPr>
        <w:t>.</w:t>
      </w:r>
      <w:r>
        <w:rPr>
          <w:snapToGrid w:val="0"/>
        </w:rPr>
        <w:tab/>
        <w:t>Unauthorised taking of water, offence</w:t>
      </w:r>
      <w:bookmarkEnd w:id="17"/>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 by No. 83 of 1976 s. 4; amended by No. 25 of 1985 s. 57; No. 73 of 1995 s. 98 and 108; No. 38 of 2007 s. 35.]</w:t>
      </w:r>
    </w:p>
    <w:p>
      <w:pPr>
        <w:pStyle w:val="Heading5"/>
        <w:pageBreakBefore/>
        <w:spacing w:before="0"/>
        <w:rPr>
          <w:snapToGrid w:val="0"/>
        </w:rPr>
      </w:pPr>
      <w:bookmarkStart w:id="18" w:name="_Toc472002822"/>
      <w:r>
        <w:rPr>
          <w:rStyle w:val="CharSectno"/>
        </w:rPr>
        <w:t>17</w:t>
      </w:r>
      <w:r>
        <w:rPr>
          <w:snapToGrid w:val="0"/>
        </w:rPr>
        <w:t>.</w:t>
      </w:r>
      <w:r>
        <w:rPr>
          <w:snapToGrid w:val="0"/>
        </w:rPr>
        <w:tab/>
        <w:t>Pollution of water, Minister’s powers to prevent</w:t>
      </w:r>
      <w:bookmarkEnd w:id="18"/>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19" w:name="_Toc471907315"/>
      <w:bookmarkStart w:id="20" w:name="_Toc472002823"/>
      <w:r>
        <w:rPr>
          <w:rStyle w:val="CharPartNo"/>
        </w:rPr>
        <w:t>Part VI</w:t>
      </w:r>
      <w:r>
        <w:rPr>
          <w:b w:val="0"/>
        </w:rPr>
        <w:t> </w:t>
      </w:r>
      <w:r>
        <w:t>—</w:t>
      </w:r>
      <w:r>
        <w:rPr>
          <w:b w:val="0"/>
        </w:rPr>
        <w:t> </w:t>
      </w:r>
      <w:r>
        <w:rPr>
          <w:rStyle w:val="CharPartText"/>
        </w:rPr>
        <w:t>The protection of underground water</w:t>
      </w:r>
      <w:bookmarkEnd w:id="19"/>
      <w:bookmarkEnd w:id="20"/>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21" w:name="_Toc472002824"/>
      <w:r>
        <w:rPr>
          <w:rStyle w:val="CharSectno"/>
        </w:rPr>
        <w:t>57A</w:t>
      </w:r>
      <w:r>
        <w:rPr>
          <w:snapToGrid w:val="0"/>
        </w:rPr>
        <w:t>.</w:t>
      </w:r>
      <w:r>
        <w:rPr>
          <w:snapToGrid w:val="0"/>
        </w:rPr>
        <w:tab/>
        <w:t>Underground Water Pollution Control Areas</w:t>
      </w:r>
      <w:bookmarkEnd w:id="2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22" w:name="_Toc472002825"/>
      <w:r>
        <w:rPr>
          <w:rStyle w:val="CharSectno"/>
        </w:rPr>
        <w:t>57B</w:t>
      </w:r>
      <w:r>
        <w:rPr>
          <w:snapToGrid w:val="0"/>
        </w:rPr>
        <w:t>.</w:t>
      </w:r>
      <w:r>
        <w:rPr>
          <w:snapToGrid w:val="0"/>
        </w:rPr>
        <w:tab/>
        <w:t>By</w:t>
      </w:r>
      <w:r>
        <w:rPr>
          <w:snapToGrid w:val="0"/>
        </w:rPr>
        <w:noBreakHyphen/>
        <w:t>laws for pollution areas</w:t>
      </w:r>
      <w:bookmarkEnd w:id="22"/>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3" w:name="_Toc472002826"/>
      <w:r>
        <w:rPr>
          <w:rStyle w:val="CharSectno"/>
        </w:rPr>
        <w:t>57C</w:t>
      </w:r>
      <w:r>
        <w:rPr>
          <w:snapToGrid w:val="0"/>
        </w:rPr>
        <w:t>.</w:t>
      </w:r>
      <w:r>
        <w:rPr>
          <w:snapToGrid w:val="0"/>
        </w:rPr>
        <w:tab/>
        <w:t>Dispensation from by</w:t>
      </w:r>
      <w:r>
        <w:rPr>
          <w:snapToGrid w:val="0"/>
        </w:rPr>
        <w:noBreakHyphen/>
        <w:t>laws: grant by Minister</w:t>
      </w:r>
      <w:bookmarkEnd w:id="23"/>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rPr>
      </w:pPr>
      <w:bookmarkStart w:id="24" w:name="_Toc472002827"/>
      <w:r>
        <w:rPr>
          <w:rStyle w:val="CharSectno"/>
        </w:rPr>
        <w:t>57D</w:t>
      </w:r>
      <w:r>
        <w:rPr>
          <w:snapToGrid w:val="0"/>
        </w:rPr>
        <w:t>.</w:t>
      </w:r>
      <w:r>
        <w:rPr>
          <w:snapToGrid w:val="0"/>
        </w:rPr>
        <w:tab/>
        <w:t>Dispensation from by-laws: review by SAT</w:t>
      </w:r>
      <w:bookmarkEnd w:id="24"/>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25" w:name="_Toc471907320"/>
      <w:bookmarkStart w:id="26" w:name="_Toc472002828"/>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5"/>
      <w:bookmarkEnd w:id="26"/>
    </w:p>
    <w:p>
      <w:pPr>
        <w:pStyle w:val="Heading5"/>
        <w:rPr>
          <w:snapToGrid w:val="0"/>
        </w:rPr>
      </w:pPr>
      <w:bookmarkStart w:id="27" w:name="_Toc472002829"/>
      <w:r>
        <w:rPr>
          <w:rStyle w:val="CharSectno"/>
        </w:rPr>
        <w:t>146</w:t>
      </w:r>
      <w:r>
        <w:rPr>
          <w:snapToGrid w:val="0"/>
        </w:rPr>
        <w:t>.</w:t>
      </w:r>
      <w:r>
        <w:rPr>
          <w:snapToGrid w:val="0"/>
        </w:rPr>
        <w:tab/>
        <w:t>Minister may make by</w:t>
      </w:r>
      <w:r>
        <w:rPr>
          <w:snapToGrid w:val="0"/>
        </w:rPr>
        <w:noBreakHyphen/>
        <w:t>laws</w:t>
      </w:r>
      <w:bookmarkEnd w:id="2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28" w:name="_Toc471907322"/>
      <w:bookmarkStart w:id="29" w:name="_Toc472002830"/>
      <w:r>
        <w:rPr>
          <w:rStyle w:val="CharPartNo"/>
        </w:rPr>
        <w:t>Part XII</w:t>
      </w:r>
      <w:r>
        <w:rPr>
          <w:rStyle w:val="CharDivNo"/>
        </w:rPr>
        <w:t> </w:t>
      </w:r>
      <w:r>
        <w:t>—</w:t>
      </w:r>
      <w:r>
        <w:rPr>
          <w:rStyle w:val="CharDivText"/>
        </w:rPr>
        <w:t> </w:t>
      </w:r>
      <w:r>
        <w:rPr>
          <w:rStyle w:val="CharPartText"/>
        </w:rPr>
        <w:t>General provisions</w:t>
      </w:r>
      <w:bookmarkEnd w:id="28"/>
      <w:bookmarkEnd w:id="29"/>
    </w:p>
    <w:p>
      <w:pPr>
        <w:pStyle w:val="Footnotesection"/>
        <w:spacing w:before="160"/>
      </w:pPr>
      <w:r>
        <w:t>[</w:t>
      </w:r>
      <w:r>
        <w:rPr>
          <w:b/>
        </w:rPr>
        <w:t>148</w:t>
      </w:r>
      <w:r>
        <w:rPr>
          <w:b/>
          <w:bCs/>
        </w:rPr>
        <w:t>.</w:t>
      </w:r>
      <w:r>
        <w:tab/>
        <w:t>Deleted by No. 25 of 2012 s. 43.]</w:t>
      </w:r>
    </w:p>
    <w:p>
      <w:pPr>
        <w:pStyle w:val="Footnotesection"/>
        <w:spacing w:before="160"/>
      </w:pPr>
      <w:r>
        <w:t>[</w:t>
      </w:r>
      <w:r>
        <w:rPr>
          <w:b/>
        </w:rPr>
        <w:t>148A</w:t>
      </w:r>
      <w:r>
        <w:rPr>
          <w:b/>
          <w:bCs/>
        </w:rPr>
        <w:t>.</w:t>
      </w:r>
      <w:r>
        <w:tab/>
        <w:t>Deleted by No. 25 of 1985 s. 78.]</w:t>
      </w:r>
    </w:p>
    <w:p>
      <w:pPr>
        <w:pStyle w:val="Heading5"/>
        <w:spacing w:before="160"/>
        <w:rPr>
          <w:snapToGrid w:val="0"/>
        </w:rPr>
      </w:pPr>
      <w:bookmarkStart w:id="30" w:name="_Toc472002831"/>
      <w:r>
        <w:rPr>
          <w:rStyle w:val="CharSectno"/>
        </w:rPr>
        <w:t>149</w:t>
      </w:r>
      <w:r>
        <w:rPr>
          <w:snapToGrid w:val="0"/>
        </w:rPr>
        <w:t>.</w:t>
      </w:r>
      <w:r>
        <w:rPr>
          <w:snapToGrid w:val="0"/>
        </w:rPr>
        <w:tab/>
        <w:t>Notices and demands, form of</w:t>
      </w:r>
      <w:bookmarkEnd w:id="30"/>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 by No. 25 of 2012 s. 44.]</w:t>
      </w:r>
    </w:p>
    <w:p>
      <w:pPr>
        <w:pStyle w:val="Heading5"/>
        <w:spacing w:before="160"/>
      </w:pPr>
      <w:bookmarkStart w:id="31" w:name="_Toc472002832"/>
      <w:r>
        <w:rPr>
          <w:rStyle w:val="CharSectno"/>
        </w:rPr>
        <w:t>152A</w:t>
      </w:r>
      <w:r>
        <w:t>.</w:t>
      </w:r>
      <w:r>
        <w:tab/>
        <w:t>Limitation period for prosecutions</w:t>
      </w:r>
      <w:bookmarkEnd w:id="31"/>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 by No. 84 of 2004 s. 80.]</w:t>
      </w:r>
    </w:p>
    <w:p>
      <w:pPr>
        <w:pStyle w:val="Heading5"/>
        <w:spacing w:before="160"/>
        <w:rPr>
          <w:snapToGrid w:val="0"/>
        </w:rPr>
      </w:pPr>
      <w:bookmarkStart w:id="32" w:name="_Toc472002833"/>
      <w:r>
        <w:rPr>
          <w:rStyle w:val="CharSectno"/>
        </w:rPr>
        <w:t>153</w:t>
      </w:r>
      <w:r>
        <w:rPr>
          <w:snapToGrid w:val="0"/>
        </w:rPr>
        <w:t>.</w:t>
      </w:r>
      <w:r>
        <w:rPr>
          <w:snapToGrid w:val="0"/>
        </w:rPr>
        <w:tab/>
        <w:t>Civil remedies not affected by convictions or proceedings</w:t>
      </w:r>
      <w:bookmarkEnd w:id="32"/>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 by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 by No. 25 of 2012 s. 46.]</w:t>
      </w:r>
    </w:p>
    <w:p>
      <w:pPr>
        <w:pStyle w:val="Heading5"/>
        <w:spacing w:before="160"/>
      </w:pPr>
      <w:bookmarkStart w:id="33" w:name="_Toc472002834"/>
      <w:r>
        <w:rPr>
          <w:rStyle w:val="CharSectno"/>
        </w:rPr>
        <w:t>156</w:t>
      </w:r>
      <w:r>
        <w:t>.</w:t>
      </w:r>
      <w:r>
        <w:tab/>
        <w:t>Obstructing Minister, officers or authorised persons in performance of duty</w:t>
      </w:r>
      <w:bookmarkEnd w:id="33"/>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34" w:name="_Toc472002835"/>
      <w:r>
        <w:rPr>
          <w:rStyle w:val="CharSectno"/>
        </w:rPr>
        <w:t>157</w:t>
      </w:r>
      <w:r>
        <w:rPr>
          <w:snapToGrid w:val="0"/>
        </w:rPr>
        <w:t>.</w:t>
      </w:r>
      <w:r>
        <w:rPr>
          <w:snapToGrid w:val="0"/>
        </w:rPr>
        <w:tab/>
        <w:t>Refusing to give up possession of certain property, offence</w:t>
      </w:r>
      <w:bookmarkEnd w:id="34"/>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35" w:name="_Toc472002836"/>
      <w:r>
        <w:rPr>
          <w:rStyle w:val="CharSectno"/>
        </w:rPr>
        <w:t>158</w:t>
      </w:r>
      <w:r>
        <w:rPr>
          <w:snapToGrid w:val="0"/>
        </w:rPr>
        <w:t>.</w:t>
      </w:r>
      <w:r>
        <w:rPr>
          <w:snapToGrid w:val="0"/>
        </w:rPr>
        <w:tab/>
        <w:t>Arrest powers</w:t>
      </w:r>
      <w:bookmarkEnd w:id="35"/>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spacing w:before="180"/>
        <w:rPr>
          <w:snapToGrid w:val="0"/>
        </w:rPr>
      </w:pPr>
      <w:bookmarkStart w:id="36" w:name="_Toc472002837"/>
      <w:r>
        <w:rPr>
          <w:rStyle w:val="CharSectno"/>
        </w:rPr>
        <w:t>158A</w:t>
      </w:r>
      <w:r>
        <w:rPr>
          <w:snapToGrid w:val="0"/>
        </w:rPr>
        <w:t>.</w:t>
      </w:r>
      <w:r>
        <w:rPr>
          <w:snapToGrid w:val="0"/>
        </w:rPr>
        <w:tab/>
        <w:t>General penalty</w:t>
      </w:r>
      <w:bookmarkEnd w:id="36"/>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37" w:name="_Toc472002838"/>
      <w:r>
        <w:rPr>
          <w:rStyle w:val="CharSectno"/>
        </w:rPr>
        <w:t>159</w:t>
      </w:r>
      <w:r>
        <w:rPr>
          <w:snapToGrid w:val="0"/>
        </w:rPr>
        <w:t>.</w:t>
      </w:r>
      <w:r>
        <w:rPr>
          <w:snapToGrid w:val="0"/>
        </w:rPr>
        <w:tab/>
        <w:t>Prosecutions</w:t>
      </w:r>
      <w:bookmarkEnd w:id="37"/>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38" w:name="_Toc472002839"/>
      <w:r>
        <w:rPr>
          <w:rStyle w:val="CharSectno"/>
        </w:rPr>
        <w:t>165</w:t>
      </w:r>
      <w:r>
        <w:rPr>
          <w:snapToGrid w:val="0"/>
        </w:rPr>
        <w:t>.</w:t>
      </w:r>
      <w:r>
        <w:rPr>
          <w:snapToGrid w:val="0"/>
        </w:rPr>
        <w:tab/>
        <w:t>Proof of ownership or occupancy</w:t>
      </w:r>
      <w:bookmarkEnd w:id="38"/>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4" w:bottom="3544" w:left="2404" w:header="720" w:footer="3379" w:gutter="0"/>
          <w:cols w:space="720"/>
          <w:noEndnote/>
          <w:docGrid w:linePitch="326"/>
        </w:sectPr>
      </w:pPr>
    </w:p>
    <w:p>
      <w:pPr>
        <w:pStyle w:val="nHeading2"/>
      </w:pPr>
      <w:bookmarkStart w:id="39" w:name="_Toc471907332"/>
      <w:bookmarkStart w:id="40" w:name="_Toc472002840"/>
      <w:r>
        <w:t>Notes</w:t>
      </w:r>
      <w:bookmarkEnd w:id="39"/>
      <w:bookmarkEnd w:id="40"/>
    </w:p>
    <w:p>
      <w:pPr>
        <w:pStyle w:val="nSubsection"/>
      </w:pPr>
      <w:r>
        <w:rPr>
          <w:vertAlign w:val="superscript"/>
        </w:rPr>
        <w:t>1</w:t>
      </w:r>
      <w:r>
        <w:tab/>
        <w:t xml:space="preserve">This is a compilation of the </w:t>
      </w:r>
      <w:r>
        <w:rPr>
          <w:i/>
          <w:noProof/>
        </w:rPr>
        <w:t>Metropolitan Water Supply, Sewerage, and Drainage Act 1909</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spacing w:before="160" w:after="80"/>
        <w:rPr>
          <w:snapToGrid w:val="0"/>
        </w:rPr>
      </w:pPr>
      <w:bookmarkStart w:id="41" w:name="_Toc472002841"/>
      <w:r>
        <w:rPr>
          <w:snapToGrid w:val="0"/>
        </w:rPr>
        <w:t>Compilation table</w:t>
      </w:r>
      <w:bookmarkEnd w:id="4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rPr>
          <w:trHeight w:val="2742"/>
        </w:trP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472002842"/>
      <w:r>
        <w:t>Provisions that have not come into operation</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28"/>
        <w:gridCol w:w="2268"/>
        <w:gridCol w:w="1135"/>
        <w:gridCol w:w="1134"/>
        <w:gridCol w:w="2553"/>
      </w:tblGrid>
      <w:tr>
        <w:trPr>
          <w:gridBefore w:val="1"/>
          <w:wBefore w:w="28" w:type="dxa"/>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Before w:val="1"/>
          <w:wBefore w:w="28" w:type="dxa"/>
          <w:cantSplit/>
        </w:trPr>
        <w:tc>
          <w:tcPr>
            <w:tcW w:w="2268" w:type="dxa"/>
            <w:tcBorders>
              <w:top w:val="single" w:sz="8" w:space="0" w:color="auto"/>
            </w:tcBorders>
            <w:shd w:val="clear" w:color="auto" w:fill="auto"/>
          </w:tcPr>
          <w:p>
            <w:pPr>
              <w:pStyle w:val="nTable"/>
              <w:spacing w:after="40"/>
              <w:rPr>
                <w:i/>
                <w:snapToGrid w:val="0"/>
              </w:rPr>
            </w:pPr>
            <w:r>
              <w:rPr>
                <w:i/>
                <w:snapToGrid w:val="0"/>
              </w:rPr>
              <w:t xml:space="preserve">Water Services Legislation Amendment and Repeal Act 2012 </w:t>
            </w:r>
            <w:r>
              <w:rPr>
                <w:snapToGrid w:val="0"/>
              </w:rPr>
              <w:t>s. 34 and 39(2)</w:t>
            </w:r>
            <w:r>
              <w:rPr>
                <w:snapToGrid w:val="0"/>
                <w:vertAlign w:val="superscript"/>
              </w:rPr>
              <w:t> 11</w:t>
            </w:r>
          </w:p>
        </w:tc>
        <w:tc>
          <w:tcPr>
            <w:tcW w:w="1135" w:type="dxa"/>
            <w:tcBorders>
              <w:top w:val="single" w:sz="8" w:space="0" w:color="auto"/>
            </w:tcBorders>
            <w:shd w:val="clear" w:color="auto" w:fill="auto"/>
          </w:tcPr>
          <w:p>
            <w:pPr>
              <w:pStyle w:val="nTable"/>
              <w:spacing w:after="40"/>
              <w:rPr>
                <w:snapToGrid w:val="0"/>
              </w:rPr>
            </w:pPr>
            <w:r>
              <w:rPr>
                <w:snapToGrid w:val="0"/>
              </w:rPr>
              <w:t>25 of 2012</w:t>
            </w:r>
          </w:p>
        </w:tc>
        <w:tc>
          <w:tcPr>
            <w:tcW w:w="1134" w:type="dxa"/>
            <w:tcBorders>
              <w:top w:val="single" w:sz="8" w:space="0" w:color="auto"/>
            </w:tcBorders>
            <w:shd w:val="clear" w:color="auto" w:fill="auto"/>
          </w:tcPr>
          <w:p>
            <w:pPr>
              <w:pStyle w:val="nTable"/>
              <w:spacing w:after="40"/>
              <w:rPr>
                <w:snapToGrid w:val="0"/>
              </w:rPr>
            </w:pPr>
            <w:r>
              <w:rPr>
                <w:snapToGrid w:val="0"/>
              </w:rPr>
              <w:t>3 Sep 2012</w:t>
            </w:r>
          </w:p>
        </w:tc>
        <w:tc>
          <w:tcPr>
            <w:tcW w:w="2553" w:type="dxa"/>
            <w:tcBorders>
              <w:top w:val="single" w:sz="8" w:space="0" w:color="auto"/>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101 and Pt. 5 Div. 15</w:t>
            </w:r>
            <w:r>
              <w:rPr>
                <w:vertAlign w:val="superscript"/>
              </w:rPr>
              <w:t> 12</w:t>
            </w:r>
          </w:p>
        </w:tc>
        <w:tc>
          <w:tcPr>
            <w:tcW w:w="1135"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1" w:type="dxa"/>
            <w:tcBorders>
              <w:top w:val="nil"/>
              <w:bottom w:val="single" w:sz="4" w:space="0" w:color="auto"/>
            </w:tcBorders>
          </w:tcPr>
          <w:p>
            <w:pPr>
              <w:pStyle w:val="nTable"/>
              <w:spacing w:after="40"/>
              <w:rPr>
                <w:snapToGrid w:val="0"/>
              </w:rPr>
            </w:pPr>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15: </w:t>
            </w:r>
            <w:r>
              <w:rPr>
                <w:snapToGrid w:val="0"/>
              </w:rPr>
              <w:t>to be proclaimed (see s. 2(1)(c))</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11</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The sections that they seek to amend have been changed by Reprint 10.</w:t>
      </w:r>
    </w:p>
    <w:p>
      <w:pPr>
        <w:pStyle w:val="BlankClose"/>
      </w:pPr>
    </w:p>
    <w:p>
      <w:pPr>
        <w:pStyle w:val="nSubsection"/>
        <w:rPr>
          <w:snapToGrid w:val="0"/>
        </w:rPr>
      </w:pPr>
      <w:r>
        <w:rPr>
          <w:snapToGrid w:val="0"/>
          <w:vertAlign w:val="superscript"/>
        </w:rPr>
        <w:t>12</w:t>
      </w:r>
      <w:r>
        <w:rPr>
          <w:snapToGrid w:val="0"/>
        </w:rPr>
        <w:tab/>
        <w:t xml:space="preserve">On the date as at which this compilation was prepared, the </w:t>
      </w:r>
      <w:r>
        <w:rPr>
          <w:i/>
        </w:rPr>
        <w:t>Public Health (Consequential Provisions) Act 2016</w:t>
      </w:r>
      <w:r>
        <w:t xml:space="preserve"> s. 101 and Pt. 5 Div. 15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Metropolitan Water Supply, Sewerage, and Drainage Act 1909</w:t>
            </w:r>
          </w:p>
        </w:tc>
        <w:tc>
          <w:tcPr>
            <w:tcW w:w="3402" w:type="dxa"/>
          </w:tcPr>
          <w:p>
            <w:pPr>
              <w:pStyle w:val="TableAm"/>
              <w:rPr>
                <w:sz w:val="20"/>
              </w:rPr>
            </w:pPr>
            <w:r>
              <w:rPr>
                <w:sz w:val="20"/>
              </w:rPr>
              <w:t>s. 17(2)</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15</w:t>
      </w:r>
      <w:r>
        <w:t> — </w:t>
      </w:r>
      <w:r>
        <w:rPr>
          <w:rStyle w:val="CharDivText"/>
          <w:i/>
        </w:rPr>
        <w:t>Metropolitan Water Supply, Sewerage, and Drainage Act 1909</w:t>
      </w:r>
      <w:r>
        <w:rPr>
          <w:rStyle w:val="CharDivText"/>
        </w:rPr>
        <w:t xml:space="preserve"> amended</w:t>
      </w:r>
    </w:p>
    <w:p>
      <w:pPr>
        <w:pStyle w:val="nzHeading5"/>
      </w:pPr>
      <w:r>
        <w:rPr>
          <w:rStyle w:val="CharSectno"/>
        </w:rPr>
        <w:t>309</w:t>
      </w:r>
      <w:r>
        <w:t>.</w:t>
      </w:r>
      <w:r>
        <w:tab/>
        <w:t>Act amended</w:t>
      </w:r>
    </w:p>
    <w:p>
      <w:pPr>
        <w:pStyle w:val="nzSubsection"/>
      </w:pPr>
      <w:r>
        <w:tab/>
      </w:r>
      <w:r>
        <w:tab/>
        <w:t xml:space="preserve">This Division amends the </w:t>
      </w:r>
      <w:r>
        <w:rPr>
          <w:i/>
        </w:rPr>
        <w:t>Metropolitan Water Supply, Sewerage, and Drainage Act 1909</w:t>
      </w:r>
      <w:r>
        <w:t>.</w:t>
      </w:r>
    </w:p>
    <w:p>
      <w:pPr>
        <w:pStyle w:val="nzHeading5"/>
      </w:pPr>
      <w:r>
        <w:rPr>
          <w:rStyle w:val="CharSectno"/>
        </w:rPr>
        <w:t>310</w:t>
      </w:r>
      <w:r>
        <w:t>.</w:t>
      </w:r>
      <w:r>
        <w:tab/>
        <w:t>Section 17 replaced</w:t>
      </w:r>
    </w:p>
    <w:p>
      <w:pPr>
        <w:pStyle w:val="nzSubsection"/>
      </w:pPr>
      <w:r>
        <w:tab/>
      </w:r>
      <w:r>
        <w:tab/>
        <w:t>Delete section 17 and insert:</w:t>
      </w:r>
    </w:p>
    <w:p>
      <w:pPr>
        <w:pStyle w:val="BlankOpen"/>
      </w:pPr>
    </w:p>
    <w:p>
      <w:pPr>
        <w:pStyle w:val="nzHeading5"/>
      </w:pPr>
      <w:r>
        <w:t>17.</w:t>
      </w:r>
      <w:r>
        <w:tab/>
        <w:t>Pollution of water</w:t>
      </w:r>
    </w:p>
    <w:p>
      <w:pPr>
        <w:pStyle w:val="nzSubsection"/>
      </w:pPr>
      <w:r>
        <w:tab/>
      </w:r>
      <w:r>
        <w:tab/>
        <w:t xml:space="preserve">A person must not — </w:t>
      </w:r>
    </w:p>
    <w:p>
      <w:pPr>
        <w:pStyle w:val="nzIndenta"/>
      </w:pPr>
      <w:r>
        <w:tab/>
        <w:t>(a)</w:t>
      </w:r>
      <w:r>
        <w:tab/>
        <w:t>pollute any water within or under a water reserve or catchment area; or</w:t>
      </w:r>
    </w:p>
    <w:p>
      <w:pPr>
        <w:pStyle w:val="nzIndenta"/>
        <w:keepNext/>
      </w:pPr>
      <w:r>
        <w:tab/>
        <w:t>(b)</w:t>
      </w:r>
      <w:r>
        <w:tab/>
        <w:t>allow or permit any water within or under a water reserve or catchment area to become polluted.</w:t>
      </w:r>
    </w:p>
    <w:p>
      <w:pPr>
        <w:pStyle w:val="nzPenstart"/>
        <w:keepNext/>
      </w:pPr>
      <w:r>
        <w:tab/>
        <w:t>Penalty: a fine of $10 000 and imprisonment for one year.</w:t>
      </w:r>
    </w:p>
    <w:p>
      <w:pPr>
        <w:pStyle w:val="BlankClose"/>
      </w:pPr>
    </w:p>
    <w:p>
      <w:pPr>
        <w:pStyle w:val="BlankClose"/>
      </w:pP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rPr>
          <w:sz w:val="28"/>
        </w:rPr>
      </w:pPr>
      <w:bookmarkStart w:id="44" w:name="_Toc471907335"/>
      <w:bookmarkStart w:id="45" w:name="_Toc472002843"/>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5(1)</w:t>
      </w:r>
    </w:p>
    <w:p>
      <w:pPr>
        <w:pStyle w:val="DefinedTerms"/>
      </w:pPr>
      <w:r>
        <w:t>catchment area</w:t>
      </w:r>
      <w:r>
        <w:tab/>
        <w:t>5(1)</w:t>
      </w:r>
    </w:p>
    <w:p>
      <w:pPr>
        <w:pStyle w:val="DefinedTerms"/>
      </w:pPr>
      <w:r>
        <w:t>CEO</w:t>
      </w:r>
      <w:r>
        <w:tab/>
        <w:t>5(1)</w:t>
      </w:r>
    </w:p>
    <w:p>
      <w:pPr>
        <w:pStyle w:val="DefinedTerms"/>
      </w:pPr>
      <w:r>
        <w:t>Department</w:t>
      </w:r>
      <w:r>
        <w:tab/>
        <w:t>5(1)</w:t>
      </w:r>
    </w:p>
    <w:p>
      <w:pPr>
        <w:pStyle w:val="DefinedTerms"/>
      </w:pPr>
      <w:r>
        <w:t>former Authority</w:t>
      </w:r>
      <w:r>
        <w:tab/>
        <w:t>5(1)</w:t>
      </w:r>
    </w:p>
    <w:p>
      <w:pPr>
        <w:pStyle w:val="DefinedTerms"/>
      </w:pPr>
      <w:r>
        <w:t>former Metropolitan Authority</w:t>
      </w:r>
      <w:r>
        <w:tab/>
        <w:t>5(1)</w:t>
      </w:r>
    </w:p>
    <w:p>
      <w:pPr>
        <w:pStyle w:val="DefinedTerms"/>
      </w:pPr>
      <w:r>
        <w:t>pollution area</w:t>
      </w:r>
      <w:r>
        <w:tab/>
        <w:t>5(1)</w:t>
      </w:r>
    </w:p>
    <w:p>
      <w:pPr>
        <w:pStyle w:val="DefinedTerms"/>
      </w:pPr>
      <w:r>
        <w:t>Registrar of Deeds</w:t>
      </w:r>
      <w:r>
        <w:tab/>
        <w:t>5(1)</w:t>
      </w:r>
    </w:p>
    <w:p>
      <w:pPr>
        <w:pStyle w:val="DefinedTerms"/>
      </w:pPr>
      <w:r>
        <w:t>this Act</w:t>
      </w:r>
      <w:r>
        <w:tab/>
        <w:t>5(3)</w:t>
      </w:r>
    </w:p>
    <w:p>
      <w:pPr>
        <w:pStyle w:val="DefinedTerms"/>
      </w:pPr>
      <w:r>
        <w:t>watercourse</w:t>
      </w:r>
      <w:r>
        <w:tab/>
        <w:t>5(1)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718"/>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 w:name="WAFER_20170111140718" w:val="RemoveTocBookmarks,RemoveUnusedBookmarks,RemoveLanguageTags,UsedStyles,ResetPageSize"/>
    <w:docVar w:name="WAFER_20170111140718_GUID" w:val="9b56826a-2615-4280-ac87-0b768ee826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0A63E-8D8D-4EB9-90A2-1440023F7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7191</Words>
  <Characters>30997</Characters>
  <Application>Microsoft Office Word</Application>
  <DocSecurity>0</DocSecurity>
  <Lines>1148</Lines>
  <Paragraphs>694</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1909 - 11-b0-01</dc:title>
  <dc:subject/>
  <dc:creator/>
  <cp:keywords/>
  <dc:description/>
  <cp:lastModifiedBy>svcMRProcess</cp:lastModifiedBy>
  <cp:revision>4</cp:revision>
  <cp:lastPrinted>2016-06-28T08:10:00Z</cp:lastPrinted>
  <dcterms:created xsi:type="dcterms:W3CDTF">2017-01-13T08:47:00Z</dcterms:created>
  <dcterms:modified xsi:type="dcterms:W3CDTF">2017-01-13T08:47:00Z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ReprintedAsAt">
    <vt:filetime>2016-06-30T16:00:00Z</vt:filetime>
  </property>
  <property fmtid="{D5CDD505-2E9C-101B-9397-08002B2CF9AE}" pid="7" name="ReprintNo">
    <vt:lpwstr>11</vt:lpwstr>
  </property>
  <property fmtid="{D5CDD505-2E9C-101B-9397-08002B2CF9AE}" pid="8" name="AsAtDate">
    <vt:lpwstr>25 Jul 2016</vt:lpwstr>
  </property>
  <property fmtid="{D5CDD505-2E9C-101B-9397-08002B2CF9AE}" pid="9" name="Suffix">
    <vt:lpwstr>11-b0-01</vt:lpwstr>
  </property>
  <property fmtid="{D5CDD505-2E9C-101B-9397-08002B2CF9AE}" pid="10" name="CommencementDate">
    <vt:lpwstr>20160725</vt:lpwstr>
  </property>
</Properties>
</file>