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Radiation Safety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_Toc472066221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_Toc472066222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_Toc472066223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and exemptions</w:t>
      </w:r>
      <w:r>
        <w:tab/>
      </w:r>
      <w:r>
        <w:fldChar w:fldCharType="begin"/>
      </w:r>
      <w:r>
        <w:instrText xml:space="preserve"> PAGEREF _Toc472066224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_Toc472066225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_Toc472066226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Civil remedies</w:t>
      </w:r>
      <w:r>
        <w:tab/>
      </w:r>
      <w:r>
        <w:fldChar w:fldCharType="begin"/>
      </w:r>
      <w:r>
        <w:instrText xml:space="preserve"> PAGEREF _Toc472066227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10</w:t>
      </w:r>
      <w:r>
        <w:rPr>
          <w:snapToGrid w:val="0"/>
        </w:rPr>
        <w:t>.</w:t>
      </w:r>
      <w:r>
        <w:rPr>
          <w:snapToGrid w:val="0"/>
        </w:rPr>
        <w:tab/>
        <w:t>Duty of Minister and administrative arrangements</w:t>
      </w:r>
      <w:r>
        <w:tab/>
      </w:r>
      <w:r>
        <w:fldChar w:fldCharType="begin"/>
      </w:r>
      <w:r>
        <w:instrText xml:space="preserve"> PAGEREF _Toc472066229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functions of the Council</w:t>
      </w:r>
      <w:r>
        <w:tab/>
      </w:r>
      <w:r>
        <w:fldChar w:fldCharType="begin"/>
      </w:r>
      <w:r>
        <w:instrText xml:space="preserve"> PAGEREF _Toc472066230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Reviews</w:t>
      </w:r>
      <w:r>
        <w:tab/>
      </w:r>
      <w:r>
        <w:fldChar w:fldCharType="begin"/>
      </w:r>
      <w:r>
        <w:instrText xml:space="preserve"> PAGEREF _Toc472066231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Radiological Council</w:t>
      </w:r>
      <w:r>
        <w:tab/>
      </w:r>
      <w:r>
        <w:fldChar w:fldCharType="begin"/>
      </w:r>
      <w:r>
        <w:instrText xml:space="preserve"> PAGEREF _Toc472066232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_Toc472066233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Deputies and casual vacancies</w:t>
      </w:r>
      <w:r>
        <w:tab/>
      </w:r>
      <w:r>
        <w:fldChar w:fldCharType="begin"/>
      </w:r>
      <w:r>
        <w:instrText xml:space="preserve"> PAGEREF _Toc472066234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w:t>
      </w:r>
      <w:r>
        <w:tab/>
      </w:r>
      <w:r>
        <w:fldChar w:fldCharType="begin"/>
      </w:r>
      <w:r>
        <w:instrText xml:space="preserve"> PAGEREF _Toc472066235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w:t>
      </w:r>
      <w:r>
        <w:rPr>
          <w:snapToGrid w:val="0"/>
        </w:rPr>
        <w:noBreakHyphen/>
        <w:t>option and consultants</w:t>
      </w:r>
      <w:r>
        <w:tab/>
      </w:r>
      <w:r>
        <w:fldChar w:fldCharType="begin"/>
      </w:r>
      <w:r>
        <w:instrText xml:space="preserve"> PAGEREF _Toc472066236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w:t>
      </w:r>
      <w:r>
        <w:tab/>
      </w:r>
      <w:r>
        <w:fldChar w:fldCharType="begin"/>
      </w:r>
      <w:r>
        <w:instrText xml:space="preserve"> PAGEREF _Toc472066237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Committees</w:t>
      </w:r>
      <w:r>
        <w:tab/>
      </w:r>
      <w:r>
        <w:fldChar w:fldCharType="begin"/>
      </w:r>
      <w:r>
        <w:instrText xml:space="preserve"> PAGEREF _Toc472066238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remuneration</w:t>
      </w:r>
      <w:r>
        <w:tab/>
      </w:r>
      <w:r>
        <w:fldChar w:fldCharType="begin"/>
      </w:r>
      <w:r>
        <w:instrText xml:space="preserve"> PAGEREF _Toc472066239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Transfer of property</w:t>
      </w:r>
      <w:r>
        <w:tab/>
      </w:r>
      <w:r>
        <w:fldChar w:fldCharType="begin"/>
      </w:r>
      <w:r>
        <w:instrText xml:space="preserve"> PAGEREF _Toc472066240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report of Council etc.</w:t>
      </w:r>
      <w:r>
        <w:tab/>
      </w:r>
      <w:r>
        <w:fldChar w:fldCharType="begin"/>
      </w:r>
      <w:r>
        <w:instrText xml:space="preserve"> PAGEREF _Toc472066241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Disputes with governmental bodies</w:t>
      </w:r>
      <w:r>
        <w:tab/>
      </w:r>
      <w:r>
        <w:fldChar w:fldCharType="begin"/>
      </w:r>
      <w:r>
        <w:instrText xml:space="preserve"> PAGEREF _Toc472066242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Actions, claims and demands</w:t>
      </w:r>
      <w:r>
        <w:tab/>
      </w:r>
      <w:r>
        <w:fldChar w:fldCharType="begin"/>
      </w:r>
      <w:r>
        <w:instrText xml:space="preserve"> PAGEREF _Toc472066243 \h </w:instrText>
      </w:r>
      <w:r>
        <w:fldChar w:fldCharType="separate"/>
      </w:r>
      <w:r>
        <w:t>16</w:t>
      </w:r>
      <w:r>
        <w:fldChar w:fldCharType="end"/>
      </w:r>
    </w:p>
    <w:p>
      <w:pPr>
        <w:pStyle w:val="TOC8"/>
        <w:rPr>
          <w:rFonts w:asciiTheme="minorHAnsi" w:eastAsiaTheme="minorEastAsia" w:hAnsiTheme="minorHAnsi" w:cstheme="minorBidi"/>
          <w:szCs w:val="22"/>
        </w:rPr>
      </w:pPr>
      <w:r>
        <w:t>24A.</w:t>
      </w:r>
      <w:r>
        <w:tab/>
      </w:r>
      <w:r>
        <w:rPr>
          <w:bCs/>
        </w:rPr>
        <w:t>Disclosure of information to the Medical Radiation Practice Board of Australia</w:t>
      </w:r>
      <w:r>
        <w:tab/>
      </w:r>
      <w:r>
        <w:fldChar w:fldCharType="begin"/>
      </w:r>
      <w:r>
        <w:instrText xml:space="preserve"> PAGEREF _Toc472066244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and registration</w:t>
      </w:r>
    </w:p>
    <w:p>
      <w:pPr>
        <w:pStyle w:val="TOC8"/>
        <w:rPr>
          <w:rFonts w:asciiTheme="minorHAnsi" w:eastAsiaTheme="minorEastAsia" w:hAnsiTheme="minorHAnsi" w:cstheme="minorBidi"/>
          <w:szCs w:val="22"/>
        </w:rPr>
      </w:pPr>
      <w:r>
        <w:t>25</w:t>
      </w:r>
      <w:r>
        <w:rPr>
          <w:snapToGrid w:val="0"/>
        </w:rPr>
        <w:t>.</w:t>
      </w:r>
      <w:r>
        <w:rPr>
          <w:snapToGrid w:val="0"/>
        </w:rPr>
        <w:tab/>
        <w:t>Matters requiring a licence</w:t>
      </w:r>
      <w:r>
        <w:tab/>
      </w:r>
      <w:r>
        <w:fldChar w:fldCharType="begin"/>
      </w:r>
      <w:r>
        <w:instrText xml:space="preserve"> PAGEREF _Toc472066246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Licensing of persons</w:t>
      </w:r>
      <w:r>
        <w:tab/>
      </w:r>
      <w:r>
        <w:fldChar w:fldCharType="begin"/>
      </w:r>
      <w:r>
        <w:instrText xml:space="preserve"> PAGEREF _Toc472066247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radioactive substances or radiation on persons</w:t>
      </w:r>
      <w:r>
        <w:tab/>
      </w:r>
      <w:r>
        <w:fldChar w:fldCharType="begin"/>
      </w:r>
      <w:r>
        <w:instrText xml:space="preserve"> PAGEREF _Toc472066248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_Toc472066249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Sales and purchases</w:t>
      </w:r>
      <w:r>
        <w:tab/>
      </w:r>
      <w:r>
        <w:fldChar w:fldCharType="begin"/>
      </w:r>
      <w:r>
        <w:instrText xml:space="preserve"> PAGEREF _Toc472066250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Registration of defective premises, apparatus or products prohibited</w:t>
      </w:r>
      <w:r>
        <w:tab/>
      </w:r>
      <w:r>
        <w:fldChar w:fldCharType="begin"/>
      </w:r>
      <w:r>
        <w:instrText xml:space="preserve"> PAGEREF _Toc472066251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potentially dangerous articles</w:t>
      </w:r>
      <w:r>
        <w:tab/>
      </w:r>
      <w:r>
        <w:fldChar w:fldCharType="begin"/>
      </w:r>
      <w:r>
        <w:instrText xml:space="preserve"> PAGEREF _Toc472066252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Refusal of licence, exemption or registration</w:t>
      </w:r>
      <w:r>
        <w:tab/>
      </w:r>
      <w:r>
        <w:fldChar w:fldCharType="begin"/>
      </w:r>
      <w:r>
        <w:instrText xml:space="preserve"> PAGEREF _Toc472066253 \h </w:instrText>
      </w:r>
      <w:r>
        <w:fldChar w:fldCharType="separate"/>
      </w:r>
      <w:r>
        <w:t>25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Licences and registration</w:t>
      </w:r>
      <w:r>
        <w:tab/>
      </w:r>
      <w:r>
        <w:fldChar w:fldCharType="begin"/>
      </w:r>
      <w:r>
        <w:instrText xml:space="preserve"> PAGEREF _Toc472066254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Disposal permits</w:t>
      </w:r>
      <w:r>
        <w:tab/>
      </w:r>
      <w:r>
        <w:fldChar w:fldCharType="begin"/>
      </w:r>
      <w:r>
        <w:instrText xml:space="preserve"> PAGEREF _Toc472066255 \h </w:instrText>
      </w:r>
      <w:r>
        <w:fldChar w:fldCharType="separate"/>
      </w:r>
      <w:r>
        <w:t>28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Temporary permits</w:t>
      </w:r>
      <w:r>
        <w:tab/>
      </w:r>
      <w:r>
        <w:fldChar w:fldCharType="begin"/>
      </w:r>
      <w:r>
        <w:instrText xml:space="preserve"> PAGEREF _Toc472066256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Conditions, restrictions and limitations on, and revocation or suspension of, licences, exemptions, and registrations</w:t>
      </w:r>
      <w:r>
        <w:tab/>
      </w:r>
      <w:r>
        <w:fldChar w:fldCharType="begin"/>
      </w:r>
      <w:r>
        <w:instrText xml:space="preserve"> PAGEREF _Toc472066257 \h </w:instrText>
      </w:r>
      <w:r>
        <w:fldChar w:fldCharType="separate"/>
      </w:r>
      <w:r>
        <w:t>29</w:t>
      </w:r>
      <w:r>
        <w:fldChar w:fldCharType="end"/>
      </w:r>
    </w:p>
    <w:p>
      <w:pPr>
        <w:pStyle w:val="TOC8"/>
        <w:rPr>
          <w:rFonts w:asciiTheme="minorHAnsi" w:eastAsiaTheme="minorEastAsia" w:hAnsiTheme="minorHAnsi" w:cstheme="minorBidi"/>
          <w:szCs w:val="22"/>
        </w:rPr>
      </w:pPr>
      <w:r>
        <w:t>37A.</w:t>
      </w:r>
      <w:r>
        <w:tab/>
        <w:t xml:space="preserve">Conflict or inconsistency between conditions imposed under </w:t>
      </w:r>
      <w:r>
        <w:rPr>
          <w:i/>
          <w:iCs/>
        </w:rPr>
        <w:t>Health Practitioner Regulation National Law (Western Australia)</w:t>
      </w:r>
      <w:r>
        <w:t xml:space="preserve"> and this Act</w:t>
      </w:r>
      <w:r>
        <w:tab/>
      </w:r>
      <w:r>
        <w:fldChar w:fldCharType="begin"/>
      </w:r>
      <w:r>
        <w:instrText xml:space="preserve"> PAGEREF _Toc472066258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licences, exemptions and registrations</w:t>
      </w:r>
      <w:r>
        <w:tab/>
      </w:r>
      <w:r>
        <w:fldChar w:fldCharType="begin"/>
      </w:r>
      <w:r>
        <w:instrText xml:space="preserve"> PAGEREF _Toc472066259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Change of circumstances</w:t>
      </w:r>
      <w:r>
        <w:tab/>
      </w:r>
      <w:r>
        <w:fldChar w:fldCharType="begin"/>
      </w:r>
      <w:r>
        <w:instrText xml:space="preserve"> PAGEREF _Toc472066260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obtain information</w:t>
      </w:r>
      <w:r>
        <w:tab/>
      </w:r>
      <w:r>
        <w:fldChar w:fldCharType="begin"/>
      </w:r>
      <w:r>
        <w:instrText xml:space="preserve"> PAGEREF _Toc472066261 \h </w:instrText>
      </w:r>
      <w:r>
        <w:fldChar w:fldCharType="separate"/>
      </w:r>
      <w:r>
        <w:t>32</w:t>
      </w:r>
      <w:r>
        <w:fldChar w:fldCharType="end"/>
      </w:r>
    </w:p>
    <w:p>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_Toc472066262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Surrender of documents</w:t>
      </w:r>
      <w:r>
        <w:tab/>
      </w:r>
      <w:r>
        <w:fldChar w:fldCharType="begin"/>
      </w:r>
      <w:r>
        <w:instrText xml:space="preserve"> PAGEREF _Toc472066263 \h </w:instrText>
      </w:r>
      <w:r>
        <w:fldChar w:fldCharType="separate"/>
      </w:r>
      <w:r>
        <w:t>34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w:t>
      </w:r>
      <w:r>
        <w:tab/>
      </w:r>
      <w:r>
        <w:fldChar w:fldCharType="begin"/>
      </w:r>
      <w:r>
        <w:instrText xml:space="preserve"> PAGEREF _Toc472066264 \h </w:instrText>
      </w:r>
      <w:r>
        <w:fldChar w:fldCharType="separate"/>
      </w:r>
      <w:r>
        <w:t>34</w:t>
      </w:r>
      <w:r>
        <w:fldChar w:fldCharType="end"/>
      </w:r>
    </w:p>
    <w:p>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_Toc472066265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w:t>
      </w:r>
    </w:p>
    <w:p>
      <w:pPr>
        <w:pStyle w:val="TOC8"/>
        <w:rPr>
          <w:rFonts w:asciiTheme="minorHAnsi" w:eastAsiaTheme="minorEastAsia" w:hAnsiTheme="minorHAnsi" w:cstheme="minorBidi"/>
          <w:szCs w:val="22"/>
        </w:rPr>
      </w:pPr>
      <w:r>
        <w:t>42</w:t>
      </w:r>
      <w:r>
        <w:rPr>
          <w:snapToGrid w:val="0"/>
        </w:rPr>
        <w:t>.</w:t>
      </w:r>
      <w:r>
        <w:rPr>
          <w:snapToGrid w:val="0"/>
        </w:rPr>
        <w:tab/>
        <w:t>Power of entry and inspection</w:t>
      </w:r>
      <w:r>
        <w:tab/>
      </w:r>
      <w:r>
        <w:fldChar w:fldCharType="begin"/>
      </w:r>
      <w:r>
        <w:instrText xml:space="preserve"> PAGEREF _Toc472066267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Warrants</w:t>
      </w:r>
      <w:r>
        <w:tab/>
      </w:r>
      <w:r>
        <w:fldChar w:fldCharType="begin"/>
      </w:r>
      <w:r>
        <w:instrText xml:space="preserve"> PAGEREF _Toc472066268 \h </w:instrText>
      </w:r>
      <w:r>
        <w:fldChar w:fldCharType="separate"/>
      </w:r>
      <w:r>
        <w:t>37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Inspection procedure</w:t>
      </w:r>
      <w:r>
        <w:tab/>
      </w:r>
      <w:r>
        <w:fldChar w:fldCharType="begin"/>
      </w:r>
      <w:r>
        <w:instrText xml:space="preserve"> PAGEREF _Toc472066269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Owner to assist authorised officer</w:t>
      </w:r>
      <w:r>
        <w:tab/>
      </w:r>
      <w:r>
        <w:fldChar w:fldCharType="begin"/>
      </w:r>
      <w:r>
        <w:instrText xml:space="preserve"> PAGEREF _Toc472066270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give directions</w:t>
      </w:r>
      <w:r>
        <w:tab/>
      </w:r>
      <w:r>
        <w:fldChar w:fldCharType="begin"/>
      </w:r>
      <w:r>
        <w:instrText xml:space="preserve"> PAGEREF _Toc472066271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vary directions etc.</w:t>
      </w:r>
      <w:r>
        <w:tab/>
      </w:r>
      <w:r>
        <w:fldChar w:fldCharType="begin"/>
      </w:r>
      <w:r>
        <w:instrText xml:space="preserve"> PAGEREF _Toc472066272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as to inspections etc.</w:t>
      </w:r>
      <w:r>
        <w:tab/>
      </w:r>
      <w:r>
        <w:fldChar w:fldCharType="begin"/>
      </w:r>
      <w:r>
        <w:instrText xml:space="preserve"> PAGEREF _Toc472066273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Secrecy</w:t>
      </w:r>
      <w:r>
        <w:tab/>
      </w:r>
      <w:r>
        <w:fldChar w:fldCharType="begin"/>
      </w:r>
      <w:r>
        <w:instrText xml:space="preserve"> PAGEREF _Toc472066274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Availability of records</w:t>
      </w:r>
      <w:r>
        <w:tab/>
      </w:r>
      <w:r>
        <w:fldChar w:fldCharType="begin"/>
      </w:r>
      <w:r>
        <w:instrText xml:space="preserve"> PAGEREF _Toc472066275 \h </w:instrText>
      </w:r>
      <w:r>
        <w:fldChar w:fldCharType="separate"/>
      </w:r>
      <w:r>
        <w:t>42</w:t>
      </w:r>
      <w:r>
        <w:fldChar w:fldCharType="end"/>
      </w:r>
    </w:p>
    <w:p>
      <w:pPr>
        <w:pStyle w:val="TOC8"/>
        <w:rPr>
          <w:rFonts w:asciiTheme="minorHAnsi" w:eastAsiaTheme="minorEastAsia" w:hAnsiTheme="minorHAnsi" w:cstheme="minorBidi"/>
          <w:szCs w:val="22"/>
        </w:rPr>
      </w:pPr>
      <w:r>
        <w:t>51.</w:t>
      </w:r>
      <w:r>
        <w:tab/>
        <w:t>Offences to be dealt with by magistrate</w:t>
      </w:r>
      <w:r>
        <w:tab/>
      </w:r>
      <w:r>
        <w:fldChar w:fldCharType="begin"/>
      </w:r>
      <w:r>
        <w:instrText xml:space="preserve"> PAGEREF _Toc472066276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w:t>
      </w:r>
      <w:r>
        <w:tab/>
      </w:r>
      <w:r>
        <w:fldChar w:fldCharType="begin"/>
      </w:r>
      <w:r>
        <w:instrText xml:space="preserve"> PAGEREF _Toc472066277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Forfeiture</w:t>
      </w:r>
      <w:r>
        <w:tab/>
      </w:r>
      <w:r>
        <w:fldChar w:fldCharType="begin"/>
      </w:r>
      <w:r>
        <w:instrText xml:space="preserve"> PAGEREF _Toc472066278 \h </w:instrText>
      </w:r>
      <w:r>
        <w:fldChar w:fldCharType="separate"/>
      </w:r>
      <w:r>
        <w:t>44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seize and detain</w:t>
      </w:r>
      <w:r>
        <w:tab/>
      </w:r>
      <w:r>
        <w:fldChar w:fldCharType="begin"/>
      </w:r>
      <w:r>
        <w:instrText xml:space="preserve"> PAGEREF _Toc472066279 \h </w:instrText>
      </w:r>
      <w:r>
        <w:fldChar w:fldCharType="separate"/>
      </w:r>
      <w:r>
        <w:t>44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Emergency action</w:t>
      </w:r>
      <w:r>
        <w:tab/>
      </w:r>
      <w:r>
        <w:fldChar w:fldCharType="begin"/>
      </w:r>
      <w:r>
        <w:instrText xml:space="preserve"> PAGEREF _Toc472066280 \h </w:instrText>
      </w:r>
      <w:r>
        <w:fldChar w:fldCharType="separate"/>
      </w:r>
      <w:r>
        <w:t>45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Liability for the acts of others etc.</w:t>
      </w:r>
      <w:r>
        <w:tab/>
      </w:r>
      <w:r>
        <w:fldChar w:fldCharType="begin"/>
      </w:r>
      <w:r>
        <w:instrText xml:space="preserve"> PAGEREF _Toc472066281 \h </w:instrText>
      </w:r>
      <w:r>
        <w:fldChar w:fldCharType="separate"/>
      </w:r>
      <w:r>
        <w:t>46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Facilitation of proof</w:t>
      </w:r>
      <w:r>
        <w:tab/>
      </w:r>
      <w:r>
        <w:fldChar w:fldCharType="begin"/>
      </w:r>
      <w:r>
        <w:instrText xml:space="preserve"> PAGEREF _Toc472066282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58</w:t>
      </w:r>
      <w:r>
        <w:rPr>
          <w:snapToGrid w:val="0"/>
        </w:rPr>
        <w:t>.</w:t>
      </w:r>
      <w:r>
        <w:rPr>
          <w:snapToGrid w:val="0"/>
        </w:rPr>
        <w:tab/>
        <w:t>General power</w:t>
      </w:r>
      <w:r>
        <w:tab/>
      </w:r>
      <w:r>
        <w:fldChar w:fldCharType="begin"/>
      </w:r>
      <w:r>
        <w:instrText xml:space="preserve"> PAGEREF _Toc472066284 \h </w:instrText>
      </w:r>
      <w:r>
        <w:fldChar w:fldCharType="separate"/>
      </w:r>
      <w:r>
        <w:t>50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Specific powers</w:t>
      </w:r>
      <w:r>
        <w:tab/>
      </w:r>
      <w:r>
        <w:fldChar w:fldCharType="begin"/>
      </w:r>
      <w:r>
        <w:instrText xml:space="preserve"> PAGEREF _Toc472066285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_Toc472066287 \h </w:instrText>
      </w:r>
      <w:r>
        <w:fldChar w:fldCharType="separate"/>
      </w:r>
      <w:r>
        <w:t>53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_Toc472066288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96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3" w:name="_Toc471909493"/>
      <w:bookmarkStart w:id="4" w:name="_Toc472066220"/>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2066221"/>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6" w:name="_Toc47206622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rPr>
          <w:snapToGrid w:val="0"/>
        </w:rPr>
      </w:pPr>
      <w:bookmarkStart w:id="7" w:name="_Toc472066223"/>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Executive Director;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by No. 63 of 1981 s. 4; No. 28 of 1984 s. 96 and 97; No. 21 of 2006 Sch. 3 cl. 5(2)</w:t>
      </w:r>
      <w:r>
        <w:noBreakHyphen/>
        <w:t>(4); No. 35 of 2010 s. 143; No. 17 of 2014 s. 33.]</w:t>
      </w:r>
    </w:p>
    <w:p>
      <w:pPr>
        <w:pStyle w:val="Ednotesection"/>
      </w:pPr>
      <w:r>
        <w:t>[</w:t>
      </w:r>
      <w:r>
        <w:rPr>
          <w:b/>
          <w:bCs/>
        </w:rPr>
        <w:t>5.</w:t>
      </w:r>
      <w:r>
        <w:tab/>
        <w:t>Deleted by No. 21 of 2006 Sch. 3 cl. 5(5).]</w:t>
      </w:r>
    </w:p>
    <w:p>
      <w:pPr>
        <w:pStyle w:val="Heading5"/>
        <w:spacing w:before="200"/>
        <w:rPr>
          <w:snapToGrid w:val="0"/>
        </w:rPr>
      </w:pPr>
      <w:bookmarkStart w:id="8" w:name="_Toc472066224"/>
      <w:r>
        <w:rPr>
          <w:rStyle w:val="CharSectno"/>
        </w:rPr>
        <w:t>6</w:t>
      </w:r>
      <w:r>
        <w:rPr>
          <w:snapToGrid w:val="0"/>
        </w:rPr>
        <w:t>.</w:t>
      </w:r>
      <w:r>
        <w:rPr>
          <w:snapToGrid w:val="0"/>
        </w:rPr>
        <w:tab/>
        <w:t>Application of this Act, and exemptions</w:t>
      </w:r>
      <w:bookmarkEnd w:id="8"/>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9" w:name="_Toc472066225"/>
      <w:r>
        <w:rPr>
          <w:rStyle w:val="CharSectno"/>
        </w:rPr>
        <w:t>7</w:t>
      </w:r>
      <w:r>
        <w:rPr>
          <w:snapToGrid w:val="0"/>
        </w:rPr>
        <w:t>.</w:t>
      </w:r>
      <w:r>
        <w:rPr>
          <w:snapToGrid w:val="0"/>
        </w:rPr>
        <w:tab/>
        <w:t>Crown bound</w:t>
      </w:r>
      <w:bookmarkEnd w:id="9"/>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10" w:name="_Toc472066226"/>
      <w:r>
        <w:rPr>
          <w:rStyle w:val="CharSectno"/>
        </w:rPr>
        <w:t>8</w:t>
      </w:r>
      <w:r>
        <w:rPr>
          <w:snapToGrid w:val="0"/>
        </w:rPr>
        <w:t>.</w:t>
      </w:r>
      <w:r>
        <w:rPr>
          <w:snapToGrid w:val="0"/>
        </w:rPr>
        <w:tab/>
        <w:t>Prohibition</w:t>
      </w:r>
      <w:bookmarkEnd w:id="10"/>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11" w:name="_Toc472066227"/>
      <w:r>
        <w:rPr>
          <w:rStyle w:val="CharSectno"/>
        </w:rPr>
        <w:t>9</w:t>
      </w:r>
      <w:r>
        <w:rPr>
          <w:snapToGrid w:val="0"/>
        </w:rPr>
        <w:t>.</w:t>
      </w:r>
      <w:r>
        <w:rPr>
          <w:snapToGrid w:val="0"/>
        </w:rPr>
        <w:tab/>
        <w:t>Civil remedies</w:t>
      </w:r>
      <w:bookmarkEnd w:id="11"/>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12" w:name="_Toc471909501"/>
      <w:bookmarkStart w:id="13" w:name="_Toc472066228"/>
      <w:r>
        <w:rPr>
          <w:rStyle w:val="CharPartNo"/>
        </w:rPr>
        <w:t>Part II</w:t>
      </w:r>
      <w:r>
        <w:rPr>
          <w:rStyle w:val="CharDivNo"/>
        </w:rPr>
        <w:t> </w:t>
      </w:r>
      <w:r>
        <w:t>—</w:t>
      </w:r>
      <w:r>
        <w:rPr>
          <w:rStyle w:val="CharDivText"/>
        </w:rPr>
        <w:t> </w:t>
      </w:r>
      <w:r>
        <w:rPr>
          <w:rStyle w:val="CharPartText"/>
        </w:rPr>
        <w:t>Administrative provisions</w:t>
      </w:r>
      <w:bookmarkEnd w:id="12"/>
      <w:bookmarkEnd w:id="13"/>
      <w:r>
        <w:rPr>
          <w:rStyle w:val="CharPartText"/>
        </w:rPr>
        <w:t xml:space="preserve"> </w:t>
      </w:r>
    </w:p>
    <w:p>
      <w:pPr>
        <w:pStyle w:val="Heading5"/>
        <w:rPr>
          <w:snapToGrid w:val="0"/>
        </w:rPr>
      </w:pPr>
      <w:bookmarkStart w:id="14" w:name="_Toc472066229"/>
      <w:r>
        <w:rPr>
          <w:rStyle w:val="CharSectno"/>
        </w:rPr>
        <w:t>10</w:t>
      </w:r>
      <w:r>
        <w:rPr>
          <w:snapToGrid w:val="0"/>
        </w:rPr>
        <w:t>.</w:t>
      </w:r>
      <w:r>
        <w:rPr>
          <w:snapToGrid w:val="0"/>
        </w:rPr>
        <w:tab/>
        <w:t>Duty of Minister and administrative arrangements</w:t>
      </w:r>
      <w:bookmarkEnd w:id="14"/>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p>
    <w:p>
      <w:pPr>
        <w:pStyle w:val="Indenta"/>
        <w:spacing w:before="60"/>
        <w:rPr>
          <w:snapToGrid w:val="0"/>
        </w:rPr>
      </w:pPr>
      <w:r>
        <w:rPr>
          <w:snapToGrid w:val="0"/>
        </w:rPr>
        <w:tab/>
        <w:t>(b)</w:t>
      </w:r>
      <w:r>
        <w:rPr>
          <w:snapToGrid w:val="0"/>
        </w:rPr>
        <w:tab/>
        <w:t>to conduct inquiries into alleged contraventions, and to suspend or cancel licences and registrations;</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15" w:name="_Toc472066230"/>
      <w:r>
        <w:rPr>
          <w:rStyle w:val="CharSectno"/>
        </w:rPr>
        <w:t>11</w:t>
      </w:r>
      <w:r>
        <w:rPr>
          <w:snapToGrid w:val="0"/>
        </w:rPr>
        <w:t>.</w:t>
      </w:r>
      <w:r>
        <w:rPr>
          <w:snapToGrid w:val="0"/>
        </w:rPr>
        <w:tab/>
        <w:t>Further functions of the Council</w:t>
      </w:r>
      <w:bookmarkEnd w:id="15"/>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16" w:name="_Toc472066231"/>
      <w:r>
        <w:rPr>
          <w:rStyle w:val="CharSectno"/>
        </w:rPr>
        <w:t>12</w:t>
      </w:r>
      <w:r>
        <w:rPr>
          <w:snapToGrid w:val="0"/>
        </w:rPr>
        <w:t>.</w:t>
      </w:r>
      <w:r>
        <w:rPr>
          <w:snapToGrid w:val="0"/>
        </w:rPr>
        <w:tab/>
        <w:t>Reviews</w:t>
      </w:r>
      <w:bookmarkEnd w:id="16"/>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by No. 55 of 2004 s. 994.]</w:t>
      </w:r>
    </w:p>
    <w:p>
      <w:pPr>
        <w:pStyle w:val="Heading5"/>
        <w:rPr>
          <w:snapToGrid w:val="0"/>
        </w:rPr>
      </w:pPr>
      <w:bookmarkStart w:id="17" w:name="_Toc472066232"/>
      <w:r>
        <w:rPr>
          <w:rStyle w:val="CharSectno"/>
        </w:rPr>
        <w:t>13</w:t>
      </w:r>
      <w:r>
        <w:rPr>
          <w:snapToGrid w:val="0"/>
        </w:rPr>
        <w:t>.</w:t>
      </w:r>
      <w:r>
        <w:rPr>
          <w:snapToGrid w:val="0"/>
        </w:rPr>
        <w:tab/>
        <w:t>Radiological Council</w:t>
      </w:r>
      <w:bookmarkEnd w:id="17"/>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No. 21 of 2006 Sch. 3 cl. 5(6); No. 35 of 2010 s. 144.] </w:t>
      </w:r>
    </w:p>
    <w:p>
      <w:pPr>
        <w:pStyle w:val="Heading5"/>
        <w:rPr>
          <w:snapToGrid w:val="0"/>
        </w:rPr>
      </w:pPr>
      <w:bookmarkStart w:id="18" w:name="_Toc472066233"/>
      <w:r>
        <w:rPr>
          <w:rStyle w:val="CharSectno"/>
        </w:rPr>
        <w:t>14</w:t>
      </w:r>
      <w:r>
        <w:rPr>
          <w:snapToGrid w:val="0"/>
        </w:rPr>
        <w:t>.</w:t>
      </w:r>
      <w:r>
        <w:rPr>
          <w:snapToGrid w:val="0"/>
        </w:rPr>
        <w:tab/>
        <w:t>Tenure of office</w:t>
      </w:r>
      <w:bookmarkEnd w:id="18"/>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 No. 18 of 2009 s. 73.]</w:t>
      </w:r>
    </w:p>
    <w:p>
      <w:pPr>
        <w:pStyle w:val="Heading5"/>
        <w:rPr>
          <w:snapToGrid w:val="0"/>
        </w:rPr>
      </w:pPr>
      <w:bookmarkStart w:id="19" w:name="_Toc472066234"/>
      <w:r>
        <w:rPr>
          <w:rStyle w:val="CharSectno"/>
        </w:rPr>
        <w:t>15</w:t>
      </w:r>
      <w:r>
        <w:rPr>
          <w:snapToGrid w:val="0"/>
        </w:rPr>
        <w:t>.</w:t>
      </w:r>
      <w:r>
        <w:rPr>
          <w:snapToGrid w:val="0"/>
        </w:rPr>
        <w:tab/>
        <w:t>Deputies and casual vacancies</w:t>
      </w:r>
      <w:bookmarkEnd w:id="19"/>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20" w:name="_Toc472066235"/>
      <w:r>
        <w:rPr>
          <w:rStyle w:val="CharSectno"/>
        </w:rPr>
        <w:t>16</w:t>
      </w:r>
      <w:r>
        <w:rPr>
          <w:snapToGrid w:val="0"/>
        </w:rPr>
        <w:t>.</w:t>
      </w:r>
      <w:r>
        <w:rPr>
          <w:snapToGrid w:val="0"/>
        </w:rPr>
        <w:tab/>
        <w:t>Proceedings</w:t>
      </w:r>
      <w:bookmarkEnd w:id="20"/>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21" w:name="_Toc472066236"/>
      <w:r>
        <w:rPr>
          <w:rStyle w:val="CharSectno"/>
        </w:rPr>
        <w:t>17</w:t>
      </w:r>
      <w:r>
        <w:rPr>
          <w:snapToGrid w:val="0"/>
        </w:rPr>
        <w:t>.</w:t>
      </w:r>
      <w:r>
        <w:rPr>
          <w:snapToGrid w:val="0"/>
        </w:rPr>
        <w:tab/>
        <w:t>Co</w:t>
      </w:r>
      <w:r>
        <w:rPr>
          <w:snapToGrid w:val="0"/>
        </w:rPr>
        <w:noBreakHyphen/>
        <w:t>option and consultants</w:t>
      </w:r>
      <w:bookmarkEnd w:id="21"/>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22" w:name="_Toc472066237"/>
      <w:r>
        <w:rPr>
          <w:rStyle w:val="CharSectno"/>
        </w:rPr>
        <w:t>18</w:t>
      </w:r>
      <w:r>
        <w:rPr>
          <w:snapToGrid w:val="0"/>
        </w:rPr>
        <w:t>.</w:t>
      </w:r>
      <w:r>
        <w:rPr>
          <w:snapToGrid w:val="0"/>
        </w:rPr>
        <w:tab/>
        <w:t>Delegation</w:t>
      </w:r>
      <w:bookmarkEnd w:id="22"/>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23" w:name="_Toc472066238"/>
      <w:r>
        <w:rPr>
          <w:rStyle w:val="CharSectno"/>
        </w:rPr>
        <w:t>19</w:t>
      </w:r>
      <w:r>
        <w:rPr>
          <w:snapToGrid w:val="0"/>
        </w:rPr>
        <w:t>.</w:t>
      </w:r>
      <w:r>
        <w:rPr>
          <w:snapToGrid w:val="0"/>
        </w:rPr>
        <w:tab/>
        <w:t>Committees</w:t>
      </w:r>
      <w:bookmarkEnd w:id="23"/>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24" w:name="_Toc472066239"/>
      <w:r>
        <w:rPr>
          <w:rStyle w:val="CharSectno"/>
        </w:rPr>
        <w:t>20</w:t>
      </w:r>
      <w:r>
        <w:rPr>
          <w:snapToGrid w:val="0"/>
        </w:rPr>
        <w:t>.</w:t>
      </w:r>
      <w:r>
        <w:rPr>
          <w:snapToGrid w:val="0"/>
        </w:rPr>
        <w:tab/>
        <w:t>Restriction on remuneration</w:t>
      </w:r>
      <w:bookmarkEnd w:id="24"/>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by No. 32 of 1994 s. 3(1) and 4; No. 39 of 2010 s. 89.] </w:t>
      </w:r>
    </w:p>
    <w:p>
      <w:pPr>
        <w:pStyle w:val="Heading5"/>
        <w:rPr>
          <w:snapToGrid w:val="0"/>
        </w:rPr>
      </w:pPr>
      <w:bookmarkStart w:id="25" w:name="_Toc472066240"/>
      <w:r>
        <w:rPr>
          <w:rStyle w:val="CharSectno"/>
        </w:rPr>
        <w:t>21</w:t>
      </w:r>
      <w:r>
        <w:rPr>
          <w:snapToGrid w:val="0"/>
        </w:rPr>
        <w:t>.</w:t>
      </w:r>
      <w:r>
        <w:rPr>
          <w:snapToGrid w:val="0"/>
        </w:rPr>
        <w:tab/>
        <w:t>Transfer of property</w:t>
      </w:r>
      <w:bookmarkEnd w:id="25"/>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26" w:name="_Toc472066241"/>
      <w:r>
        <w:rPr>
          <w:rStyle w:val="CharSectno"/>
        </w:rPr>
        <w:t>22</w:t>
      </w:r>
      <w:r>
        <w:rPr>
          <w:snapToGrid w:val="0"/>
        </w:rPr>
        <w:t>.</w:t>
      </w:r>
      <w:r>
        <w:rPr>
          <w:snapToGrid w:val="0"/>
        </w:rPr>
        <w:tab/>
        <w:t>Annual report of Council etc.</w:t>
      </w:r>
      <w:bookmarkEnd w:id="26"/>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27" w:name="_Toc472066242"/>
      <w:r>
        <w:rPr>
          <w:rStyle w:val="CharSectno"/>
        </w:rPr>
        <w:t>23</w:t>
      </w:r>
      <w:r>
        <w:rPr>
          <w:snapToGrid w:val="0"/>
        </w:rPr>
        <w:t>.</w:t>
      </w:r>
      <w:r>
        <w:rPr>
          <w:snapToGrid w:val="0"/>
        </w:rPr>
        <w:tab/>
        <w:t>Disputes with governmental bodies</w:t>
      </w:r>
      <w:bookmarkEnd w:id="27"/>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28" w:name="_Toc472066243"/>
      <w:r>
        <w:rPr>
          <w:rStyle w:val="CharSectno"/>
        </w:rPr>
        <w:t>24</w:t>
      </w:r>
      <w:r>
        <w:rPr>
          <w:snapToGrid w:val="0"/>
        </w:rPr>
        <w:t>.</w:t>
      </w:r>
      <w:r>
        <w:rPr>
          <w:snapToGrid w:val="0"/>
        </w:rPr>
        <w:tab/>
        <w:t>Actions, claims and demands</w:t>
      </w:r>
      <w:bookmarkEnd w:id="28"/>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5"/>
      </w:pPr>
      <w:bookmarkStart w:id="29" w:name="_Toc472066244"/>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29"/>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by No. 21 of 2006 Sch. 3 cl. 5(7); amended by No. 35 of 2010 s. 145.]</w:t>
      </w:r>
    </w:p>
    <w:p>
      <w:pPr>
        <w:pStyle w:val="Heading2"/>
      </w:pPr>
      <w:bookmarkStart w:id="30" w:name="_Toc471909518"/>
      <w:bookmarkStart w:id="31" w:name="_Toc472066245"/>
      <w:r>
        <w:rPr>
          <w:rStyle w:val="CharPartNo"/>
        </w:rPr>
        <w:t>Part III</w:t>
      </w:r>
      <w:r>
        <w:rPr>
          <w:rStyle w:val="CharDivNo"/>
        </w:rPr>
        <w:t> </w:t>
      </w:r>
      <w:r>
        <w:t>—</w:t>
      </w:r>
      <w:r>
        <w:rPr>
          <w:rStyle w:val="CharDivText"/>
        </w:rPr>
        <w:t> </w:t>
      </w:r>
      <w:r>
        <w:rPr>
          <w:rStyle w:val="CharPartText"/>
        </w:rPr>
        <w:t>Licensing and registration</w:t>
      </w:r>
      <w:bookmarkEnd w:id="30"/>
      <w:bookmarkEnd w:id="31"/>
      <w:r>
        <w:rPr>
          <w:rStyle w:val="CharPartText"/>
        </w:rPr>
        <w:t xml:space="preserve"> </w:t>
      </w:r>
    </w:p>
    <w:p>
      <w:pPr>
        <w:pStyle w:val="Heading5"/>
        <w:rPr>
          <w:snapToGrid w:val="0"/>
        </w:rPr>
      </w:pPr>
      <w:bookmarkStart w:id="32" w:name="_Toc472066246"/>
      <w:r>
        <w:rPr>
          <w:rStyle w:val="CharSectno"/>
        </w:rPr>
        <w:t>25</w:t>
      </w:r>
      <w:r>
        <w:rPr>
          <w:snapToGrid w:val="0"/>
        </w:rPr>
        <w:t>.</w:t>
      </w:r>
      <w:r>
        <w:rPr>
          <w:snapToGrid w:val="0"/>
        </w:rPr>
        <w:tab/>
        <w:t>Matters requiring a licence</w:t>
      </w:r>
      <w:bookmarkEnd w:id="32"/>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33" w:name="_Toc472066247"/>
      <w:r>
        <w:rPr>
          <w:rStyle w:val="CharSectno"/>
        </w:rPr>
        <w:t>26</w:t>
      </w:r>
      <w:r>
        <w:rPr>
          <w:snapToGrid w:val="0"/>
        </w:rPr>
        <w:t>.</w:t>
      </w:r>
      <w:r>
        <w:rPr>
          <w:snapToGrid w:val="0"/>
        </w:rPr>
        <w:tab/>
        <w:t>Licensing of persons</w:t>
      </w:r>
      <w:bookmarkEnd w:id="3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person registered under the </w:t>
      </w:r>
      <w:r>
        <w:rPr>
          <w:i/>
          <w:iCs/>
        </w:rPr>
        <w:t>Health Practitioner Regulation National Law (Western Australia)</w:t>
      </w:r>
      <w:r>
        <w:t xml:space="preserve"> whose name is entered on the Register of Nurses kept under that Law as being qualified to practise as a nurse practitioner acting in accordance with the relevant provision, if any, of a code or guidelines approved under section 39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 No. 50 of 2006 Sch. 3 cl. 19; No. 35 of 2010 s. 146.]</w:t>
      </w:r>
    </w:p>
    <w:p>
      <w:pPr>
        <w:pStyle w:val="Heading5"/>
        <w:spacing w:before="200"/>
        <w:rPr>
          <w:snapToGrid w:val="0"/>
        </w:rPr>
      </w:pPr>
      <w:bookmarkStart w:id="34" w:name="_Toc472066248"/>
      <w:r>
        <w:rPr>
          <w:rStyle w:val="CharSectno"/>
        </w:rPr>
        <w:t>27</w:t>
      </w:r>
      <w:r>
        <w:rPr>
          <w:snapToGrid w:val="0"/>
        </w:rPr>
        <w:t>.</w:t>
      </w:r>
      <w:r>
        <w:rPr>
          <w:snapToGrid w:val="0"/>
        </w:rPr>
        <w:tab/>
        <w:t>Use of radioactive substances or radiation on persons</w:t>
      </w:r>
      <w:bookmarkEnd w:id="3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by No. 21 of 2006 Sch. 3 cl. 5(8); No. 35 of 2010 s. 147.]</w:t>
      </w:r>
    </w:p>
    <w:p>
      <w:pPr>
        <w:pStyle w:val="Heading5"/>
        <w:rPr>
          <w:snapToGrid w:val="0"/>
        </w:rPr>
      </w:pPr>
      <w:bookmarkStart w:id="35" w:name="_Toc472066249"/>
      <w:r>
        <w:rPr>
          <w:rStyle w:val="CharSectno"/>
        </w:rPr>
        <w:t>28</w:t>
      </w:r>
      <w:r>
        <w:rPr>
          <w:snapToGrid w:val="0"/>
        </w:rPr>
        <w:t>.</w:t>
      </w:r>
      <w:r>
        <w:rPr>
          <w:snapToGrid w:val="0"/>
        </w:rPr>
        <w:tab/>
        <w:t>Registration</w:t>
      </w:r>
      <w:bookmarkEnd w:id="35"/>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36" w:name="_Toc472066250"/>
      <w:r>
        <w:rPr>
          <w:rStyle w:val="CharSectno"/>
        </w:rPr>
        <w:t>29</w:t>
      </w:r>
      <w:r>
        <w:rPr>
          <w:snapToGrid w:val="0"/>
        </w:rPr>
        <w:t>.</w:t>
      </w:r>
      <w:r>
        <w:rPr>
          <w:snapToGrid w:val="0"/>
        </w:rPr>
        <w:tab/>
        <w:t>Sales and purchases</w:t>
      </w:r>
      <w:bookmarkEnd w:id="36"/>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37" w:name="_Toc472066251"/>
      <w:r>
        <w:rPr>
          <w:rStyle w:val="CharSectno"/>
        </w:rPr>
        <w:t>30</w:t>
      </w:r>
      <w:r>
        <w:rPr>
          <w:snapToGrid w:val="0"/>
        </w:rPr>
        <w:t>.</w:t>
      </w:r>
      <w:r>
        <w:rPr>
          <w:snapToGrid w:val="0"/>
        </w:rPr>
        <w:tab/>
        <w:t>Registration of defective premises, apparatus or products prohibited</w:t>
      </w:r>
      <w:bookmarkEnd w:id="37"/>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38" w:name="_Toc472066252"/>
      <w:r>
        <w:rPr>
          <w:rStyle w:val="CharSectno"/>
        </w:rPr>
        <w:t>31</w:t>
      </w:r>
      <w:r>
        <w:rPr>
          <w:snapToGrid w:val="0"/>
        </w:rPr>
        <w:t>.</w:t>
      </w:r>
      <w:r>
        <w:rPr>
          <w:snapToGrid w:val="0"/>
        </w:rPr>
        <w:tab/>
        <w:t>Review of potentially dangerous articles</w:t>
      </w:r>
      <w:bookmarkEnd w:id="38"/>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39" w:name="_Toc472066253"/>
      <w:r>
        <w:rPr>
          <w:rStyle w:val="CharSectno"/>
        </w:rPr>
        <w:t>32</w:t>
      </w:r>
      <w:r>
        <w:rPr>
          <w:snapToGrid w:val="0"/>
        </w:rPr>
        <w:t>.</w:t>
      </w:r>
      <w:r>
        <w:rPr>
          <w:snapToGrid w:val="0"/>
        </w:rPr>
        <w:tab/>
        <w:t>Refusal of licence, exemption or registration</w:t>
      </w:r>
      <w:bookmarkEnd w:id="39"/>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40" w:name="_Toc472066254"/>
      <w:r>
        <w:rPr>
          <w:rStyle w:val="CharSectno"/>
        </w:rPr>
        <w:t>33</w:t>
      </w:r>
      <w:r>
        <w:rPr>
          <w:snapToGrid w:val="0"/>
        </w:rPr>
        <w:t>.</w:t>
      </w:r>
      <w:r>
        <w:rPr>
          <w:snapToGrid w:val="0"/>
        </w:rPr>
        <w:tab/>
        <w:t>Licences and registration</w:t>
      </w:r>
      <w:bookmarkEnd w:id="40"/>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41" w:name="_Toc472066255"/>
      <w:r>
        <w:rPr>
          <w:rStyle w:val="CharSectno"/>
        </w:rPr>
        <w:t>34</w:t>
      </w:r>
      <w:r>
        <w:rPr>
          <w:snapToGrid w:val="0"/>
        </w:rPr>
        <w:t>.</w:t>
      </w:r>
      <w:r>
        <w:rPr>
          <w:snapToGrid w:val="0"/>
        </w:rPr>
        <w:tab/>
        <w:t>Disposal permits</w:t>
      </w:r>
      <w:bookmarkEnd w:id="41"/>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42" w:name="_Toc472066256"/>
      <w:r>
        <w:rPr>
          <w:rStyle w:val="CharSectno"/>
        </w:rPr>
        <w:t>35</w:t>
      </w:r>
      <w:r>
        <w:rPr>
          <w:snapToGrid w:val="0"/>
        </w:rPr>
        <w:t>.</w:t>
      </w:r>
      <w:r>
        <w:rPr>
          <w:snapToGrid w:val="0"/>
        </w:rPr>
        <w:tab/>
        <w:t>Temporary permits</w:t>
      </w:r>
      <w:bookmarkEnd w:id="42"/>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43" w:name="_Toc472066257"/>
      <w:r>
        <w:rPr>
          <w:rStyle w:val="CharSectno"/>
        </w:rPr>
        <w:t>36</w:t>
      </w:r>
      <w:r>
        <w:rPr>
          <w:snapToGrid w:val="0"/>
        </w:rPr>
        <w:t>.</w:t>
      </w:r>
      <w:r>
        <w:rPr>
          <w:snapToGrid w:val="0"/>
        </w:rPr>
        <w:tab/>
        <w:t>Conditions, restrictions and limitations on, and revocation or suspension of, licences, exemptions, and registrations</w:t>
      </w:r>
      <w:bookmarkEnd w:id="43"/>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in Gazette 28 Oct 2003 p. 4527.]</w:t>
      </w:r>
    </w:p>
    <w:p>
      <w:pPr>
        <w:pStyle w:val="Heading5"/>
      </w:pPr>
      <w:bookmarkStart w:id="44" w:name="_Toc472066258"/>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44"/>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by No. 35 of 2010 s. 148.]</w:t>
      </w:r>
    </w:p>
    <w:p>
      <w:pPr>
        <w:pStyle w:val="Heading5"/>
        <w:rPr>
          <w:snapToGrid w:val="0"/>
        </w:rPr>
      </w:pPr>
      <w:bookmarkStart w:id="45" w:name="_Toc472066259"/>
      <w:r>
        <w:rPr>
          <w:rStyle w:val="CharSectno"/>
        </w:rPr>
        <w:t>37</w:t>
      </w:r>
      <w:r>
        <w:rPr>
          <w:snapToGrid w:val="0"/>
        </w:rPr>
        <w:t>.</w:t>
      </w:r>
      <w:r>
        <w:rPr>
          <w:snapToGrid w:val="0"/>
        </w:rPr>
        <w:tab/>
        <w:t>Duration of licences, exemptions and registrations</w:t>
      </w:r>
      <w:bookmarkEnd w:id="45"/>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46" w:name="_Toc472066260"/>
      <w:r>
        <w:rPr>
          <w:rStyle w:val="CharSectno"/>
        </w:rPr>
        <w:t>38</w:t>
      </w:r>
      <w:r>
        <w:rPr>
          <w:snapToGrid w:val="0"/>
        </w:rPr>
        <w:t>.</w:t>
      </w:r>
      <w:r>
        <w:rPr>
          <w:snapToGrid w:val="0"/>
        </w:rPr>
        <w:tab/>
        <w:t>Change of circumstances</w:t>
      </w:r>
      <w:bookmarkEnd w:id="4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47" w:name="_Toc472066261"/>
      <w:r>
        <w:rPr>
          <w:rStyle w:val="CharSectno"/>
        </w:rPr>
        <w:t>39</w:t>
      </w:r>
      <w:r>
        <w:rPr>
          <w:snapToGrid w:val="0"/>
        </w:rPr>
        <w:t>.</w:t>
      </w:r>
      <w:r>
        <w:rPr>
          <w:snapToGrid w:val="0"/>
        </w:rPr>
        <w:tab/>
        <w:t>Power to obtain information</w:t>
      </w:r>
      <w:bookmarkEnd w:id="47"/>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48" w:name="_Toc472066262"/>
      <w:r>
        <w:rPr>
          <w:rStyle w:val="CharSectno"/>
        </w:rPr>
        <w:t>40A</w:t>
      </w:r>
      <w:r>
        <w:t>.</w:t>
      </w:r>
      <w:r>
        <w:tab/>
        <w:t>Notifications to Radiological Council</w:t>
      </w:r>
      <w:bookmarkEnd w:id="48"/>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by No. 35 of 2010 s. 149.]</w:t>
      </w:r>
    </w:p>
    <w:p>
      <w:pPr>
        <w:pStyle w:val="Heading5"/>
        <w:rPr>
          <w:snapToGrid w:val="0"/>
        </w:rPr>
      </w:pPr>
      <w:bookmarkStart w:id="49" w:name="_Toc472066263"/>
      <w:r>
        <w:rPr>
          <w:rStyle w:val="CharSectno"/>
        </w:rPr>
        <w:t>40</w:t>
      </w:r>
      <w:r>
        <w:rPr>
          <w:snapToGrid w:val="0"/>
        </w:rPr>
        <w:t>.</w:t>
      </w:r>
      <w:r>
        <w:rPr>
          <w:snapToGrid w:val="0"/>
        </w:rPr>
        <w:tab/>
        <w:t>Surrender of documents</w:t>
      </w:r>
      <w:bookmarkEnd w:id="49"/>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50" w:name="_Toc472066264"/>
      <w:r>
        <w:rPr>
          <w:rStyle w:val="CharSectno"/>
        </w:rPr>
        <w:t>41</w:t>
      </w:r>
      <w:r>
        <w:rPr>
          <w:snapToGrid w:val="0"/>
        </w:rPr>
        <w:t>.</w:t>
      </w:r>
      <w:r>
        <w:rPr>
          <w:snapToGrid w:val="0"/>
        </w:rPr>
        <w:tab/>
        <w:t>Registers</w:t>
      </w:r>
      <w:bookmarkEnd w:id="5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51" w:name="_Toc472066265"/>
      <w:r>
        <w:rPr>
          <w:rStyle w:val="CharSectno"/>
        </w:rPr>
        <w:t>41A</w:t>
      </w:r>
      <w:r>
        <w:t>.</w:t>
      </w:r>
      <w:r>
        <w:tab/>
        <w:t>Restriction on authorisation of storage, transportation or disposal of nuclear waste</w:t>
      </w:r>
      <w:bookmarkEnd w:id="51"/>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52" w:name="_Toc471909539"/>
      <w:bookmarkStart w:id="53" w:name="_Toc472066266"/>
      <w:r>
        <w:rPr>
          <w:rStyle w:val="CharPartNo"/>
        </w:rPr>
        <w:t>Part IV</w:t>
      </w:r>
      <w:r>
        <w:rPr>
          <w:rStyle w:val="CharDivNo"/>
        </w:rPr>
        <w:t> </w:t>
      </w:r>
      <w:r>
        <w:t>—</w:t>
      </w:r>
      <w:r>
        <w:rPr>
          <w:rStyle w:val="CharDivText"/>
        </w:rPr>
        <w:t> </w:t>
      </w:r>
      <w:r>
        <w:rPr>
          <w:rStyle w:val="CharPartText"/>
        </w:rPr>
        <w:t>Enforcement</w:t>
      </w:r>
      <w:bookmarkEnd w:id="52"/>
      <w:bookmarkEnd w:id="53"/>
      <w:r>
        <w:rPr>
          <w:rStyle w:val="CharPartText"/>
        </w:rPr>
        <w:t xml:space="preserve"> </w:t>
      </w:r>
    </w:p>
    <w:p>
      <w:pPr>
        <w:pStyle w:val="Heading5"/>
        <w:rPr>
          <w:snapToGrid w:val="0"/>
        </w:rPr>
      </w:pPr>
      <w:bookmarkStart w:id="54" w:name="_Toc472066267"/>
      <w:r>
        <w:rPr>
          <w:rStyle w:val="CharSectno"/>
        </w:rPr>
        <w:t>42</w:t>
      </w:r>
      <w:r>
        <w:rPr>
          <w:snapToGrid w:val="0"/>
        </w:rPr>
        <w:t>.</w:t>
      </w:r>
      <w:r>
        <w:rPr>
          <w:snapToGrid w:val="0"/>
        </w:rPr>
        <w:tab/>
        <w:t>Power of entry and inspection</w:t>
      </w:r>
      <w:bookmarkEnd w:id="54"/>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[Section 42 amended by No. 63 of 1981 s. 4; No. 28 of 1984 s. 97.]</w:t>
      </w:r>
    </w:p>
    <w:p>
      <w:pPr>
        <w:pStyle w:val="Heading5"/>
        <w:rPr>
          <w:snapToGrid w:val="0"/>
        </w:rPr>
      </w:pPr>
      <w:bookmarkStart w:id="55" w:name="_Toc472066268"/>
      <w:r>
        <w:rPr>
          <w:rStyle w:val="CharSectno"/>
        </w:rPr>
        <w:t>43</w:t>
      </w:r>
      <w:r>
        <w:rPr>
          <w:snapToGrid w:val="0"/>
        </w:rPr>
        <w:t>.</w:t>
      </w:r>
      <w:r>
        <w:rPr>
          <w:snapToGrid w:val="0"/>
        </w:rPr>
        <w:tab/>
        <w:t>Warrants</w:t>
      </w:r>
      <w:bookmarkEnd w:id="55"/>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56" w:name="_Toc472066269"/>
      <w:r>
        <w:rPr>
          <w:rStyle w:val="CharSectno"/>
        </w:rPr>
        <w:t>44</w:t>
      </w:r>
      <w:r>
        <w:rPr>
          <w:snapToGrid w:val="0"/>
        </w:rPr>
        <w:t>.</w:t>
      </w:r>
      <w:r>
        <w:rPr>
          <w:snapToGrid w:val="0"/>
        </w:rPr>
        <w:tab/>
        <w:t>Inspection procedure</w:t>
      </w:r>
      <w:bookmarkEnd w:id="56"/>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57" w:name="_Toc472066270"/>
      <w:r>
        <w:rPr>
          <w:rStyle w:val="CharSectno"/>
        </w:rPr>
        <w:t>45</w:t>
      </w:r>
      <w:r>
        <w:rPr>
          <w:snapToGrid w:val="0"/>
        </w:rPr>
        <w:t>.</w:t>
      </w:r>
      <w:r>
        <w:rPr>
          <w:snapToGrid w:val="0"/>
        </w:rPr>
        <w:tab/>
        <w:t>Owner to assist authorised officer</w:t>
      </w:r>
      <w:bookmarkEnd w:id="57"/>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58" w:name="_Toc472066271"/>
      <w:r>
        <w:rPr>
          <w:rStyle w:val="CharSectno"/>
        </w:rPr>
        <w:t>46</w:t>
      </w:r>
      <w:r>
        <w:rPr>
          <w:snapToGrid w:val="0"/>
        </w:rPr>
        <w:t>.</w:t>
      </w:r>
      <w:r>
        <w:rPr>
          <w:snapToGrid w:val="0"/>
        </w:rPr>
        <w:tab/>
        <w:t>Power to give directions</w:t>
      </w:r>
      <w:bookmarkEnd w:id="58"/>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59" w:name="_Toc472066272"/>
      <w:r>
        <w:rPr>
          <w:rStyle w:val="CharSectno"/>
        </w:rPr>
        <w:t>47</w:t>
      </w:r>
      <w:r>
        <w:rPr>
          <w:snapToGrid w:val="0"/>
        </w:rPr>
        <w:t>.</w:t>
      </w:r>
      <w:r>
        <w:rPr>
          <w:snapToGrid w:val="0"/>
        </w:rPr>
        <w:tab/>
        <w:t>Power to vary directions etc.</w:t>
      </w:r>
      <w:bookmarkEnd w:id="59"/>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60" w:name="_Toc472066273"/>
      <w:r>
        <w:rPr>
          <w:rStyle w:val="CharSectno"/>
        </w:rPr>
        <w:t>48</w:t>
      </w:r>
      <w:r>
        <w:rPr>
          <w:snapToGrid w:val="0"/>
        </w:rPr>
        <w:t>.</w:t>
      </w:r>
      <w:r>
        <w:rPr>
          <w:snapToGrid w:val="0"/>
        </w:rPr>
        <w:tab/>
        <w:t>Offences as to inspections etc.</w:t>
      </w:r>
      <w:bookmarkEnd w:id="60"/>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61" w:name="_Toc472066274"/>
      <w:r>
        <w:rPr>
          <w:rStyle w:val="CharSectno"/>
        </w:rPr>
        <w:t>49</w:t>
      </w:r>
      <w:r>
        <w:rPr>
          <w:snapToGrid w:val="0"/>
        </w:rPr>
        <w:t>.</w:t>
      </w:r>
      <w:r>
        <w:rPr>
          <w:snapToGrid w:val="0"/>
        </w:rPr>
        <w:tab/>
        <w:t>Secrecy</w:t>
      </w:r>
      <w:bookmarkEnd w:id="61"/>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 xml:space="preserve">with the consent of the person carrying on or operating the business to which that information relates; </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by No. 21 of 2006 Sch. 3 cl. 5(9).]</w:t>
      </w:r>
    </w:p>
    <w:p>
      <w:pPr>
        <w:pStyle w:val="Heading5"/>
        <w:spacing w:before="200"/>
        <w:rPr>
          <w:snapToGrid w:val="0"/>
        </w:rPr>
      </w:pPr>
      <w:bookmarkStart w:id="62" w:name="_Toc472066275"/>
      <w:r>
        <w:rPr>
          <w:rStyle w:val="CharSectno"/>
        </w:rPr>
        <w:t>50</w:t>
      </w:r>
      <w:r>
        <w:rPr>
          <w:snapToGrid w:val="0"/>
        </w:rPr>
        <w:t>.</w:t>
      </w:r>
      <w:r>
        <w:rPr>
          <w:snapToGrid w:val="0"/>
        </w:rPr>
        <w:tab/>
        <w:t>Availability of records</w:t>
      </w:r>
      <w:bookmarkEnd w:id="62"/>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63" w:name="_Toc472066276"/>
      <w:r>
        <w:rPr>
          <w:rStyle w:val="CharSectno"/>
        </w:rPr>
        <w:t>51</w:t>
      </w:r>
      <w:r>
        <w:t>.</w:t>
      </w:r>
      <w:r>
        <w:rPr>
          <w:rStyle w:val="CharSectno"/>
        </w:rPr>
        <w:tab/>
      </w:r>
      <w:r>
        <w:t>Offences to be dealt with by magistrate</w:t>
      </w:r>
      <w:bookmarkEnd w:id="63"/>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64" w:name="_Toc472066277"/>
      <w:r>
        <w:rPr>
          <w:rStyle w:val="CharSectno"/>
        </w:rPr>
        <w:t>52</w:t>
      </w:r>
      <w:r>
        <w:rPr>
          <w:snapToGrid w:val="0"/>
        </w:rPr>
        <w:t>.</w:t>
      </w:r>
      <w:r>
        <w:rPr>
          <w:snapToGrid w:val="0"/>
        </w:rPr>
        <w:tab/>
        <w:t>Offences</w:t>
      </w:r>
      <w:bookmarkEnd w:id="64"/>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65" w:name="_Toc472066278"/>
      <w:r>
        <w:rPr>
          <w:rStyle w:val="CharSectno"/>
        </w:rPr>
        <w:t>53</w:t>
      </w:r>
      <w:r>
        <w:rPr>
          <w:snapToGrid w:val="0"/>
        </w:rPr>
        <w:t>.</w:t>
      </w:r>
      <w:r>
        <w:rPr>
          <w:snapToGrid w:val="0"/>
        </w:rPr>
        <w:tab/>
        <w:t>Forfeiture</w:t>
      </w:r>
      <w:bookmarkEnd w:id="65"/>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66" w:name="_Toc472066279"/>
      <w:r>
        <w:rPr>
          <w:rStyle w:val="CharSectno"/>
        </w:rPr>
        <w:t>54</w:t>
      </w:r>
      <w:r>
        <w:rPr>
          <w:snapToGrid w:val="0"/>
        </w:rPr>
        <w:t>.</w:t>
      </w:r>
      <w:r>
        <w:rPr>
          <w:snapToGrid w:val="0"/>
        </w:rPr>
        <w:tab/>
        <w:t>Power to seize and detain</w:t>
      </w:r>
      <w:bookmarkEnd w:id="66"/>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67" w:name="_Toc472066280"/>
      <w:r>
        <w:rPr>
          <w:rStyle w:val="CharSectno"/>
        </w:rPr>
        <w:t>55</w:t>
      </w:r>
      <w:r>
        <w:rPr>
          <w:snapToGrid w:val="0"/>
        </w:rPr>
        <w:t>.</w:t>
      </w:r>
      <w:r>
        <w:rPr>
          <w:snapToGrid w:val="0"/>
        </w:rPr>
        <w:tab/>
        <w:t>Emergency action</w:t>
      </w:r>
      <w:bookmarkEnd w:id="67"/>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68" w:name="_Toc472066281"/>
      <w:r>
        <w:rPr>
          <w:rStyle w:val="CharSectno"/>
        </w:rPr>
        <w:t>56</w:t>
      </w:r>
      <w:r>
        <w:rPr>
          <w:snapToGrid w:val="0"/>
        </w:rPr>
        <w:t>.</w:t>
      </w:r>
      <w:r>
        <w:rPr>
          <w:snapToGrid w:val="0"/>
        </w:rPr>
        <w:tab/>
        <w:t>Liability for the acts of others etc.</w:t>
      </w:r>
      <w:bookmarkEnd w:id="68"/>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69" w:name="_Toc472066282"/>
      <w:r>
        <w:rPr>
          <w:rStyle w:val="CharSectno"/>
        </w:rPr>
        <w:t>57</w:t>
      </w:r>
      <w:r>
        <w:rPr>
          <w:snapToGrid w:val="0"/>
        </w:rPr>
        <w:t>.</w:t>
      </w:r>
      <w:r>
        <w:rPr>
          <w:snapToGrid w:val="0"/>
        </w:rPr>
        <w:tab/>
        <w:t>Facilitation of proof</w:t>
      </w:r>
      <w:bookmarkEnd w:id="69"/>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 No. 8 of 2009 s. 107.]</w:t>
      </w:r>
    </w:p>
    <w:p>
      <w:pPr>
        <w:pStyle w:val="Heading2"/>
      </w:pPr>
      <w:bookmarkStart w:id="70" w:name="_Toc471909556"/>
      <w:bookmarkStart w:id="71" w:name="_Toc472066283"/>
      <w:r>
        <w:rPr>
          <w:rStyle w:val="CharPartNo"/>
        </w:rPr>
        <w:t>Part V</w:t>
      </w:r>
      <w:r>
        <w:rPr>
          <w:rStyle w:val="CharDivNo"/>
        </w:rPr>
        <w:t> </w:t>
      </w:r>
      <w:r>
        <w:t>—</w:t>
      </w:r>
      <w:r>
        <w:rPr>
          <w:rStyle w:val="CharDivText"/>
        </w:rPr>
        <w:t> </w:t>
      </w:r>
      <w:r>
        <w:rPr>
          <w:rStyle w:val="CharPartText"/>
        </w:rPr>
        <w:t>Regulations</w:t>
      </w:r>
      <w:bookmarkEnd w:id="70"/>
      <w:bookmarkEnd w:id="71"/>
      <w:r>
        <w:rPr>
          <w:rStyle w:val="CharPartText"/>
        </w:rPr>
        <w:t xml:space="preserve"> </w:t>
      </w:r>
    </w:p>
    <w:p>
      <w:pPr>
        <w:pStyle w:val="Heading5"/>
        <w:rPr>
          <w:snapToGrid w:val="0"/>
        </w:rPr>
      </w:pPr>
      <w:bookmarkStart w:id="72" w:name="_Toc472066284"/>
      <w:r>
        <w:rPr>
          <w:rStyle w:val="CharSectno"/>
        </w:rPr>
        <w:t>58</w:t>
      </w:r>
      <w:r>
        <w:rPr>
          <w:snapToGrid w:val="0"/>
        </w:rPr>
        <w:t>.</w:t>
      </w:r>
      <w:r>
        <w:rPr>
          <w:snapToGrid w:val="0"/>
        </w:rPr>
        <w:tab/>
        <w:t>General power</w:t>
      </w:r>
      <w:bookmarkEnd w:id="7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73" w:name="_Toc472066285"/>
      <w:r>
        <w:rPr>
          <w:rStyle w:val="CharSectno"/>
        </w:rPr>
        <w:t>59</w:t>
      </w:r>
      <w:r>
        <w:rPr>
          <w:snapToGrid w:val="0"/>
        </w:rPr>
        <w:t>.</w:t>
      </w:r>
      <w:r>
        <w:rPr>
          <w:snapToGrid w:val="0"/>
        </w:rPr>
        <w:tab/>
        <w:t>Specific powers</w:t>
      </w:r>
      <w:bookmarkEnd w:id="7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74" w:name="_Toc471909559"/>
      <w:bookmarkStart w:id="75" w:name="_Toc472066286"/>
      <w:r>
        <w:t>Notes</w:t>
      </w:r>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6" w:name="_Toc472066287"/>
      <w:r>
        <w:rPr>
          <w:snapToGrid w:val="0"/>
        </w:rPr>
        <w:t>Compilation table</w:t>
      </w:r>
      <w:bookmarkEnd w:id="76"/>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34"/>
        <w:gridCol w:w="18"/>
      </w:tblGrid>
      <w:tr>
        <w:trPr>
          <w:gridAfter w:val="1"/>
          <w:wAfter w:w="18" w:type="dxa"/>
          <w:cantSplit/>
          <w:tblHeader/>
        </w:trPr>
        <w:tc>
          <w:tcPr>
            <w:tcW w:w="2267"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34" w:type="dxa"/>
            <w:tcBorders>
              <w:top w:val="single" w:sz="8" w:space="0" w:color="auto"/>
              <w:bottom w:val="single" w:sz="8" w:space="0" w:color="auto"/>
            </w:tcBorders>
          </w:tcPr>
          <w:p>
            <w:pPr>
              <w:pStyle w:val="nTable"/>
              <w:spacing w:after="40"/>
              <w:rPr>
                <w:b/>
              </w:rPr>
            </w:pPr>
            <w:r>
              <w:rPr>
                <w:b/>
              </w:rPr>
              <w:t>Commencement</w:t>
            </w:r>
          </w:p>
        </w:tc>
      </w:tr>
      <w:tr>
        <w:trPr>
          <w:gridAfter w:val="1"/>
          <w:wAfter w:w="18" w:type="dxa"/>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34" w:type="dxa"/>
            <w:tcBorders>
              <w:top w:val="single" w:sz="8" w:space="0" w:color="auto"/>
            </w:tcBorders>
          </w:tcPr>
          <w:p>
            <w:pPr>
              <w:pStyle w:val="nTable"/>
              <w:spacing w:after="40"/>
            </w:pPr>
            <w:r>
              <w:t xml:space="preserve">7 May 1976 (see s. 2 and </w:t>
            </w:r>
            <w:r>
              <w:rPr>
                <w:i/>
              </w:rPr>
              <w:t>Gazette</w:t>
            </w:r>
            <w:r>
              <w:t xml:space="preserve"> 7 May 1976 p. 1381)</w:t>
            </w:r>
          </w:p>
        </w:tc>
      </w:tr>
      <w:tr>
        <w:trPr>
          <w:gridAfter w:val="1"/>
          <w:wAfter w:w="18" w:type="dxa"/>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34" w:type="dxa"/>
          </w:tcPr>
          <w:p>
            <w:pPr>
              <w:pStyle w:val="nTable"/>
              <w:spacing w:after="40"/>
            </w:pPr>
            <w:r>
              <w:t>30 Aug 1979</w:t>
            </w:r>
          </w:p>
        </w:tc>
      </w:tr>
      <w:tr>
        <w:trPr>
          <w:gridAfter w:val="1"/>
          <w:wAfter w:w="18" w:type="dxa"/>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34" w:type="dxa"/>
          </w:tcPr>
          <w:p>
            <w:pPr>
              <w:pStyle w:val="nTable"/>
              <w:spacing w:after="40"/>
            </w:pPr>
            <w:r>
              <w:t>13 Oct 1981</w:t>
            </w:r>
          </w:p>
        </w:tc>
      </w:tr>
      <w:tr>
        <w:trPr>
          <w:gridAfter w:val="1"/>
          <w:wAfter w:w="18" w:type="dxa"/>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34" w:type="dxa"/>
          </w:tcPr>
          <w:p>
            <w:pPr>
              <w:pStyle w:val="nTable"/>
              <w:spacing w:after="40"/>
            </w:pPr>
            <w:r>
              <w:t xml:space="preserve">1 Jul 1984 (see s. 2 and </w:t>
            </w:r>
            <w:r>
              <w:rPr>
                <w:i/>
              </w:rPr>
              <w:t>Gazette</w:t>
            </w:r>
            <w:r>
              <w:t xml:space="preserve"> 15 Jun 1984 p. 1629)</w:t>
            </w:r>
          </w:p>
        </w:tc>
      </w:tr>
      <w:tr>
        <w:trPr>
          <w:gridAfter w:val="1"/>
          <w:wAfter w:w="18" w:type="dxa"/>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34"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gridSpan w:val="2"/>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gridSpan w:val="2"/>
          </w:tcPr>
          <w:p>
            <w:pPr>
              <w:pStyle w:val="nTable"/>
              <w:spacing w:after="40"/>
            </w:pPr>
            <w:r>
              <w:t>7 Dec 1999 (see s. 2)</w:t>
            </w:r>
          </w:p>
        </w:tc>
      </w:tr>
      <w:tr>
        <w:trPr>
          <w:cantSplit/>
        </w:trPr>
        <w:tc>
          <w:tcPr>
            <w:tcW w:w="7087" w:type="dxa"/>
            <w:gridSpan w:val="5"/>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in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gridSpan w:val="2"/>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gridSpan w:val="2"/>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5"/>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gridSpan w:val="2"/>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gridSpan w:val="2"/>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7087" w:type="dxa"/>
            <w:gridSpan w:val="5"/>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Borders>
              <w:bottom w:val="single" w:sz="4" w:space="0" w:color="auto"/>
            </w:tcBorders>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rPr>
                <w:snapToGrid w:val="0"/>
              </w:rPr>
            </w:pPr>
            <w:r>
              <w:rPr>
                <w:snapToGrid w:val="0"/>
              </w:rPr>
              <w:t>2 Jul 2014</w:t>
            </w:r>
          </w:p>
        </w:tc>
        <w:tc>
          <w:tcPr>
            <w:tcW w:w="2552" w:type="dxa"/>
            <w:gridSpan w:val="2"/>
            <w:tcBorders>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 w:name="_Toc472066288"/>
      <w:r>
        <w:t>Provisions that have not come into operation</w:t>
      </w:r>
      <w:bookmarkEnd w:id="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i/>
                <w:noProof/>
              </w:rPr>
            </w:pPr>
            <w:r>
              <w:rPr>
                <w:i/>
              </w:rPr>
              <w:t>Public Health (Consequential Provisions) Act 2016</w:t>
            </w:r>
            <w:r>
              <w:t xml:space="preserve"> s. 102</w:t>
            </w:r>
            <w:r>
              <w:rPr>
                <w:vertAlign w:val="superscript"/>
              </w:rPr>
              <w:t> 5</w:t>
            </w:r>
          </w:p>
        </w:tc>
        <w:tc>
          <w:tcPr>
            <w:tcW w:w="1134" w:type="dxa"/>
            <w:tcBorders>
              <w:top w:val="single" w:sz="8" w:space="0" w:color="auto"/>
              <w:bottom w:val="single" w:sz="4" w:space="0" w:color="auto"/>
            </w:tcBorders>
          </w:tcPr>
          <w:p>
            <w:pPr>
              <w:pStyle w:val="nTable"/>
              <w:spacing w:after="40"/>
            </w:pPr>
            <w:r>
              <w:t>19 of 2016</w:t>
            </w:r>
          </w:p>
        </w:tc>
        <w:tc>
          <w:tcPr>
            <w:tcW w:w="1134" w:type="dxa"/>
            <w:tcBorders>
              <w:top w:val="single" w:sz="8" w:space="0" w:color="auto"/>
              <w:bottom w:val="single" w:sz="4" w:space="0" w:color="auto"/>
            </w:tcBorders>
          </w:tcPr>
          <w:p>
            <w:pPr>
              <w:pStyle w:val="nTable"/>
              <w:spacing w:after="40"/>
            </w:pPr>
            <w:r>
              <w:t>25 Jul 2016</w:t>
            </w:r>
          </w:p>
        </w:tc>
        <w:tc>
          <w:tcPr>
            <w:tcW w:w="2552" w:type="dxa"/>
            <w:tcBorders>
              <w:top w:val="single" w:sz="8" w:space="0" w:color="auto"/>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rPr>
          <w:i/>
          <w:iCs/>
        </w:rPr>
      </w:pPr>
      <w:r>
        <w:rPr>
          <w:vertAlign w:val="superscript"/>
        </w:rPr>
        <w:t>2</w:t>
      </w:r>
      <w:r>
        <w:tab/>
        <w:t>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rPr>
        <w:t>Public Health (Consequential Provisions) Act 2016</w:t>
      </w:r>
      <w:r>
        <w:t xml:space="preserve"> s. 102</w:t>
      </w:r>
      <w:r>
        <w:rPr>
          <w:snapToGrid w:val="0"/>
        </w:rPr>
        <w:t xml:space="preserve"> had not come into operation.  It reads as follows:</w:t>
      </w:r>
    </w:p>
    <w:p>
      <w:pPr>
        <w:pStyle w:val="BlankOpen"/>
        <w:rPr>
          <w:snapToGrid w:val="0"/>
        </w:rPr>
      </w:pPr>
    </w:p>
    <w:p>
      <w:pPr>
        <w:pStyle w:val="nzHeading5"/>
      </w:pPr>
      <w:r>
        <w:rPr>
          <w:rStyle w:val="CharSectno"/>
        </w:rPr>
        <w:t>102</w:t>
      </w:r>
      <w:r>
        <w:t>.</w:t>
      </w:r>
      <w:r>
        <w:tab/>
        <w:t>Various references to “Executive Director” amended</w:t>
      </w:r>
    </w:p>
    <w:p>
      <w:pPr>
        <w:pStyle w:val="nzSubsection"/>
      </w:pPr>
      <w:r>
        <w:tab/>
        <w:t>(1)</w:t>
      </w:r>
      <w:r>
        <w:tab/>
        <w:t>This section amends the Acts listed in the Table.</w:t>
      </w:r>
    </w:p>
    <w:p>
      <w:pPr>
        <w:pStyle w:val="nzSubsection"/>
      </w:pPr>
      <w:r>
        <w:tab/>
        <w:t>(2)</w:t>
      </w:r>
      <w:r>
        <w:tab/>
        <w:t xml:space="preserve">In the provisions listed in the Table delete the definition of </w:t>
      </w:r>
      <w:r>
        <w:rPr>
          <w:b/>
          <w:i/>
        </w:rPr>
        <w:t>Executive Director</w:t>
      </w:r>
      <w:r>
        <w:t>.</w:t>
      </w: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Radiation Safety Act 1975</w:t>
            </w:r>
          </w:p>
        </w:tc>
        <w:tc>
          <w:tcPr>
            <w:tcW w:w="3402" w:type="dxa"/>
          </w:tcPr>
          <w:p>
            <w:pPr>
              <w:pStyle w:val="TableAm"/>
              <w:rPr>
                <w:sz w:val="20"/>
              </w:rPr>
            </w:pPr>
            <w:r>
              <w:rPr>
                <w:sz w:val="20"/>
              </w:rPr>
              <w:t>s. 4</w:t>
            </w:r>
          </w:p>
        </w:tc>
      </w:tr>
    </w:tbl>
    <w:p>
      <w:pPr>
        <w:pStyle w:val="nzSubsection"/>
      </w:pPr>
      <w:r>
        <w:tab/>
        <w:t>(3)</w:t>
      </w:r>
      <w:r>
        <w:tab/>
        <w:t>In the provisions listed in the Table insert in alphabetical order:</w:t>
      </w:r>
    </w:p>
    <w:p>
      <w:pPr>
        <w:pStyle w:val="BlankOpen"/>
      </w:pPr>
    </w:p>
    <w:p>
      <w:pPr>
        <w:pStyle w:val="nzDefstart"/>
      </w:pPr>
      <w:r>
        <w:tab/>
      </w:r>
      <w:r>
        <w:rPr>
          <w:rStyle w:val="CharDefText"/>
        </w:rPr>
        <w:t xml:space="preserve">Chief Health Officer </w:t>
      </w:r>
      <w:r>
        <w:t xml:space="preserve">has the meaning given in the </w:t>
      </w:r>
      <w:r>
        <w:rPr>
          <w:i/>
        </w:rPr>
        <w:t>Public Health Act 2016</w:t>
      </w:r>
      <w:r>
        <w:t xml:space="preserve"> section 4(1);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Radiation Safety Act 1975</w:t>
            </w:r>
          </w:p>
        </w:tc>
        <w:tc>
          <w:tcPr>
            <w:tcW w:w="3402" w:type="dxa"/>
          </w:tcPr>
          <w:p>
            <w:pPr>
              <w:pStyle w:val="TableAm"/>
              <w:rPr>
                <w:sz w:val="20"/>
              </w:rPr>
            </w:pPr>
            <w:r>
              <w:rPr>
                <w:sz w:val="20"/>
              </w:rPr>
              <w:t>s. 4</w:t>
            </w:r>
          </w:p>
        </w:tc>
      </w:tr>
    </w:tbl>
    <w:p>
      <w:pPr>
        <w:pStyle w:val="nzSubsection"/>
      </w:pPr>
      <w:r>
        <w:tab/>
        <w:t>(4)</w:t>
      </w:r>
      <w:r>
        <w:tab/>
        <w:t>In the provisions listed in the Table delete “Executive Director” (each occurrence) and insert:</w:t>
      </w:r>
    </w:p>
    <w:p>
      <w:pPr>
        <w:pStyle w:val="BlankOpen"/>
      </w:pPr>
    </w:p>
    <w:p>
      <w:pPr>
        <w:pStyle w:val="nzSubsection"/>
      </w:pPr>
      <w:r>
        <w:tab/>
      </w:r>
      <w:r>
        <w:tab/>
        <w:t>Chief Health Officer</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Radiation Safety Act 1975</w:t>
            </w:r>
          </w:p>
        </w:tc>
        <w:tc>
          <w:tcPr>
            <w:tcW w:w="3402" w:type="dxa"/>
          </w:tcPr>
          <w:p>
            <w:pPr>
              <w:pStyle w:val="TableAm"/>
              <w:rPr>
                <w:sz w:val="20"/>
              </w:rPr>
            </w:pPr>
            <w:r>
              <w:rPr>
                <w:sz w:val="20"/>
              </w:rPr>
              <w:t xml:space="preserve">s. 4 def. of </w:t>
            </w:r>
            <w:r>
              <w:rPr>
                <w:b/>
                <w:bCs/>
                <w:i/>
                <w:iCs/>
                <w:sz w:val="20"/>
              </w:rPr>
              <w:t>authorised officer</w:t>
            </w:r>
            <w:r>
              <w:rPr>
                <w:bCs/>
                <w:iCs/>
                <w:sz w:val="20"/>
              </w:rPr>
              <w:t xml:space="preserve">, </w:t>
            </w:r>
            <w:r>
              <w:rPr>
                <w:sz w:val="20"/>
              </w:rPr>
              <w:t>7(1), 13(2)(a) and (3), 16(7) and (8), 42(3) and (4), 55(1), (2) and (3)</w:t>
            </w:r>
          </w:p>
        </w:tc>
      </w:tr>
    </w:tbl>
    <w:p>
      <w:pPr>
        <w:pStyle w:val="BlankClose"/>
      </w:pP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79" w:name="_Toc471909562"/>
      <w:bookmarkStart w:id="80" w:name="_Toc472066289"/>
      <w:r>
        <w:rPr>
          <w:sz w:val="28"/>
        </w:rPr>
        <w:t>Defined terms</w:t>
      </w:r>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authorisation</w:t>
      </w:r>
      <w:r>
        <w:tab/>
        <w:t>41A(1)</w:t>
      </w:r>
    </w:p>
    <w:p>
      <w:pPr>
        <w:pStyle w:val="DefinedTerms"/>
      </w:pPr>
      <w:r>
        <w:t>authorised officer</w:t>
      </w:r>
      <w:r>
        <w:tab/>
        <w:t>4</w:t>
      </w:r>
    </w:p>
    <w:p>
      <w:pPr>
        <w:pStyle w:val="DefinedTerms"/>
      </w:pPr>
      <w:r>
        <w:t>Board</w:t>
      </w:r>
      <w:r>
        <w:tab/>
        <w:t>4</w:t>
      </w:r>
    </w:p>
    <w:p>
      <w:pPr>
        <w:pStyle w:val="DefinedTerms"/>
      </w:pPr>
      <w:r>
        <w:t>Council</w:t>
      </w:r>
      <w:r>
        <w:tab/>
        <w:t>4</w:t>
      </w:r>
    </w:p>
    <w:p>
      <w:pPr>
        <w:pStyle w:val="DefinedTerms"/>
      </w:pPr>
      <w:r>
        <w:t>electronic product</w:t>
      </w:r>
      <w:r>
        <w:tab/>
        <w:t>4</w:t>
      </w:r>
    </w:p>
    <w:p>
      <w:pPr>
        <w:pStyle w:val="DefinedTerms"/>
      </w:pPr>
      <w:r>
        <w:t>Executive Director</w:t>
      </w:r>
      <w:r>
        <w:tab/>
        <w:t>4</w:t>
      </w:r>
    </w:p>
    <w:p>
      <w:pPr>
        <w:pStyle w:val="DefinedTerms"/>
      </w:pPr>
      <w:r>
        <w:t>irradiating apparatus</w:t>
      </w:r>
      <w:r>
        <w:tab/>
        <w:t>4</w:t>
      </w:r>
    </w:p>
    <w:p>
      <w:pPr>
        <w:pStyle w:val="DefinedTerms"/>
      </w:pPr>
      <w:r>
        <w:t>medical radiation practitioner</w:t>
      </w:r>
      <w:r>
        <w:tab/>
        <w:t>4</w:t>
      </w:r>
    </w:p>
    <w:p>
      <w:pPr>
        <w:pStyle w:val="DefinedTerms"/>
      </w:pPr>
      <w:r>
        <w:t>medical radiation technology</w:t>
      </w:r>
      <w:r>
        <w:tab/>
        <w:t>4</w:t>
      </w:r>
    </w:p>
    <w:p>
      <w:pPr>
        <w:pStyle w:val="DefinedTerms"/>
      </w:pPr>
      <w:r>
        <w:t>nuclear waste</w:t>
      </w:r>
      <w:r>
        <w:tab/>
        <w:t>41A(1)</w:t>
      </w:r>
    </w:p>
    <w:p>
      <w:pPr>
        <w:pStyle w:val="DefinedTerms"/>
      </w:pPr>
      <w:r>
        <w:t>owner</w:t>
      </w:r>
      <w:r>
        <w:tab/>
        <w:t>4</w:t>
      </w:r>
    </w:p>
    <w:p>
      <w:pPr>
        <w:pStyle w:val="DefinedTerms"/>
      </w:pPr>
      <w:r>
        <w:t>purchaser</w:t>
      </w:r>
      <w:r>
        <w:tab/>
        <w:t>4</w:t>
      </w:r>
    </w:p>
    <w:p>
      <w:pPr>
        <w:pStyle w:val="DefinedTerms"/>
      </w:pPr>
      <w:r>
        <w:t>radioactive substance</w:t>
      </w:r>
      <w:r>
        <w:tab/>
        <w:t>4</w:t>
      </w:r>
    </w:p>
    <w:p>
      <w:pPr>
        <w:pStyle w:val="DefinedTerms"/>
      </w:pPr>
      <w:r>
        <w:t>sell</w:t>
      </w:r>
      <w:r>
        <w:tab/>
        <w:t>4</w:t>
      </w:r>
    </w:p>
    <w:p>
      <w:pPr>
        <w:pStyle w:val="DefinedTerms"/>
      </w:pPr>
      <w:r>
        <w:t>supervisor</w:t>
      </w:r>
      <w:r>
        <w:tab/>
        <w:t>27(2)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57</w:t>
    </w:r>
    <w: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4422"/>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14679</Words>
  <Characters>72076</Characters>
  <Application>Microsoft Office Word</Application>
  <DocSecurity>0</DocSecurity>
  <Lines>1896</Lines>
  <Paragraphs>913</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85842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1975 - 03-j0-01</dc:title>
  <dc:subject/>
  <dc:creator/>
  <cp:keywords/>
  <dc:description/>
  <cp:lastModifiedBy>svcMRProcess</cp:lastModifiedBy>
  <cp:revision>4</cp:revision>
  <cp:lastPrinted>2009-11-03T00:33:00Z</cp:lastPrinted>
  <dcterms:created xsi:type="dcterms:W3CDTF">2017-01-13T08:49:00Z</dcterms:created>
  <dcterms:modified xsi:type="dcterms:W3CDTF">2017-01-13T08:49:00Z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No">
    <vt:lpwstr>3</vt:lpwstr>
  </property>
  <property fmtid="{D5CDD505-2E9C-101B-9397-08002B2CF9AE}" pid="6" name="AsAtDate">
    <vt:lpwstr>25 Jul 2016</vt:lpwstr>
  </property>
  <property fmtid="{D5CDD505-2E9C-101B-9397-08002B2CF9AE}" pid="7" name="Suffix">
    <vt:lpwstr>03-j0-01</vt:lpwstr>
  </property>
  <property fmtid="{D5CDD505-2E9C-101B-9397-08002B2CF9AE}" pid="8" name="CommencementDate">
    <vt:lpwstr>20160725</vt:lpwstr>
  </property>
</Properties>
</file>