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Security and Related Activities (Control)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_Toc457551696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_Toc457551697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_Toc457551698 \h </w:instrText>
      </w:r>
      <w:r>
        <w:fldChar w:fldCharType="separate"/>
      </w:r>
      <w:r>
        <w:t>1</w:t>
      </w:r>
      <w:r>
        <w:fldChar w:fldCharType="end"/>
      </w:r>
    </w:p>
    <w:p>
      <w:pPr>
        <w:pStyle w:val="TOC8"/>
        <w:rPr>
          <w:rFonts w:asciiTheme="minorHAnsi" w:eastAsiaTheme="minorEastAsia" w:hAnsiTheme="minorHAnsi" w:cstheme="minorBidi"/>
          <w:szCs w:val="22"/>
        </w:rPr>
      </w:pPr>
      <w:r>
        <w:t>4A.</w:t>
      </w:r>
      <w:r>
        <w:tab/>
        <w:t>Method of giving things to Commissioner, Superintendent or licensing officer</w:t>
      </w:r>
      <w:r>
        <w:tab/>
      </w:r>
      <w:r>
        <w:fldChar w:fldCharType="begin"/>
      </w:r>
      <w:r>
        <w:instrText xml:space="preserve"> PAGEREF _Toc457551699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Exemptions</w:t>
      </w:r>
    </w:p>
    <w:p>
      <w:pPr>
        <w:pStyle w:val="TOC8"/>
        <w:rPr>
          <w:rFonts w:asciiTheme="minorHAnsi" w:eastAsiaTheme="minorEastAsia" w:hAnsiTheme="minorHAnsi" w:cstheme="minorBidi"/>
          <w:szCs w:val="22"/>
        </w:rPr>
      </w:pPr>
      <w:r>
        <w:t>4</w:t>
      </w:r>
      <w:r>
        <w:rPr>
          <w:snapToGrid w:val="0"/>
        </w:rPr>
        <w:t>.</w:t>
      </w:r>
      <w:r>
        <w:rPr>
          <w:snapToGrid w:val="0"/>
        </w:rPr>
        <w:tab/>
        <w:t>Act s. 37 (crowd controller’s licence), exemptions from</w:t>
      </w:r>
      <w:r>
        <w:tab/>
      </w:r>
      <w:r>
        <w:fldChar w:fldCharType="begin"/>
      </w:r>
      <w:r>
        <w:instrText xml:space="preserve"> PAGEREF _Toc457551701 \h </w:instrText>
      </w:r>
      <w:r>
        <w:fldChar w:fldCharType="separate"/>
      </w:r>
      <w:r>
        <w:t>5</w:t>
      </w:r>
      <w:r>
        <w:fldChar w:fldCharType="end"/>
      </w:r>
    </w:p>
    <w:p>
      <w:pPr>
        <w:pStyle w:val="TOC8"/>
        <w:rPr>
          <w:rFonts w:asciiTheme="minorHAnsi" w:eastAsiaTheme="minorEastAsia" w:hAnsiTheme="minorHAnsi" w:cstheme="minorBidi"/>
          <w:szCs w:val="22"/>
        </w:rPr>
      </w:pPr>
      <w:r>
        <w:t>5A.</w:t>
      </w:r>
      <w:r>
        <w:tab/>
        <w:t xml:space="preserve">Some persons to whom </w:t>
      </w:r>
      <w:r>
        <w:rPr>
          <w:i/>
        </w:rPr>
        <w:t xml:space="preserve">Court Security and Custodial Services Act 1999 </w:t>
      </w:r>
      <w:r>
        <w:t>applies, exemption for</w:t>
      </w:r>
      <w:r>
        <w:tab/>
      </w:r>
      <w:r>
        <w:fldChar w:fldCharType="begin"/>
      </w:r>
      <w:r>
        <w:instrText xml:space="preserve"> PAGEREF _Toc457551702 \h </w:instrText>
      </w:r>
      <w:r>
        <w:fldChar w:fldCharType="separate"/>
      </w:r>
      <w:r>
        <w:t>5</w:t>
      </w:r>
      <w:r>
        <w:fldChar w:fldCharType="end"/>
      </w:r>
    </w:p>
    <w:p>
      <w:pPr>
        <w:pStyle w:val="TOC8"/>
        <w:rPr>
          <w:rFonts w:asciiTheme="minorHAnsi" w:eastAsiaTheme="minorEastAsia" w:hAnsiTheme="minorHAnsi" w:cstheme="minorBidi"/>
          <w:szCs w:val="22"/>
        </w:rPr>
      </w:pPr>
      <w:r>
        <w:t>5B.</w:t>
      </w:r>
      <w:r>
        <w:tab/>
        <w:t xml:space="preserve">Some persons to whom </w:t>
      </w:r>
      <w:r>
        <w:rPr>
          <w:i/>
        </w:rPr>
        <w:t>Prisons Act 1981</w:t>
      </w:r>
      <w:r>
        <w:t xml:space="preserve"> Part IIIA applies, exemption for</w:t>
      </w:r>
      <w:r>
        <w:tab/>
      </w:r>
      <w:r>
        <w:fldChar w:fldCharType="begin"/>
      </w:r>
      <w:r>
        <w:instrText xml:space="preserve"> PAGEREF _Toc457551703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activities</w:t>
      </w:r>
    </w:p>
    <w:p>
      <w:pPr>
        <w:pStyle w:val="TOC8"/>
        <w:rPr>
          <w:rFonts w:asciiTheme="minorHAnsi" w:eastAsiaTheme="minorEastAsia" w:hAnsiTheme="minorHAnsi" w:cstheme="minorBidi"/>
          <w:szCs w:val="22"/>
        </w:rPr>
      </w:pPr>
      <w:r>
        <w:t>6.</w:t>
      </w:r>
      <w:r>
        <w:tab/>
        <w:t>Locks prescribed (Act s. 14(1)(d))</w:t>
      </w:r>
      <w:r>
        <w:tab/>
      </w:r>
      <w:r>
        <w:fldChar w:fldCharType="begin"/>
      </w:r>
      <w:r>
        <w:instrText xml:space="preserve"> PAGEREF _Toc457551705 \h </w:instrText>
      </w:r>
      <w:r>
        <w:fldChar w:fldCharType="separate"/>
      </w:r>
      <w:r>
        <w:t>7</w:t>
      </w:r>
      <w:r>
        <w:fldChar w:fldCharType="end"/>
      </w:r>
    </w:p>
    <w:p>
      <w:pPr>
        <w:pStyle w:val="TOC8"/>
        <w:rPr>
          <w:rFonts w:asciiTheme="minorHAnsi" w:eastAsiaTheme="minorEastAsia" w:hAnsiTheme="minorHAnsi" w:cstheme="minorBidi"/>
          <w:szCs w:val="22"/>
        </w:rPr>
      </w:pPr>
      <w:r>
        <w:t>7.</w:t>
      </w:r>
      <w:r>
        <w:tab/>
        <w:t>Security doors prescribed (Act s. 14(1)(e))</w:t>
      </w:r>
      <w:r>
        <w:tab/>
      </w:r>
      <w:r>
        <w:fldChar w:fldCharType="begin"/>
      </w:r>
      <w:r>
        <w:instrText xml:space="preserve"> PAGEREF _Toc457551706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Equipment and devices prescribed (Act s. 14(1)(g))</w:t>
      </w:r>
      <w:r>
        <w:tab/>
      </w:r>
      <w:r>
        <w:fldChar w:fldCharType="begin"/>
      </w:r>
      <w:r>
        <w:instrText xml:space="preserve"> PAGEREF _Toc457551707 \h </w:instrText>
      </w:r>
      <w:r>
        <w:fldChar w:fldCharType="separate"/>
      </w:r>
      <w:r>
        <w:t>7</w:t>
      </w:r>
      <w:r>
        <w:fldChar w:fldCharType="end"/>
      </w:r>
    </w:p>
    <w:p>
      <w:pPr>
        <w:pStyle w:val="TOC8"/>
        <w:rPr>
          <w:rFonts w:asciiTheme="minorHAnsi" w:eastAsiaTheme="minorEastAsia" w:hAnsiTheme="minorHAnsi" w:cstheme="minorBidi"/>
          <w:szCs w:val="22"/>
        </w:rPr>
      </w:pPr>
      <w:r>
        <w:t>9.</w:t>
      </w:r>
      <w:r>
        <w:tab/>
        <w:t>Activities prescribed (Act s. 24(1)(b))</w:t>
      </w:r>
      <w:r>
        <w:tab/>
      </w:r>
      <w:r>
        <w:fldChar w:fldCharType="begin"/>
      </w:r>
      <w:r>
        <w:instrText xml:space="preserve"> PAGEREF _Toc457551708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endorsement (Act s. 24)</w:t>
      </w:r>
      <w:r>
        <w:tab/>
      </w:r>
      <w:r>
        <w:fldChar w:fldCharType="begin"/>
      </w:r>
      <w:r>
        <w:instrText xml:space="preserve"> PAGEREF _Toc457551709 \h </w:instrText>
      </w:r>
      <w:r>
        <w:fldChar w:fldCharType="separate"/>
      </w:r>
      <w:r>
        <w:t>8</w:t>
      </w:r>
      <w:r>
        <w:fldChar w:fldCharType="end"/>
      </w:r>
    </w:p>
    <w:p>
      <w:pPr>
        <w:pStyle w:val="TOC8"/>
        <w:rPr>
          <w:rFonts w:asciiTheme="minorHAnsi" w:eastAsiaTheme="minorEastAsia" w:hAnsiTheme="minorHAnsi" w:cstheme="minorBidi"/>
          <w:szCs w:val="22"/>
        </w:rPr>
      </w:pPr>
      <w:r>
        <w:t>11.</w:t>
      </w:r>
      <w:r>
        <w:tab/>
        <w:t>Medical examinations prescribed (Act s. 24)</w:t>
      </w:r>
      <w:r>
        <w:tab/>
      </w:r>
      <w:r>
        <w:fldChar w:fldCharType="begin"/>
      </w:r>
      <w:r>
        <w:instrText xml:space="preserve"> PAGEREF _Toc457551710 \h </w:instrText>
      </w:r>
      <w:r>
        <w:fldChar w:fldCharType="separate"/>
      </w:r>
      <w:r>
        <w:t>9</w:t>
      </w:r>
      <w:r>
        <w:fldChar w:fldCharType="end"/>
      </w:r>
    </w:p>
    <w:p>
      <w:pPr>
        <w:pStyle w:val="TOC8"/>
        <w:rPr>
          <w:rFonts w:asciiTheme="minorHAnsi" w:eastAsiaTheme="minorEastAsia" w:hAnsiTheme="minorHAnsi" w:cstheme="minorBidi"/>
          <w:szCs w:val="22"/>
        </w:rPr>
      </w:pPr>
      <w:r>
        <w:t>12.</w:t>
      </w:r>
      <w:r>
        <w:tab/>
        <w:t>Application for permit (Act s. 25)</w:t>
      </w:r>
      <w:r>
        <w:tab/>
      </w:r>
      <w:r>
        <w:fldChar w:fldCharType="begin"/>
      </w:r>
      <w:r>
        <w:instrText xml:space="preserve"> PAGEREF _Toc457551711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endorsement (Act s. 26)</w:t>
      </w:r>
      <w:r>
        <w:tab/>
      </w:r>
      <w:r>
        <w:fldChar w:fldCharType="begin"/>
      </w:r>
      <w:r>
        <w:instrText xml:space="preserve"> PAGEREF _Toc457551712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3A — Inquiry activities</w:t>
      </w:r>
    </w:p>
    <w:p>
      <w:pPr>
        <w:pStyle w:val="TOC8"/>
        <w:rPr>
          <w:rFonts w:asciiTheme="minorHAnsi" w:eastAsiaTheme="minorEastAsia" w:hAnsiTheme="minorHAnsi" w:cstheme="minorBidi"/>
          <w:szCs w:val="22"/>
        </w:rPr>
      </w:pPr>
      <w:r>
        <w:t>13A.</w:t>
      </w:r>
      <w:r>
        <w:tab/>
        <w:t>Investigations not within Act s. 28(1)(a)</w:t>
      </w:r>
      <w:r>
        <w:tab/>
      </w:r>
      <w:r>
        <w:fldChar w:fldCharType="begin"/>
      </w:r>
      <w:r>
        <w:instrText xml:space="preserve"> PAGEREF _Toc457551714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procedures</w:t>
      </w:r>
    </w:p>
    <w:p>
      <w:pPr>
        <w:pStyle w:val="TOC4"/>
        <w:tabs>
          <w:tab w:val="right" w:leader="dot" w:pos="7077"/>
        </w:tabs>
        <w:rPr>
          <w:rFonts w:asciiTheme="minorHAnsi" w:eastAsiaTheme="minorEastAsia" w:hAnsiTheme="minorHAnsi" w:cstheme="minorBidi"/>
          <w:b w:val="0"/>
          <w:szCs w:val="22"/>
        </w:rPr>
      </w:pPr>
      <w:r>
        <w:t>Division 1 — Licences other than temporary licences</w:t>
      </w:r>
    </w:p>
    <w:p>
      <w:pPr>
        <w:pStyle w:val="TOC8"/>
        <w:rPr>
          <w:rFonts w:asciiTheme="minorHAnsi" w:eastAsiaTheme="minorEastAsia" w:hAnsiTheme="minorHAnsi" w:cstheme="minorBidi"/>
          <w:szCs w:val="22"/>
        </w:rPr>
      </w:pPr>
      <w:r>
        <w:t>14</w:t>
      </w:r>
      <w:r>
        <w:rPr>
          <w:snapToGrid w:val="0"/>
        </w:rPr>
        <w:t>.</w:t>
      </w:r>
      <w:r>
        <w:rPr>
          <w:snapToGrid w:val="0"/>
        </w:rPr>
        <w:tab/>
        <w:t>Application for the issue of a licence (Act s. 46(1))</w:t>
      </w:r>
      <w:r>
        <w:tab/>
      </w:r>
      <w:r>
        <w:fldChar w:fldCharType="begin"/>
      </w:r>
      <w:r>
        <w:instrText xml:space="preserve"> PAGEREF _Toc457551717 \h </w:instrText>
      </w:r>
      <w:r>
        <w:fldChar w:fldCharType="separate"/>
      </w:r>
      <w:r>
        <w:t>13</w:t>
      </w:r>
      <w:r>
        <w:fldChar w:fldCharType="end"/>
      </w:r>
    </w:p>
    <w:p>
      <w:pPr>
        <w:pStyle w:val="TOC8"/>
        <w:rPr>
          <w:rFonts w:asciiTheme="minorHAnsi" w:eastAsiaTheme="minorEastAsia" w:hAnsiTheme="minorHAnsi" w:cstheme="minorBidi"/>
          <w:szCs w:val="22"/>
        </w:rPr>
      </w:pPr>
      <w:r>
        <w:t>14A.</w:t>
      </w:r>
      <w:r>
        <w:tab/>
        <w:t>Training course in firearms discharge, approval of providers of</w:t>
      </w:r>
      <w:r>
        <w:tab/>
      </w:r>
      <w:r>
        <w:fldChar w:fldCharType="begin"/>
      </w:r>
      <w:r>
        <w:instrText xml:space="preserve"> PAGEREF _Toc457551718 \h </w:instrText>
      </w:r>
      <w:r>
        <w:fldChar w:fldCharType="separate"/>
      </w:r>
      <w:r>
        <w:t>13</w:t>
      </w:r>
      <w:r>
        <w:fldChar w:fldCharType="end"/>
      </w:r>
    </w:p>
    <w:p>
      <w:pPr>
        <w:pStyle w:val="TOC8"/>
        <w:rPr>
          <w:rFonts w:asciiTheme="minorHAnsi" w:eastAsiaTheme="minorEastAsia" w:hAnsiTheme="minorHAnsi" w:cstheme="minorBidi"/>
          <w:szCs w:val="22"/>
        </w:rPr>
      </w:pPr>
      <w:r>
        <w:t>15.</w:t>
      </w:r>
      <w:r>
        <w:tab/>
        <w:t>Medical examination prescribed for security officers authorised to possess firearm (Act s. 47(1)(d) and 52(1)(h))</w:t>
      </w:r>
      <w:r>
        <w:tab/>
      </w:r>
      <w:r>
        <w:fldChar w:fldCharType="begin"/>
      </w:r>
      <w:r>
        <w:instrText xml:space="preserve"> PAGEREF _Toc457551719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Training courses prescribed (Act s. 47(1)(f)(i), 52(1)(g)(i) and 53(2))</w:t>
      </w:r>
      <w:r>
        <w:tab/>
      </w:r>
      <w:r>
        <w:fldChar w:fldCharType="begin"/>
      </w:r>
      <w:r>
        <w:instrText xml:space="preserve"> PAGEREF _Toc457551720 \h </w:instrText>
      </w:r>
      <w:r>
        <w:fldChar w:fldCharType="separate"/>
      </w:r>
      <w:r>
        <w:t>15</w:t>
      </w:r>
      <w:r>
        <w:fldChar w:fldCharType="end"/>
      </w:r>
    </w:p>
    <w:p>
      <w:pPr>
        <w:pStyle w:val="TOC8"/>
        <w:rPr>
          <w:rFonts w:asciiTheme="minorHAnsi" w:eastAsiaTheme="minorEastAsia" w:hAnsiTheme="minorHAnsi" w:cstheme="minorBidi"/>
          <w:szCs w:val="22"/>
        </w:rPr>
      </w:pPr>
      <w:r>
        <w:t>16A.</w:t>
      </w:r>
      <w:r>
        <w:tab/>
        <w:t>Records required when baton training undertaken</w:t>
      </w:r>
      <w:r>
        <w:tab/>
      </w:r>
      <w:r>
        <w:fldChar w:fldCharType="begin"/>
      </w:r>
      <w:r>
        <w:instrText xml:space="preserve"> PAGEREF _Toc457551721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Examinations prescribed (Act s. 47(1)(f)(ii) and 52(1)(g)(ii))</w:t>
      </w:r>
      <w:r>
        <w:tab/>
      </w:r>
      <w:r>
        <w:fldChar w:fldCharType="begin"/>
      </w:r>
      <w:r>
        <w:instrText xml:space="preserve"> PAGEREF _Toc457551722 \h </w:instrText>
      </w:r>
      <w:r>
        <w:fldChar w:fldCharType="separate"/>
      </w:r>
      <w:r>
        <w:t>17</w:t>
      </w:r>
      <w:r>
        <w:fldChar w:fldCharType="end"/>
      </w:r>
    </w:p>
    <w:p>
      <w:pPr>
        <w:pStyle w:val="TOC8"/>
        <w:rPr>
          <w:rFonts w:asciiTheme="minorHAnsi" w:eastAsiaTheme="minorEastAsia" w:hAnsiTheme="minorHAnsi" w:cstheme="minorBidi"/>
          <w:szCs w:val="22"/>
        </w:rPr>
      </w:pPr>
      <w:r>
        <w:t>18.</w:t>
      </w:r>
      <w:r>
        <w:tab/>
        <w:t>Evidence of age and identity prescribed (Act s. 47(1)(a))</w:t>
      </w:r>
      <w:r>
        <w:tab/>
      </w:r>
      <w:r>
        <w:fldChar w:fldCharType="begin"/>
      </w:r>
      <w:r>
        <w:instrText xml:space="preserve"> PAGEREF _Toc457551723 \h </w:instrText>
      </w:r>
      <w:r>
        <w:fldChar w:fldCharType="separate"/>
      </w:r>
      <w:r>
        <w:t>18</w:t>
      </w:r>
      <w:r>
        <w:fldChar w:fldCharType="end"/>
      </w:r>
    </w:p>
    <w:p>
      <w:pPr>
        <w:pStyle w:val="TOC8"/>
        <w:rPr>
          <w:rFonts w:asciiTheme="minorHAnsi" w:eastAsiaTheme="minorEastAsia" w:hAnsiTheme="minorHAnsi" w:cstheme="minorBidi"/>
          <w:szCs w:val="22"/>
        </w:rPr>
      </w:pPr>
      <w:r>
        <w:t>19.</w:t>
      </w:r>
      <w:r>
        <w:tab/>
        <w:t>Manner of lodging application for renewal prescribed (Act s. 49(1))</w:t>
      </w:r>
      <w:r>
        <w:tab/>
      </w:r>
      <w:r>
        <w:fldChar w:fldCharType="begin"/>
      </w:r>
      <w:r>
        <w:instrText xml:space="preserve"> PAGEREF _Toc457551724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Material to support application for renewal of licence (Act s. 50(1))</w:t>
      </w:r>
      <w:r>
        <w:tab/>
      </w:r>
      <w:r>
        <w:fldChar w:fldCharType="begin"/>
      </w:r>
      <w:r>
        <w:instrText xml:space="preserve"> PAGEREF _Toc457551725 \h </w:instrText>
      </w:r>
      <w:r>
        <w:fldChar w:fldCharType="separate"/>
      </w:r>
      <w:r>
        <w:t>21</w:t>
      </w:r>
      <w:r>
        <w:fldChar w:fldCharType="end"/>
      </w:r>
    </w:p>
    <w:p>
      <w:pPr>
        <w:pStyle w:val="TOC8"/>
        <w:rPr>
          <w:rFonts w:asciiTheme="minorHAnsi" w:eastAsiaTheme="minorEastAsia" w:hAnsiTheme="minorHAnsi" w:cstheme="minorBidi"/>
          <w:szCs w:val="22"/>
        </w:rPr>
      </w:pPr>
      <w:r>
        <w:t>21.</w:t>
      </w:r>
      <w:r>
        <w:tab/>
        <w:t>Conditions and restrictions prescribed (Act s. 63)</w:t>
      </w:r>
      <w:r>
        <w:tab/>
      </w:r>
      <w:r>
        <w:fldChar w:fldCharType="begin"/>
      </w:r>
      <w:r>
        <w:instrText xml:space="preserve"> PAGEREF _Toc457551726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Temporary licences</w:t>
      </w:r>
    </w:p>
    <w:p>
      <w:pPr>
        <w:pStyle w:val="TOC8"/>
        <w:rPr>
          <w:rFonts w:asciiTheme="minorHAnsi" w:eastAsiaTheme="minorEastAsia" w:hAnsiTheme="minorHAnsi" w:cstheme="minorBidi"/>
          <w:szCs w:val="22"/>
        </w:rPr>
      </w:pPr>
      <w:r>
        <w:t>22.</w:t>
      </w:r>
      <w:r>
        <w:tab/>
        <w:t>Manner of lodging application for temporary licence prescribed (Act s. 46(1))</w:t>
      </w:r>
      <w:r>
        <w:tab/>
      </w:r>
      <w:r>
        <w:fldChar w:fldCharType="begin"/>
      </w:r>
      <w:r>
        <w:instrText xml:space="preserve"> PAGEREF _Toc457551728 \h </w:instrText>
      </w:r>
      <w:r>
        <w:fldChar w:fldCharType="separate"/>
      </w:r>
      <w:r>
        <w:t>22</w:t>
      </w:r>
      <w:r>
        <w:fldChar w:fldCharType="end"/>
      </w:r>
    </w:p>
    <w:p>
      <w:pPr>
        <w:pStyle w:val="TOC8"/>
        <w:rPr>
          <w:rFonts w:asciiTheme="minorHAnsi" w:eastAsiaTheme="minorEastAsia" w:hAnsiTheme="minorHAnsi" w:cstheme="minorBidi"/>
          <w:szCs w:val="22"/>
        </w:rPr>
      </w:pPr>
      <w:r>
        <w:t>23.</w:t>
      </w:r>
      <w:r>
        <w:tab/>
        <w:t>Evidence prescribed (Act s. 47(2a))</w:t>
      </w:r>
      <w:r>
        <w:tab/>
      </w:r>
      <w:r>
        <w:fldChar w:fldCharType="begin"/>
      </w:r>
      <w:r>
        <w:instrText xml:space="preserve"> PAGEREF _Toc457551729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5A — Disqualifying offences and disqualifying periods</w:t>
      </w:r>
    </w:p>
    <w:p>
      <w:pPr>
        <w:pStyle w:val="TOC8"/>
        <w:rPr>
          <w:rFonts w:asciiTheme="minorHAnsi" w:eastAsiaTheme="minorEastAsia" w:hAnsiTheme="minorHAnsi" w:cstheme="minorBidi"/>
          <w:szCs w:val="22"/>
        </w:rPr>
      </w:pPr>
      <w:r>
        <w:t>24.</w:t>
      </w:r>
      <w:r>
        <w:tab/>
        <w:t>Disqualifying offences prescribed (Act s. 3)</w:t>
      </w:r>
      <w:r>
        <w:tab/>
      </w:r>
      <w:r>
        <w:fldChar w:fldCharType="begin"/>
      </w:r>
      <w:r>
        <w:instrText xml:space="preserve"> PAGEREF _Toc457551731 \h </w:instrText>
      </w:r>
      <w:r>
        <w:fldChar w:fldCharType="separate"/>
      </w:r>
      <w:r>
        <w:t>24</w:t>
      </w:r>
      <w:r>
        <w:fldChar w:fldCharType="end"/>
      </w:r>
    </w:p>
    <w:p>
      <w:pPr>
        <w:pStyle w:val="TOC8"/>
        <w:rPr>
          <w:rFonts w:asciiTheme="minorHAnsi" w:eastAsiaTheme="minorEastAsia" w:hAnsiTheme="minorHAnsi" w:cstheme="minorBidi"/>
          <w:szCs w:val="22"/>
        </w:rPr>
      </w:pPr>
      <w:r>
        <w:t>25.</w:t>
      </w:r>
      <w:r>
        <w:tab/>
        <w:t>Disqualifying periods prescribed (Act s. 4A)</w:t>
      </w:r>
      <w:r>
        <w:tab/>
      </w:r>
      <w:r>
        <w:fldChar w:fldCharType="begin"/>
      </w:r>
      <w:r>
        <w:instrText xml:space="preserve"> PAGEREF _Toc457551732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Classes of licence</w:t>
      </w:r>
    </w:p>
    <w:p>
      <w:pPr>
        <w:pStyle w:val="TOC8"/>
        <w:rPr>
          <w:rFonts w:asciiTheme="minorHAnsi" w:eastAsiaTheme="minorEastAsia" w:hAnsiTheme="minorHAnsi" w:cstheme="minorBidi"/>
          <w:szCs w:val="22"/>
        </w:rPr>
      </w:pPr>
      <w:r>
        <w:t>26.</w:t>
      </w:r>
      <w:r>
        <w:tab/>
        <w:t>Security consultant’s licence, classes of</w:t>
      </w:r>
      <w:r>
        <w:tab/>
      </w:r>
      <w:r>
        <w:fldChar w:fldCharType="begin"/>
      </w:r>
      <w:r>
        <w:instrText xml:space="preserve"> PAGEREF _Toc457551734 \h </w:instrText>
      </w:r>
      <w:r>
        <w:fldChar w:fldCharType="separate"/>
      </w:r>
      <w:r>
        <w:t>26</w:t>
      </w:r>
      <w:r>
        <w:fldChar w:fldCharType="end"/>
      </w:r>
    </w:p>
    <w:p>
      <w:pPr>
        <w:pStyle w:val="TOC8"/>
        <w:rPr>
          <w:rFonts w:asciiTheme="minorHAnsi" w:eastAsiaTheme="minorEastAsia" w:hAnsiTheme="minorHAnsi" w:cstheme="minorBidi"/>
          <w:szCs w:val="22"/>
        </w:rPr>
      </w:pPr>
      <w:r>
        <w:t>27.</w:t>
      </w:r>
      <w:r>
        <w:tab/>
        <w:t>Security installer’s licence, classes of</w:t>
      </w:r>
      <w:r>
        <w:tab/>
      </w:r>
      <w:r>
        <w:fldChar w:fldCharType="begin"/>
      </w:r>
      <w:r>
        <w:instrText xml:space="preserve"> PAGEREF _Toc457551735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6 — Records</w:t>
      </w:r>
    </w:p>
    <w:p>
      <w:pPr>
        <w:pStyle w:val="TOC8"/>
        <w:rPr>
          <w:rFonts w:asciiTheme="minorHAnsi" w:eastAsiaTheme="minorEastAsia" w:hAnsiTheme="minorHAnsi" w:cstheme="minorBidi"/>
          <w:szCs w:val="22"/>
        </w:rPr>
      </w:pPr>
      <w:r>
        <w:t>35</w:t>
      </w:r>
      <w:r>
        <w:rPr>
          <w:snapToGrid w:val="0"/>
        </w:rPr>
        <w:t>.</w:t>
      </w:r>
      <w:r>
        <w:rPr>
          <w:snapToGrid w:val="0"/>
        </w:rPr>
        <w:tab/>
        <w:t>Records to be kept by security agent prescribed (Act s. 78(1)(a))</w:t>
      </w:r>
      <w:r>
        <w:tab/>
      </w:r>
      <w:r>
        <w:fldChar w:fldCharType="begin"/>
      </w:r>
      <w:r>
        <w:instrText xml:space="preserve"> PAGEREF _Toc457551737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Firearms register, content of</w:t>
      </w:r>
      <w:r>
        <w:tab/>
      </w:r>
      <w:r>
        <w:fldChar w:fldCharType="begin"/>
      </w:r>
      <w:r>
        <w:instrText xml:space="preserve"> PAGEREF _Toc457551738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Alarm surveillance register, content of</w:t>
      </w:r>
      <w:r>
        <w:tab/>
      </w:r>
      <w:r>
        <w:fldChar w:fldCharType="begin"/>
      </w:r>
      <w:r>
        <w:instrText xml:space="preserve"> PAGEREF _Toc457551739 \h </w:instrText>
      </w:r>
      <w:r>
        <w:fldChar w:fldCharType="separate"/>
      </w:r>
      <w:r>
        <w:t>29</w:t>
      </w:r>
      <w:r>
        <w:fldChar w:fldCharType="end"/>
      </w:r>
    </w:p>
    <w:p>
      <w:pPr>
        <w:pStyle w:val="TOC8"/>
        <w:rPr>
          <w:rFonts w:asciiTheme="minorHAnsi" w:eastAsiaTheme="minorEastAsia" w:hAnsiTheme="minorHAnsi" w:cstheme="minorBidi"/>
          <w:szCs w:val="22"/>
        </w:rPr>
      </w:pPr>
      <w:r>
        <w:t>38A.</w:t>
      </w:r>
      <w:r>
        <w:tab/>
        <w:t xml:space="preserve">Guard dog register, </w:t>
      </w:r>
      <w:r>
        <w:rPr>
          <w:snapToGrid w:val="0"/>
        </w:rPr>
        <w:t>content of</w:t>
      </w:r>
      <w:r>
        <w:tab/>
      </w:r>
      <w:r>
        <w:fldChar w:fldCharType="begin"/>
      </w:r>
      <w:r>
        <w:instrText xml:space="preserve"> PAGEREF _Toc457551740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General records of security agent</w:t>
      </w:r>
      <w:r>
        <w:tab/>
      </w:r>
      <w:r>
        <w:fldChar w:fldCharType="begin"/>
      </w:r>
      <w:r>
        <w:instrText xml:space="preserve"> PAGEREF _Toc457551741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 by crowd control agent prescribed (Act s. 78(1)(a))</w:t>
      </w:r>
      <w:r>
        <w:tab/>
      </w:r>
      <w:r>
        <w:fldChar w:fldCharType="begin"/>
      </w:r>
      <w:r>
        <w:instrText xml:space="preserve"> PAGEREF _Toc457551742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Incident register, content of</w:t>
      </w:r>
      <w:r>
        <w:tab/>
      </w:r>
      <w:r>
        <w:fldChar w:fldCharType="begin"/>
      </w:r>
      <w:r>
        <w:instrText xml:space="preserve"> PAGEREF _Toc457551743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records of crowd control agent</w:t>
      </w:r>
      <w:r>
        <w:tab/>
      </w:r>
      <w:r>
        <w:fldChar w:fldCharType="begin"/>
      </w:r>
      <w:r>
        <w:instrText xml:space="preserve"> PAGEREF _Toc457551744 \h </w:instrText>
      </w:r>
      <w:r>
        <w:fldChar w:fldCharType="separate"/>
      </w:r>
      <w:r>
        <w:t>36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Records to be kept by inquiry agent prescribed (Act s. 78(1)(a))</w:t>
      </w:r>
      <w:r>
        <w:tab/>
      </w:r>
      <w:r>
        <w:fldChar w:fldCharType="begin"/>
      </w:r>
      <w:r>
        <w:instrText xml:space="preserve"> PAGEREF _Toc457551745 \h </w:instrText>
      </w:r>
      <w:r>
        <w:fldChar w:fldCharType="separate"/>
      </w:r>
      <w:r>
        <w:t>36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Records to be kept by person for whom licensed crowd controller provides services prescribed (Act s. 84(a))</w:t>
      </w:r>
      <w:r>
        <w:tab/>
      </w:r>
      <w:r>
        <w:fldChar w:fldCharType="begin"/>
      </w:r>
      <w:r>
        <w:instrText xml:space="preserve"> PAGEREF _Toc457551746 \h </w:instrText>
      </w:r>
      <w:r>
        <w:fldChar w:fldCharType="separate"/>
      </w:r>
      <w:r>
        <w:t>37</w:t>
      </w:r>
      <w:r>
        <w:fldChar w:fldCharType="end"/>
      </w:r>
    </w:p>
    <w:p>
      <w:pPr>
        <w:pStyle w:val="TOC8"/>
        <w:rPr>
          <w:rFonts w:asciiTheme="minorHAnsi" w:eastAsiaTheme="minorEastAsia" w:hAnsiTheme="minorHAnsi" w:cstheme="minorBidi"/>
          <w:szCs w:val="22"/>
        </w:rPr>
      </w:pPr>
      <w:r>
        <w:t>44A.</w:t>
      </w:r>
      <w:r>
        <w:tab/>
        <w:t>Notification of address where records held (Act s. 78(2))</w:t>
      </w:r>
      <w:r>
        <w:tab/>
      </w:r>
      <w:r>
        <w:fldChar w:fldCharType="begin"/>
      </w:r>
      <w:r>
        <w:instrText xml:space="preserve"> PAGEREF _Toc457551747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7 — Drug testing</w:t>
      </w:r>
    </w:p>
    <w:p>
      <w:pPr>
        <w:pStyle w:val="TOC8"/>
        <w:rPr>
          <w:rFonts w:asciiTheme="minorHAnsi" w:eastAsiaTheme="minorEastAsia" w:hAnsiTheme="minorHAnsi" w:cstheme="minorBidi"/>
          <w:szCs w:val="22"/>
        </w:rPr>
      </w:pPr>
      <w:r>
        <w:t>44</w:t>
      </w:r>
      <w:r>
        <w:rPr>
          <w:snapToGrid w:val="0"/>
        </w:rPr>
        <w:t>.</w:t>
      </w:r>
      <w:r>
        <w:rPr>
          <w:snapToGrid w:val="0"/>
        </w:rPr>
        <w:tab/>
        <w:t>Terms used</w:t>
      </w:r>
      <w:r>
        <w:tab/>
      </w:r>
      <w:r>
        <w:fldChar w:fldCharType="begin"/>
      </w:r>
      <w:r>
        <w:instrText xml:space="preserve"> PAGEREF _Toc457551749 \h </w:instrText>
      </w:r>
      <w:r>
        <w:fldChar w:fldCharType="separate"/>
      </w:r>
      <w:r>
        <w:t>38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Drugs prescribed (Act s. 80)</w:t>
      </w:r>
      <w:r>
        <w:tab/>
      </w:r>
      <w:r>
        <w:fldChar w:fldCharType="begin"/>
      </w:r>
      <w:r>
        <w:instrText xml:space="preserve"> PAGEREF _Toc457551750 \h </w:instrText>
      </w:r>
      <w:r>
        <w:fldChar w:fldCharType="separate"/>
      </w:r>
      <w:r>
        <w:t>39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Approval of technologists, sample collectors and analysts</w:t>
      </w:r>
      <w:r>
        <w:tab/>
      </w:r>
      <w:r>
        <w:fldChar w:fldCharType="begin"/>
      </w:r>
      <w:r>
        <w:instrText xml:space="preserve"> PAGEREF _Toc457551751 \h </w:instrText>
      </w:r>
      <w:r>
        <w:fldChar w:fldCharType="separate"/>
      </w:r>
      <w:r>
        <w:t>39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Blood and urine sampling equipment prescribed</w:t>
      </w:r>
      <w:r>
        <w:tab/>
      </w:r>
      <w:r>
        <w:fldChar w:fldCharType="begin"/>
      </w:r>
      <w:r>
        <w:instrText xml:space="preserve"> PAGEREF _Toc457551752 \h </w:instrText>
      </w:r>
      <w:r>
        <w:fldChar w:fldCharType="separate"/>
      </w:r>
      <w:r>
        <w:t>40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Preparation and use of sampling equipment</w:t>
      </w:r>
      <w:r>
        <w:tab/>
      </w:r>
      <w:r>
        <w:fldChar w:fldCharType="begin"/>
      </w:r>
      <w:r>
        <w:instrText xml:space="preserve"> PAGEREF _Toc457551753 \h </w:instrText>
      </w:r>
      <w:r>
        <w:fldChar w:fldCharType="separate"/>
      </w:r>
      <w:r>
        <w:t>40</w:t>
      </w:r>
      <w:r>
        <w:fldChar w:fldCharType="end"/>
      </w:r>
    </w:p>
    <w:p>
      <w:pPr>
        <w:pStyle w:val="TOC8"/>
        <w:rPr>
          <w:rFonts w:asciiTheme="minorHAnsi" w:eastAsiaTheme="minorEastAsia" w:hAnsiTheme="minorHAnsi" w:cstheme="minorBidi"/>
          <w:szCs w:val="22"/>
        </w:rPr>
      </w:pPr>
      <w:r>
        <w:t>48A.</w:t>
      </w:r>
      <w:r>
        <w:tab/>
        <w:t>Licensee to produce identity card when giving blood or urine sample under direction given under Act s. 80</w:t>
      </w:r>
      <w:r>
        <w:tab/>
      </w:r>
      <w:r>
        <w:fldChar w:fldCharType="begin"/>
      </w:r>
      <w:r>
        <w:instrText xml:space="preserve"> PAGEREF _Toc457551754 \h </w:instrText>
      </w:r>
      <w:r>
        <w:fldChar w:fldCharType="separate"/>
      </w:r>
      <w:r>
        <w:t>41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Blood samples, method for collecting</w:t>
      </w:r>
      <w:r>
        <w:tab/>
      </w:r>
      <w:r>
        <w:fldChar w:fldCharType="begin"/>
      </w:r>
      <w:r>
        <w:instrText xml:space="preserve"> PAGEREF _Toc457551755 \h </w:instrText>
      </w:r>
      <w:r>
        <w:fldChar w:fldCharType="separate"/>
      </w:r>
      <w:r>
        <w:t>42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Urine samples, method for collecting</w:t>
      </w:r>
      <w:r>
        <w:tab/>
      </w:r>
      <w:r>
        <w:fldChar w:fldCharType="begin"/>
      </w:r>
      <w:r>
        <w:instrText xml:space="preserve"> PAGEREF _Toc457551756 \h </w:instrText>
      </w:r>
      <w:r>
        <w:fldChar w:fldCharType="separate"/>
      </w:r>
      <w:r>
        <w:t>42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Analysis of samples</w:t>
      </w:r>
      <w:r>
        <w:tab/>
      </w:r>
      <w:r>
        <w:fldChar w:fldCharType="begin"/>
      </w:r>
      <w:r>
        <w:instrText xml:space="preserve"> PAGEREF _Toc457551757 \h </w:instrText>
      </w:r>
      <w:r>
        <w:fldChar w:fldCharType="separate"/>
      </w:r>
      <w:r>
        <w:t>44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Non</w:t>
      </w:r>
      <w:r>
        <w:rPr>
          <w:snapToGrid w:val="0"/>
        </w:rPr>
        <w:noBreakHyphen/>
        <w:t>complying sample defined (Act s. 81(1)(b))</w:t>
      </w:r>
      <w:r>
        <w:tab/>
      </w:r>
      <w:r>
        <w:fldChar w:fldCharType="begin"/>
      </w:r>
      <w:r>
        <w:instrText xml:space="preserve"> PAGEREF _Toc457551758 \h </w:instrText>
      </w:r>
      <w:r>
        <w:fldChar w:fldCharType="separate"/>
      </w:r>
      <w:r>
        <w:t>44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Certificates which are evidence</w:t>
      </w:r>
      <w:r>
        <w:tab/>
      </w:r>
      <w:r>
        <w:fldChar w:fldCharType="begin"/>
      </w:r>
      <w:r>
        <w:instrText xml:space="preserve"> PAGEREF _Toc457551759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54</w:t>
      </w:r>
      <w:r>
        <w:rPr>
          <w:snapToGrid w:val="0"/>
        </w:rPr>
        <w:t>.</w:t>
      </w:r>
      <w:r>
        <w:rPr>
          <w:snapToGrid w:val="0"/>
        </w:rPr>
        <w:tab/>
        <w:t>Fees prescribed</w:t>
      </w:r>
      <w:r>
        <w:tab/>
      </w:r>
      <w:r>
        <w:fldChar w:fldCharType="begin"/>
      </w:r>
      <w:r>
        <w:instrText xml:space="preserve"> PAGEREF _Toc457551761 \h </w:instrText>
      </w:r>
      <w:r>
        <w:fldChar w:fldCharType="separate"/>
      </w:r>
      <w:r>
        <w:t>47</w:t>
      </w:r>
      <w:r>
        <w:fldChar w:fldCharType="end"/>
      </w:r>
    </w:p>
    <w:p>
      <w:pPr>
        <w:pStyle w:val="TOC8"/>
        <w:rPr>
          <w:rFonts w:asciiTheme="minorHAnsi" w:eastAsiaTheme="minorEastAsia" w:hAnsiTheme="minorHAnsi" w:cstheme="minorBidi"/>
          <w:szCs w:val="22"/>
        </w:rPr>
      </w:pPr>
      <w:r>
        <w:t>54A.</w:t>
      </w:r>
      <w:r>
        <w:tab/>
        <w:t>Codes of conduct, preparation, approval and effect of</w:t>
      </w:r>
      <w:r>
        <w:tab/>
      </w:r>
      <w:r>
        <w:fldChar w:fldCharType="begin"/>
      </w:r>
      <w:r>
        <w:instrText xml:space="preserve"> PAGEREF _Toc457551762 \h </w:instrText>
      </w:r>
      <w:r>
        <w:fldChar w:fldCharType="separate"/>
      </w:r>
      <w:r>
        <w:t>47</w:t>
      </w:r>
      <w:r>
        <w:fldChar w:fldCharType="end"/>
      </w:r>
    </w:p>
    <w:p>
      <w:pPr>
        <w:pStyle w:val="TOC8"/>
        <w:rPr>
          <w:rFonts w:asciiTheme="minorHAnsi" w:eastAsiaTheme="minorEastAsia" w:hAnsiTheme="minorHAnsi" w:cstheme="minorBidi"/>
          <w:szCs w:val="22"/>
        </w:rPr>
      </w:pPr>
      <w:r>
        <w:t>55.</w:t>
      </w:r>
      <w:r>
        <w:tab/>
        <w:t>Surrender of licence (Act s. 76(c))</w:t>
      </w:r>
      <w:r>
        <w:tab/>
      </w:r>
      <w:r>
        <w:fldChar w:fldCharType="begin"/>
      </w:r>
      <w:r>
        <w:instrText xml:space="preserve"> PAGEREF _Toc457551763 \h </w:instrText>
      </w:r>
      <w:r>
        <w:fldChar w:fldCharType="separate"/>
      </w:r>
      <w:r>
        <w:t>48</w:t>
      </w:r>
      <w:r>
        <w:fldChar w:fldCharType="end"/>
      </w:r>
    </w:p>
    <w:p>
      <w:pPr>
        <w:pStyle w:val="TOC8"/>
        <w:rPr>
          <w:rFonts w:asciiTheme="minorHAnsi" w:eastAsiaTheme="minorEastAsia" w:hAnsiTheme="minorHAnsi" w:cstheme="minorBidi"/>
          <w:szCs w:val="22"/>
        </w:rPr>
      </w:pPr>
      <w:r>
        <w:t>56.</w:t>
      </w:r>
      <w:r>
        <w:tab/>
        <w:t>Return of licence (Act s. 76)</w:t>
      </w:r>
      <w:r>
        <w:tab/>
      </w:r>
      <w:r>
        <w:fldChar w:fldCharType="begin"/>
      </w:r>
      <w:r>
        <w:instrText xml:space="preserve"> PAGEREF _Toc457551764 \h </w:instrText>
      </w:r>
      <w:r>
        <w:fldChar w:fldCharType="separate"/>
      </w:r>
      <w:r>
        <w:t>48</w:t>
      </w:r>
      <w:r>
        <w:fldChar w:fldCharType="end"/>
      </w:r>
    </w:p>
    <w:p>
      <w:pPr>
        <w:pStyle w:val="TOC8"/>
        <w:rPr>
          <w:rFonts w:asciiTheme="minorHAnsi" w:eastAsiaTheme="minorEastAsia" w:hAnsiTheme="minorHAnsi" w:cstheme="minorBidi"/>
          <w:szCs w:val="22"/>
        </w:rPr>
      </w:pPr>
      <w:r>
        <w:t>57.</w:t>
      </w:r>
      <w:r>
        <w:tab/>
        <w:t>Notification of change of address (Act s. 77)</w:t>
      </w:r>
      <w:r>
        <w:tab/>
      </w:r>
      <w:r>
        <w:fldChar w:fldCharType="begin"/>
      </w:r>
      <w:r>
        <w:instrText xml:space="preserve"> PAGEREF _Toc457551765 \h </w:instrText>
      </w:r>
      <w:r>
        <w:fldChar w:fldCharType="separate"/>
      </w:r>
      <w:r>
        <w:t>48</w:t>
      </w:r>
      <w:r>
        <w:fldChar w:fldCharType="end"/>
      </w:r>
    </w:p>
    <w:p>
      <w:pPr>
        <w:pStyle w:val="TOC8"/>
        <w:rPr>
          <w:rFonts w:asciiTheme="minorHAnsi" w:eastAsiaTheme="minorEastAsia" w:hAnsiTheme="minorHAnsi" w:cstheme="minorBidi"/>
          <w:szCs w:val="22"/>
        </w:rPr>
      </w:pPr>
      <w:r>
        <w:t>58.</w:t>
      </w:r>
      <w:r>
        <w:tab/>
        <w:t>Prescribed offences and modified penalties</w:t>
      </w:r>
      <w:r>
        <w:tab/>
      </w:r>
      <w:r>
        <w:fldChar w:fldCharType="begin"/>
      </w:r>
      <w:r>
        <w:instrText xml:space="preserve"> PAGEREF _Toc457551766 \h </w:instrText>
      </w:r>
      <w:r>
        <w:fldChar w:fldCharType="separate"/>
      </w:r>
      <w:r>
        <w:t>48</w:t>
      </w:r>
      <w:r>
        <w:fldChar w:fldCharType="end"/>
      </w:r>
    </w:p>
    <w:p>
      <w:pPr>
        <w:pStyle w:val="TOC8"/>
        <w:rPr>
          <w:rFonts w:asciiTheme="minorHAnsi" w:eastAsiaTheme="minorEastAsia" w:hAnsiTheme="minorHAnsi" w:cstheme="minorBidi"/>
          <w:szCs w:val="22"/>
        </w:rPr>
      </w:pPr>
      <w:r>
        <w:t>59.</w:t>
      </w:r>
      <w:r>
        <w:tab/>
        <w:t>Forms</w:t>
      </w:r>
      <w:r>
        <w:tab/>
      </w:r>
      <w:r>
        <w:fldChar w:fldCharType="begin"/>
      </w:r>
      <w:r>
        <w:instrText xml:space="preserve"> PAGEREF _Toc457551767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Schedule 1 — Conditions and restrictions attached to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Security agent’s licence</w:t>
      </w:r>
    </w:p>
    <w:p>
      <w:pPr>
        <w:pStyle w:val="TOC8"/>
        <w:rPr>
          <w:rFonts w:asciiTheme="minorHAnsi" w:eastAsiaTheme="minorEastAsia" w:hAnsiTheme="minorHAnsi" w:cstheme="minorBidi"/>
          <w:szCs w:val="22"/>
        </w:rPr>
      </w:pPr>
      <w:r>
        <w:t>1</w:t>
      </w:r>
      <w:r>
        <w:rPr>
          <w:snapToGrid w:val="0"/>
        </w:rPr>
        <w:t>.</w:t>
      </w:r>
      <w:r>
        <w:rPr>
          <w:snapToGrid w:val="0"/>
        </w:rPr>
        <w:tab/>
        <w:t>Changes of partners, officers or personnel to be notified</w:t>
      </w:r>
      <w:r>
        <w:tab/>
      </w:r>
      <w:r>
        <w:fldChar w:fldCharType="begin"/>
      </w:r>
      <w:r>
        <w:instrText xml:space="preserve"> PAGEREF _Toc457551770 \h </w:instrText>
      </w:r>
      <w:r>
        <w:fldChar w:fldCharType="separate"/>
      </w:r>
      <w:r>
        <w:t>50</w:t>
      </w:r>
      <w:r>
        <w:fldChar w:fldCharType="end"/>
      </w:r>
    </w:p>
    <w:p>
      <w:pPr>
        <w:pStyle w:val="TOC8"/>
        <w:rPr>
          <w:rFonts w:asciiTheme="minorHAnsi" w:eastAsiaTheme="minorEastAsia" w:hAnsiTheme="minorHAnsi" w:cstheme="minorBidi"/>
          <w:szCs w:val="22"/>
        </w:rPr>
      </w:pPr>
      <w:r>
        <w:t>2.</w:t>
      </w:r>
      <w:r>
        <w:tab/>
        <w:t>Uniforms to be worn by security officers</w:t>
      </w:r>
      <w:r>
        <w:tab/>
      </w:r>
      <w:r>
        <w:fldChar w:fldCharType="begin"/>
      </w:r>
      <w:r>
        <w:instrText xml:space="preserve"> PAGEREF _Toc457551771 \h </w:instrText>
      </w:r>
      <w:r>
        <w:fldChar w:fldCharType="separate"/>
      </w:r>
      <w:r>
        <w:t>50</w:t>
      </w:r>
      <w:r>
        <w:fldChar w:fldCharType="end"/>
      </w:r>
    </w:p>
    <w:p>
      <w:pPr>
        <w:pStyle w:val="TOC8"/>
        <w:rPr>
          <w:rFonts w:asciiTheme="minorHAnsi" w:eastAsiaTheme="minorEastAsia" w:hAnsiTheme="minorHAnsi" w:cstheme="minorBidi"/>
          <w:szCs w:val="22"/>
        </w:rPr>
      </w:pPr>
      <w:r>
        <w:t>3.</w:t>
      </w:r>
      <w:r>
        <w:tab/>
        <w:t>Markings on vehicles used by security officers</w:t>
      </w:r>
      <w:r>
        <w:tab/>
      </w:r>
      <w:r>
        <w:fldChar w:fldCharType="begin"/>
      </w:r>
      <w:r>
        <w:instrText xml:space="preserve"> PAGEREF _Toc457551772 \h </w:instrText>
      </w:r>
      <w:r>
        <w:fldChar w:fldCharType="separate"/>
      </w:r>
      <w:r>
        <w:t>51</w:t>
      </w:r>
      <w:r>
        <w:fldChar w:fldCharType="end"/>
      </w:r>
    </w:p>
    <w:p>
      <w:pPr>
        <w:pStyle w:val="TOC8"/>
        <w:rPr>
          <w:rFonts w:asciiTheme="minorHAnsi" w:eastAsiaTheme="minorEastAsia" w:hAnsiTheme="minorHAnsi" w:cstheme="minorBidi"/>
          <w:szCs w:val="22"/>
        </w:rPr>
      </w:pPr>
      <w:r>
        <w:t>4A.</w:t>
      </w:r>
      <w:r>
        <w:tab/>
        <w:t>Dogs not to be used without training</w:t>
      </w:r>
      <w:r>
        <w:tab/>
      </w:r>
      <w:r>
        <w:fldChar w:fldCharType="begin"/>
      </w:r>
      <w:r>
        <w:instrText xml:space="preserve"> PAGEREF _Toc457551773 \h </w:instrText>
      </w:r>
      <w:r>
        <w:fldChar w:fldCharType="separate"/>
      </w:r>
      <w:r>
        <w:t>51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Arming security officers</w:t>
      </w:r>
      <w:r>
        <w:tab/>
      </w:r>
      <w:r>
        <w:fldChar w:fldCharType="begin"/>
      </w:r>
      <w:r>
        <w:instrText xml:space="preserve"> PAGEREF _Toc457551774 \h </w:instrText>
      </w:r>
      <w:r>
        <w:fldChar w:fldCharType="separate"/>
      </w:r>
      <w:r>
        <w:t>51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Firearm security</w:t>
      </w:r>
      <w:r>
        <w:tab/>
      </w:r>
      <w:r>
        <w:fldChar w:fldCharType="begin"/>
      </w:r>
      <w:r>
        <w:instrText xml:space="preserve"> PAGEREF _Toc457551775 \h </w:instrText>
      </w:r>
      <w:r>
        <w:fldChar w:fldCharType="separate"/>
      </w:r>
      <w:r>
        <w:t>52</w:t>
      </w:r>
      <w:r>
        <w:fldChar w:fldCharType="end"/>
      </w:r>
    </w:p>
    <w:p>
      <w:pPr>
        <w:pStyle w:val="TOC8"/>
        <w:rPr>
          <w:rFonts w:asciiTheme="minorHAnsi" w:eastAsiaTheme="minorEastAsia" w:hAnsiTheme="minorHAnsi" w:cstheme="minorBidi"/>
          <w:szCs w:val="22"/>
        </w:rPr>
      </w:pPr>
      <w:r>
        <w:t>6.</w:t>
      </w:r>
      <w:r>
        <w:tab/>
        <w:t>Weapons training required for certain security officers</w:t>
      </w:r>
      <w:r>
        <w:tab/>
      </w:r>
      <w:r>
        <w:fldChar w:fldCharType="begin"/>
      </w:r>
      <w:r>
        <w:instrText xml:space="preserve"> PAGEREF _Toc457551776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Security officer’s licence</w:t>
      </w:r>
    </w:p>
    <w:p>
      <w:pPr>
        <w:pStyle w:val="TOC8"/>
        <w:rPr>
          <w:rFonts w:asciiTheme="minorHAnsi" w:eastAsiaTheme="minorEastAsia" w:hAnsiTheme="minorHAnsi" w:cstheme="minorBidi"/>
          <w:szCs w:val="22"/>
        </w:rPr>
      </w:pPr>
      <w:r>
        <w:t>7</w:t>
      </w:r>
      <w:r>
        <w:rPr>
          <w:snapToGrid w:val="0"/>
        </w:rPr>
        <w:t>.</w:t>
      </w:r>
      <w:r>
        <w:rPr>
          <w:snapToGrid w:val="0"/>
        </w:rPr>
        <w:tab/>
      </w:r>
      <w:r>
        <w:t>Uniforms</w:t>
      </w:r>
      <w:r>
        <w:rPr>
          <w:snapToGrid w:val="0"/>
        </w:rPr>
        <w:t xml:space="preserve"> to be worn by security officers</w:t>
      </w:r>
      <w:r>
        <w:tab/>
      </w:r>
      <w:r>
        <w:fldChar w:fldCharType="begin"/>
      </w:r>
      <w:r>
        <w:instrText xml:space="preserve"> PAGEREF _Toc457551778 \h </w:instrText>
      </w:r>
      <w:r>
        <w:fldChar w:fldCharType="separate"/>
      </w:r>
      <w:r>
        <w:t>53</w:t>
      </w:r>
      <w:r>
        <w:fldChar w:fldCharType="end"/>
      </w:r>
    </w:p>
    <w:p>
      <w:pPr>
        <w:pStyle w:val="TOC8"/>
        <w:rPr>
          <w:rFonts w:asciiTheme="minorHAnsi" w:eastAsiaTheme="minorEastAsia" w:hAnsiTheme="minorHAnsi" w:cstheme="minorBidi"/>
          <w:szCs w:val="22"/>
        </w:rPr>
      </w:pPr>
      <w:r>
        <w:t>8.</w:t>
      </w:r>
      <w:r>
        <w:tab/>
        <w:t>M</w:t>
      </w:r>
      <w:r>
        <w:rPr>
          <w:snapToGrid w:val="0"/>
        </w:rPr>
        <w:t>arkings on vehicles used by security officers</w:t>
      </w:r>
      <w:r>
        <w:tab/>
      </w:r>
      <w:r>
        <w:fldChar w:fldCharType="begin"/>
      </w:r>
      <w:r>
        <w:instrText xml:space="preserve"> PAGEREF _Toc457551779 \h </w:instrText>
      </w:r>
      <w:r>
        <w:fldChar w:fldCharType="separate"/>
      </w:r>
      <w:r>
        <w:t>53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Carrying</w:t>
      </w:r>
      <w:r>
        <w:rPr>
          <w:snapToGrid w:val="0"/>
        </w:rPr>
        <w:t xml:space="preserve"> of weapons</w:t>
      </w:r>
      <w:r>
        <w:tab/>
      </w:r>
      <w:r>
        <w:fldChar w:fldCharType="begin"/>
      </w:r>
      <w:r>
        <w:instrText xml:space="preserve"> PAGEREF _Toc457551780 \h </w:instrText>
      </w:r>
      <w:r>
        <w:fldChar w:fldCharType="separate"/>
      </w:r>
      <w:r>
        <w:t>53</w:t>
      </w:r>
      <w:r>
        <w:fldChar w:fldCharType="end"/>
      </w:r>
    </w:p>
    <w:p>
      <w:pPr>
        <w:pStyle w:val="TOC8"/>
        <w:rPr>
          <w:rFonts w:asciiTheme="minorHAnsi" w:eastAsiaTheme="minorEastAsia" w:hAnsiTheme="minorHAnsi" w:cstheme="minorBidi"/>
          <w:szCs w:val="22"/>
        </w:rPr>
      </w:pPr>
      <w:r>
        <w:t>10.</w:t>
      </w:r>
      <w:r>
        <w:tab/>
        <w:t>Firearm</w:t>
      </w:r>
      <w:r>
        <w:rPr>
          <w:snapToGrid w:val="0"/>
        </w:rPr>
        <w:t xml:space="preserve"> security</w:t>
      </w:r>
      <w:r>
        <w:tab/>
      </w:r>
      <w:r>
        <w:fldChar w:fldCharType="begin"/>
      </w:r>
      <w:r>
        <w:instrText xml:space="preserve"> PAGEREF _Toc457551781 \h </w:instrText>
      </w:r>
      <w:r>
        <w:fldChar w:fldCharType="separate"/>
      </w:r>
      <w:r>
        <w:t>54</w:t>
      </w:r>
      <w:r>
        <w:fldChar w:fldCharType="end"/>
      </w:r>
    </w:p>
    <w:p>
      <w:pPr>
        <w:pStyle w:val="TOC8"/>
        <w:rPr>
          <w:rFonts w:asciiTheme="minorHAnsi" w:eastAsiaTheme="minorEastAsia" w:hAnsiTheme="minorHAnsi" w:cstheme="minorBidi"/>
          <w:szCs w:val="22"/>
        </w:rPr>
      </w:pPr>
      <w:r>
        <w:t>11A.</w:t>
      </w:r>
      <w:r>
        <w:tab/>
        <w:t>Dogs not to be used without training</w:t>
      </w:r>
      <w:r>
        <w:tab/>
      </w:r>
      <w:r>
        <w:fldChar w:fldCharType="begin"/>
      </w:r>
      <w:r>
        <w:instrText xml:space="preserve"> PAGEREF _Toc457551782 \h </w:instrText>
      </w:r>
      <w:r>
        <w:fldChar w:fldCharType="separate"/>
      </w:r>
      <w:r>
        <w:t>54</w:t>
      </w:r>
      <w:r>
        <w:fldChar w:fldCharType="end"/>
      </w:r>
    </w:p>
    <w:p>
      <w:pPr>
        <w:pStyle w:val="TOC8"/>
        <w:rPr>
          <w:rFonts w:asciiTheme="minorHAnsi" w:eastAsiaTheme="minorEastAsia" w:hAnsiTheme="minorHAnsi" w:cstheme="minorBidi"/>
          <w:szCs w:val="22"/>
        </w:rPr>
      </w:pPr>
      <w:r>
        <w:t>11B.</w:t>
      </w:r>
      <w:r>
        <w:tab/>
        <w:t>First aid certificate</w:t>
      </w:r>
      <w:r>
        <w:tab/>
      </w:r>
      <w:r>
        <w:fldChar w:fldCharType="begin"/>
      </w:r>
      <w:r>
        <w:instrText xml:space="preserve"> PAGEREF _Toc457551783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2A</w:t>
      </w:r>
      <w:r>
        <w:rPr>
          <w:b w:val="0"/>
        </w:rPr>
        <w:t> — </w:t>
      </w:r>
      <w:r>
        <w:t>Security officer’s licence endorsement</w:t>
      </w:r>
    </w:p>
    <w:p>
      <w:pPr>
        <w:pStyle w:val="TOC8"/>
        <w:rPr>
          <w:rFonts w:asciiTheme="minorHAnsi" w:eastAsiaTheme="minorEastAsia" w:hAnsiTheme="minorHAnsi" w:cstheme="minorBidi"/>
          <w:szCs w:val="22"/>
        </w:rPr>
      </w:pPr>
      <w:r>
        <w:t>11.</w:t>
      </w:r>
      <w:r>
        <w:tab/>
        <w:t>Weapons</w:t>
      </w:r>
      <w:r>
        <w:rPr>
          <w:snapToGrid w:val="0"/>
        </w:rPr>
        <w:t xml:space="preserve"> training</w:t>
      </w:r>
      <w:r>
        <w:tab/>
      </w:r>
      <w:r>
        <w:fldChar w:fldCharType="begin"/>
      </w:r>
      <w:r>
        <w:instrText xml:space="preserve"> PAGEREF _Toc457551785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2B</w:t>
      </w:r>
      <w:r>
        <w:rPr>
          <w:b w:val="0"/>
        </w:rPr>
        <w:t> — </w:t>
      </w:r>
      <w:r>
        <w:t>Security bodyguard’s licence</w:t>
      </w:r>
    </w:p>
    <w:p>
      <w:pPr>
        <w:pStyle w:val="TOC8"/>
        <w:rPr>
          <w:rFonts w:asciiTheme="minorHAnsi" w:eastAsiaTheme="minorEastAsia" w:hAnsiTheme="minorHAnsi" w:cstheme="minorBidi"/>
          <w:szCs w:val="22"/>
        </w:rPr>
      </w:pPr>
      <w:r>
        <w:t>12A.</w:t>
      </w:r>
      <w:r>
        <w:tab/>
        <w:t>No weapons to be carried by security bodyguard</w:t>
      </w:r>
      <w:r>
        <w:tab/>
      </w:r>
      <w:r>
        <w:fldChar w:fldCharType="begin"/>
      </w:r>
      <w:r>
        <w:instrText xml:space="preserve"> PAGEREF _Toc457551787 \h </w:instrText>
      </w:r>
      <w:r>
        <w:fldChar w:fldCharType="separate"/>
      </w:r>
      <w:r>
        <w:t>55</w:t>
      </w:r>
      <w:r>
        <w:fldChar w:fldCharType="end"/>
      </w:r>
    </w:p>
    <w:p>
      <w:pPr>
        <w:pStyle w:val="TOC8"/>
        <w:rPr>
          <w:rFonts w:asciiTheme="minorHAnsi" w:eastAsiaTheme="minorEastAsia" w:hAnsiTheme="minorHAnsi" w:cstheme="minorBidi"/>
          <w:szCs w:val="22"/>
        </w:rPr>
      </w:pPr>
      <w:r>
        <w:t>12B.</w:t>
      </w:r>
      <w:r>
        <w:tab/>
        <w:t>First aid certificate</w:t>
      </w:r>
      <w:r>
        <w:tab/>
      </w:r>
      <w:r>
        <w:fldChar w:fldCharType="begin"/>
      </w:r>
      <w:r>
        <w:instrText xml:space="preserve"> PAGEREF _Toc457551788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Inquiry agent’s licence</w:t>
      </w:r>
    </w:p>
    <w:p>
      <w:pPr>
        <w:pStyle w:val="TOC8"/>
        <w:rPr>
          <w:rFonts w:asciiTheme="minorHAnsi" w:eastAsiaTheme="minorEastAsia" w:hAnsiTheme="minorHAnsi" w:cstheme="minorBidi"/>
          <w:szCs w:val="22"/>
        </w:rPr>
      </w:pPr>
      <w:r>
        <w:t>12.</w:t>
      </w:r>
      <w:r>
        <w:tab/>
        <w:t>C</w:t>
      </w:r>
      <w:r>
        <w:rPr>
          <w:snapToGrid w:val="0"/>
        </w:rPr>
        <w:t>hange of partners, officers or personnel to be notified</w:t>
      </w:r>
      <w:r>
        <w:tab/>
      </w:r>
      <w:r>
        <w:fldChar w:fldCharType="begin"/>
      </w:r>
      <w:r>
        <w:instrText xml:space="preserve"> PAGEREF _Toc457551790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Crowd control agent’s licence</w:t>
      </w:r>
    </w:p>
    <w:p>
      <w:pPr>
        <w:pStyle w:val="TOC8"/>
        <w:rPr>
          <w:rFonts w:asciiTheme="minorHAnsi" w:eastAsiaTheme="minorEastAsia" w:hAnsiTheme="minorHAnsi" w:cstheme="minorBidi"/>
          <w:szCs w:val="22"/>
        </w:rPr>
      </w:pPr>
      <w:r>
        <w:t>13.</w:t>
      </w:r>
      <w:r>
        <w:tab/>
        <w:t>C</w:t>
      </w:r>
      <w:r>
        <w:rPr>
          <w:snapToGrid w:val="0"/>
        </w:rPr>
        <w:t>hange of partners, officers or personnel to be notified</w:t>
      </w:r>
      <w:r>
        <w:tab/>
      </w:r>
      <w:r>
        <w:fldChar w:fldCharType="begin"/>
      </w:r>
      <w:r>
        <w:instrText xml:space="preserve"> PAGEREF _Toc457551792 \h </w:instrText>
      </w:r>
      <w:r>
        <w:fldChar w:fldCharType="separate"/>
      </w:r>
      <w:r>
        <w:t>56</w:t>
      </w:r>
      <w:r>
        <w:fldChar w:fldCharType="end"/>
      </w:r>
    </w:p>
    <w:p>
      <w:pPr>
        <w:pStyle w:val="TOC8"/>
        <w:rPr>
          <w:rFonts w:asciiTheme="minorHAnsi" w:eastAsiaTheme="minorEastAsia" w:hAnsiTheme="minorHAnsi" w:cstheme="minorBidi"/>
          <w:szCs w:val="22"/>
        </w:rPr>
      </w:pPr>
      <w:r>
        <w:t>14.</w:t>
      </w:r>
      <w:r>
        <w:tab/>
        <w:t>I</w:t>
      </w:r>
      <w:r>
        <w:rPr>
          <w:snapToGrid w:val="0"/>
        </w:rPr>
        <w:t>dentification cards</w:t>
      </w:r>
      <w:r>
        <w:t xml:space="preserve"> to be worn</w:t>
      </w:r>
      <w:r>
        <w:tab/>
      </w:r>
      <w:r>
        <w:fldChar w:fldCharType="begin"/>
      </w:r>
      <w:r>
        <w:instrText xml:space="preserve"> PAGEREF _Toc457551793 \h </w:instrText>
      </w:r>
      <w:r>
        <w:fldChar w:fldCharType="separate"/>
      </w:r>
      <w:r>
        <w:t>57</w:t>
      </w:r>
      <w:r>
        <w:fldChar w:fldCharType="end"/>
      </w:r>
    </w:p>
    <w:p>
      <w:pPr>
        <w:pStyle w:val="TOC8"/>
        <w:rPr>
          <w:rFonts w:asciiTheme="minorHAnsi" w:eastAsiaTheme="minorEastAsia" w:hAnsiTheme="minorHAnsi" w:cstheme="minorBidi"/>
          <w:szCs w:val="22"/>
        </w:rPr>
      </w:pPr>
      <w:r>
        <w:t>15.</w:t>
      </w:r>
      <w:r>
        <w:tab/>
        <w:t>Information</w:t>
      </w:r>
      <w:r>
        <w:rPr>
          <w:snapToGrid w:val="0"/>
        </w:rPr>
        <w:t xml:space="preserve"> to clients</w:t>
      </w:r>
      <w:r>
        <w:tab/>
      </w:r>
      <w:r>
        <w:fldChar w:fldCharType="begin"/>
      </w:r>
      <w:r>
        <w:instrText xml:space="preserve"> PAGEREF _Toc457551794 \h </w:instrText>
      </w:r>
      <w:r>
        <w:fldChar w:fldCharType="separate"/>
      </w:r>
      <w:r>
        <w:t>57</w:t>
      </w:r>
      <w:r>
        <w:fldChar w:fldCharType="end"/>
      </w:r>
    </w:p>
    <w:p>
      <w:pPr>
        <w:pStyle w:val="TOC8"/>
        <w:rPr>
          <w:rFonts w:asciiTheme="minorHAnsi" w:eastAsiaTheme="minorEastAsia" w:hAnsiTheme="minorHAnsi" w:cstheme="minorBidi"/>
          <w:szCs w:val="22"/>
        </w:rPr>
      </w:pPr>
      <w:r>
        <w:t>15A.</w:t>
      </w:r>
      <w:r>
        <w:tab/>
        <w:t>Information to licensing officer</w:t>
      </w:r>
      <w:r>
        <w:tab/>
      </w:r>
      <w:r>
        <w:fldChar w:fldCharType="begin"/>
      </w:r>
      <w:r>
        <w:instrText xml:space="preserve"> PAGEREF _Toc457551795 \h </w:instrText>
      </w:r>
      <w:r>
        <w:fldChar w:fldCharType="separate"/>
      </w:r>
      <w:r>
        <w:t>57</w:t>
      </w:r>
      <w:r>
        <w:fldChar w:fldCharType="end"/>
      </w:r>
    </w:p>
    <w:p>
      <w:pPr>
        <w:pStyle w:val="TOC8"/>
        <w:rPr>
          <w:rFonts w:asciiTheme="minorHAnsi" w:eastAsiaTheme="minorEastAsia" w:hAnsiTheme="minorHAnsi" w:cstheme="minorBidi"/>
          <w:szCs w:val="22"/>
        </w:rPr>
      </w:pPr>
      <w:r>
        <w:t>16.</w:t>
      </w:r>
      <w:r>
        <w:tab/>
      </w:r>
      <w:r>
        <w:rPr>
          <w:snapToGrid w:val="0"/>
        </w:rPr>
        <w:t>No weapons to be carried by crowd controllers</w:t>
      </w:r>
      <w:r>
        <w:tab/>
      </w:r>
      <w:r>
        <w:fldChar w:fldCharType="begin"/>
      </w:r>
      <w:r>
        <w:instrText xml:space="preserve"> PAGEREF _Toc457551796 \h </w:instrText>
      </w:r>
      <w:r>
        <w:fldChar w:fldCharType="separate"/>
      </w:r>
      <w:r>
        <w:t>58</w:t>
      </w:r>
      <w:r>
        <w:fldChar w:fldCharType="end"/>
      </w:r>
    </w:p>
    <w:p>
      <w:pPr>
        <w:pStyle w:val="TOC8"/>
        <w:rPr>
          <w:rFonts w:asciiTheme="minorHAnsi" w:eastAsiaTheme="minorEastAsia" w:hAnsiTheme="minorHAnsi" w:cstheme="minorBidi"/>
          <w:szCs w:val="22"/>
        </w:rPr>
      </w:pPr>
      <w:r>
        <w:t>16A.</w:t>
      </w:r>
      <w:r>
        <w:tab/>
        <w:t>Incident</w:t>
      </w:r>
      <w:r>
        <w:rPr>
          <w:snapToGrid w:val="0"/>
        </w:rPr>
        <w:t xml:space="preserve"> register, duties as to</w:t>
      </w:r>
      <w:r>
        <w:tab/>
      </w:r>
      <w:r>
        <w:fldChar w:fldCharType="begin"/>
      </w:r>
      <w:r>
        <w:instrText xml:space="preserve"> PAGEREF _Toc457551797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Crowd controller’s licence</w:t>
      </w:r>
    </w:p>
    <w:p>
      <w:pPr>
        <w:pStyle w:val="TOC8"/>
        <w:rPr>
          <w:rFonts w:asciiTheme="minorHAnsi" w:eastAsiaTheme="minorEastAsia" w:hAnsiTheme="minorHAnsi" w:cstheme="minorBidi"/>
          <w:szCs w:val="22"/>
        </w:rPr>
      </w:pPr>
      <w:r>
        <w:t>17.</w:t>
      </w:r>
      <w:r>
        <w:tab/>
        <w:t>I</w:t>
      </w:r>
      <w:r>
        <w:rPr>
          <w:snapToGrid w:val="0"/>
        </w:rPr>
        <w:t>dentification card to be worn</w:t>
      </w:r>
      <w:r>
        <w:tab/>
      </w:r>
      <w:r>
        <w:fldChar w:fldCharType="begin"/>
      </w:r>
      <w:r>
        <w:instrText xml:space="preserve"> PAGEREF _Toc457551799 \h </w:instrText>
      </w:r>
      <w:r>
        <w:fldChar w:fldCharType="separate"/>
      </w:r>
      <w:r>
        <w:t>59</w:t>
      </w:r>
      <w:r>
        <w:fldChar w:fldCharType="end"/>
      </w:r>
    </w:p>
    <w:p>
      <w:pPr>
        <w:pStyle w:val="TOC8"/>
        <w:rPr>
          <w:rFonts w:asciiTheme="minorHAnsi" w:eastAsiaTheme="minorEastAsia" w:hAnsiTheme="minorHAnsi" w:cstheme="minorBidi"/>
          <w:szCs w:val="22"/>
        </w:rPr>
      </w:pPr>
      <w:r>
        <w:t>18.</w:t>
      </w:r>
      <w:r>
        <w:tab/>
      </w:r>
      <w:r>
        <w:rPr>
          <w:snapToGrid w:val="0"/>
        </w:rPr>
        <w:t xml:space="preserve">No </w:t>
      </w:r>
      <w:r>
        <w:t>weapons</w:t>
      </w:r>
      <w:r>
        <w:rPr>
          <w:snapToGrid w:val="0"/>
        </w:rPr>
        <w:t xml:space="preserve"> to be carried by crowd controller</w:t>
      </w:r>
      <w:r>
        <w:tab/>
      </w:r>
      <w:r>
        <w:fldChar w:fldCharType="begin"/>
      </w:r>
      <w:r>
        <w:instrText xml:space="preserve"> PAGEREF _Toc457551800 \h </w:instrText>
      </w:r>
      <w:r>
        <w:fldChar w:fldCharType="separate"/>
      </w:r>
      <w:r>
        <w:t>59</w:t>
      </w:r>
      <w:r>
        <w:fldChar w:fldCharType="end"/>
      </w:r>
    </w:p>
    <w:p>
      <w:pPr>
        <w:pStyle w:val="TOC8"/>
        <w:rPr>
          <w:rFonts w:asciiTheme="minorHAnsi" w:eastAsiaTheme="minorEastAsia" w:hAnsiTheme="minorHAnsi" w:cstheme="minorBidi"/>
          <w:szCs w:val="22"/>
        </w:rPr>
      </w:pPr>
      <w:r>
        <w:t>19A.</w:t>
      </w:r>
      <w:r>
        <w:tab/>
        <w:t>First aid certificate</w:t>
      </w:r>
      <w:r>
        <w:tab/>
      </w:r>
      <w:r>
        <w:fldChar w:fldCharType="begin"/>
      </w:r>
      <w:r>
        <w:instrText xml:space="preserve"> PAGEREF _Toc457551801 \h </w:instrText>
      </w:r>
      <w:r>
        <w:fldChar w:fldCharType="separate"/>
      </w:r>
      <w:r>
        <w:t>59</w:t>
      </w:r>
      <w:r>
        <w:fldChar w:fldCharType="end"/>
      </w:r>
    </w:p>
    <w:p>
      <w:pPr>
        <w:pStyle w:val="TOC8"/>
        <w:rPr>
          <w:rFonts w:asciiTheme="minorHAnsi" w:eastAsiaTheme="minorEastAsia" w:hAnsiTheme="minorHAnsi" w:cstheme="minorBidi"/>
          <w:szCs w:val="22"/>
        </w:rPr>
      </w:pPr>
      <w:r>
        <w:t>19.</w:t>
      </w:r>
      <w:r>
        <w:tab/>
        <w:t>Incident</w:t>
      </w:r>
      <w:r>
        <w:rPr>
          <w:snapToGrid w:val="0"/>
        </w:rPr>
        <w:t xml:space="preserve"> register, duties as to</w:t>
      </w:r>
      <w:r>
        <w:tab/>
      </w:r>
      <w:r>
        <w:fldChar w:fldCharType="begin"/>
      </w:r>
      <w:r>
        <w:instrText xml:space="preserve"> PAGEREF _Toc457551802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6 — All licences</w:t>
      </w:r>
    </w:p>
    <w:p>
      <w:pPr>
        <w:pStyle w:val="TOC8"/>
        <w:rPr>
          <w:rFonts w:asciiTheme="minorHAnsi" w:eastAsiaTheme="minorEastAsia" w:hAnsiTheme="minorHAnsi" w:cstheme="minorBidi"/>
          <w:szCs w:val="22"/>
        </w:rPr>
      </w:pPr>
      <w:r>
        <w:t>20.</w:t>
      </w:r>
      <w:r>
        <w:tab/>
        <w:t>Identity cards, duties of people holding</w:t>
      </w:r>
      <w:r>
        <w:tab/>
      </w:r>
      <w:r>
        <w:fldChar w:fldCharType="begin"/>
      </w:r>
      <w:r>
        <w:instrText xml:space="preserve"> PAGEREF _Toc457551804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2 — Disqualifying offences</w:t>
      </w:r>
    </w:p>
    <w:p>
      <w:pPr>
        <w:pStyle w:val="TOC4"/>
        <w:tabs>
          <w:tab w:val="right" w:leader="dot" w:pos="7077"/>
        </w:tabs>
        <w:rPr>
          <w:rFonts w:asciiTheme="minorHAnsi" w:eastAsiaTheme="minorEastAsia" w:hAnsiTheme="minorHAnsi" w:cstheme="minorBidi"/>
          <w:b w:val="0"/>
          <w:szCs w:val="22"/>
        </w:rPr>
      </w:pPr>
      <w:r>
        <w:t>Division 1</w:t>
      </w:r>
      <w:r>
        <w:rPr>
          <w:b w:val="0"/>
        </w:rPr>
        <w:t> — </w:t>
      </w:r>
      <w:r>
        <w:t>Division 1 offences</w:t>
      </w:r>
    </w:p>
    <w:p>
      <w:pPr>
        <w:pStyle w:val="TOC4"/>
        <w:tabs>
          <w:tab w:val="right" w:leader="dot" w:pos="7077"/>
        </w:tabs>
        <w:rPr>
          <w:rFonts w:asciiTheme="minorHAnsi" w:eastAsiaTheme="minorEastAsia" w:hAnsiTheme="minorHAnsi" w:cstheme="minorBidi"/>
          <w:b w:val="0"/>
          <w:szCs w:val="22"/>
        </w:rPr>
      </w:pPr>
      <w:r>
        <w:t>Division 2</w:t>
      </w:r>
      <w:r>
        <w:rPr>
          <w:b w:val="0"/>
        </w:rPr>
        <w:t> — </w:t>
      </w:r>
      <w:r>
        <w:t>Division 2 offences</w:t>
      </w:r>
    </w:p>
    <w:p>
      <w:pPr>
        <w:pStyle w:val="TOC2"/>
        <w:tabs>
          <w:tab w:val="right" w:leader="dot" w:pos="7077"/>
        </w:tabs>
        <w:rPr>
          <w:rFonts w:asciiTheme="minorHAnsi" w:eastAsiaTheme="minorEastAsia" w:hAnsiTheme="minorHAnsi" w:cstheme="minorBidi"/>
          <w:b w:val="0"/>
          <w:sz w:val="22"/>
          <w:szCs w:val="22"/>
        </w:rPr>
      </w:pPr>
      <w:r>
        <w:t>Schedule 3 — Prescribed drugs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 for infringement notices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w:t>
      </w:r>
      <w:r>
        <w:rPr>
          <w:b w:val="0"/>
        </w:rPr>
        <w:t> — </w:t>
      </w:r>
      <w:r>
        <w:t>Offence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_Toc457551815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r>
        <w:fldChar w:fldCharType="end"/>
      </w:r>
    </w:p>
    <w:p>
      <w:pPr>
        <w:pStyle w:val="WA"/>
        <w:spacing w:before="12"/>
      </w:pPr>
      <w:r>
        <w:t>Western Australia</w:t>
      </w:r>
    </w:p>
    <w:p>
      <w:pPr>
        <w:pStyle w:val="PrincipalActReg"/>
        <w:spacing w:before="120" w:after="600"/>
        <w:rPr>
          <w:snapToGrid w:val="0"/>
        </w:rPr>
      </w:pPr>
      <w:r>
        <w:rPr>
          <w:snapToGrid w:val="0"/>
        </w:rPr>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3" w:name="_Toc430248340"/>
      <w:bookmarkStart w:id="4" w:name="_Toc434398130"/>
      <w:bookmarkStart w:id="5" w:name="_Toc453594058"/>
      <w:bookmarkStart w:id="6" w:name="_Toc455409411"/>
      <w:bookmarkStart w:id="7" w:name="_Toc45755169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spacing w:before="300"/>
        <w:rPr>
          <w:snapToGrid w:val="0"/>
        </w:rPr>
      </w:pPr>
      <w:bookmarkStart w:id="8" w:name="_Toc457551696"/>
      <w:r>
        <w:rPr>
          <w:rStyle w:val="CharSectno"/>
        </w:rPr>
        <w:t>1</w:t>
      </w:r>
      <w:r>
        <w:rPr>
          <w:snapToGrid w:val="0"/>
        </w:rPr>
        <w:t>.</w:t>
      </w:r>
      <w:r>
        <w:rPr>
          <w:snapToGrid w:val="0"/>
        </w:rPr>
        <w:tab/>
        <w:t>Citation</w:t>
      </w:r>
      <w:bookmarkEnd w:id="8"/>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 </w:t>
      </w:r>
      <w:r>
        <w:rPr>
          <w:snapToGrid w:val="0"/>
          <w:vertAlign w:val="superscript"/>
        </w:rPr>
        <w:t>1</w:t>
      </w:r>
      <w:r>
        <w:rPr>
          <w:snapToGrid w:val="0"/>
        </w:rPr>
        <w:t>.</w:t>
      </w:r>
    </w:p>
    <w:p>
      <w:pPr>
        <w:pStyle w:val="Heading5"/>
        <w:rPr>
          <w:snapToGrid w:val="0"/>
        </w:rPr>
      </w:pPr>
      <w:bookmarkStart w:id="9" w:name="_Toc457551697"/>
      <w:r>
        <w:rPr>
          <w:rStyle w:val="CharSectno"/>
        </w:rPr>
        <w:t>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 </w:t>
      </w:r>
      <w:r>
        <w:rPr>
          <w:snapToGrid w:val="0"/>
          <w:vertAlign w:val="superscript"/>
        </w:rPr>
        <w:t>1</w:t>
      </w:r>
      <w:r>
        <w:rPr>
          <w:snapToGrid w:val="0"/>
        </w:rPr>
        <w:t>.</w:t>
      </w:r>
    </w:p>
    <w:p>
      <w:pPr>
        <w:pStyle w:val="Heading5"/>
        <w:rPr>
          <w:snapToGrid w:val="0"/>
        </w:rPr>
      </w:pPr>
      <w:bookmarkStart w:id="10" w:name="_Toc457551698"/>
      <w:r>
        <w:rPr>
          <w:rStyle w:val="CharSectno"/>
        </w:rPr>
        <w:t>3</w:t>
      </w:r>
      <w:r>
        <w:rPr>
          <w:snapToGrid w:val="0"/>
        </w:rPr>
        <w:t>.</w:t>
      </w:r>
      <w:r>
        <w:rPr>
          <w:snapToGrid w:val="0"/>
        </w:rPr>
        <w:tab/>
        <w:t>Terms used</w:t>
      </w:r>
      <w:bookmarkEnd w:id="10"/>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pPr>
      <w:r>
        <w:rPr>
          <w:b/>
        </w:rPr>
        <w:tab/>
      </w:r>
      <w:r>
        <w:rPr>
          <w:rStyle w:val="CharDefText"/>
        </w:rPr>
        <w:t>section</w:t>
      </w:r>
      <w:r>
        <w:t xml:space="preserve"> means a section of the Act;</w:t>
      </w:r>
    </w:p>
    <w:p>
      <w:pPr>
        <w:pStyle w:val="Defstart"/>
      </w:pPr>
      <w:r>
        <w:tab/>
      </w:r>
      <w:r>
        <w:rPr>
          <w:rStyle w:val="CharDefText"/>
        </w:rPr>
        <w:t>Superintendent</w:t>
      </w:r>
      <w:r>
        <w:t xml:space="preserve"> means the police officer of the rank of Superintendent or acting at the rank of Superintendent who is in charge of the responsible police division;</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Superintendent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 1 Jul 2011 p. 2749; 29 Jul 2016 p. 3243-4 and 3257.]</w:t>
      </w:r>
    </w:p>
    <w:p>
      <w:pPr>
        <w:pStyle w:val="Heading5"/>
      </w:pPr>
      <w:bookmarkStart w:id="11" w:name="_Toc457551699"/>
      <w:r>
        <w:rPr>
          <w:rStyle w:val="CharSectno"/>
        </w:rPr>
        <w:t>4A</w:t>
      </w:r>
      <w:r>
        <w:t>.</w:t>
      </w:r>
      <w:r>
        <w:tab/>
        <w:t>Method of giving things to Commissioner, Superintendent or licensing officer</w:t>
      </w:r>
      <w:bookmarkEnd w:id="11"/>
    </w:p>
    <w:p>
      <w:pPr>
        <w:pStyle w:val="Subsection"/>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to the offices of the responsible police division at 303 Sevenoaks Street, Cannington WA 6107 or to Locked Bag 9, East Perth WA 6892.</w:t>
      </w:r>
    </w:p>
    <w:p>
      <w:pPr>
        <w:pStyle w:val="Footnotesection"/>
        <w:keepLines w:val="0"/>
      </w:pPr>
      <w:r>
        <w:tab/>
        <w:t>[Regulation 4A inserted in Gazette 4 Dec 2009 p. 4891; amended in Gazette 29 Jul 2016 p. 3244.]</w:t>
      </w:r>
    </w:p>
    <w:p>
      <w:pPr>
        <w:pStyle w:val="Heading2"/>
      </w:pPr>
      <w:bookmarkStart w:id="12" w:name="_Toc430248345"/>
      <w:bookmarkStart w:id="13" w:name="_Toc434398135"/>
      <w:bookmarkStart w:id="14" w:name="_Toc453594063"/>
      <w:bookmarkStart w:id="15" w:name="_Toc455409416"/>
      <w:bookmarkStart w:id="16" w:name="_Toc457551700"/>
      <w:r>
        <w:rPr>
          <w:rStyle w:val="CharPartNo"/>
        </w:rPr>
        <w:t>Part 2</w:t>
      </w:r>
      <w:r>
        <w:rPr>
          <w:rStyle w:val="CharDivNo"/>
        </w:rPr>
        <w:t> </w:t>
      </w:r>
      <w:r>
        <w:t>—</w:t>
      </w:r>
      <w:r>
        <w:rPr>
          <w:rStyle w:val="CharDivText"/>
        </w:rPr>
        <w:t> </w:t>
      </w:r>
      <w:r>
        <w:rPr>
          <w:rStyle w:val="CharPartText"/>
        </w:rPr>
        <w:t>Exemptions</w:t>
      </w:r>
      <w:bookmarkEnd w:id="12"/>
      <w:bookmarkEnd w:id="13"/>
      <w:bookmarkEnd w:id="14"/>
      <w:bookmarkEnd w:id="15"/>
      <w:bookmarkEnd w:id="16"/>
      <w:r>
        <w:rPr>
          <w:rStyle w:val="CharPartText"/>
        </w:rPr>
        <w:t xml:space="preserve"> </w:t>
      </w:r>
    </w:p>
    <w:p>
      <w:pPr>
        <w:pStyle w:val="Heading5"/>
        <w:rPr>
          <w:snapToGrid w:val="0"/>
        </w:rPr>
      </w:pPr>
      <w:bookmarkStart w:id="17" w:name="_Toc457551701"/>
      <w:r>
        <w:rPr>
          <w:rStyle w:val="CharSectno"/>
        </w:rPr>
        <w:t>4</w:t>
      </w:r>
      <w:r>
        <w:rPr>
          <w:snapToGrid w:val="0"/>
        </w:rPr>
        <w:t>.</w:t>
      </w:r>
      <w:r>
        <w:rPr>
          <w:snapToGrid w:val="0"/>
        </w:rPr>
        <w:tab/>
        <w:t>Act s. 37 (crowd controller’s licence), exemptions from</w:t>
      </w:r>
      <w:bookmarkEnd w:id="1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2</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2</w:t>
      </w:r>
      <w:r>
        <w:rPr>
          <w:snapToGrid w:val="0"/>
        </w:rPr>
        <w:t xml:space="preserve">. </w:t>
      </w:r>
    </w:p>
    <w:p>
      <w:pPr>
        <w:pStyle w:val="Ednotesection"/>
      </w:pPr>
      <w:r>
        <w:t>[</w:t>
      </w:r>
      <w:r>
        <w:rPr>
          <w:b/>
        </w:rPr>
        <w:t>5.</w:t>
      </w:r>
      <w:r>
        <w:tab/>
        <w:t>Deleted in Gazette 29 Apr 2011 p. 1532.]</w:t>
      </w:r>
    </w:p>
    <w:p>
      <w:pPr>
        <w:pStyle w:val="Heading5"/>
      </w:pPr>
      <w:bookmarkStart w:id="18" w:name="_Toc457551702"/>
      <w:r>
        <w:rPr>
          <w:rStyle w:val="CharSectno"/>
        </w:rPr>
        <w:t>5A</w:t>
      </w:r>
      <w:r>
        <w:t>.</w:t>
      </w:r>
      <w:r>
        <w:tab/>
        <w:t xml:space="preserve">Some persons to whom </w:t>
      </w:r>
      <w:r>
        <w:rPr>
          <w:i/>
        </w:rPr>
        <w:t xml:space="preserve">Court Security and Custodial Services Act 1999 </w:t>
      </w:r>
      <w:r>
        <w:t>applies, exemption for</w:t>
      </w:r>
      <w:bookmarkEnd w:id="18"/>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in Gazette 28 Jul 2000 p. 4028; amended in Gazette 12 Jun 2001 p. 2959</w:t>
      </w:r>
      <w:r>
        <w:noBreakHyphen/>
        <w:t>60.]</w:t>
      </w:r>
    </w:p>
    <w:p>
      <w:pPr>
        <w:pStyle w:val="Heading5"/>
      </w:pPr>
      <w:bookmarkStart w:id="19" w:name="_Toc457551703"/>
      <w:r>
        <w:rPr>
          <w:rStyle w:val="CharSectno"/>
        </w:rPr>
        <w:t>5B</w:t>
      </w:r>
      <w:r>
        <w:t>.</w:t>
      </w:r>
      <w:r>
        <w:tab/>
        <w:t xml:space="preserve">Some persons to whom </w:t>
      </w:r>
      <w:r>
        <w:rPr>
          <w:i/>
        </w:rPr>
        <w:t>Prisons Act 1981</w:t>
      </w:r>
      <w:r>
        <w:t xml:space="preserve"> Part IIIA applies, exemption for</w:t>
      </w:r>
      <w:bookmarkEnd w:id="19"/>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20" w:name="_Toc430248349"/>
      <w:bookmarkStart w:id="21" w:name="_Toc434398139"/>
      <w:bookmarkStart w:id="22" w:name="_Toc453594067"/>
      <w:bookmarkStart w:id="23" w:name="_Toc455409420"/>
      <w:bookmarkStart w:id="24" w:name="_Toc457551704"/>
      <w:r>
        <w:rPr>
          <w:rStyle w:val="CharPartNo"/>
        </w:rPr>
        <w:t>Part 3</w:t>
      </w:r>
      <w:r>
        <w:rPr>
          <w:rStyle w:val="CharDivNo"/>
        </w:rPr>
        <w:t> </w:t>
      </w:r>
      <w:r>
        <w:t>—</w:t>
      </w:r>
      <w:r>
        <w:rPr>
          <w:rStyle w:val="CharDivText"/>
        </w:rPr>
        <w:t> </w:t>
      </w:r>
      <w:r>
        <w:rPr>
          <w:rStyle w:val="CharPartText"/>
        </w:rPr>
        <w:t>Security activities</w:t>
      </w:r>
      <w:bookmarkEnd w:id="20"/>
      <w:bookmarkEnd w:id="21"/>
      <w:bookmarkEnd w:id="22"/>
      <w:bookmarkEnd w:id="23"/>
      <w:bookmarkEnd w:id="24"/>
      <w:r>
        <w:rPr>
          <w:rStyle w:val="CharPartText"/>
        </w:rPr>
        <w:t xml:space="preserve"> </w:t>
      </w:r>
    </w:p>
    <w:p>
      <w:pPr>
        <w:pStyle w:val="Heading5"/>
      </w:pPr>
      <w:bookmarkStart w:id="25" w:name="_Toc457551705"/>
      <w:r>
        <w:rPr>
          <w:rStyle w:val="CharSectno"/>
        </w:rPr>
        <w:t>6</w:t>
      </w:r>
      <w:r>
        <w:t>.</w:t>
      </w:r>
      <w:r>
        <w:tab/>
        <w:t>Locks prescribed (Act s. 14(1)(d))</w:t>
      </w:r>
      <w:bookmarkEnd w:id="25"/>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26" w:name="_Toc457551706"/>
      <w:r>
        <w:rPr>
          <w:rStyle w:val="CharSectno"/>
        </w:rPr>
        <w:t>7</w:t>
      </w:r>
      <w:r>
        <w:t>.</w:t>
      </w:r>
      <w:r>
        <w:tab/>
        <w:t>Security doors prescribed (Act s. 14(1)(e))</w:t>
      </w:r>
      <w:bookmarkEnd w:id="26"/>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27" w:name="_Toc457551707"/>
      <w:r>
        <w:rPr>
          <w:rStyle w:val="CharSectno"/>
        </w:rPr>
        <w:t>8</w:t>
      </w:r>
      <w:r>
        <w:rPr>
          <w:snapToGrid w:val="0"/>
        </w:rPr>
        <w:t>.</w:t>
      </w:r>
      <w:r>
        <w:rPr>
          <w:snapToGrid w:val="0"/>
        </w:rPr>
        <w:tab/>
        <w:t>Equipment and devices prescribed (Act s. 14(1)(g))</w:t>
      </w:r>
      <w:bookmarkEnd w:id="27"/>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28" w:name="_Toc457551708"/>
      <w:r>
        <w:rPr>
          <w:rStyle w:val="CharSectno"/>
        </w:rPr>
        <w:t>9</w:t>
      </w:r>
      <w:r>
        <w:t>.</w:t>
      </w:r>
      <w:r>
        <w:tab/>
        <w:t>Activities prescribed (Act s. 24(1)(b))</w:t>
      </w:r>
      <w:bookmarkEnd w:id="28"/>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29" w:name="_Toc457551709"/>
      <w:r>
        <w:rPr>
          <w:rStyle w:val="CharSectno"/>
        </w:rPr>
        <w:t>10</w:t>
      </w:r>
      <w:r>
        <w:rPr>
          <w:snapToGrid w:val="0"/>
        </w:rPr>
        <w:t>.</w:t>
      </w:r>
      <w:r>
        <w:rPr>
          <w:snapToGrid w:val="0"/>
        </w:rPr>
        <w:tab/>
        <w:t>Application for endorsement (Act s. 24)</w:t>
      </w:r>
      <w:bookmarkEnd w:id="29"/>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in Gazette 1 Sep 2005 p. 4074; 3 Oct 2006 p. 4344.]</w:t>
      </w:r>
    </w:p>
    <w:p>
      <w:pPr>
        <w:pStyle w:val="Heading5"/>
      </w:pPr>
      <w:bookmarkStart w:id="30" w:name="_Toc457551710"/>
      <w:r>
        <w:rPr>
          <w:rStyle w:val="CharSectno"/>
        </w:rPr>
        <w:t>11</w:t>
      </w:r>
      <w:r>
        <w:t>.</w:t>
      </w:r>
      <w:r>
        <w:tab/>
        <w:t>Medical examinations prescribed (Act s. 24)</w:t>
      </w:r>
      <w:bookmarkEnd w:id="30"/>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31" w:name="_Toc457551711"/>
      <w:r>
        <w:rPr>
          <w:rStyle w:val="CharSectno"/>
        </w:rPr>
        <w:t>12</w:t>
      </w:r>
      <w:r>
        <w:t>.</w:t>
      </w:r>
      <w:r>
        <w:tab/>
        <w:t>Application for permit (Act s. 25)</w:t>
      </w:r>
      <w:bookmarkEnd w:id="31"/>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32" w:name="_Toc457551712"/>
      <w:r>
        <w:rPr>
          <w:rStyle w:val="CharSectno"/>
        </w:rPr>
        <w:t>13</w:t>
      </w:r>
      <w:r>
        <w:rPr>
          <w:snapToGrid w:val="0"/>
        </w:rPr>
        <w:t>.</w:t>
      </w:r>
      <w:r>
        <w:rPr>
          <w:snapToGrid w:val="0"/>
        </w:rPr>
        <w:tab/>
        <w:t>Application for endorsement (Act s. 26)</w:t>
      </w:r>
      <w:bookmarkEnd w:id="32"/>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33" w:name="_Toc430248358"/>
      <w:bookmarkStart w:id="34" w:name="_Toc434398148"/>
      <w:bookmarkStart w:id="35" w:name="_Toc453594076"/>
      <w:bookmarkStart w:id="36" w:name="_Toc455409429"/>
      <w:bookmarkStart w:id="37" w:name="_Toc457551713"/>
      <w:r>
        <w:rPr>
          <w:rStyle w:val="CharPartNo"/>
        </w:rPr>
        <w:t>Part 3A</w:t>
      </w:r>
      <w:r>
        <w:t xml:space="preserve"> — </w:t>
      </w:r>
      <w:r>
        <w:rPr>
          <w:rStyle w:val="CharPartText"/>
        </w:rPr>
        <w:t>Inquiry activities</w:t>
      </w:r>
      <w:bookmarkEnd w:id="33"/>
      <w:bookmarkEnd w:id="34"/>
      <w:bookmarkEnd w:id="35"/>
      <w:bookmarkEnd w:id="36"/>
      <w:bookmarkEnd w:id="37"/>
    </w:p>
    <w:p>
      <w:pPr>
        <w:pStyle w:val="Footnoteheading"/>
      </w:pPr>
      <w:r>
        <w:tab/>
        <w:t>[Heading inserted in Gazette 10 Mar 2000 p. 1124.]</w:t>
      </w:r>
    </w:p>
    <w:p>
      <w:pPr>
        <w:pStyle w:val="Heading5"/>
      </w:pPr>
      <w:bookmarkStart w:id="38" w:name="_Toc457551714"/>
      <w:r>
        <w:rPr>
          <w:rStyle w:val="CharSectno"/>
        </w:rPr>
        <w:t>13A</w:t>
      </w:r>
      <w:r>
        <w:t>.</w:t>
      </w:r>
      <w:r>
        <w:tab/>
        <w:t>Investigations not within Act s. 28(1)(a)</w:t>
      </w:r>
      <w:bookmarkEnd w:id="38"/>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in Gazette 10 Mar 2000 p. 1124; amended in Gazette 1 Sep 2005 p. 4075; </w:t>
      </w:r>
      <w:r>
        <w:rPr>
          <w:szCs w:val="24"/>
        </w:rPr>
        <w:t>11 Feb 2011 p. 505; 16 Jun 2015 p. 2079</w:t>
      </w:r>
      <w:r>
        <w:t>.]</w:t>
      </w:r>
    </w:p>
    <w:p>
      <w:pPr>
        <w:pStyle w:val="Heading2"/>
      </w:pPr>
      <w:bookmarkStart w:id="39" w:name="_Toc430248360"/>
      <w:bookmarkStart w:id="40" w:name="_Toc434398150"/>
      <w:bookmarkStart w:id="41" w:name="_Toc453594078"/>
      <w:bookmarkStart w:id="42" w:name="_Toc455409431"/>
      <w:bookmarkStart w:id="43" w:name="_Toc457551715"/>
      <w:r>
        <w:rPr>
          <w:rStyle w:val="CharPartNo"/>
        </w:rPr>
        <w:t>Part 4</w:t>
      </w:r>
      <w:r>
        <w:t> — </w:t>
      </w:r>
      <w:r>
        <w:rPr>
          <w:rStyle w:val="CharPartText"/>
        </w:rPr>
        <w:t>Licensing procedures</w:t>
      </w:r>
      <w:bookmarkEnd w:id="39"/>
      <w:bookmarkEnd w:id="40"/>
      <w:bookmarkEnd w:id="41"/>
      <w:bookmarkEnd w:id="42"/>
      <w:bookmarkEnd w:id="43"/>
      <w:r>
        <w:rPr>
          <w:rStyle w:val="CharPartText"/>
        </w:rPr>
        <w:t xml:space="preserve"> </w:t>
      </w:r>
    </w:p>
    <w:p>
      <w:pPr>
        <w:pStyle w:val="Heading3"/>
      </w:pPr>
      <w:bookmarkStart w:id="44" w:name="_Toc430248361"/>
      <w:bookmarkStart w:id="45" w:name="_Toc434398151"/>
      <w:bookmarkStart w:id="46" w:name="_Toc453594079"/>
      <w:bookmarkStart w:id="47" w:name="_Toc455409432"/>
      <w:bookmarkStart w:id="48" w:name="_Toc457551716"/>
      <w:r>
        <w:rPr>
          <w:rStyle w:val="CharDivNo"/>
        </w:rPr>
        <w:t>Division 1</w:t>
      </w:r>
      <w:r>
        <w:t> — </w:t>
      </w:r>
      <w:r>
        <w:rPr>
          <w:rStyle w:val="CharDivText"/>
        </w:rPr>
        <w:t>Licences other than temporary licences</w:t>
      </w:r>
      <w:bookmarkEnd w:id="44"/>
      <w:bookmarkEnd w:id="45"/>
      <w:bookmarkEnd w:id="46"/>
      <w:bookmarkEnd w:id="47"/>
      <w:bookmarkEnd w:id="48"/>
    </w:p>
    <w:p>
      <w:pPr>
        <w:pStyle w:val="Footnoteheading"/>
      </w:pPr>
      <w:r>
        <w:tab/>
        <w:t>[Heading inserted in Gazette 4 Dec 2009 p. 4893.]</w:t>
      </w:r>
    </w:p>
    <w:p>
      <w:pPr>
        <w:pStyle w:val="Heading5"/>
        <w:spacing w:before="180"/>
        <w:rPr>
          <w:snapToGrid w:val="0"/>
        </w:rPr>
      </w:pPr>
      <w:bookmarkStart w:id="49" w:name="_Toc457551717"/>
      <w:r>
        <w:rPr>
          <w:rStyle w:val="CharSectno"/>
        </w:rPr>
        <w:t>14</w:t>
      </w:r>
      <w:r>
        <w:rPr>
          <w:snapToGrid w:val="0"/>
        </w:rPr>
        <w:t>.</w:t>
      </w:r>
      <w:r>
        <w:rPr>
          <w:snapToGrid w:val="0"/>
        </w:rPr>
        <w:tab/>
        <w:t>Application for the issue of a licence (Act s. 46(1))</w:t>
      </w:r>
      <w:bookmarkEnd w:id="49"/>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in Gazette 4 Dec 2009 p. 4893; 29 Jul 2016 p. 3244-5.]</w:t>
      </w:r>
    </w:p>
    <w:p>
      <w:pPr>
        <w:pStyle w:val="Heading5"/>
      </w:pPr>
      <w:bookmarkStart w:id="50" w:name="_Toc457551718"/>
      <w:r>
        <w:rPr>
          <w:rStyle w:val="CharSectno"/>
        </w:rPr>
        <w:t>14A</w:t>
      </w:r>
      <w:r>
        <w:t>.</w:t>
      </w:r>
      <w:r>
        <w:tab/>
        <w:t>Training course in firearms discharge, approval of providers of</w:t>
      </w:r>
      <w:bookmarkEnd w:id="50"/>
    </w:p>
    <w:p>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Superintendent thinks fit.</w:t>
      </w:r>
    </w:p>
    <w:p>
      <w:pPr>
        <w:pStyle w:val="Subsection"/>
      </w:pPr>
      <w:r>
        <w:tab/>
        <w:t>(2A)</w:t>
      </w:r>
      <w:r>
        <w:tab/>
        <w:t>The Superintendent may, by giving written notice to the approved training provider, cancel an approval given under subregulation (1), but the cancellation is not effective unless the Superintendent —</w:t>
      </w:r>
    </w:p>
    <w:p>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pPr>
        <w:pStyle w:val="Indenta"/>
      </w:pPr>
      <w:r>
        <w:tab/>
        <w:t>(b)</w:t>
      </w:r>
      <w:r>
        <w:tab/>
        <w:t>has had due regard to any response to the notice made within that time.</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 amended by 29 Jul 2016 p. 3245 and 3257.]</w:t>
      </w:r>
    </w:p>
    <w:p>
      <w:pPr>
        <w:pStyle w:val="Heading5"/>
      </w:pPr>
      <w:bookmarkStart w:id="51" w:name="_Toc457551719"/>
      <w:r>
        <w:rPr>
          <w:rStyle w:val="CharSectno"/>
        </w:rPr>
        <w:t>15</w:t>
      </w:r>
      <w:r>
        <w:t>.</w:t>
      </w:r>
      <w:r>
        <w:tab/>
        <w:t>Medical examination prescribed for security officers authorised to possess firearm (Act s. 47(1)(d) and 52(1)(h))</w:t>
      </w:r>
      <w:bookmarkEnd w:id="51"/>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keepLines w:val="0"/>
        <w:rPr>
          <w:snapToGrid w:val="0"/>
        </w:rPr>
      </w:pPr>
      <w:bookmarkStart w:id="52" w:name="_Toc457551720"/>
      <w:r>
        <w:rPr>
          <w:rStyle w:val="CharSectno"/>
        </w:rPr>
        <w:t>16</w:t>
      </w:r>
      <w:r>
        <w:rPr>
          <w:snapToGrid w:val="0"/>
        </w:rPr>
        <w:t>.</w:t>
      </w:r>
      <w:r>
        <w:rPr>
          <w:snapToGrid w:val="0"/>
        </w:rPr>
        <w:tab/>
        <w:t>Training courses prescribed (Act s. 47(1)(f)(i), 52(1)(g)(i) and 53(2))</w:t>
      </w:r>
      <w:bookmarkEnd w:id="52"/>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 29 Jul 2016 p. 3245-6 and 3257.]</w:t>
      </w:r>
    </w:p>
    <w:p>
      <w:pPr>
        <w:pStyle w:val="Heading5"/>
      </w:pPr>
      <w:bookmarkStart w:id="53" w:name="_Toc457551721"/>
      <w:r>
        <w:rPr>
          <w:rStyle w:val="CharSectno"/>
        </w:rPr>
        <w:t>16A</w:t>
      </w:r>
      <w:r>
        <w:t>.</w:t>
      </w:r>
      <w:r>
        <w:tab/>
        <w:t>Records required when baton training undertaken</w:t>
      </w:r>
      <w:bookmarkEnd w:id="53"/>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54" w:name="_Toc457551722"/>
      <w:r>
        <w:rPr>
          <w:rStyle w:val="CharSectno"/>
        </w:rPr>
        <w:t>17</w:t>
      </w:r>
      <w:r>
        <w:rPr>
          <w:snapToGrid w:val="0"/>
        </w:rPr>
        <w:t>.</w:t>
      </w:r>
      <w:r>
        <w:rPr>
          <w:snapToGrid w:val="0"/>
        </w:rPr>
        <w:tab/>
        <w:t>Examinations prescribed (Act s. 47(1)(f)(ii) and 52(1)(g)(ii))</w:t>
      </w:r>
      <w:bookmarkEnd w:id="54"/>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in Gazette 4 Dec 2009 p. 4895</w:t>
      </w:r>
      <w:r>
        <w:noBreakHyphen/>
        <w:t>6; 29 Jul 2016 p. 3246-7.]</w:t>
      </w:r>
    </w:p>
    <w:p>
      <w:pPr>
        <w:pStyle w:val="Heading5"/>
        <w:spacing w:before="240"/>
      </w:pPr>
      <w:bookmarkStart w:id="55" w:name="_Toc457551723"/>
      <w:r>
        <w:rPr>
          <w:rStyle w:val="CharSectno"/>
        </w:rPr>
        <w:t>18</w:t>
      </w:r>
      <w:r>
        <w:t>.</w:t>
      </w:r>
      <w:r>
        <w:tab/>
        <w:t>Evidence of age and identity prescribed (Act s. 47(1)(a))</w:t>
      </w:r>
      <w:bookmarkEnd w:id="55"/>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jc w:val="center"/>
              <w:rPr>
                <w:b/>
                <w:sz w:val="16"/>
                <w:szCs w:val="16"/>
              </w:rPr>
            </w:pPr>
          </w:p>
        </w:tc>
        <w:tc>
          <w:tcPr>
            <w:tcW w:w="4678" w:type="dxa"/>
            <w:tcBorders>
              <w:top w:val="nil"/>
              <w:left w:val="nil"/>
              <w:bottom w:val="single" w:sz="4" w:space="0" w:color="auto"/>
              <w:right w:val="nil"/>
            </w:tcBorders>
          </w:tcPr>
          <w:p>
            <w:pPr>
              <w:jc w:val="center"/>
              <w:rPr>
                <w:b/>
                <w:sz w:val="16"/>
                <w:szCs w:val="16"/>
              </w:rPr>
            </w:pPr>
          </w:p>
        </w:tc>
      </w:tr>
      <w:tr>
        <w:trPr>
          <w:cantSplit/>
        </w:trPr>
        <w:tc>
          <w:tcPr>
            <w:tcW w:w="850" w:type="dxa"/>
            <w:tcBorders>
              <w:top w:val="single" w:sz="4" w:space="0" w:color="auto"/>
              <w:left w:val="nil"/>
              <w:bottom w:val="single" w:sz="4" w:space="0" w:color="auto"/>
              <w:right w:val="nil"/>
            </w:tcBorders>
          </w:tcPr>
          <w:p>
            <w:pPr>
              <w:jc w:val="center"/>
              <w:rPr>
                <w:b/>
              </w:rPr>
            </w:pPr>
            <w:r>
              <w:rPr>
                <w:b/>
              </w:rPr>
              <w:t>Item</w:t>
            </w:r>
          </w:p>
        </w:tc>
        <w:tc>
          <w:tcPr>
            <w:tcW w:w="4678" w:type="dxa"/>
            <w:tcBorders>
              <w:top w:val="nil"/>
              <w:left w:val="nil"/>
              <w:bottom w:val="single" w:sz="4" w:space="0" w:color="auto"/>
              <w:right w:val="nil"/>
            </w:tcBorders>
          </w:tcPr>
          <w:p>
            <w:pPr>
              <w:jc w:val="center"/>
              <w:rPr>
                <w:b/>
              </w:rPr>
            </w:pPr>
            <w:r>
              <w:rPr>
                <w:b/>
              </w:rPr>
              <w:t>Category 1</w:t>
            </w: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place">
              <w:smartTag w:uri="urn:schemas-microsoft-com:office:smarttags" w:element="country-region">
                <w:r>
                  <w:t>Australia</w:t>
                </w:r>
              </w:smartTag>
            </w:smartTag>
            <w:r>
              <w:t>.</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place">
              <w:smartTag w:uri="urn:schemas-microsoft-com:office:smarttags" w:element="country-region">
                <w:r>
                  <w:t>Australia</w:t>
                </w:r>
              </w:smartTag>
            </w:smartTag>
            <w:r>
              <w:t>.</w:t>
            </w:r>
          </w:p>
          <w:p>
            <w:pPr>
              <w:pStyle w:val="TableNAm"/>
            </w:pPr>
          </w:p>
        </w:tc>
      </w:tr>
      <w:tr>
        <w:trPr>
          <w:cantSplit/>
          <w:trHeight w:hRule="exact" w:val="20"/>
        </w:trPr>
        <w:tc>
          <w:tcPr>
            <w:tcW w:w="850" w:type="dxa"/>
            <w:tcBorders>
              <w:top w:val="nil"/>
              <w:left w:val="nil"/>
              <w:bottom w:val="single" w:sz="4" w:space="0" w:color="auto"/>
              <w:right w:val="nil"/>
            </w:tcBorders>
          </w:tcPr>
          <w:p>
            <w:pPr>
              <w:pStyle w:val="TableNAm"/>
              <w:rPr>
                <w:sz w:val="16"/>
                <w:szCs w:val="16"/>
              </w:rPr>
            </w:pPr>
          </w:p>
        </w:tc>
        <w:tc>
          <w:tcPr>
            <w:tcW w:w="4678" w:type="dxa"/>
            <w:tcBorders>
              <w:top w:val="nil"/>
              <w:left w:val="nil"/>
              <w:bottom w:val="single" w:sz="4" w:space="0" w:color="auto"/>
              <w:right w:val="nil"/>
            </w:tcBorders>
          </w:tcPr>
          <w:p>
            <w:pPr>
              <w:pStyle w:val="TableNAm"/>
              <w:rPr>
                <w:sz w:val="16"/>
                <w:szCs w:val="16"/>
              </w:rPr>
            </w:pPr>
          </w:p>
        </w:tc>
      </w:tr>
      <w:tr>
        <w:trPr>
          <w:cantSplit/>
        </w:trPr>
        <w:tc>
          <w:tcPr>
            <w:tcW w:w="850" w:type="dxa"/>
            <w:tcBorders>
              <w:top w:val="single" w:sz="4" w:space="0" w:color="auto"/>
              <w:left w:val="nil"/>
              <w:bottom w:val="single" w:sz="4" w:space="0" w:color="auto"/>
              <w:right w:val="nil"/>
            </w:tcBorders>
          </w:tcPr>
          <w:p>
            <w:pPr>
              <w:pStyle w:val="TableNAm"/>
              <w:jc w:val="center"/>
            </w:pPr>
            <w:r>
              <w:rPr>
                <w:b/>
                <w:bCs/>
              </w:rPr>
              <w:t>Item</w:t>
            </w:r>
          </w:p>
        </w:tc>
        <w:tc>
          <w:tcPr>
            <w:tcW w:w="4678" w:type="dxa"/>
            <w:tcBorders>
              <w:top w:val="single" w:sz="4" w:space="0" w:color="auto"/>
              <w:left w:val="nil"/>
              <w:bottom w:val="single" w:sz="4" w:space="0" w:color="auto"/>
              <w:right w:val="nil"/>
            </w:tcBorders>
          </w:tcPr>
          <w:p>
            <w:pPr>
              <w:pStyle w:val="TableNAm"/>
              <w:jc w:val="center"/>
            </w:pPr>
            <w:r>
              <w:rPr>
                <w:b/>
                <w:bCs/>
              </w:rPr>
              <w:t>Category 2</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in Gazette 4 Dec 2009 p. 4896</w:t>
      </w:r>
      <w:r>
        <w:noBreakHyphen/>
        <w:t>8; amended in Gazette 5 Aug 2014 p. 2834.]</w:t>
      </w:r>
    </w:p>
    <w:p>
      <w:pPr>
        <w:pStyle w:val="Heading5"/>
        <w:spacing w:before="170"/>
      </w:pPr>
      <w:bookmarkStart w:id="56" w:name="_Toc457551724"/>
      <w:r>
        <w:rPr>
          <w:rStyle w:val="CharSectno"/>
        </w:rPr>
        <w:t>19</w:t>
      </w:r>
      <w:r>
        <w:t>.</w:t>
      </w:r>
      <w:r>
        <w:tab/>
        <w:t>Manner of lodging application for renewal prescribed (Act s. 49(1))</w:t>
      </w:r>
      <w:bookmarkEnd w:id="56"/>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in Gazette 1 Sep 2005 p. 4077.]</w:t>
      </w:r>
    </w:p>
    <w:p>
      <w:pPr>
        <w:pStyle w:val="Heading5"/>
        <w:spacing w:before="170"/>
        <w:rPr>
          <w:snapToGrid w:val="0"/>
        </w:rPr>
      </w:pPr>
      <w:bookmarkStart w:id="57" w:name="_Toc457551725"/>
      <w:r>
        <w:rPr>
          <w:rStyle w:val="CharSectno"/>
        </w:rPr>
        <w:t>20</w:t>
      </w:r>
      <w:r>
        <w:rPr>
          <w:snapToGrid w:val="0"/>
        </w:rPr>
        <w:t>.</w:t>
      </w:r>
      <w:r>
        <w:rPr>
          <w:snapToGrid w:val="0"/>
        </w:rPr>
        <w:tab/>
        <w:t>Material to support application for renewal of licence (Act s. 50(1))</w:t>
      </w:r>
      <w:bookmarkEnd w:id="57"/>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58" w:name="_Toc457551726"/>
      <w:r>
        <w:rPr>
          <w:rStyle w:val="CharSectno"/>
        </w:rPr>
        <w:t>21</w:t>
      </w:r>
      <w:r>
        <w:t>.</w:t>
      </w:r>
      <w:r>
        <w:tab/>
        <w:t>Conditions and restrictions prescribed (Act s. 63)</w:t>
      </w:r>
      <w:bookmarkEnd w:id="58"/>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59" w:name="_Toc430248372"/>
      <w:bookmarkStart w:id="60" w:name="_Toc434398162"/>
      <w:bookmarkStart w:id="61" w:name="_Toc453594090"/>
      <w:bookmarkStart w:id="62" w:name="_Toc455409443"/>
      <w:bookmarkStart w:id="63" w:name="_Toc457551727"/>
      <w:r>
        <w:rPr>
          <w:rStyle w:val="CharDivNo"/>
        </w:rPr>
        <w:t>Division 2</w:t>
      </w:r>
      <w:r>
        <w:t> — </w:t>
      </w:r>
      <w:r>
        <w:rPr>
          <w:rStyle w:val="CharDivText"/>
        </w:rPr>
        <w:t>Temporary licences</w:t>
      </w:r>
      <w:bookmarkEnd w:id="59"/>
      <w:bookmarkEnd w:id="60"/>
      <w:bookmarkEnd w:id="61"/>
      <w:bookmarkEnd w:id="62"/>
      <w:bookmarkEnd w:id="63"/>
    </w:p>
    <w:p>
      <w:pPr>
        <w:pStyle w:val="Footnoteheading"/>
      </w:pPr>
      <w:r>
        <w:tab/>
        <w:t>[Heading inserted in Gazette 4 Dec 2009 p. 4898.]</w:t>
      </w:r>
    </w:p>
    <w:p>
      <w:pPr>
        <w:pStyle w:val="Heading5"/>
        <w:spacing w:before="240"/>
      </w:pPr>
      <w:bookmarkStart w:id="64" w:name="_Toc457551728"/>
      <w:r>
        <w:rPr>
          <w:rStyle w:val="CharSectno"/>
        </w:rPr>
        <w:t>22</w:t>
      </w:r>
      <w:r>
        <w:t>.</w:t>
      </w:r>
      <w:r>
        <w:tab/>
        <w:t>Manner of lodging application for temporary licence prescribed (Act s. 46(1))</w:t>
      </w:r>
      <w:bookmarkEnd w:id="64"/>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in Gazette 4 Dec 2009 p. 4898.]</w:t>
      </w:r>
    </w:p>
    <w:p>
      <w:pPr>
        <w:pStyle w:val="Heading5"/>
        <w:spacing w:before="240"/>
      </w:pPr>
      <w:bookmarkStart w:id="65" w:name="_Toc457551729"/>
      <w:r>
        <w:rPr>
          <w:rStyle w:val="CharSectno"/>
        </w:rPr>
        <w:t>23</w:t>
      </w:r>
      <w:r>
        <w:t>.</w:t>
      </w:r>
      <w:r>
        <w:tab/>
        <w:t>Evidence prescribed (Act s. 47(2a))</w:t>
      </w:r>
      <w:bookmarkEnd w:id="65"/>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66" w:name="_Toc430248375"/>
      <w:bookmarkStart w:id="67" w:name="_Toc434398165"/>
      <w:bookmarkStart w:id="68" w:name="_Toc453594093"/>
      <w:bookmarkStart w:id="69" w:name="_Toc455409446"/>
      <w:bookmarkStart w:id="70" w:name="_Toc457551730"/>
      <w:r>
        <w:rPr>
          <w:rStyle w:val="CharPartNo"/>
        </w:rPr>
        <w:t>Part 5A</w:t>
      </w:r>
      <w:r>
        <w:rPr>
          <w:rStyle w:val="CharDivNo"/>
        </w:rPr>
        <w:t> </w:t>
      </w:r>
      <w:r>
        <w:t>—</w:t>
      </w:r>
      <w:r>
        <w:rPr>
          <w:rStyle w:val="CharDivText"/>
        </w:rPr>
        <w:t> </w:t>
      </w:r>
      <w:r>
        <w:rPr>
          <w:rStyle w:val="CharPartText"/>
        </w:rPr>
        <w:t>Disqualifying offences and disqualifying periods</w:t>
      </w:r>
      <w:bookmarkEnd w:id="66"/>
      <w:bookmarkEnd w:id="67"/>
      <w:bookmarkEnd w:id="68"/>
      <w:bookmarkEnd w:id="69"/>
      <w:bookmarkEnd w:id="70"/>
    </w:p>
    <w:p>
      <w:pPr>
        <w:pStyle w:val="Footnoteheading"/>
      </w:pPr>
      <w:r>
        <w:tab/>
        <w:t>[Heading inserted in Gazette 4 Dec 2009 p. 4900.]</w:t>
      </w:r>
    </w:p>
    <w:p>
      <w:pPr>
        <w:pStyle w:val="Heading5"/>
      </w:pPr>
      <w:bookmarkStart w:id="71" w:name="_Toc457551731"/>
      <w:r>
        <w:rPr>
          <w:rStyle w:val="CharSectno"/>
        </w:rPr>
        <w:t>24</w:t>
      </w:r>
      <w:r>
        <w:t>.</w:t>
      </w:r>
      <w:r>
        <w:tab/>
        <w:t>Disqualifying offences prescribed (Act s. 3)</w:t>
      </w:r>
      <w:bookmarkEnd w:id="71"/>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in Gazette 4 Dec 2009 p. 4900; amended in Gazette 29 Jul 2016 p. 3247.]</w:t>
      </w:r>
    </w:p>
    <w:p>
      <w:pPr>
        <w:pStyle w:val="Heading5"/>
      </w:pPr>
      <w:bookmarkStart w:id="72" w:name="_Toc457551732"/>
      <w:r>
        <w:rPr>
          <w:rStyle w:val="CharSectno"/>
        </w:rPr>
        <w:t>25</w:t>
      </w:r>
      <w:r>
        <w:t>.</w:t>
      </w:r>
      <w:r>
        <w:tab/>
        <w:t>Disqualifying periods prescribed (Act s. 4A)</w:t>
      </w:r>
      <w:bookmarkEnd w:id="72"/>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73" w:name="_Toc430248378"/>
      <w:bookmarkStart w:id="74" w:name="_Toc434398168"/>
      <w:bookmarkStart w:id="75" w:name="_Toc453594096"/>
      <w:bookmarkStart w:id="76" w:name="_Toc455409449"/>
      <w:bookmarkStart w:id="77" w:name="_Toc457551733"/>
      <w:r>
        <w:rPr>
          <w:rStyle w:val="CharPartNo"/>
        </w:rPr>
        <w:t>Part 5</w:t>
      </w:r>
      <w:r>
        <w:rPr>
          <w:rStyle w:val="CharDivNo"/>
        </w:rPr>
        <w:t> </w:t>
      </w:r>
      <w:r>
        <w:t>—</w:t>
      </w:r>
      <w:r>
        <w:rPr>
          <w:rStyle w:val="CharDivText"/>
        </w:rPr>
        <w:t> </w:t>
      </w:r>
      <w:r>
        <w:rPr>
          <w:rStyle w:val="CharPartText"/>
        </w:rPr>
        <w:t>Classes of licence</w:t>
      </w:r>
      <w:bookmarkEnd w:id="73"/>
      <w:bookmarkEnd w:id="74"/>
      <w:bookmarkEnd w:id="75"/>
      <w:bookmarkEnd w:id="76"/>
      <w:bookmarkEnd w:id="77"/>
    </w:p>
    <w:p>
      <w:pPr>
        <w:pStyle w:val="Footnoteheading"/>
      </w:pPr>
      <w:r>
        <w:tab/>
        <w:t>[Heading inserted in Gazette 4 Dec 2009 p. 4901.]</w:t>
      </w:r>
    </w:p>
    <w:p>
      <w:pPr>
        <w:pStyle w:val="Heading5"/>
      </w:pPr>
      <w:bookmarkStart w:id="78" w:name="_Toc457551734"/>
      <w:r>
        <w:rPr>
          <w:rStyle w:val="CharSectno"/>
        </w:rPr>
        <w:t>26</w:t>
      </w:r>
      <w:r>
        <w:t>.</w:t>
      </w:r>
      <w:r>
        <w:tab/>
        <w:t>Security consultant’s licence, classes of</w:t>
      </w:r>
      <w:bookmarkEnd w:id="78"/>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in Gazette 4 Dec 2009 p. 4901</w:t>
      </w:r>
      <w:r>
        <w:noBreakHyphen/>
        <w:t>2.]</w:t>
      </w:r>
    </w:p>
    <w:p>
      <w:pPr>
        <w:pStyle w:val="Heading5"/>
      </w:pPr>
      <w:bookmarkStart w:id="79" w:name="_Toc457551735"/>
      <w:r>
        <w:rPr>
          <w:rStyle w:val="CharSectno"/>
        </w:rPr>
        <w:t>27</w:t>
      </w:r>
      <w:r>
        <w:t>.</w:t>
      </w:r>
      <w:r>
        <w:tab/>
        <w:t>Security installer’s licence, classes of</w:t>
      </w:r>
      <w:bookmarkEnd w:id="79"/>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r>
        <w:t>[</w:t>
      </w:r>
      <w:r>
        <w:rPr>
          <w:b/>
          <w:bCs/>
        </w:rPr>
        <w:t>28</w:t>
      </w:r>
      <w:r>
        <w:rPr>
          <w:b/>
          <w:bCs/>
        </w:rPr>
        <w:noBreakHyphen/>
        <w:t>34.</w:t>
      </w:r>
      <w:r>
        <w:t xml:space="preserve">    Deleted in Gazette 30 Dec 2004 p. 6977.]</w:t>
      </w:r>
    </w:p>
    <w:p>
      <w:pPr>
        <w:pStyle w:val="Heading2"/>
      </w:pPr>
      <w:bookmarkStart w:id="80" w:name="_Toc430248381"/>
      <w:bookmarkStart w:id="81" w:name="_Toc434398171"/>
      <w:bookmarkStart w:id="82" w:name="_Toc453594099"/>
      <w:bookmarkStart w:id="83" w:name="_Toc455409452"/>
      <w:bookmarkStart w:id="84" w:name="_Toc457551736"/>
      <w:r>
        <w:rPr>
          <w:rStyle w:val="CharPartNo"/>
        </w:rPr>
        <w:t>Part 6</w:t>
      </w:r>
      <w:r>
        <w:rPr>
          <w:rStyle w:val="CharDivNo"/>
        </w:rPr>
        <w:t> </w:t>
      </w:r>
      <w:r>
        <w:t>—</w:t>
      </w:r>
      <w:r>
        <w:rPr>
          <w:rStyle w:val="CharDivText"/>
        </w:rPr>
        <w:t> </w:t>
      </w:r>
      <w:r>
        <w:rPr>
          <w:rStyle w:val="CharPartText"/>
        </w:rPr>
        <w:t>Records</w:t>
      </w:r>
      <w:bookmarkEnd w:id="80"/>
      <w:bookmarkEnd w:id="81"/>
      <w:bookmarkEnd w:id="82"/>
      <w:bookmarkEnd w:id="83"/>
      <w:bookmarkEnd w:id="84"/>
      <w:r>
        <w:rPr>
          <w:rStyle w:val="CharPartText"/>
        </w:rPr>
        <w:t xml:space="preserve"> </w:t>
      </w:r>
    </w:p>
    <w:p>
      <w:pPr>
        <w:pStyle w:val="Heading5"/>
        <w:rPr>
          <w:snapToGrid w:val="0"/>
        </w:rPr>
      </w:pPr>
      <w:bookmarkStart w:id="85" w:name="_Toc457551737"/>
      <w:r>
        <w:rPr>
          <w:rStyle w:val="CharSectno"/>
        </w:rPr>
        <w:t>35</w:t>
      </w:r>
      <w:r>
        <w:rPr>
          <w:snapToGrid w:val="0"/>
        </w:rPr>
        <w:t>.</w:t>
      </w:r>
      <w:r>
        <w:rPr>
          <w:snapToGrid w:val="0"/>
        </w:rPr>
        <w:tab/>
        <w:t>Records to be kept by security agent prescribed (Act s. 78(1)(a))</w:t>
      </w:r>
      <w:bookmarkEnd w:id="85"/>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in Gazette 4 Dec 2009 p. 4903.]</w:t>
      </w:r>
    </w:p>
    <w:p>
      <w:pPr>
        <w:pStyle w:val="Heading5"/>
        <w:rPr>
          <w:snapToGrid w:val="0"/>
        </w:rPr>
      </w:pPr>
      <w:bookmarkStart w:id="86" w:name="_Toc457551738"/>
      <w:r>
        <w:rPr>
          <w:rStyle w:val="CharSectno"/>
        </w:rPr>
        <w:t>36</w:t>
      </w:r>
      <w:r>
        <w:rPr>
          <w:snapToGrid w:val="0"/>
        </w:rPr>
        <w:t>.</w:t>
      </w:r>
      <w:r>
        <w:rPr>
          <w:snapToGrid w:val="0"/>
        </w:rPr>
        <w:tab/>
        <w:t>Firearms register, content of</w:t>
      </w:r>
      <w:bookmarkEnd w:id="86"/>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in Gazette 1 Sep 2005 p. 4077</w:t>
      </w:r>
      <w:r>
        <w:noBreakHyphen/>
        <w:t>8.]</w:t>
      </w:r>
    </w:p>
    <w:p>
      <w:pPr>
        <w:pStyle w:val="Heading5"/>
        <w:rPr>
          <w:snapToGrid w:val="0"/>
        </w:rPr>
      </w:pPr>
      <w:bookmarkStart w:id="87" w:name="_Toc457551739"/>
      <w:r>
        <w:rPr>
          <w:rStyle w:val="CharSectno"/>
        </w:rPr>
        <w:t>37</w:t>
      </w:r>
      <w:r>
        <w:rPr>
          <w:snapToGrid w:val="0"/>
        </w:rPr>
        <w:t>.</w:t>
      </w:r>
      <w:r>
        <w:rPr>
          <w:snapToGrid w:val="0"/>
        </w:rPr>
        <w:tab/>
        <w:t>Alarm surveillance register, content of</w:t>
      </w:r>
      <w:bookmarkEnd w:id="87"/>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88" w:name="_Toc457551740"/>
      <w:r>
        <w:rPr>
          <w:rStyle w:val="CharSectno"/>
        </w:rPr>
        <w:t>38A</w:t>
      </w:r>
      <w:r>
        <w:t>.</w:t>
      </w:r>
      <w:r>
        <w:tab/>
        <w:t xml:space="preserve">Guard dog register, </w:t>
      </w:r>
      <w:r>
        <w:rPr>
          <w:snapToGrid w:val="0"/>
        </w:rPr>
        <w:t>content of</w:t>
      </w:r>
      <w:bookmarkEnd w:id="88"/>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keepNext w:val="0"/>
        <w:keepLines w:val="0"/>
        <w:pageBreakBefore/>
        <w:spacing w:before="0"/>
        <w:rPr>
          <w:snapToGrid w:val="0"/>
        </w:rPr>
      </w:pPr>
      <w:bookmarkStart w:id="89" w:name="_Toc457551741"/>
      <w:r>
        <w:rPr>
          <w:rStyle w:val="CharSectno"/>
        </w:rPr>
        <w:t>38</w:t>
      </w:r>
      <w:r>
        <w:rPr>
          <w:snapToGrid w:val="0"/>
        </w:rPr>
        <w:t>.</w:t>
      </w:r>
      <w:r>
        <w:rPr>
          <w:snapToGrid w:val="0"/>
        </w:rPr>
        <w:tab/>
        <w:t>General records of security agent</w:t>
      </w:r>
      <w:bookmarkEnd w:id="89"/>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90" w:name="_Toc457551742"/>
      <w:r>
        <w:rPr>
          <w:rStyle w:val="CharSectno"/>
        </w:rPr>
        <w:t>39</w:t>
      </w:r>
      <w:r>
        <w:rPr>
          <w:snapToGrid w:val="0"/>
        </w:rPr>
        <w:t>.</w:t>
      </w:r>
      <w:r>
        <w:rPr>
          <w:snapToGrid w:val="0"/>
        </w:rPr>
        <w:tab/>
        <w:t>Records to be kept by crowd control agent prescribed (Act s. 78(1)(a))</w:t>
      </w:r>
      <w:bookmarkEnd w:id="90"/>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91" w:name="_Toc457551743"/>
      <w:r>
        <w:rPr>
          <w:rStyle w:val="CharSectno"/>
        </w:rPr>
        <w:t>40</w:t>
      </w:r>
      <w:r>
        <w:rPr>
          <w:snapToGrid w:val="0"/>
        </w:rPr>
        <w:t>.</w:t>
      </w:r>
      <w:r>
        <w:rPr>
          <w:snapToGrid w:val="0"/>
        </w:rPr>
        <w:tab/>
        <w:t>Incident register, content of</w:t>
      </w:r>
      <w:bookmarkEnd w:id="91"/>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in Gazette 1 Sep 2005 p. 4081</w:t>
      </w:r>
      <w:r>
        <w:noBreakHyphen/>
        <w:t>2; 29 Jul 2016 p. 3248.]</w:t>
      </w:r>
    </w:p>
    <w:p>
      <w:pPr>
        <w:pStyle w:val="Heading5"/>
        <w:pageBreakBefore/>
        <w:spacing w:before="0"/>
        <w:rPr>
          <w:snapToGrid w:val="0"/>
        </w:rPr>
      </w:pPr>
      <w:bookmarkStart w:id="92" w:name="_Toc457551744"/>
      <w:r>
        <w:rPr>
          <w:rStyle w:val="CharSectno"/>
        </w:rPr>
        <w:t>41</w:t>
      </w:r>
      <w:r>
        <w:rPr>
          <w:snapToGrid w:val="0"/>
        </w:rPr>
        <w:t>.</w:t>
      </w:r>
      <w:r>
        <w:rPr>
          <w:snapToGrid w:val="0"/>
        </w:rPr>
        <w:tab/>
        <w:t>General records of crowd control agent</w:t>
      </w:r>
      <w:bookmarkEnd w:id="92"/>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in Gazette 1 Sep 2005 p. 4082; 4 Dec 2009 p. 4905</w:t>
      </w:r>
      <w:r>
        <w:noBreakHyphen/>
        <w:t>6.]</w:t>
      </w:r>
    </w:p>
    <w:p>
      <w:pPr>
        <w:pStyle w:val="Heading5"/>
        <w:spacing w:before="180"/>
        <w:rPr>
          <w:snapToGrid w:val="0"/>
        </w:rPr>
      </w:pPr>
      <w:bookmarkStart w:id="93" w:name="_Toc457551745"/>
      <w:r>
        <w:rPr>
          <w:rStyle w:val="CharSectno"/>
        </w:rPr>
        <w:t>42</w:t>
      </w:r>
      <w:r>
        <w:rPr>
          <w:snapToGrid w:val="0"/>
        </w:rPr>
        <w:t>.</w:t>
      </w:r>
      <w:r>
        <w:rPr>
          <w:snapToGrid w:val="0"/>
        </w:rPr>
        <w:tab/>
        <w:t>Records to be kept by inquiry agent prescribed (Act s. 78(1)(a))</w:t>
      </w:r>
      <w:bookmarkEnd w:id="93"/>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in Gazette 1 Sep 2005 p. 4083.]</w:t>
      </w:r>
    </w:p>
    <w:p>
      <w:pPr>
        <w:pStyle w:val="Heading5"/>
        <w:rPr>
          <w:snapToGrid w:val="0"/>
        </w:rPr>
      </w:pPr>
      <w:bookmarkStart w:id="94" w:name="_Toc457551746"/>
      <w:r>
        <w:rPr>
          <w:rStyle w:val="CharSectno"/>
        </w:rPr>
        <w:t>43</w:t>
      </w:r>
      <w:r>
        <w:rPr>
          <w:snapToGrid w:val="0"/>
        </w:rPr>
        <w:t>.</w:t>
      </w:r>
      <w:r>
        <w:rPr>
          <w:snapToGrid w:val="0"/>
        </w:rPr>
        <w:tab/>
        <w:t>Records to be kept by person for whom licensed crowd controller provides services prescribed (Act s. 84(a))</w:t>
      </w:r>
      <w:bookmarkEnd w:id="94"/>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in Gazette 1 Sep 2005 p. 4083.]</w:t>
      </w:r>
    </w:p>
    <w:p>
      <w:pPr>
        <w:pStyle w:val="Heading5"/>
      </w:pPr>
      <w:bookmarkStart w:id="95" w:name="_Toc457551747"/>
      <w:r>
        <w:rPr>
          <w:rStyle w:val="CharSectno"/>
        </w:rPr>
        <w:t>44A</w:t>
      </w:r>
      <w:r>
        <w:t>.</w:t>
      </w:r>
      <w:r>
        <w:tab/>
        <w:t>Notification of address where records held (Act s. 78(2))</w:t>
      </w:r>
      <w:bookmarkEnd w:id="95"/>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96" w:name="_Toc430248393"/>
      <w:bookmarkStart w:id="97" w:name="_Toc434398183"/>
      <w:bookmarkStart w:id="98" w:name="_Toc453594111"/>
      <w:bookmarkStart w:id="99" w:name="_Toc455409464"/>
      <w:bookmarkStart w:id="100" w:name="_Toc457551748"/>
      <w:r>
        <w:rPr>
          <w:rStyle w:val="CharPartNo"/>
        </w:rPr>
        <w:t>Part 7</w:t>
      </w:r>
      <w:r>
        <w:rPr>
          <w:rStyle w:val="CharDivNo"/>
        </w:rPr>
        <w:t> </w:t>
      </w:r>
      <w:r>
        <w:t>—</w:t>
      </w:r>
      <w:r>
        <w:rPr>
          <w:rStyle w:val="CharDivText"/>
        </w:rPr>
        <w:t> </w:t>
      </w:r>
      <w:r>
        <w:rPr>
          <w:rStyle w:val="CharPartText"/>
        </w:rPr>
        <w:t>Drug testing</w:t>
      </w:r>
      <w:bookmarkEnd w:id="96"/>
      <w:bookmarkEnd w:id="97"/>
      <w:bookmarkEnd w:id="98"/>
      <w:bookmarkEnd w:id="99"/>
      <w:bookmarkEnd w:id="100"/>
      <w:r>
        <w:rPr>
          <w:rStyle w:val="CharPartText"/>
        </w:rPr>
        <w:t xml:space="preserve"> </w:t>
      </w:r>
    </w:p>
    <w:p>
      <w:pPr>
        <w:pStyle w:val="Heading5"/>
        <w:spacing w:before="240"/>
        <w:rPr>
          <w:snapToGrid w:val="0"/>
        </w:rPr>
      </w:pPr>
      <w:bookmarkStart w:id="101" w:name="_Toc457551749"/>
      <w:r>
        <w:rPr>
          <w:rStyle w:val="CharSectno"/>
        </w:rPr>
        <w:t>44</w:t>
      </w:r>
      <w:r>
        <w:rPr>
          <w:snapToGrid w:val="0"/>
        </w:rPr>
        <w:t>.</w:t>
      </w:r>
      <w:r>
        <w:rPr>
          <w:snapToGrid w:val="0"/>
        </w:rPr>
        <w:tab/>
        <w:t>Terms used</w:t>
      </w:r>
      <w:bookmarkEnd w:id="10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keepLines w:val="0"/>
        <w:pageBreakBefore/>
        <w:spacing w:before="0"/>
        <w:rPr>
          <w:snapToGrid w:val="0"/>
        </w:rPr>
      </w:pPr>
      <w:bookmarkStart w:id="102" w:name="_Toc457551750"/>
      <w:r>
        <w:rPr>
          <w:rStyle w:val="CharSectno"/>
        </w:rPr>
        <w:t>45</w:t>
      </w:r>
      <w:r>
        <w:rPr>
          <w:snapToGrid w:val="0"/>
        </w:rPr>
        <w:t>.</w:t>
      </w:r>
      <w:r>
        <w:rPr>
          <w:snapToGrid w:val="0"/>
        </w:rPr>
        <w:tab/>
        <w:t>Drugs prescribed (Act s. 80)</w:t>
      </w:r>
      <w:bookmarkEnd w:id="102"/>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103" w:name="_Toc457551751"/>
      <w:r>
        <w:rPr>
          <w:rStyle w:val="CharSectno"/>
        </w:rPr>
        <w:t>46</w:t>
      </w:r>
      <w:r>
        <w:rPr>
          <w:snapToGrid w:val="0"/>
        </w:rPr>
        <w:t>.</w:t>
      </w:r>
      <w:r>
        <w:rPr>
          <w:snapToGrid w:val="0"/>
        </w:rPr>
        <w:tab/>
        <w:t>Approval of technologists, sample collectors and analysts</w:t>
      </w:r>
      <w:bookmarkEnd w:id="103"/>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in Gazette 4 Dec 2009 p. 4907.]</w:t>
      </w:r>
    </w:p>
    <w:p>
      <w:pPr>
        <w:pStyle w:val="Heading5"/>
        <w:rPr>
          <w:snapToGrid w:val="0"/>
        </w:rPr>
      </w:pPr>
      <w:bookmarkStart w:id="104" w:name="_Toc457551752"/>
      <w:r>
        <w:rPr>
          <w:rStyle w:val="CharSectno"/>
        </w:rPr>
        <w:t>47</w:t>
      </w:r>
      <w:r>
        <w:rPr>
          <w:snapToGrid w:val="0"/>
        </w:rPr>
        <w:t>.</w:t>
      </w:r>
      <w:r>
        <w:rPr>
          <w:snapToGrid w:val="0"/>
        </w:rPr>
        <w:tab/>
        <w:t>Blood and urine sampling equipment prescribed</w:t>
      </w:r>
      <w:bookmarkEnd w:id="104"/>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in Gazette 28 Apr 2006 p. 1657.]</w:t>
      </w:r>
    </w:p>
    <w:p>
      <w:pPr>
        <w:pStyle w:val="Heading5"/>
        <w:keepLines w:val="0"/>
        <w:spacing w:before="240"/>
        <w:rPr>
          <w:snapToGrid w:val="0"/>
        </w:rPr>
      </w:pPr>
      <w:bookmarkStart w:id="105" w:name="_Toc457551753"/>
      <w:r>
        <w:rPr>
          <w:rStyle w:val="CharSectno"/>
        </w:rPr>
        <w:t>48</w:t>
      </w:r>
      <w:r>
        <w:rPr>
          <w:snapToGrid w:val="0"/>
        </w:rPr>
        <w:t>.</w:t>
      </w:r>
      <w:r>
        <w:rPr>
          <w:snapToGrid w:val="0"/>
        </w:rPr>
        <w:tab/>
        <w:t>Preparation and use of sampling equipment</w:t>
      </w:r>
      <w:bookmarkEnd w:id="105"/>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240"/>
      </w:pPr>
      <w:bookmarkStart w:id="106" w:name="_Toc457551754"/>
      <w:r>
        <w:rPr>
          <w:rStyle w:val="CharSectno"/>
        </w:rPr>
        <w:t>48A</w:t>
      </w:r>
      <w:r>
        <w:t>.</w:t>
      </w:r>
      <w:r>
        <w:tab/>
        <w:t>Licensee to produce identity card when giving blood or urine sample under direction given under Act s. 80</w:t>
      </w:r>
      <w:bookmarkEnd w:id="106"/>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in Gazette 1 Sep 2005 p. 4083</w:t>
      </w:r>
      <w:r>
        <w:noBreakHyphen/>
        <w:t>4; amended in Gazette 4 Dec 2009 p. 4907.]</w:t>
      </w:r>
    </w:p>
    <w:p>
      <w:pPr>
        <w:pStyle w:val="Heading5"/>
        <w:keepNext w:val="0"/>
        <w:keepLines w:val="0"/>
        <w:pageBreakBefore/>
        <w:spacing w:before="0"/>
        <w:rPr>
          <w:snapToGrid w:val="0"/>
        </w:rPr>
      </w:pPr>
      <w:bookmarkStart w:id="107" w:name="_Toc457551755"/>
      <w:r>
        <w:rPr>
          <w:rStyle w:val="CharSectno"/>
        </w:rPr>
        <w:t>49</w:t>
      </w:r>
      <w:r>
        <w:rPr>
          <w:snapToGrid w:val="0"/>
        </w:rPr>
        <w:t>.</w:t>
      </w:r>
      <w:r>
        <w:rPr>
          <w:snapToGrid w:val="0"/>
        </w:rPr>
        <w:tab/>
        <w:t>Blood samples, method for collecting</w:t>
      </w:r>
      <w:bookmarkEnd w:id="107"/>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108" w:name="_Toc457551756"/>
      <w:r>
        <w:rPr>
          <w:rStyle w:val="CharSectno"/>
        </w:rPr>
        <w:t>50</w:t>
      </w:r>
      <w:r>
        <w:rPr>
          <w:snapToGrid w:val="0"/>
        </w:rPr>
        <w:t>.</w:t>
      </w:r>
      <w:r>
        <w:rPr>
          <w:snapToGrid w:val="0"/>
        </w:rPr>
        <w:tab/>
        <w:t>Urine samples, method for collecting</w:t>
      </w:r>
      <w:bookmarkEnd w:id="108"/>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109" w:name="_Toc457551757"/>
      <w:r>
        <w:rPr>
          <w:rStyle w:val="CharSectno"/>
        </w:rPr>
        <w:t>51</w:t>
      </w:r>
      <w:r>
        <w:rPr>
          <w:snapToGrid w:val="0"/>
        </w:rPr>
        <w:t>.</w:t>
      </w:r>
      <w:r>
        <w:rPr>
          <w:snapToGrid w:val="0"/>
        </w:rPr>
        <w:tab/>
        <w:t>Analysis of samples</w:t>
      </w:r>
      <w:bookmarkEnd w:id="109"/>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in Gazette 4 Dec 2009 p. 4907</w:t>
      </w:r>
      <w:r>
        <w:noBreakHyphen/>
        <w:t>8.]</w:t>
      </w:r>
    </w:p>
    <w:p>
      <w:pPr>
        <w:pStyle w:val="Heading5"/>
        <w:rPr>
          <w:snapToGrid w:val="0"/>
        </w:rPr>
      </w:pPr>
      <w:bookmarkStart w:id="110" w:name="_Toc457551758"/>
      <w:r>
        <w:rPr>
          <w:rStyle w:val="CharSectno"/>
        </w:rPr>
        <w:t>52</w:t>
      </w:r>
      <w:r>
        <w:rPr>
          <w:snapToGrid w:val="0"/>
        </w:rPr>
        <w:t>.</w:t>
      </w:r>
      <w:r>
        <w:rPr>
          <w:snapToGrid w:val="0"/>
        </w:rPr>
        <w:tab/>
        <w:t>Non</w:t>
      </w:r>
      <w:r>
        <w:rPr>
          <w:snapToGrid w:val="0"/>
        </w:rPr>
        <w:noBreakHyphen/>
        <w:t>complying sample defined (Act s. 81(1)(b))</w:t>
      </w:r>
      <w:bookmarkEnd w:id="110"/>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111" w:name="_Toc457551759"/>
      <w:r>
        <w:rPr>
          <w:rStyle w:val="CharSectno"/>
        </w:rPr>
        <w:t>53</w:t>
      </w:r>
      <w:r>
        <w:rPr>
          <w:snapToGrid w:val="0"/>
        </w:rPr>
        <w:t>.</w:t>
      </w:r>
      <w:r>
        <w:rPr>
          <w:snapToGrid w:val="0"/>
        </w:rPr>
        <w:tab/>
        <w:t>Certificates which are evidence</w:t>
      </w:r>
      <w:bookmarkEnd w:id="111"/>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112" w:name="_Toc430248405"/>
      <w:bookmarkStart w:id="113" w:name="_Toc434398195"/>
      <w:bookmarkStart w:id="114" w:name="_Toc453594123"/>
      <w:bookmarkStart w:id="115" w:name="_Toc455409476"/>
      <w:bookmarkStart w:id="116" w:name="_Toc457551760"/>
      <w:r>
        <w:rPr>
          <w:rStyle w:val="CharPartNo"/>
        </w:rPr>
        <w:t>Part 8</w:t>
      </w:r>
      <w:r>
        <w:rPr>
          <w:rStyle w:val="CharDivNo"/>
        </w:rPr>
        <w:t> </w:t>
      </w:r>
      <w:r>
        <w:t>—</w:t>
      </w:r>
      <w:r>
        <w:rPr>
          <w:rStyle w:val="CharDivText"/>
        </w:rPr>
        <w:t> </w:t>
      </w:r>
      <w:r>
        <w:rPr>
          <w:rStyle w:val="CharPartText"/>
        </w:rPr>
        <w:t>Miscellaneous</w:t>
      </w:r>
      <w:bookmarkEnd w:id="112"/>
      <w:bookmarkEnd w:id="113"/>
      <w:bookmarkEnd w:id="114"/>
      <w:bookmarkEnd w:id="115"/>
      <w:bookmarkEnd w:id="116"/>
      <w:r>
        <w:rPr>
          <w:rStyle w:val="CharPartText"/>
        </w:rPr>
        <w:t xml:space="preserve"> </w:t>
      </w:r>
    </w:p>
    <w:p>
      <w:pPr>
        <w:pStyle w:val="Heading5"/>
        <w:rPr>
          <w:snapToGrid w:val="0"/>
        </w:rPr>
      </w:pPr>
      <w:bookmarkStart w:id="117" w:name="_Toc457551761"/>
      <w:r>
        <w:rPr>
          <w:rStyle w:val="CharSectno"/>
        </w:rPr>
        <w:t>54</w:t>
      </w:r>
      <w:r>
        <w:rPr>
          <w:snapToGrid w:val="0"/>
        </w:rPr>
        <w:t>.</w:t>
      </w:r>
      <w:r>
        <w:rPr>
          <w:snapToGrid w:val="0"/>
        </w:rPr>
        <w:tab/>
        <w:t>Fees prescribed</w:t>
      </w:r>
      <w:bookmarkEnd w:id="117"/>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118" w:name="_Toc457551762"/>
      <w:r>
        <w:rPr>
          <w:rStyle w:val="CharSectno"/>
        </w:rPr>
        <w:t>54A</w:t>
      </w:r>
      <w:r>
        <w:t>.</w:t>
      </w:r>
      <w:r>
        <w:tab/>
        <w:t>Codes of conduct, preparation, approval and effect of</w:t>
      </w:r>
      <w:bookmarkEnd w:id="118"/>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119" w:name="_Toc457551763"/>
      <w:r>
        <w:rPr>
          <w:rStyle w:val="CharSectno"/>
        </w:rPr>
        <w:t>55</w:t>
      </w:r>
      <w:r>
        <w:t>.</w:t>
      </w:r>
      <w:r>
        <w:tab/>
        <w:t>Surrender of licence (Act s. 76(c))</w:t>
      </w:r>
      <w:bookmarkEnd w:id="119"/>
    </w:p>
    <w:p>
      <w:pPr>
        <w:pStyle w:val="Subsection"/>
      </w:pPr>
      <w:r>
        <w:tab/>
      </w:r>
      <w:r>
        <w:tab/>
        <w:t>For the purposes of section 76(c), a licensee may surrender a licence by written notice given to a licensing officer.</w:t>
      </w:r>
    </w:p>
    <w:p>
      <w:pPr>
        <w:pStyle w:val="Footnotesection"/>
        <w:keepLines w:val="0"/>
      </w:pPr>
      <w:r>
        <w:tab/>
        <w:t>[Regulation 55 inserted in Gazette 4 Dec 2009 p. 4909.]</w:t>
      </w:r>
    </w:p>
    <w:p>
      <w:pPr>
        <w:pStyle w:val="Heading5"/>
      </w:pPr>
      <w:bookmarkStart w:id="120" w:name="_Toc457551764"/>
      <w:r>
        <w:rPr>
          <w:rStyle w:val="CharSectno"/>
        </w:rPr>
        <w:t>56</w:t>
      </w:r>
      <w:r>
        <w:t>.</w:t>
      </w:r>
      <w:r>
        <w:tab/>
        <w:t>Return of licence (Act s. 76)</w:t>
      </w:r>
      <w:bookmarkEnd w:id="120"/>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in Gazette 4 Dec 2009 p. 4909.]</w:t>
      </w:r>
    </w:p>
    <w:p>
      <w:pPr>
        <w:pStyle w:val="Heading5"/>
      </w:pPr>
      <w:bookmarkStart w:id="121" w:name="_Toc457551765"/>
      <w:r>
        <w:rPr>
          <w:rStyle w:val="CharSectno"/>
        </w:rPr>
        <w:t>57</w:t>
      </w:r>
      <w:r>
        <w:t>.</w:t>
      </w:r>
      <w:r>
        <w:tab/>
        <w:t>Notification of change of address (Act s. 77)</w:t>
      </w:r>
      <w:bookmarkEnd w:id="121"/>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Heading5"/>
      </w:pPr>
      <w:bookmarkStart w:id="122" w:name="_Toc453676213"/>
      <w:bookmarkStart w:id="123" w:name="_Toc457551766"/>
      <w:r>
        <w:rPr>
          <w:rStyle w:val="CharSectno"/>
        </w:rPr>
        <w:t>58</w:t>
      </w:r>
      <w:r>
        <w:t>.</w:t>
      </w:r>
      <w:r>
        <w:tab/>
        <w:t>Prescribed offences and modified penalties</w:t>
      </w:r>
      <w:bookmarkEnd w:id="122"/>
      <w:bookmarkEnd w:id="123"/>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in Gazette 29 Jul 2016 p. 3248.]</w:t>
      </w:r>
    </w:p>
    <w:p>
      <w:pPr>
        <w:pStyle w:val="Heading5"/>
      </w:pPr>
      <w:bookmarkStart w:id="124" w:name="_Toc453676214"/>
      <w:bookmarkStart w:id="125" w:name="_Toc457551767"/>
      <w:r>
        <w:rPr>
          <w:rStyle w:val="CharSectno"/>
        </w:rPr>
        <w:t>59</w:t>
      </w:r>
      <w:r>
        <w:t>.</w:t>
      </w:r>
      <w:r>
        <w:tab/>
        <w:t>Forms</w:t>
      </w:r>
      <w:bookmarkEnd w:id="124"/>
      <w:bookmarkEnd w:id="125"/>
    </w:p>
    <w:p>
      <w:pPr>
        <w:pStyle w:val="Subsection"/>
        <w:keepNext/>
      </w:pPr>
      <w:r>
        <w:tab/>
      </w:r>
      <w:r>
        <w:tab/>
        <w:t>The forms set out in Schedule 6 are prescribed in relation to the matters specified in those forms.</w:t>
      </w:r>
    </w:p>
    <w:p>
      <w:pPr>
        <w:pStyle w:val="Footnotesection"/>
      </w:pPr>
      <w:r>
        <w:tab/>
        <w:t>[Regulation 59 inserted in Gazette 29 Jul 2016 p. 3248.]</w:t>
      </w:r>
    </w:p>
    <w:p>
      <w:pPr>
        <w:pStyle w:val="Ednotepart"/>
        <w:spacing w:before="300"/>
      </w:pPr>
      <w:r>
        <w:t>[Part 9 deleted in Gazette 4 Dec 2009 p. 4909.]</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26" w:name="_Toc430248411"/>
      <w:bookmarkStart w:id="127" w:name="_Toc434398201"/>
      <w:bookmarkStart w:id="128" w:name="_Toc453594129"/>
      <w:bookmarkStart w:id="129" w:name="_Toc455409482"/>
      <w:bookmarkStart w:id="130" w:name="_Toc457551768"/>
      <w:r>
        <w:rPr>
          <w:rStyle w:val="CharSchNo"/>
        </w:rPr>
        <w:t>Schedule 1</w:t>
      </w:r>
      <w:r>
        <w:t> — </w:t>
      </w:r>
      <w:r>
        <w:rPr>
          <w:rStyle w:val="CharSchText"/>
        </w:rPr>
        <w:t>Conditions and restrictions attached to licences</w:t>
      </w:r>
      <w:bookmarkEnd w:id="126"/>
      <w:bookmarkEnd w:id="127"/>
      <w:bookmarkEnd w:id="128"/>
      <w:bookmarkEnd w:id="129"/>
      <w:bookmarkEnd w:id="130"/>
    </w:p>
    <w:p>
      <w:pPr>
        <w:pStyle w:val="yShoulderClause"/>
        <w:rPr>
          <w:snapToGrid w:val="0"/>
        </w:rPr>
      </w:pPr>
      <w:r>
        <w:rPr>
          <w:snapToGrid w:val="0"/>
        </w:rPr>
        <w:t>[Regulation 21]</w:t>
      </w:r>
    </w:p>
    <w:p>
      <w:pPr>
        <w:pStyle w:val="yHeading3"/>
        <w:rPr>
          <w:snapToGrid w:val="0"/>
        </w:rPr>
      </w:pPr>
      <w:bookmarkStart w:id="131" w:name="_Toc430248412"/>
      <w:bookmarkStart w:id="132" w:name="_Toc434398202"/>
      <w:bookmarkStart w:id="133" w:name="_Toc453594130"/>
      <w:bookmarkStart w:id="134" w:name="_Toc455409483"/>
      <w:bookmarkStart w:id="135" w:name="_Toc457551769"/>
      <w:r>
        <w:rPr>
          <w:rStyle w:val="CharSDivNo"/>
        </w:rPr>
        <w:t>Division 1</w:t>
      </w:r>
      <w:r>
        <w:rPr>
          <w:snapToGrid w:val="0"/>
        </w:rPr>
        <w:t> — </w:t>
      </w:r>
      <w:r>
        <w:rPr>
          <w:rStyle w:val="CharSDivText"/>
        </w:rPr>
        <w:t>Security agent’s licence</w:t>
      </w:r>
      <w:bookmarkEnd w:id="131"/>
      <w:bookmarkEnd w:id="132"/>
      <w:bookmarkEnd w:id="133"/>
      <w:bookmarkEnd w:id="134"/>
      <w:bookmarkEnd w:id="135"/>
    </w:p>
    <w:p>
      <w:pPr>
        <w:pStyle w:val="yHeading5"/>
        <w:rPr>
          <w:snapToGrid w:val="0"/>
        </w:rPr>
      </w:pPr>
      <w:bookmarkStart w:id="136" w:name="_Toc457551770"/>
      <w:r>
        <w:rPr>
          <w:rStyle w:val="CharSClsNo"/>
        </w:rPr>
        <w:t>1</w:t>
      </w:r>
      <w:r>
        <w:rPr>
          <w:snapToGrid w:val="0"/>
        </w:rPr>
        <w:t>.</w:t>
      </w:r>
      <w:r>
        <w:rPr>
          <w:snapToGrid w:val="0"/>
        </w:rPr>
        <w:tab/>
        <w:t>Changes of partners, officers or personnel to be notified</w:t>
      </w:r>
      <w:bookmarkEnd w:id="136"/>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137" w:name="_Toc457551771"/>
      <w:r>
        <w:rPr>
          <w:rStyle w:val="CharSClsNo"/>
        </w:rPr>
        <w:t>2</w:t>
      </w:r>
      <w:r>
        <w:t>.</w:t>
      </w:r>
      <w:r>
        <w:tab/>
        <w:t>Uniforms to be worn by security officers</w:t>
      </w:r>
      <w:bookmarkEnd w:id="137"/>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138" w:name="_Toc457551772"/>
      <w:r>
        <w:rPr>
          <w:rStyle w:val="CharSClsNo"/>
        </w:rPr>
        <w:t>3</w:t>
      </w:r>
      <w:r>
        <w:t>.</w:t>
      </w:r>
      <w:r>
        <w:tab/>
        <w:t>Markings on vehicles used by security officers</w:t>
      </w:r>
      <w:bookmarkEnd w:id="138"/>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139" w:name="_Toc457551773"/>
      <w:r>
        <w:rPr>
          <w:rStyle w:val="CharSClsNo"/>
        </w:rPr>
        <w:t>4A</w:t>
      </w:r>
      <w:r>
        <w:t>.</w:t>
      </w:r>
      <w:r>
        <w:rPr>
          <w:b w:val="0"/>
        </w:rPr>
        <w:tab/>
      </w:r>
      <w:r>
        <w:t>Dogs not to be used without training</w:t>
      </w:r>
      <w:bookmarkEnd w:id="139"/>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Ednotesubsection"/>
      </w:pPr>
      <w:r>
        <w:tab/>
        <w:t>[(2)</w:t>
      </w:r>
      <w:r>
        <w:tab/>
        <w:t>deleted]</w:t>
      </w:r>
    </w:p>
    <w:p>
      <w:pPr>
        <w:pStyle w:val="yFootnotesection"/>
      </w:pPr>
      <w:r>
        <w:tab/>
        <w:t>[Clause 4A inserted in Gazette 4 Dec 2009 p. 4910; amended in Gazette 29 Jul 2016 p. 3249.]</w:t>
      </w:r>
    </w:p>
    <w:p>
      <w:pPr>
        <w:pStyle w:val="yHeading5"/>
        <w:rPr>
          <w:snapToGrid w:val="0"/>
        </w:rPr>
      </w:pPr>
      <w:bookmarkStart w:id="140" w:name="_Toc457551774"/>
      <w:r>
        <w:rPr>
          <w:rStyle w:val="CharSClsNo"/>
        </w:rPr>
        <w:t>4</w:t>
      </w:r>
      <w:r>
        <w:rPr>
          <w:snapToGrid w:val="0"/>
        </w:rPr>
        <w:t>.</w:t>
      </w:r>
      <w:r>
        <w:rPr>
          <w:snapToGrid w:val="0"/>
        </w:rPr>
        <w:tab/>
        <w:t>Arming security officers</w:t>
      </w:r>
      <w:bookmarkEnd w:id="140"/>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141" w:name="_Toc457551775"/>
      <w:r>
        <w:rPr>
          <w:rStyle w:val="CharSClsNo"/>
        </w:rPr>
        <w:t>5</w:t>
      </w:r>
      <w:r>
        <w:rPr>
          <w:snapToGrid w:val="0"/>
        </w:rPr>
        <w:t>.</w:t>
      </w:r>
      <w:r>
        <w:rPr>
          <w:snapToGrid w:val="0"/>
        </w:rPr>
        <w:tab/>
        <w:t>Firearm security</w:t>
      </w:r>
      <w:bookmarkEnd w:id="141"/>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142" w:name="_Toc457551776"/>
      <w:r>
        <w:rPr>
          <w:rStyle w:val="CharSClsNo"/>
        </w:rPr>
        <w:t>6</w:t>
      </w:r>
      <w:r>
        <w:t>.</w:t>
      </w:r>
      <w:r>
        <w:rPr>
          <w:b w:val="0"/>
        </w:rPr>
        <w:tab/>
      </w:r>
      <w:r>
        <w:rPr>
          <w:rStyle w:val="CharSClsNo"/>
        </w:rPr>
        <w:t>Weapons</w:t>
      </w:r>
      <w:r>
        <w:t xml:space="preserve"> training required for certain security officers</w:t>
      </w:r>
      <w:bookmarkEnd w:id="142"/>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143" w:name="_Toc430248420"/>
      <w:bookmarkStart w:id="144" w:name="_Toc434398210"/>
      <w:bookmarkStart w:id="145" w:name="_Toc453594138"/>
      <w:bookmarkStart w:id="146" w:name="_Toc455409491"/>
      <w:bookmarkStart w:id="147" w:name="_Toc457551777"/>
      <w:r>
        <w:rPr>
          <w:rStyle w:val="CharSDivNo"/>
        </w:rPr>
        <w:t>Division 2</w:t>
      </w:r>
      <w:r>
        <w:rPr>
          <w:snapToGrid w:val="0"/>
        </w:rPr>
        <w:t> — </w:t>
      </w:r>
      <w:r>
        <w:rPr>
          <w:rStyle w:val="CharSDivText"/>
        </w:rPr>
        <w:t>Security officer’s licence</w:t>
      </w:r>
      <w:bookmarkEnd w:id="143"/>
      <w:bookmarkEnd w:id="144"/>
      <w:bookmarkEnd w:id="145"/>
      <w:bookmarkEnd w:id="146"/>
      <w:bookmarkEnd w:id="147"/>
      <w:r>
        <w:rPr>
          <w:snapToGrid w:val="0"/>
        </w:rPr>
        <w:t xml:space="preserve"> </w:t>
      </w:r>
    </w:p>
    <w:p>
      <w:pPr>
        <w:pStyle w:val="yHeading5"/>
        <w:rPr>
          <w:snapToGrid w:val="0"/>
        </w:rPr>
      </w:pPr>
      <w:bookmarkStart w:id="148" w:name="_Toc457551778"/>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148"/>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149" w:name="_Toc457551779"/>
      <w:r>
        <w:rPr>
          <w:rStyle w:val="CharSClsNo"/>
        </w:rPr>
        <w:t>8</w:t>
      </w:r>
      <w:r>
        <w:t>.</w:t>
      </w:r>
      <w:r>
        <w:tab/>
        <w:t>M</w:t>
      </w:r>
      <w:r>
        <w:rPr>
          <w:snapToGrid w:val="0"/>
        </w:rPr>
        <w:t>arkings on vehicles used by security officers</w:t>
      </w:r>
      <w:bookmarkEnd w:id="149"/>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150" w:name="_Toc457551780"/>
      <w:r>
        <w:rPr>
          <w:rStyle w:val="CharSClsNo"/>
        </w:rPr>
        <w:t>9</w:t>
      </w:r>
      <w:r>
        <w:rPr>
          <w:snapToGrid w:val="0"/>
        </w:rPr>
        <w:t>.</w:t>
      </w:r>
      <w:r>
        <w:rPr>
          <w:snapToGrid w:val="0"/>
        </w:rPr>
        <w:tab/>
      </w:r>
      <w:r>
        <w:rPr>
          <w:rStyle w:val="CharSClsNo"/>
        </w:rPr>
        <w:t>Carrying</w:t>
      </w:r>
      <w:r>
        <w:rPr>
          <w:snapToGrid w:val="0"/>
        </w:rPr>
        <w:t xml:space="preserve"> of weapons</w:t>
      </w:r>
      <w:bookmarkEnd w:id="150"/>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in Gazette 1 Sep 2005 p. 4088; 4 Dec 2009 p. 4911.]</w:t>
      </w:r>
    </w:p>
    <w:p>
      <w:pPr>
        <w:pStyle w:val="yHeading5"/>
        <w:rPr>
          <w:snapToGrid w:val="0"/>
        </w:rPr>
      </w:pPr>
      <w:bookmarkStart w:id="151" w:name="_Toc457551781"/>
      <w:r>
        <w:rPr>
          <w:rStyle w:val="CharSClsNo"/>
        </w:rPr>
        <w:t>10</w:t>
      </w:r>
      <w:r>
        <w:t>.</w:t>
      </w:r>
      <w:r>
        <w:rPr>
          <w:rStyle w:val="CharSClsNo"/>
        </w:rPr>
        <w:tab/>
        <w:t>Firearm</w:t>
      </w:r>
      <w:r>
        <w:rPr>
          <w:snapToGrid w:val="0"/>
        </w:rPr>
        <w:t xml:space="preserve"> security</w:t>
      </w:r>
      <w:bookmarkEnd w:id="151"/>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152" w:name="_Toc457551782"/>
      <w:r>
        <w:rPr>
          <w:rStyle w:val="CharSClsNo"/>
        </w:rPr>
        <w:t>11A</w:t>
      </w:r>
      <w:r>
        <w:t>.</w:t>
      </w:r>
      <w:r>
        <w:rPr>
          <w:b w:val="0"/>
        </w:rPr>
        <w:tab/>
      </w:r>
      <w:r>
        <w:t>Dogs not to be used without training</w:t>
      </w:r>
      <w:bookmarkEnd w:id="152"/>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153" w:name="_Toc457551783"/>
      <w:r>
        <w:rPr>
          <w:rStyle w:val="CharSClsNo"/>
        </w:rPr>
        <w:t>11B</w:t>
      </w:r>
      <w:r>
        <w:t>.</w:t>
      </w:r>
      <w:r>
        <w:rPr>
          <w:b w:val="0"/>
        </w:rPr>
        <w:tab/>
      </w:r>
      <w:r>
        <w:t>First aid certificate</w:t>
      </w:r>
      <w:bookmarkEnd w:id="153"/>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in Gazette 4 Dec 2009 p. 4912; amended in Gazette 29 Jul 2016 p. 3249.]</w:t>
      </w:r>
    </w:p>
    <w:p>
      <w:pPr>
        <w:pStyle w:val="yHeading3"/>
      </w:pPr>
      <w:bookmarkStart w:id="154" w:name="_Toc430248427"/>
      <w:bookmarkStart w:id="155" w:name="_Toc434398217"/>
      <w:bookmarkStart w:id="156" w:name="_Toc453594145"/>
      <w:bookmarkStart w:id="157" w:name="_Toc455409498"/>
      <w:bookmarkStart w:id="158" w:name="_Toc457551784"/>
      <w:r>
        <w:rPr>
          <w:rStyle w:val="CharSDivNo"/>
        </w:rPr>
        <w:t>Division 2A</w:t>
      </w:r>
      <w:r>
        <w:rPr>
          <w:b w:val="0"/>
        </w:rPr>
        <w:t> — </w:t>
      </w:r>
      <w:r>
        <w:rPr>
          <w:rStyle w:val="CharSDivText"/>
        </w:rPr>
        <w:t>Security officer’s licence endorsement</w:t>
      </w:r>
      <w:bookmarkEnd w:id="154"/>
      <w:bookmarkEnd w:id="155"/>
      <w:bookmarkEnd w:id="156"/>
      <w:bookmarkEnd w:id="157"/>
      <w:bookmarkEnd w:id="158"/>
    </w:p>
    <w:p>
      <w:pPr>
        <w:pStyle w:val="yFootnoteheading"/>
      </w:pPr>
      <w:r>
        <w:tab/>
        <w:t>[Heading inserted in Gazette 3 Oct 2006 p. 4347.]</w:t>
      </w:r>
    </w:p>
    <w:p>
      <w:pPr>
        <w:pStyle w:val="yHeading5"/>
        <w:rPr>
          <w:rStyle w:val="CharSClsNo"/>
        </w:rPr>
      </w:pPr>
      <w:bookmarkStart w:id="159" w:name="_Toc457551785"/>
      <w:r>
        <w:rPr>
          <w:rStyle w:val="CharSClsNo"/>
        </w:rPr>
        <w:t>11.</w:t>
      </w:r>
      <w:r>
        <w:rPr>
          <w:rStyle w:val="CharSClsNo"/>
        </w:rPr>
        <w:tab/>
        <w:t>Weapons</w:t>
      </w:r>
      <w:r>
        <w:rPr>
          <w:snapToGrid w:val="0"/>
        </w:rPr>
        <w:t xml:space="preserve"> training</w:t>
      </w:r>
      <w:bookmarkEnd w:id="159"/>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160" w:name="_Toc430248429"/>
      <w:bookmarkStart w:id="161" w:name="_Toc434398219"/>
      <w:bookmarkStart w:id="162" w:name="_Toc453594147"/>
      <w:bookmarkStart w:id="163" w:name="_Toc455409500"/>
      <w:bookmarkStart w:id="164" w:name="_Toc457551786"/>
      <w:r>
        <w:rPr>
          <w:rStyle w:val="CharSDivNo"/>
        </w:rPr>
        <w:t>Division 2B</w:t>
      </w:r>
      <w:r>
        <w:rPr>
          <w:b w:val="0"/>
        </w:rPr>
        <w:t> — </w:t>
      </w:r>
      <w:r>
        <w:rPr>
          <w:rStyle w:val="CharSDivText"/>
        </w:rPr>
        <w:t>Security bodyguard’s licence</w:t>
      </w:r>
      <w:bookmarkEnd w:id="160"/>
      <w:bookmarkEnd w:id="161"/>
      <w:bookmarkEnd w:id="162"/>
      <w:bookmarkEnd w:id="163"/>
      <w:bookmarkEnd w:id="164"/>
    </w:p>
    <w:p>
      <w:pPr>
        <w:pStyle w:val="yFootnoteheading"/>
      </w:pPr>
      <w:r>
        <w:tab/>
        <w:t>[Heading inserted in Gazette 4 Dec 2009 p. 4912.]</w:t>
      </w:r>
    </w:p>
    <w:p>
      <w:pPr>
        <w:pStyle w:val="yHeading5"/>
      </w:pPr>
      <w:bookmarkStart w:id="165" w:name="_Toc457551787"/>
      <w:r>
        <w:rPr>
          <w:rStyle w:val="CharSClsNo"/>
        </w:rPr>
        <w:t>12A</w:t>
      </w:r>
      <w:r>
        <w:t>.</w:t>
      </w:r>
      <w:r>
        <w:rPr>
          <w:b w:val="0"/>
        </w:rPr>
        <w:tab/>
      </w:r>
      <w:r>
        <w:t>No weapons to be carried by security bodyguard</w:t>
      </w:r>
      <w:bookmarkEnd w:id="165"/>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in Gazette 4 Dec 2009 p. 4912.]</w:t>
      </w:r>
    </w:p>
    <w:p>
      <w:pPr>
        <w:pStyle w:val="yHeading5"/>
      </w:pPr>
      <w:bookmarkStart w:id="166" w:name="_Toc457551788"/>
      <w:r>
        <w:rPr>
          <w:rStyle w:val="CharSClsNo"/>
        </w:rPr>
        <w:t>12B</w:t>
      </w:r>
      <w:r>
        <w:t>.</w:t>
      </w:r>
      <w:r>
        <w:rPr>
          <w:b w:val="0"/>
        </w:rPr>
        <w:tab/>
      </w:r>
      <w:r>
        <w:t>First aid certificate</w:t>
      </w:r>
      <w:bookmarkEnd w:id="166"/>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167" w:name="_Toc430248432"/>
      <w:bookmarkStart w:id="168" w:name="_Toc434398222"/>
      <w:bookmarkStart w:id="169" w:name="_Toc453594150"/>
      <w:bookmarkStart w:id="170" w:name="_Toc455409503"/>
      <w:bookmarkStart w:id="171" w:name="_Toc457551789"/>
      <w:r>
        <w:rPr>
          <w:rStyle w:val="CharSDivNo"/>
        </w:rPr>
        <w:t>Division 3</w:t>
      </w:r>
      <w:r>
        <w:rPr>
          <w:snapToGrid w:val="0"/>
        </w:rPr>
        <w:t> — </w:t>
      </w:r>
      <w:r>
        <w:rPr>
          <w:rStyle w:val="CharSDivText"/>
        </w:rPr>
        <w:t>Inquiry agent’s licence</w:t>
      </w:r>
      <w:bookmarkEnd w:id="167"/>
      <w:bookmarkEnd w:id="168"/>
      <w:bookmarkEnd w:id="169"/>
      <w:bookmarkEnd w:id="170"/>
      <w:bookmarkEnd w:id="171"/>
      <w:r>
        <w:rPr>
          <w:snapToGrid w:val="0"/>
        </w:rPr>
        <w:t xml:space="preserve"> </w:t>
      </w:r>
    </w:p>
    <w:p>
      <w:pPr>
        <w:pStyle w:val="yHeading5"/>
        <w:rPr>
          <w:rStyle w:val="CharSClsNo"/>
        </w:rPr>
      </w:pPr>
      <w:bookmarkStart w:id="172" w:name="_Toc457551790"/>
      <w:r>
        <w:rPr>
          <w:rStyle w:val="CharSClsNo"/>
        </w:rPr>
        <w:t>12</w:t>
      </w:r>
      <w:r>
        <w:t>.</w:t>
      </w:r>
      <w:r>
        <w:rPr>
          <w:rStyle w:val="CharSClsNo"/>
        </w:rPr>
        <w:tab/>
        <w:t>C</w:t>
      </w:r>
      <w:r>
        <w:rPr>
          <w:snapToGrid w:val="0"/>
        </w:rPr>
        <w:t>hange of partners, officers or personnel to be notified</w:t>
      </w:r>
      <w:bookmarkEnd w:id="172"/>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in Gazette 4 Dec 2009 p. 4913.]</w:t>
      </w:r>
    </w:p>
    <w:p>
      <w:pPr>
        <w:pStyle w:val="yHeading3"/>
        <w:rPr>
          <w:snapToGrid w:val="0"/>
        </w:rPr>
      </w:pPr>
      <w:bookmarkStart w:id="173" w:name="_Toc430248434"/>
      <w:bookmarkStart w:id="174" w:name="_Toc434398224"/>
      <w:bookmarkStart w:id="175" w:name="_Toc453594152"/>
      <w:bookmarkStart w:id="176" w:name="_Toc455409505"/>
      <w:bookmarkStart w:id="177" w:name="_Toc457551791"/>
      <w:r>
        <w:rPr>
          <w:rStyle w:val="CharSDivNo"/>
        </w:rPr>
        <w:t>Division 4</w:t>
      </w:r>
      <w:r>
        <w:rPr>
          <w:snapToGrid w:val="0"/>
        </w:rPr>
        <w:t> — </w:t>
      </w:r>
      <w:r>
        <w:rPr>
          <w:rStyle w:val="CharSDivText"/>
        </w:rPr>
        <w:t>Crowd control agent’s licence</w:t>
      </w:r>
      <w:bookmarkEnd w:id="173"/>
      <w:bookmarkEnd w:id="174"/>
      <w:bookmarkEnd w:id="175"/>
      <w:bookmarkEnd w:id="176"/>
      <w:bookmarkEnd w:id="177"/>
      <w:r>
        <w:rPr>
          <w:snapToGrid w:val="0"/>
        </w:rPr>
        <w:t xml:space="preserve"> </w:t>
      </w:r>
    </w:p>
    <w:p>
      <w:pPr>
        <w:pStyle w:val="yHeading5"/>
        <w:rPr>
          <w:rStyle w:val="CharSClsNo"/>
        </w:rPr>
      </w:pPr>
      <w:bookmarkStart w:id="178" w:name="_Toc457551792"/>
      <w:r>
        <w:rPr>
          <w:rStyle w:val="CharSClsNo"/>
        </w:rPr>
        <w:t>13</w:t>
      </w:r>
      <w:r>
        <w:t>.</w:t>
      </w:r>
      <w:r>
        <w:rPr>
          <w:rStyle w:val="CharSClsNo"/>
        </w:rPr>
        <w:tab/>
        <w:t>C</w:t>
      </w:r>
      <w:r>
        <w:rPr>
          <w:snapToGrid w:val="0"/>
        </w:rPr>
        <w:t>hange of partners, officers or personnel to be notified</w:t>
      </w:r>
      <w:bookmarkEnd w:id="178"/>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in Gazette 4 Dec 2009 p. 4913.]</w:t>
      </w:r>
    </w:p>
    <w:p>
      <w:pPr>
        <w:pStyle w:val="yHeading5"/>
        <w:rPr>
          <w:rStyle w:val="CharSClsNo"/>
        </w:rPr>
      </w:pPr>
      <w:bookmarkStart w:id="179" w:name="_Toc457551793"/>
      <w:r>
        <w:rPr>
          <w:rStyle w:val="CharSClsNo"/>
        </w:rPr>
        <w:t>14</w:t>
      </w:r>
      <w:r>
        <w:t>.</w:t>
      </w:r>
      <w:r>
        <w:rPr>
          <w:rStyle w:val="CharSClsNo"/>
        </w:rPr>
        <w:tab/>
        <w:t>I</w:t>
      </w:r>
      <w:r>
        <w:rPr>
          <w:snapToGrid w:val="0"/>
        </w:rPr>
        <w:t>dentification cards</w:t>
      </w:r>
      <w:r>
        <w:rPr>
          <w:rStyle w:val="CharSClsNo"/>
        </w:rPr>
        <w:t xml:space="preserve"> to be worn</w:t>
      </w:r>
      <w:bookmarkEnd w:id="179"/>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in Gazette 1 Sep 2005 p. 4089.]</w:t>
      </w:r>
    </w:p>
    <w:p>
      <w:pPr>
        <w:pStyle w:val="yHeading5"/>
        <w:rPr>
          <w:snapToGrid w:val="0"/>
        </w:rPr>
      </w:pPr>
      <w:bookmarkStart w:id="180" w:name="_Toc457551794"/>
      <w:r>
        <w:rPr>
          <w:rStyle w:val="CharSClsNo"/>
        </w:rPr>
        <w:t>15</w:t>
      </w:r>
      <w:r>
        <w:t>.</w:t>
      </w:r>
      <w:r>
        <w:rPr>
          <w:rStyle w:val="CharSClsNo"/>
        </w:rPr>
        <w:tab/>
        <w:t>Information</w:t>
      </w:r>
      <w:r>
        <w:rPr>
          <w:snapToGrid w:val="0"/>
        </w:rPr>
        <w:t xml:space="preserve"> to clients</w:t>
      </w:r>
      <w:bookmarkEnd w:id="180"/>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in Gazette 1 Sep 2005 p. 4089.]</w:t>
      </w:r>
    </w:p>
    <w:p>
      <w:pPr>
        <w:pStyle w:val="yHeading5"/>
      </w:pPr>
      <w:bookmarkStart w:id="181" w:name="_Toc457551795"/>
      <w:r>
        <w:rPr>
          <w:rStyle w:val="CharSClsNo"/>
        </w:rPr>
        <w:t>15A</w:t>
      </w:r>
      <w:r>
        <w:t>.</w:t>
      </w:r>
      <w:r>
        <w:rPr>
          <w:b w:val="0"/>
        </w:rPr>
        <w:tab/>
      </w:r>
      <w:r>
        <w:t>Information to licensing officer</w:t>
      </w:r>
      <w:bookmarkEnd w:id="181"/>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182" w:name="_Toc457551796"/>
      <w:r>
        <w:rPr>
          <w:rStyle w:val="CharSClsNo"/>
        </w:rPr>
        <w:t>16</w:t>
      </w:r>
      <w:r>
        <w:t>.</w:t>
      </w:r>
      <w:r>
        <w:rPr>
          <w:rStyle w:val="CharSClsNo"/>
        </w:rPr>
        <w:tab/>
      </w:r>
      <w:r>
        <w:rPr>
          <w:snapToGrid w:val="0"/>
        </w:rPr>
        <w:t>No weapons to be carried by crowd controllers</w:t>
      </w:r>
      <w:bookmarkEnd w:id="182"/>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in Gazette 1 Sep 2005 p. 4089.]</w:t>
      </w:r>
    </w:p>
    <w:p>
      <w:pPr>
        <w:pStyle w:val="yHeading5"/>
      </w:pPr>
      <w:bookmarkStart w:id="183" w:name="_Toc457551797"/>
      <w:r>
        <w:rPr>
          <w:rStyle w:val="CharSClsNo"/>
        </w:rPr>
        <w:t>16A</w:t>
      </w:r>
      <w:r>
        <w:t>.</w:t>
      </w:r>
      <w:r>
        <w:rPr>
          <w:rStyle w:val="CharSClsNo"/>
        </w:rPr>
        <w:tab/>
        <w:t>Incident</w:t>
      </w:r>
      <w:r>
        <w:rPr>
          <w:snapToGrid w:val="0"/>
        </w:rPr>
        <w:t xml:space="preserve"> register, duties as to</w:t>
      </w:r>
      <w:bookmarkEnd w:id="183"/>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184" w:name="_Toc430248441"/>
      <w:bookmarkStart w:id="185" w:name="_Toc434398231"/>
      <w:bookmarkStart w:id="186" w:name="_Toc453594159"/>
      <w:bookmarkStart w:id="187" w:name="_Toc455409512"/>
      <w:bookmarkStart w:id="188" w:name="_Toc457551798"/>
      <w:r>
        <w:rPr>
          <w:rStyle w:val="CharSDivNo"/>
        </w:rPr>
        <w:t>Division 5</w:t>
      </w:r>
      <w:r>
        <w:rPr>
          <w:snapToGrid w:val="0"/>
        </w:rPr>
        <w:t> — </w:t>
      </w:r>
      <w:r>
        <w:rPr>
          <w:rStyle w:val="CharSDivText"/>
        </w:rPr>
        <w:t>Crowd controller’s licence</w:t>
      </w:r>
      <w:bookmarkEnd w:id="184"/>
      <w:bookmarkEnd w:id="185"/>
      <w:bookmarkEnd w:id="186"/>
      <w:bookmarkEnd w:id="187"/>
      <w:bookmarkEnd w:id="188"/>
      <w:r>
        <w:rPr>
          <w:snapToGrid w:val="0"/>
        </w:rPr>
        <w:t xml:space="preserve"> </w:t>
      </w:r>
    </w:p>
    <w:p>
      <w:pPr>
        <w:pStyle w:val="yHeading5"/>
        <w:rPr>
          <w:snapToGrid w:val="0"/>
        </w:rPr>
      </w:pPr>
      <w:bookmarkStart w:id="189" w:name="_Toc457551799"/>
      <w:r>
        <w:rPr>
          <w:rStyle w:val="CharSClsNo"/>
        </w:rPr>
        <w:t>17</w:t>
      </w:r>
      <w:r>
        <w:t>.</w:t>
      </w:r>
      <w:r>
        <w:rPr>
          <w:rStyle w:val="CharSClsNo"/>
        </w:rPr>
        <w:tab/>
        <w:t>I</w:t>
      </w:r>
      <w:r>
        <w:rPr>
          <w:snapToGrid w:val="0"/>
        </w:rPr>
        <w:t>dentification card to be worn</w:t>
      </w:r>
      <w:bookmarkEnd w:id="189"/>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in Gazette 1 Sep 2005 p. 4090.]</w:t>
      </w:r>
    </w:p>
    <w:p>
      <w:pPr>
        <w:pStyle w:val="yHeading5"/>
        <w:rPr>
          <w:rStyle w:val="CharSClsNo"/>
        </w:rPr>
      </w:pPr>
      <w:bookmarkStart w:id="190" w:name="_Toc457551800"/>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90"/>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91" w:name="_Toc457551801"/>
      <w:r>
        <w:rPr>
          <w:rStyle w:val="CharSClsNo"/>
        </w:rPr>
        <w:t>19A</w:t>
      </w:r>
      <w:r>
        <w:t>.</w:t>
      </w:r>
      <w:r>
        <w:rPr>
          <w:b w:val="0"/>
        </w:rPr>
        <w:tab/>
      </w:r>
      <w:r>
        <w:t>First aid certificate</w:t>
      </w:r>
      <w:bookmarkEnd w:id="191"/>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in Gazette 4 Dec 2009 p. 4914; amended in Gazette 29 Jul 2016 p. 3249.]</w:t>
      </w:r>
    </w:p>
    <w:p>
      <w:pPr>
        <w:pStyle w:val="yHeading5"/>
      </w:pPr>
      <w:bookmarkStart w:id="192" w:name="_Toc457551802"/>
      <w:r>
        <w:rPr>
          <w:rStyle w:val="CharSClsNo"/>
        </w:rPr>
        <w:t>19</w:t>
      </w:r>
      <w:r>
        <w:t>.</w:t>
      </w:r>
      <w:r>
        <w:rPr>
          <w:rStyle w:val="CharSClsNo"/>
        </w:rPr>
        <w:tab/>
        <w:t>Incident</w:t>
      </w:r>
      <w:r>
        <w:rPr>
          <w:snapToGrid w:val="0"/>
        </w:rPr>
        <w:t xml:space="preserve"> register, duties as to</w:t>
      </w:r>
      <w:bookmarkEnd w:id="192"/>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193" w:name="_Toc430248446"/>
      <w:bookmarkStart w:id="194" w:name="_Toc434398236"/>
      <w:bookmarkStart w:id="195" w:name="_Toc453594164"/>
      <w:bookmarkStart w:id="196" w:name="_Toc455409517"/>
      <w:bookmarkStart w:id="197" w:name="_Toc457551803"/>
      <w:r>
        <w:rPr>
          <w:rStyle w:val="CharSDivNo"/>
        </w:rPr>
        <w:t>Division 6 </w:t>
      </w:r>
      <w:r>
        <w:t>— </w:t>
      </w:r>
      <w:r>
        <w:rPr>
          <w:rStyle w:val="CharSDivText"/>
        </w:rPr>
        <w:t>All licences</w:t>
      </w:r>
      <w:bookmarkEnd w:id="193"/>
      <w:bookmarkEnd w:id="194"/>
      <w:bookmarkEnd w:id="195"/>
      <w:bookmarkEnd w:id="196"/>
      <w:bookmarkEnd w:id="197"/>
    </w:p>
    <w:p>
      <w:pPr>
        <w:pStyle w:val="yFootnoteheading"/>
      </w:pPr>
      <w:r>
        <w:tab/>
        <w:t>[Heading inserted in Gazette 1 Sep 2005 p. 4091.]</w:t>
      </w:r>
    </w:p>
    <w:p>
      <w:pPr>
        <w:pStyle w:val="yHeading5"/>
      </w:pPr>
      <w:bookmarkStart w:id="198" w:name="_Toc457551804"/>
      <w:r>
        <w:rPr>
          <w:rStyle w:val="CharSClsNo"/>
        </w:rPr>
        <w:t>20</w:t>
      </w:r>
      <w:r>
        <w:t>.</w:t>
      </w:r>
      <w:r>
        <w:tab/>
        <w:t>Identity cards, duties of people holding</w:t>
      </w:r>
      <w:bookmarkEnd w:id="198"/>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200" w:name="_Toc430248448"/>
      <w:bookmarkStart w:id="201" w:name="_Toc434398238"/>
      <w:bookmarkStart w:id="202" w:name="_Toc453594166"/>
      <w:bookmarkStart w:id="203" w:name="_Toc455409519"/>
      <w:bookmarkStart w:id="204" w:name="_Toc457551805"/>
      <w:r>
        <w:rPr>
          <w:rStyle w:val="CharSchNo"/>
        </w:rPr>
        <w:t>Schedule 2</w:t>
      </w:r>
      <w:r>
        <w:t> — </w:t>
      </w:r>
      <w:r>
        <w:rPr>
          <w:rStyle w:val="CharSchText"/>
        </w:rPr>
        <w:t>Disqualifying offences</w:t>
      </w:r>
      <w:bookmarkEnd w:id="200"/>
      <w:bookmarkEnd w:id="201"/>
      <w:bookmarkEnd w:id="202"/>
      <w:bookmarkEnd w:id="203"/>
      <w:bookmarkEnd w:id="204"/>
    </w:p>
    <w:p>
      <w:pPr>
        <w:pStyle w:val="yShoulderClause"/>
      </w:pPr>
      <w:r>
        <w:t>[r. 24]</w:t>
      </w:r>
    </w:p>
    <w:p>
      <w:pPr>
        <w:pStyle w:val="yFootnoteheading"/>
      </w:pPr>
      <w:r>
        <w:tab/>
        <w:t>[Heading inserted in Gazette 4 Dec 2009 p. 4914.]</w:t>
      </w:r>
    </w:p>
    <w:p>
      <w:pPr>
        <w:pStyle w:val="yHeading3"/>
      </w:pPr>
      <w:bookmarkStart w:id="205" w:name="_Toc430248449"/>
      <w:bookmarkStart w:id="206" w:name="_Toc434398239"/>
      <w:bookmarkStart w:id="207" w:name="_Toc453594167"/>
      <w:bookmarkStart w:id="208" w:name="_Toc455409520"/>
      <w:bookmarkStart w:id="209" w:name="_Toc457551806"/>
      <w:r>
        <w:rPr>
          <w:rStyle w:val="CharSDivNo"/>
        </w:rPr>
        <w:t>Division 1</w:t>
      </w:r>
      <w:r>
        <w:rPr>
          <w:b w:val="0"/>
        </w:rPr>
        <w:t> — </w:t>
      </w:r>
      <w:r>
        <w:rPr>
          <w:rStyle w:val="CharSDivText"/>
        </w:rPr>
        <w:t>Division 1 offences</w:t>
      </w:r>
      <w:bookmarkEnd w:id="205"/>
      <w:bookmarkEnd w:id="206"/>
      <w:bookmarkEnd w:id="207"/>
      <w:bookmarkEnd w:id="208"/>
      <w:bookmarkEnd w:id="209"/>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 amended in Gazette 29 Jul 2016 p. 3249.]</w:t>
      </w:r>
    </w:p>
    <w:p>
      <w:pPr>
        <w:pStyle w:val="yHeading3"/>
      </w:pPr>
      <w:bookmarkStart w:id="210" w:name="_Toc430248450"/>
      <w:bookmarkStart w:id="211" w:name="_Toc434398240"/>
      <w:bookmarkStart w:id="212" w:name="_Toc453594168"/>
      <w:bookmarkStart w:id="213" w:name="_Toc455409521"/>
      <w:bookmarkStart w:id="214" w:name="_Toc457551807"/>
      <w:r>
        <w:rPr>
          <w:rStyle w:val="CharSDivNo"/>
        </w:rPr>
        <w:t>Division 2</w:t>
      </w:r>
      <w:r>
        <w:rPr>
          <w:b w:val="0"/>
        </w:rPr>
        <w:t> — </w:t>
      </w:r>
      <w:r>
        <w:rPr>
          <w:rStyle w:val="CharSDivText"/>
        </w:rPr>
        <w:t>Division 2 offences</w:t>
      </w:r>
      <w:bookmarkEnd w:id="210"/>
      <w:bookmarkEnd w:id="211"/>
      <w:bookmarkEnd w:id="212"/>
      <w:bookmarkEnd w:id="213"/>
      <w:bookmarkEnd w:id="214"/>
    </w:p>
    <w:p>
      <w:pPr>
        <w:pStyle w:val="yFootnoteheading"/>
        <w:spacing w:after="120"/>
      </w:pPr>
      <w:r>
        <w:tab/>
        <w:t>[Heading inserted in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Poisons Act 1964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 amended in Gazette 29 Jul 2016 p. 3249.]</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215" w:name="_Toc430248451"/>
      <w:bookmarkStart w:id="216" w:name="_Toc434398241"/>
      <w:bookmarkStart w:id="217" w:name="_Toc453594169"/>
      <w:bookmarkStart w:id="218" w:name="_Toc455409522"/>
      <w:bookmarkStart w:id="219" w:name="_Toc457551808"/>
      <w:r>
        <w:rPr>
          <w:rStyle w:val="CharSchNo"/>
        </w:rPr>
        <w:t>Schedule 3</w:t>
      </w:r>
      <w:r>
        <w:t> — </w:t>
      </w:r>
      <w:r>
        <w:rPr>
          <w:rStyle w:val="CharSchText"/>
        </w:rPr>
        <w:t>Prescribed drugs</w:t>
      </w:r>
      <w:bookmarkEnd w:id="215"/>
      <w:bookmarkEnd w:id="216"/>
      <w:bookmarkEnd w:id="217"/>
      <w:bookmarkEnd w:id="218"/>
      <w:bookmarkEnd w:id="219"/>
      <w:r>
        <w:t xml:space="preserve"> </w:t>
      </w:r>
    </w:p>
    <w:p>
      <w:pPr>
        <w:pStyle w:val="yShoulderClause"/>
        <w:rPr>
          <w:snapToGrid w:val="0"/>
        </w:rPr>
      </w:pPr>
      <w:r>
        <w:rPr>
          <w:snapToGrid w:val="0"/>
        </w:rPr>
        <w:t>[Regulations 45, 51 and 52]</w:t>
      </w: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220" w:name="_Toc455409523"/>
      <w:bookmarkStart w:id="221" w:name="_Toc457551809"/>
      <w:bookmarkStart w:id="222" w:name="_Toc430248452"/>
      <w:bookmarkStart w:id="223" w:name="_Toc434398242"/>
      <w:bookmarkStart w:id="224" w:name="_Toc453594170"/>
      <w:r>
        <w:rPr>
          <w:rStyle w:val="CharSchNo"/>
        </w:rPr>
        <w:t>Schedule 4</w:t>
      </w:r>
      <w:r>
        <w:t> — </w:t>
      </w:r>
      <w:r>
        <w:rPr>
          <w:rStyle w:val="CharSchText"/>
        </w:rPr>
        <w:t>Fees</w:t>
      </w:r>
      <w:bookmarkEnd w:id="220"/>
      <w:bookmarkEnd w:id="221"/>
    </w:p>
    <w:p>
      <w:pPr>
        <w:pStyle w:val="zyShoulderClause"/>
        <w:spacing w:after="120"/>
      </w:pPr>
      <w:r>
        <w:t>[r. 54]</w:t>
      </w:r>
    </w:p>
    <w:p>
      <w:pPr>
        <w:pStyle w:val="yFootnoteheading"/>
        <w:spacing w:after="120"/>
      </w:pPr>
      <w:r>
        <w:tab/>
        <w:t>[Heading inserted in Gazette 14 Jun 2016 p. 1832.]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tcPr>
          <w:p>
            <w:pPr>
              <w:pStyle w:val="yTableNAm"/>
              <w:jc w:val="center"/>
              <w:rPr>
                <w:b/>
              </w:rPr>
            </w:pPr>
            <w:r>
              <w:rPr>
                <w:b/>
              </w:rPr>
              <w:t>Provision of Act or regulations</w:t>
            </w:r>
          </w:p>
          <w:p>
            <w:pPr>
              <w:pStyle w:val="yTableNAm"/>
              <w:jc w:val="center"/>
              <w:rPr>
                <w:b/>
              </w:rPr>
            </w:pPr>
            <w:r>
              <w:rPr>
                <w:b/>
              </w:rPr>
              <w:t>Column 1</w:t>
            </w:r>
          </w:p>
        </w:tc>
        <w:tc>
          <w:tcPr>
            <w:tcW w:w="3543" w:type="dxa"/>
          </w:tcPr>
          <w:p>
            <w:pPr>
              <w:pStyle w:val="yTableNAm"/>
              <w:jc w:val="center"/>
              <w:rPr>
                <w:b/>
              </w:rPr>
            </w:pPr>
            <w:r>
              <w:rPr>
                <w:b/>
              </w:rPr>
              <w:t>Subject matter</w:t>
            </w:r>
            <w:r>
              <w:rPr>
                <w:b/>
              </w:rPr>
              <w:br/>
            </w:r>
          </w:p>
          <w:p>
            <w:pPr>
              <w:pStyle w:val="yTableNAm"/>
              <w:jc w:val="center"/>
              <w:rPr>
                <w:b/>
              </w:rPr>
            </w:pPr>
            <w:r>
              <w:rPr>
                <w:b/>
              </w:rPr>
              <w:t>Column 2</w:t>
            </w:r>
          </w:p>
        </w:tc>
        <w:tc>
          <w:tcPr>
            <w:tcW w:w="1276" w:type="dxa"/>
          </w:tcPr>
          <w:p>
            <w:pPr>
              <w:pStyle w:val="yTableNAm"/>
              <w:jc w:val="center"/>
              <w:rPr>
                <w:b/>
              </w:rPr>
            </w:pPr>
            <w:r>
              <w:rPr>
                <w:b/>
              </w:rPr>
              <w:t>Fee ($)</w:t>
            </w:r>
            <w:r>
              <w:rPr>
                <w:b/>
              </w:rPr>
              <w:br/>
            </w:r>
          </w:p>
          <w:p>
            <w:pPr>
              <w:pStyle w:val="yTableNAm"/>
              <w:jc w:val="center"/>
              <w:rPr>
                <w:b/>
              </w:rPr>
            </w:pPr>
            <w:r>
              <w:rPr>
                <w:b/>
              </w:rPr>
              <w:t>Column 3</w:t>
            </w:r>
          </w:p>
        </w:tc>
      </w:tr>
      <w:tr>
        <w:trPr>
          <w:cantSplit/>
        </w:trPr>
        <w:tc>
          <w:tcPr>
            <w:tcW w:w="6804" w:type="dxa"/>
            <w:gridSpan w:val="3"/>
          </w:tcPr>
          <w:p>
            <w:pPr>
              <w:pStyle w:val="yTableNAm"/>
              <w:rPr>
                <w:i/>
              </w:rPr>
            </w:pPr>
            <w:r>
              <w:rPr>
                <w:i/>
              </w:rPr>
              <w:t>Agent’s licences</w:t>
            </w:r>
          </w:p>
        </w:tc>
      </w:tr>
      <w:tr>
        <w:trPr>
          <w:cantSplit/>
        </w:trPr>
        <w:tc>
          <w:tcPr>
            <w:tcW w:w="1985" w:type="dxa"/>
          </w:tcPr>
          <w:p>
            <w:pPr>
              <w:pStyle w:val="yTableNAm"/>
            </w:pPr>
            <w:r>
              <w:t>s. 46(1)(c)</w:t>
            </w:r>
          </w:p>
        </w:tc>
        <w:tc>
          <w:tcPr>
            <w:tcW w:w="3543" w:type="dxa"/>
          </w:tcPr>
          <w:p>
            <w:pPr>
              <w:pStyle w:val="yTableNAm"/>
            </w:pPr>
            <w:r>
              <w:t>Application for issue of agent’s licence —</w:t>
            </w:r>
          </w:p>
          <w:p>
            <w:pPr>
              <w:pStyle w:val="yTableNAm"/>
              <w:tabs>
                <w:tab w:val="right" w:leader="dot" w:pos="3327"/>
              </w:tabs>
            </w:pPr>
            <w:r>
              <w:t xml:space="preserve">for one year or less </w:t>
            </w:r>
            <w:r>
              <w:tab/>
            </w:r>
          </w:p>
          <w:p>
            <w:pPr>
              <w:pStyle w:val="yTableNAm"/>
              <w:tabs>
                <w:tab w:val="right" w:leader="dot" w:pos="3327"/>
              </w:tabs>
            </w:pPr>
            <w:r>
              <w:t xml:space="preserve">for more than one year but not more than 3 years </w:t>
            </w:r>
            <w:r>
              <w:tab/>
            </w:r>
          </w:p>
        </w:tc>
        <w:tc>
          <w:tcPr>
            <w:tcW w:w="1276" w:type="dxa"/>
          </w:tcPr>
          <w:p>
            <w:pPr>
              <w:pStyle w:val="yTableNAm"/>
            </w:pPr>
            <w:r>
              <w:br/>
            </w:r>
          </w:p>
          <w:p>
            <w:pPr>
              <w:pStyle w:val="yTableNAm"/>
            </w:pPr>
            <w:r>
              <w:t>1 141.00</w:t>
            </w:r>
          </w:p>
          <w:p>
            <w:pPr>
              <w:pStyle w:val="yTableNAm"/>
            </w:pPr>
            <w:r>
              <w:br/>
              <w:t>1 150.00</w:t>
            </w:r>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by licensee for additional agent’s licence (each licence) </w:t>
            </w:r>
            <w:r>
              <w:tab/>
            </w:r>
          </w:p>
        </w:tc>
        <w:tc>
          <w:tcPr>
            <w:tcW w:w="1276" w:type="dxa"/>
          </w:tcPr>
          <w:p>
            <w:pPr>
              <w:pStyle w:val="yTableNAm"/>
            </w:pPr>
            <w:r>
              <w:br/>
              <w:t>736.00</w:t>
            </w:r>
          </w:p>
        </w:tc>
      </w:tr>
      <w:tr>
        <w:trPr>
          <w:cantSplit/>
        </w:trPr>
        <w:tc>
          <w:tcPr>
            <w:tcW w:w="1985" w:type="dxa"/>
          </w:tcPr>
          <w:p>
            <w:pPr>
              <w:pStyle w:val="yTableNAm"/>
            </w:pPr>
            <w:r>
              <w:t>s. 49(1)(c)</w:t>
            </w:r>
          </w:p>
        </w:tc>
        <w:tc>
          <w:tcPr>
            <w:tcW w:w="3543" w:type="dxa"/>
          </w:tcPr>
          <w:p>
            <w:pPr>
              <w:pStyle w:val="yTableNAm"/>
              <w:tabs>
                <w:tab w:val="right" w:leader="dot" w:pos="3327"/>
              </w:tabs>
            </w:pPr>
            <w:r>
              <w:t xml:space="preserve">Application for renewal of agent’s licence — for 3 years (each licence) </w:t>
            </w:r>
            <w:r>
              <w:tab/>
            </w:r>
          </w:p>
        </w:tc>
        <w:tc>
          <w:tcPr>
            <w:tcW w:w="1276" w:type="dxa"/>
          </w:tcPr>
          <w:p>
            <w:pPr>
              <w:pStyle w:val="yTableNAm"/>
            </w:pPr>
            <w:r>
              <w:br/>
              <w:t>793.00</w:t>
            </w:r>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for issue of temporary licence under s. 42B </w:t>
            </w:r>
            <w:r>
              <w:tab/>
            </w:r>
          </w:p>
        </w:tc>
        <w:tc>
          <w:tcPr>
            <w:tcW w:w="1276" w:type="dxa"/>
          </w:tcPr>
          <w:p>
            <w:pPr>
              <w:pStyle w:val="yTableNAm"/>
            </w:pPr>
            <w:r>
              <w:br/>
              <w:t>1 141.00</w:t>
            </w:r>
          </w:p>
        </w:tc>
      </w:tr>
      <w:tr>
        <w:trPr>
          <w:cantSplit/>
        </w:trPr>
        <w:tc>
          <w:tcPr>
            <w:tcW w:w="6804" w:type="dxa"/>
            <w:gridSpan w:val="3"/>
          </w:tcPr>
          <w:p>
            <w:pPr>
              <w:pStyle w:val="yTableNAm"/>
              <w:rPr>
                <w:i/>
              </w:rPr>
            </w:pPr>
            <w:r>
              <w:rPr>
                <w:i/>
              </w:rPr>
              <w:t>Other licences, endorsements and permits</w:t>
            </w:r>
          </w:p>
        </w:tc>
      </w:tr>
      <w:tr>
        <w:trPr>
          <w:cantSplit/>
        </w:trPr>
        <w:tc>
          <w:tcPr>
            <w:tcW w:w="1985" w:type="dxa"/>
          </w:tcPr>
          <w:p>
            <w:pPr>
              <w:pStyle w:val="yTableNAm"/>
            </w:pPr>
            <w:r>
              <w:t>s. 46(1)(c)</w:t>
            </w:r>
          </w:p>
        </w:tc>
        <w:tc>
          <w:tcPr>
            <w:tcW w:w="3543" w:type="dxa"/>
          </w:tcPr>
          <w:p>
            <w:pPr>
              <w:pStyle w:val="yTableNAm"/>
            </w:pPr>
            <w:r>
              <w:t>Application for issue of licence (other than agent’s licence or temporary licence) —</w:t>
            </w:r>
          </w:p>
          <w:p>
            <w:pPr>
              <w:pStyle w:val="yTableNAm"/>
              <w:tabs>
                <w:tab w:val="right" w:leader="dot" w:pos="3327"/>
              </w:tabs>
            </w:pPr>
            <w:r>
              <w:t xml:space="preserve">for one year or less </w:t>
            </w:r>
            <w:r>
              <w:tab/>
            </w:r>
          </w:p>
          <w:p>
            <w:pPr>
              <w:pStyle w:val="yTableNAm"/>
              <w:tabs>
                <w:tab w:val="right" w:leader="dot" w:pos="3327"/>
              </w:tabs>
            </w:pPr>
            <w:r>
              <w:t xml:space="preserve">for more than one year but not more than 3 years </w:t>
            </w:r>
            <w:r>
              <w:tab/>
            </w:r>
          </w:p>
        </w:tc>
        <w:tc>
          <w:tcPr>
            <w:tcW w:w="1276" w:type="dxa"/>
          </w:tcPr>
          <w:p>
            <w:pPr>
              <w:pStyle w:val="yTableNAm"/>
            </w:pPr>
            <w:r>
              <w:br/>
            </w:r>
            <w:r>
              <w:br/>
            </w:r>
          </w:p>
          <w:p>
            <w:pPr>
              <w:pStyle w:val="yTableNAm"/>
            </w:pPr>
            <w:r>
              <w:t>315.00</w:t>
            </w:r>
          </w:p>
          <w:p>
            <w:pPr>
              <w:pStyle w:val="yTableNAm"/>
            </w:pPr>
            <w:r>
              <w:br/>
              <w:t>323.00</w:t>
            </w:r>
          </w:p>
        </w:tc>
      </w:tr>
      <w:tr>
        <w:trPr>
          <w:cantSplit/>
        </w:trPr>
        <w:tc>
          <w:tcPr>
            <w:tcW w:w="1985" w:type="dxa"/>
          </w:tcPr>
          <w:p>
            <w:pPr>
              <w:pStyle w:val="yTableNAm"/>
            </w:pPr>
            <w:r>
              <w:t>s. 46(1)(c)</w:t>
            </w:r>
          </w:p>
        </w:tc>
        <w:tc>
          <w:tcPr>
            <w:tcW w:w="3543" w:type="dxa"/>
          </w:tcPr>
          <w:p>
            <w:pPr>
              <w:pStyle w:val="yTableNAm"/>
              <w:tabs>
                <w:tab w:val="right" w:leader="dot" w:pos="3327"/>
              </w:tabs>
            </w:pPr>
            <w:r>
              <w:t>Application by licensee for additional licence (other than agent’s licence or temporary licence) (each licence)</w:t>
            </w:r>
            <w:r>
              <w:tab/>
            </w:r>
          </w:p>
        </w:tc>
        <w:tc>
          <w:tcPr>
            <w:tcW w:w="1276" w:type="dxa"/>
          </w:tcPr>
          <w:p>
            <w:pPr>
              <w:pStyle w:val="yTableNAm"/>
            </w:pPr>
            <w:r>
              <w:br/>
            </w:r>
            <w:r>
              <w:br/>
              <w:t>182.00</w:t>
            </w:r>
          </w:p>
        </w:tc>
      </w:tr>
      <w:tr>
        <w:trPr>
          <w:cantSplit/>
        </w:trPr>
        <w:tc>
          <w:tcPr>
            <w:tcW w:w="1985" w:type="dxa"/>
          </w:tcPr>
          <w:p>
            <w:pPr>
              <w:pStyle w:val="yTableNAm"/>
            </w:pPr>
            <w:r>
              <w:t>s. 49(1)(c)</w:t>
            </w:r>
          </w:p>
        </w:tc>
        <w:tc>
          <w:tcPr>
            <w:tcW w:w="3543" w:type="dxa"/>
          </w:tcPr>
          <w:p>
            <w:pPr>
              <w:pStyle w:val="yTableNAm"/>
              <w:tabs>
                <w:tab w:val="right" w:leader="dot" w:pos="3327"/>
              </w:tabs>
            </w:pPr>
            <w:r>
              <w:t xml:space="preserve">Application for renewal of licence (other than agent’s licence or temporary licence) — for 3 years or less (each licence) </w:t>
            </w:r>
            <w:r>
              <w:tab/>
            </w:r>
          </w:p>
        </w:tc>
        <w:tc>
          <w:tcPr>
            <w:tcW w:w="1276" w:type="dxa"/>
          </w:tcPr>
          <w:p>
            <w:pPr>
              <w:pStyle w:val="yTableNAm"/>
            </w:pPr>
            <w:r>
              <w:br/>
            </w:r>
            <w:r>
              <w:br/>
            </w:r>
            <w:r>
              <w:br/>
              <w:t>195.00</w:t>
            </w:r>
          </w:p>
        </w:tc>
      </w:tr>
      <w:tr>
        <w:trPr>
          <w:cantSplit/>
        </w:trPr>
        <w:tc>
          <w:tcPr>
            <w:tcW w:w="1985" w:type="dxa"/>
          </w:tcPr>
          <w:p>
            <w:pPr>
              <w:pStyle w:val="yTableNAm"/>
            </w:pPr>
            <w:r>
              <w:t>r. 10(b)</w:t>
            </w:r>
          </w:p>
        </w:tc>
        <w:tc>
          <w:tcPr>
            <w:tcW w:w="3543" w:type="dxa"/>
          </w:tcPr>
          <w:p>
            <w:pPr>
              <w:pStyle w:val="yTableNAm"/>
              <w:tabs>
                <w:tab w:val="right" w:leader="dot" w:pos="3327"/>
              </w:tabs>
            </w:pPr>
            <w:r>
              <w:t xml:space="preserve">Application for endorsement under s. 24 </w:t>
            </w:r>
            <w:r>
              <w:tab/>
            </w:r>
            <w:r>
              <w:tab/>
            </w:r>
          </w:p>
        </w:tc>
        <w:tc>
          <w:tcPr>
            <w:tcW w:w="1276" w:type="dxa"/>
          </w:tcPr>
          <w:p>
            <w:pPr>
              <w:pStyle w:val="yTableNAm"/>
            </w:pPr>
            <w:r>
              <w:br/>
              <w:t>180.00</w:t>
            </w:r>
          </w:p>
        </w:tc>
      </w:tr>
      <w:tr>
        <w:trPr>
          <w:cantSplit/>
        </w:trPr>
        <w:tc>
          <w:tcPr>
            <w:tcW w:w="1985" w:type="dxa"/>
          </w:tcPr>
          <w:p>
            <w:pPr>
              <w:pStyle w:val="yTableNAm"/>
            </w:pPr>
            <w:r>
              <w:t>r. 12</w:t>
            </w:r>
          </w:p>
        </w:tc>
        <w:tc>
          <w:tcPr>
            <w:tcW w:w="3543" w:type="dxa"/>
          </w:tcPr>
          <w:p>
            <w:pPr>
              <w:pStyle w:val="yTableNAm"/>
              <w:tabs>
                <w:tab w:val="right" w:leader="dot" w:pos="3327"/>
              </w:tabs>
            </w:pPr>
            <w:r>
              <w:t xml:space="preserve">Application for permit under s. 25 </w:t>
            </w:r>
            <w:r>
              <w:tab/>
            </w:r>
          </w:p>
        </w:tc>
        <w:tc>
          <w:tcPr>
            <w:tcW w:w="1276" w:type="dxa"/>
          </w:tcPr>
          <w:p>
            <w:pPr>
              <w:pStyle w:val="yTableNAm"/>
            </w:pPr>
            <w:r>
              <w:t>215.00</w:t>
            </w:r>
          </w:p>
        </w:tc>
      </w:tr>
      <w:tr>
        <w:trPr>
          <w:cantSplit/>
        </w:trPr>
        <w:tc>
          <w:tcPr>
            <w:tcW w:w="1985" w:type="dxa"/>
          </w:tcPr>
          <w:p>
            <w:pPr>
              <w:pStyle w:val="yTableNAm"/>
            </w:pPr>
            <w:r>
              <w:t>r. 13(b)</w:t>
            </w:r>
          </w:p>
        </w:tc>
        <w:tc>
          <w:tcPr>
            <w:tcW w:w="3543" w:type="dxa"/>
          </w:tcPr>
          <w:p>
            <w:pPr>
              <w:pStyle w:val="yTableNAm"/>
              <w:tabs>
                <w:tab w:val="right" w:leader="dot" w:pos="3327"/>
              </w:tabs>
            </w:pPr>
            <w:r>
              <w:t xml:space="preserve">Application for endorsement under s. 26 </w:t>
            </w:r>
            <w:r>
              <w:tab/>
            </w:r>
            <w:r>
              <w:tab/>
            </w:r>
          </w:p>
        </w:tc>
        <w:tc>
          <w:tcPr>
            <w:tcW w:w="1276" w:type="dxa"/>
          </w:tcPr>
          <w:p>
            <w:pPr>
              <w:pStyle w:val="yTableNAm"/>
            </w:pPr>
            <w:r>
              <w:br/>
              <w:t>180.00</w:t>
            </w:r>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for issue of temporary licence under s. 42A </w:t>
            </w:r>
            <w:r>
              <w:tab/>
            </w:r>
          </w:p>
        </w:tc>
        <w:tc>
          <w:tcPr>
            <w:tcW w:w="1276" w:type="dxa"/>
          </w:tcPr>
          <w:p>
            <w:pPr>
              <w:pStyle w:val="yTableNAm"/>
            </w:pPr>
            <w:r>
              <w:br/>
              <w:t>315.00</w:t>
            </w:r>
          </w:p>
        </w:tc>
      </w:tr>
      <w:tr>
        <w:trPr>
          <w:cantSplit/>
        </w:trPr>
        <w:tc>
          <w:tcPr>
            <w:tcW w:w="6804" w:type="dxa"/>
            <w:gridSpan w:val="3"/>
          </w:tcPr>
          <w:p>
            <w:pPr>
              <w:pStyle w:val="yTableNAm"/>
              <w:rPr>
                <w:i/>
              </w:rPr>
            </w:pPr>
            <w:r>
              <w:rPr>
                <w:i/>
              </w:rPr>
              <w:t>Miscellaneous</w:t>
            </w:r>
          </w:p>
        </w:tc>
      </w:tr>
      <w:tr>
        <w:trPr>
          <w:cantSplit/>
        </w:trPr>
        <w:tc>
          <w:tcPr>
            <w:tcW w:w="1985" w:type="dxa"/>
          </w:tcPr>
          <w:p>
            <w:pPr>
              <w:pStyle w:val="yTableNAm"/>
            </w:pPr>
            <w:r>
              <w:t>s. 10(2)</w:t>
            </w:r>
          </w:p>
        </w:tc>
        <w:tc>
          <w:tcPr>
            <w:tcW w:w="3543" w:type="dxa"/>
          </w:tcPr>
          <w:p>
            <w:pPr>
              <w:pStyle w:val="yTableNAm"/>
              <w:tabs>
                <w:tab w:val="right" w:leader="dot" w:pos="3327"/>
              </w:tabs>
            </w:pPr>
            <w:r>
              <w:t xml:space="preserve">Application to inspect register </w:t>
            </w:r>
            <w:r>
              <w:tab/>
            </w:r>
          </w:p>
        </w:tc>
        <w:tc>
          <w:tcPr>
            <w:tcW w:w="1276" w:type="dxa"/>
          </w:tcPr>
          <w:p>
            <w:pPr>
              <w:pStyle w:val="yTableNAm"/>
            </w:pPr>
            <w:r>
              <w:t>43.00</w:t>
            </w:r>
          </w:p>
        </w:tc>
      </w:tr>
      <w:tr>
        <w:trPr>
          <w:cantSplit/>
        </w:trPr>
        <w:tc>
          <w:tcPr>
            <w:tcW w:w="1985" w:type="dxa"/>
          </w:tcPr>
          <w:p>
            <w:pPr>
              <w:pStyle w:val="yTableNAm"/>
            </w:pPr>
            <w:r>
              <w:t>s. 10(3)</w:t>
            </w:r>
          </w:p>
        </w:tc>
        <w:tc>
          <w:tcPr>
            <w:tcW w:w="3543" w:type="dxa"/>
          </w:tcPr>
          <w:p>
            <w:pPr>
              <w:pStyle w:val="yTableNAm"/>
              <w:tabs>
                <w:tab w:val="right" w:leader="dot" w:pos="3327"/>
              </w:tabs>
            </w:pPr>
            <w:r>
              <w:t xml:space="preserve">Certified copy of register entry </w:t>
            </w:r>
            <w:r>
              <w:tab/>
            </w:r>
          </w:p>
        </w:tc>
        <w:tc>
          <w:tcPr>
            <w:tcW w:w="1276" w:type="dxa"/>
          </w:tcPr>
          <w:p>
            <w:pPr>
              <w:pStyle w:val="yTableNAm"/>
            </w:pPr>
            <w:r>
              <w:t>45.00</w:t>
            </w:r>
          </w:p>
        </w:tc>
      </w:tr>
      <w:tr>
        <w:trPr>
          <w:cantSplit/>
        </w:trPr>
        <w:tc>
          <w:tcPr>
            <w:tcW w:w="1985" w:type="dxa"/>
          </w:tcPr>
          <w:p>
            <w:pPr>
              <w:pStyle w:val="yTableNAm"/>
            </w:pPr>
            <w:r>
              <w:t>s. 66</w:t>
            </w:r>
          </w:p>
        </w:tc>
        <w:tc>
          <w:tcPr>
            <w:tcW w:w="3543" w:type="dxa"/>
          </w:tcPr>
          <w:p>
            <w:pPr>
              <w:pStyle w:val="yTableNAm"/>
              <w:tabs>
                <w:tab w:val="right" w:leader="dot" w:pos="3327"/>
              </w:tabs>
            </w:pPr>
            <w:r>
              <w:t xml:space="preserve">Issue of duplicate licence or duplicate identity card </w:t>
            </w:r>
            <w:r>
              <w:tab/>
            </w:r>
          </w:p>
        </w:tc>
        <w:tc>
          <w:tcPr>
            <w:tcW w:w="1276" w:type="dxa"/>
          </w:tcPr>
          <w:p>
            <w:pPr>
              <w:pStyle w:val="yTableNAm"/>
            </w:pPr>
            <w:r>
              <w:br/>
              <w:t>29.00</w:t>
            </w:r>
          </w:p>
        </w:tc>
      </w:tr>
      <w:tr>
        <w:trPr>
          <w:cantSplit/>
        </w:trPr>
        <w:tc>
          <w:tcPr>
            <w:tcW w:w="1985" w:type="dxa"/>
          </w:tcPr>
          <w:p>
            <w:pPr>
              <w:pStyle w:val="yTableNAm"/>
            </w:pPr>
            <w:r>
              <w:t>s. 94(4)(b)</w:t>
            </w:r>
          </w:p>
        </w:tc>
        <w:tc>
          <w:tcPr>
            <w:tcW w:w="3543" w:type="dxa"/>
          </w:tcPr>
          <w:p>
            <w:pPr>
              <w:pStyle w:val="yTableNAm"/>
              <w:tabs>
                <w:tab w:val="right" w:leader="dot" w:pos="3327"/>
              </w:tabs>
            </w:pPr>
            <w:r>
              <w:t xml:space="preserve">Additional fee if fingerprints and palm prints are required under s. 48(1)(a) or (b)(i) </w:t>
            </w:r>
            <w:r>
              <w:tab/>
            </w:r>
          </w:p>
        </w:tc>
        <w:tc>
          <w:tcPr>
            <w:tcW w:w="1276" w:type="dxa"/>
          </w:tcPr>
          <w:p>
            <w:pPr>
              <w:pStyle w:val="yTableNAm"/>
            </w:pPr>
            <w:r>
              <w:br/>
            </w:r>
            <w:r>
              <w:br/>
              <w:t>112.00</w:t>
            </w:r>
          </w:p>
        </w:tc>
      </w:tr>
    </w:tbl>
    <w:p>
      <w:pPr>
        <w:pStyle w:val="yFootnotesection"/>
        <w:keepNext/>
      </w:pPr>
      <w:r>
        <w:tab/>
        <w:t>[Schedule 4 inserted in Gazette 14 Jun 2016 p. 1832</w:t>
      </w:r>
      <w:r>
        <w:noBreakHyphen/>
        <w:t>3.]</w:t>
      </w:r>
    </w:p>
    <w:p>
      <w:pPr>
        <w:pStyle w:val="yScheduleHeading"/>
      </w:pPr>
      <w:bookmarkStart w:id="225" w:name="_Toc450834042"/>
      <w:bookmarkStart w:id="226" w:name="_Toc450836320"/>
      <w:bookmarkStart w:id="227" w:name="_Toc450836478"/>
      <w:bookmarkStart w:id="228" w:name="_Toc452105765"/>
      <w:bookmarkStart w:id="229" w:name="_Toc452107235"/>
      <w:bookmarkStart w:id="230" w:name="_Toc452111004"/>
      <w:bookmarkStart w:id="231" w:name="_Toc452119912"/>
      <w:bookmarkStart w:id="232" w:name="_Toc452470395"/>
      <w:bookmarkStart w:id="233" w:name="_Toc452546187"/>
      <w:bookmarkStart w:id="234" w:name="_Toc453594920"/>
      <w:bookmarkStart w:id="235" w:name="_Toc453595145"/>
      <w:bookmarkStart w:id="236" w:name="_Toc453665608"/>
      <w:bookmarkStart w:id="237" w:name="_Toc453667037"/>
      <w:bookmarkStart w:id="238" w:name="_Toc453676220"/>
      <w:bookmarkStart w:id="239" w:name="_Toc457551810"/>
      <w:r>
        <w:rPr>
          <w:rStyle w:val="CharSchNo"/>
        </w:rPr>
        <w:t>Schedule 5</w:t>
      </w:r>
      <w:r>
        <w:t> — </w:t>
      </w:r>
      <w:r>
        <w:rPr>
          <w:rStyle w:val="CharSchText"/>
        </w:rPr>
        <w:t>Prescribed offences and modified penalties for infringement notices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yShoulderClause"/>
        <w:rPr>
          <w:szCs w:val="22"/>
        </w:rPr>
      </w:pPr>
      <w:r>
        <w:rPr>
          <w:szCs w:val="22"/>
        </w:rPr>
        <w:t>[r. 58]</w:t>
      </w:r>
    </w:p>
    <w:p>
      <w:pPr>
        <w:pStyle w:val="yFootnoteheading"/>
      </w:pPr>
      <w:r>
        <w:tab/>
        <w:t>[Heading inserted in Gazette 29 Jul 2016 p. 3249.]</w:t>
      </w:r>
    </w:p>
    <w:p>
      <w:pPr>
        <w:pStyle w:val="yHeading3"/>
      </w:pPr>
      <w:bookmarkStart w:id="240" w:name="_Toc450834043"/>
      <w:bookmarkStart w:id="241" w:name="_Toc450836321"/>
      <w:bookmarkStart w:id="242" w:name="_Toc450836479"/>
      <w:bookmarkStart w:id="243" w:name="_Toc452105766"/>
      <w:bookmarkStart w:id="244" w:name="_Toc452107236"/>
      <w:bookmarkStart w:id="245" w:name="_Toc452111005"/>
      <w:bookmarkStart w:id="246" w:name="_Toc452119913"/>
      <w:bookmarkStart w:id="247" w:name="_Toc452470396"/>
      <w:bookmarkStart w:id="248" w:name="_Toc452546188"/>
      <w:bookmarkStart w:id="249" w:name="_Toc453594921"/>
      <w:bookmarkStart w:id="250" w:name="_Toc453595146"/>
      <w:bookmarkStart w:id="251" w:name="_Toc453665609"/>
      <w:bookmarkStart w:id="252" w:name="_Toc453667038"/>
      <w:bookmarkStart w:id="253" w:name="_Toc453676221"/>
      <w:bookmarkStart w:id="254" w:name="_Toc457551811"/>
      <w:r>
        <w:rPr>
          <w:rStyle w:val="CharSDivNo"/>
        </w:rPr>
        <w:t>Division 1</w:t>
      </w:r>
      <w:r>
        <w:t> — </w:t>
      </w:r>
      <w:r>
        <w:rPr>
          <w:rStyle w:val="CharSDivText"/>
        </w:rPr>
        <w:t>Offences under the Act</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yFootnoteheading"/>
      </w:pPr>
      <w:r>
        <w:tab/>
        <w:t>[Heading inserted in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tcPr>
          <w:p>
            <w:pPr>
              <w:pStyle w:val="yTableNAm"/>
              <w:jc w:val="center"/>
            </w:pPr>
            <w:r>
              <w:b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tcPr>
          <w:p>
            <w:pPr>
              <w:pStyle w:val="yTableNAm"/>
              <w:jc w:val="center"/>
            </w:pPr>
            <w:r>
              <w:b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tcPr>
          <w:p>
            <w:pPr>
              <w:pStyle w:val="yTableNAm"/>
              <w:jc w:val="center"/>
            </w:pPr>
            <w:r>
              <w:b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tcPr>
          <w:p>
            <w:pPr>
              <w:pStyle w:val="yTableNAm"/>
              <w:jc w:val="center"/>
            </w:pPr>
            <w:r>
              <w:b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tcPr>
          <w:p>
            <w:pPr>
              <w:pStyle w:val="yTableNAm"/>
              <w:jc w:val="center"/>
            </w:pPr>
            <w:r>
              <w:b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tcPr>
          <w:p>
            <w:pPr>
              <w:pStyle w:val="yTableNAm"/>
              <w:jc w:val="center"/>
            </w:pPr>
            <w:r>
              <w:br/>
            </w:r>
            <w:r>
              <w:br/>
            </w:r>
            <w:r>
              <w:b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tcPr>
          <w:p>
            <w:pPr>
              <w:pStyle w:val="yTableNAm"/>
              <w:jc w:val="center"/>
            </w:pPr>
            <w:r>
              <w:br/>
            </w:r>
            <w:r>
              <w:br/>
              <w:t>500</w:t>
            </w:r>
          </w:p>
        </w:tc>
      </w:tr>
      <w:tr>
        <w:tc>
          <w:tcPr>
            <w:tcW w:w="766" w:type="dxa"/>
          </w:tcPr>
          <w:p>
            <w:pPr>
              <w:pStyle w:val="yTableNAm"/>
              <w:keepNext/>
            </w:pPr>
            <w:r>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tcPr>
          <w:p>
            <w:pPr>
              <w:pStyle w:val="yTableNAm"/>
              <w:keepNext/>
              <w:jc w:val="center"/>
            </w:pPr>
            <w:r>
              <w:br/>
            </w:r>
            <w:r>
              <w:br/>
            </w:r>
            <w:r>
              <w:br/>
            </w:r>
            <w:r>
              <w:br/>
            </w:r>
            <w:r>
              <w:br/>
            </w:r>
            <w:r>
              <w:br/>
            </w:r>
            <w:r>
              <w:b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tcPr>
          <w:p>
            <w:pPr>
              <w:pStyle w:val="yTableNAm"/>
              <w:jc w:val="center"/>
            </w:pPr>
            <w:r>
              <w:br/>
            </w:r>
            <w:r>
              <w:br/>
            </w:r>
            <w:r>
              <w:b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tcPr>
          <w:p>
            <w:pPr>
              <w:pStyle w:val="yTableNAm"/>
              <w:jc w:val="center"/>
            </w:pPr>
            <w:r>
              <w:b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tcPr>
          <w:p>
            <w:pPr>
              <w:pStyle w:val="yTableNAm"/>
              <w:jc w:val="center"/>
            </w:pPr>
            <w:r>
              <w:b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tcPr>
          <w:p>
            <w:pPr>
              <w:pStyle w:val="yTableNAm"/>
              <w:jc w:val="center"/>
            </w:pPr>
            <w:r>
              <w:br/>
            </w:r>
            <w:r>
              <w:br/>
            </w:r>
            <w:r>
              <w:b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tcPr>
          <w:p>
            <w:pPr>
              <w:pStyle w:val="yTableNAm"/>
              <w:jc w:val="center"/>
            </w:pPr>
            <w:r>
              <w:br/>
            </w:r>
            <w:r>
              <w:b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tcPr>
          <w:p>
            <w:pPr>
              <w:pStyle w:val="yTableNAm"/>
              <w:jc w:val="center"/>
            </w:pPr>
            <w:r>
              <w:br/>
            </w:r>
            <w:r>
              <w:br/>
            </w:r>
            <w:r>
              <w:br/>
            </w:r>
            <w:r>
              <w:b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tcPr>
          <w:p>
            <w:pPr>
              <w:pStyle w:val="yTableNAm"/>
              <w:jc w:val="center"/>
            </w:pPr>
            <w:r>
              <w:b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tcPr>
          <w:p>
            <w:pPr>
              <w:pStyle w:val="yTableNAm"/>
              <w:jc w:val="center"/>
            </w:pPr>
            <w:r>
              <w:br/>
              <w:t>500</w:t>
            </w:r>
          </w:p>
        </w:tc>
      </w:tr>
      <w:tr>
        <w:tc>
          <w:tcPr>
            <w:tcW w:w="766" w:type="dxa"/>
          </w:tcPr>
          <w:p>
            <w:pPr>
              <w:pStyle w:val="yTableNAm"/>
            </w:pPr>
            <w:r>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tcPr>
          <w:p>
            <w:pPr>
              <w:pStyle w:val="yTableNAm"/>
              <w:jc w:val="center"/>
            </w:pPr>
            <w:r>
              <w:br/>
            </w:r>
            <w:r>
              <w:b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tcPr>
          <w:p>
            <w:pPr>
              <w:pStyle w:val="yTableNAm"/>
              <w:jc w:val="center"/>
            </w:pPr>
            <w:r>
              <w:br/>
            </w:r>
            <w:r>
              <w:br/>
            </w:r>
            <w:r>
              <w:b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tcPr>
          <w:p>
            <w:pPr>
              <w:pStyle w:val="yTableNAm"/>
              <w:jc w:val="center"/>
            </w:pPr>
            <w:r>
              <w:br/>
            </w:r>
            <w:r>
              <w:br/>
            </w:r>
            <w:r>
              <w:br/>
            </w:r>
            <w:r>
              <w:b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tcPr>
          <w:p>
            <w:pPr>
              <w:pStyle w:val="yTableNAm"/>
              <w:jc w:val="center"/>
            </w:pPr>
            <w:r>
              <w:br/>
            </w:r>
            <w:r>
              <w:b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tcPr>
          <w:p>
            <w:pPr>
              <w:pStyle w:val="yTableNAm"/>
              <w:jc w:val="center"/>
            </w:pPr>
            <w:r>
              <w:br/>
            </w:r>
            <w:r>
              <w:b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tcPr>
          <w:p>
            <w:pPr>
              <w:pStyle w:val="yTableNAm"/>
              <w:jc w:val="center"/>
            </w:pPr>
            <w:r>
              <w:br/>
            </w:r>
            <w:r>
              <w:br/>
            </w:r>
            <w:r>
              <w:b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tcPr>
          <w:p>
            <w:pPr>
              <w:pStyle w:val="yTableNAm"/>
              <w:jc w:val="center"/>
            </w:pPr>
            <w:r>
              <w:br/>
            </w:r>
            <w:r>
              <w:br/>
            </w:r>
            <w:r>
              <w:b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tcPr>
          <w:p>
            <w:pPr>
              <w:pStyle w:val="yTableNAm"/>
              <w:jc w:val="center"/>
            </w:pPr>
            <w:r>
              <w:b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tcPr>
          <w:p>
            <w:pPr>
              <w:pStyle w:val="yTableNAm"/>
              <w:jc w:val="center"/>
            </w:pPr>
            <w:r>
              <w:br/>
            </w:r>
            <w:r>
              <w:br/>
            </w:r>
            <w:r>
              <w:br/>
              <w:t>400</w:t>
            </w:r>
          </w:p>
        </w:tc>
      </w:tr>
      <w:tr>
        <w:tc>
          <w:tcPr>
            <w:tcW w:w="766" w:type="dxa"/>
          </w:tcPr>
          <w:p>
            <w:pPr>
              <w:pStyle w:val="yTableNAm"/>
            </w:pPr>
            <w:r>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tcPr>
          <w:p>
            <w:pPr>
              <w:pStyle w:val="yTableNAm"/>
              <w:jc w:val="center"/>
            </w:pPr>
            <w:r>
              <w:b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tcPr>
          <w:p>
            <w:pPr>
              <w:pStyle w:val="yTableNAm"/>
              <w:jc w:val="center"/>
            </w:pPr>
            <w:r>
              <w:b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tcPr>
          <w:p>
            <w:pPr>
              <w:pStyle w:val="yTableNAm"/>
              <w:jc w:val="center"/>
            </w:pPr>
            <w:r>
              <w:br/>
            </w:r>
            <w:r>
              <w:b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tcPr>
          <w:p>
            <w:pPr>
              <w:pStyle w:val="yTableNAm"/>
              <w:jc w:val="center"/>
            </w:pPr>
            <w:r>
              <w:br/>
            </w:r>
            <w:r>
              <w:b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tcPr>
          <w:p>
            <w:pPr>
              <w:pStyle w:val="yTableNAm"/>
              <w:jc w:val="center"/>
            </w:pPr>
            <w:r>
              <w:br/>
            </w:r>
            <w:r>
              <w:br/>
            </w:r>
            <w:r>
              <w:br/>
            </w:r>
            <w:r>
              <w:b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tcPr>
          <w:p>
            <w:pPr>
              <w:pStyle w:val="yTableNAm"/>
              <w:jc w:val="center"/>
            </w:pPr>
            <w:r>
              <w:br/>
            </w:r>
            <w:r>
              <w:br/>
            </w:r>
            <w:r>
              <w:b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tcPr>
          <w:p>
            <w:pPr>
              <w:pStyle w:val="yTableNAm"/>
              <w:jc w:val="center"/>
            </w:pPr>
            <w:r>
              <w:br/>
            </w:r>
            <w:r>
              <w:br/>
            </w:r>
            <w:r>
              <w:b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tcPr>
          <w:p>
            <w:pPr>
              <w:pStyle w:val="yTableNAm"/>
              <w:jc w:val="center"/>
            </w:pPr>
            <w:r>
              <w:br/>
            </w:r>
            <w:r>
              <w:br/>
              <w:t>400</w:t>
            </w:r>
          </w:p>
        </w:tc>
      </w:tr>
    </w:tbl>
    <w:p>
      <w:pPr>
        <w:pStyle w:val="yFootnotesection"/>
      </w:pPr>
      <w:bookmarkStart w:id="255" w:name="_Toc450834044"/>
      <w:bookmarkStart w:id="256" w:name="_Toc450836322"/>
      <w:bookmarkStart w:id="257" w:name="_Toc450836480"/>
      <w:bookmarkStart w:id="258" w:name="_Toc452105767"/>
      <w:bookmarkStart w:id="259" w:name="_Toc452107237"/>
      <w:bookmarkStart w:id="260" w:name="_Toc452111006"/>
      <w:bookmarkStart w:id="261" w:name="_Toc452119914"/>
      <w:bookmarkStart w:id="262" w:name="_Toc452470397"/>
      <w:bookmarkStart w:id="263" w:name="_Toc452546189"/>
      <w:bookmarkStart w:id="264" w:name="_Toc453594922"/>
      <w:bookmarkStart w:id="265" w:name="_Toc453595147"/>
      <w:bookmarkStart w:id="266" w:name="_Toc453665610"/>
      <w:bookmarkStart w:id="267" w:name="_Toc453667039"/>
      <w:bookmarkStart w:id="268" w:name="_Toc453676222"/>
      <w:r>
        <w:tab/>
        <w:t>[Division 1 inserted in Gazette 29 Jul 2016 p. 3249-53.]</w:t>
      </w:r>
    </w:p>
    <w:p>
      <w:pPr>
        <w:pStyle w:val="yHeading3"/>
      </w:pPr>
      <w:bookmarkStart w:id="269" w:name="_Toc457551812"/>
      <w:r>
        <w:rPr>
          <w:rStyle w:val="CharSDivNo"/>
        </w:rPr>
        <w:t>Division 2</w:t>
      </w:r>
      <w:r>
        <w:rPr>
          <w:b w:val="0"/>
        </w:rPr>
        <w:t> — </w:t>
      </w:r>
      <w:r>
        <w:rPr>
          <w:rStyle w:val="CharSDivText"/>
        </w:rPr>
        <w:t>Offence under these regulations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yFootnoteheading"/>
      </w:pPr>
      <w:r>
        <w:tab/>
        <w:t>[Heading inserted in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tcPr>
          <w:p>
            <w:pPr>
              <w:pStyle w:val="yTableNAm"/>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tcPr>
          <w:p>
            <w:pPr>
              <w:pStyle w:val="yTableNAm"/>
            </w:pPr>
            <w:r>
              <w:b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tcPr>
          <w:p>
            <w:pPr>
              <w:pStyle w:val="yTableNAm"/>
            </w:pPr>
            <w:r>
              <w:br/>
            </w:r>
            <w:r>
              <w:br/>
              <w:t>400</w:t>
            </w:r>
          </w:p>
        </w:tc>
      </w:tr>
    </w:tbl>
    <w:p>
      <w:pPr>
        <w:pStyle w:val="yFootnotesection"/>
      </w:pPr>
      <w:bookmarkStart w:id="270" w:name="_Toc450834045"/>
      <w:bookmarkStart w:id="271" w:name="_Toc450836323"/>
      <w:bookmarkStart w:id="272" w:name="_Toc450836481"/>
      <w:bookmarkStart w:id="273" w:name="_Toc452105768"/>
      <w:bookmarkStart w:id="274" w:name="_Toc452107238"/>
      <w:bookmarkStart w:id="275" w:name="_Toc452111007"/>
      <w:bookmarkStart w:id="276" w:name="_Toc452119915"/>
      <w:bookmarkStart w:id="277" w:name="_Toc452470398"/>
      <w:bookmarkStart w:id="278" w:name="_Toc452546190"/>
      <w:bookmarkStart w:id="279" w:name="_Toc453594923"/>
      <w:bookmarkStart w:id="280" w:name="_Toc453595148"/>
      <w:bookmarkStart w:id="281" w:name="_Toc453665611"/>
      <w:bookmarkStart w:id="282" w:name="_Toc453667040"/>
      <w:bookmarkStart w:id="283" w:name="_Toc453676223"/>
      <w:r>
        <w:tab/>
        <w:t>[Division 2 inserted in Gazette 29 Jul 2016 p. 3253.]</w:t>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pPr>
      <w:bookmarkStart w:id="284" w:name="_Toc457551813"/>
      <w:r>
        <w:rPr>
          <w:rStyle w:val="CharSchNo"/>
        </w:rPr>
        <w:t>Schedule 6</w:t>
      </w:r>
      <w:r>
        <w:t> — </w:t>
      </w:r>
      <w:r>
        <w:rPr>
          <w:rStyle w:val="CharSchText"/>
        </w:rPr>
        <w:t>Forms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yShoulderClause"/>
      </w:pPr>
      <w:r>
        <w:t>[r. 59]</w:t>
      </w:r>
    </w:p>
    <w:p>
      <w:pPr>
        <w:pStyle w:val="yFootnoteheading"/>
      </w:pPr>
      <w:r>
        <w:tab/>
        <w:t>[Heading inserted in Gazette 29 Jul 2016 p. 3254.]</w:t>
      </w:r>
    </w:p>
    <w:p>
      <w:pPr>
        <w:pStyle w:val="zyMiscellaneousHeading"/>
        <w:spacing w:after="60"/>
        <w:rPr>
          <w:b/>
        </w:rPr>
      </w:pPr>
      <w:r>
        <w:rPr>
          <w:b/>
        </w:rPr>
        <w:t>Form 1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in Gazette 29 Jul 2016 p. 3254</w:t>
      </w:r>
      <w:r>
        <w:noBreakHyphen/>
        <w:t>6.]</w:t>
      </w:r>
    </w:p>
    <w:p>
      <w:pPr>
        <w:pStyle w:val="zyMiscellaneousHeading"/>
        <w:spacing w:before="360" w:after="60"/>
        <w:rPr>
          <w:b/>
        </w:rPr>
      </w:pPr>
      <w:r>
        <w:rPr>
          <w:b/>
        </w:rPr>
        <w:t>Form 2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in Gazette 29 Jul 2016 p. 3256</w:t>
      </w:r>
      <w:r>
        <w:noBreakHyphen/>
        <w:t>7.]</w:t>
      </w:r>
    </w:p>
    <w:bookmarkEnd w:id="222"/>
    <w:bookmarkEnd w:id="223"/>
    <w:bookmarkEnd w:id="224"/>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keepNext/>
        <w:keepLines/>
        <w:jc w:val="center"/>
      </w:pPr>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pPr>
      <w:bookmarkStart w:id="285" w:name="_Toc430248453"/>
      <w:bookmarkStart w:id="286" w:name="_Toc434398243"/>
      <w:bookmarkStart w:id="287" w:name="_Toc453594171"/>
      <w:bookmarkStart w:id="288" w:name="_Toc455409524"/>
      <w:bookmarkStart w:id="289" w:name="_Toc457551814"/>
      <w:r>
        <w:t>Notes</w:t>
      </w:r>
      <w:bookmarkEnd w:id="285"/>
      <w:bookmarkEnd w:id="286"/>
      <w:bookmarkEnd w:id="287"/>
      <w:bookmarkEnd w:id="288"/>
      <w:bookmarkEnd w:id="289"/>
    </w:p>
    <w:p>
      <w:pPr>
        <w:pStyle w:val="nSubsection"/>
      </w:pPr>
      <w:r>
        <w:rPr>
          <w:vertAlign w:val="superscript"/>
        </w:rPr>
        <w:t>1</w:t>
      </w:r>
      <w:r>
        <w:tab/>
        <w:t xml:space="preserve">This is a compilation of the </w:t>
      </w:r>
      <w:r>
        <w:rPr>
          <w:i/>
          <w:noProof/>
        </w:rPr>
        <w:t>Security and Related Activities (Control) Regulations 1997</w:t>
      </w:r>
      <w:r>
        <w:t xml:space="preserve"> and includes the amendments made by the other written laws referred to in the following table.  The table also contains information about any reprint.</w:t>
      </w:r>
    </w:p>
    <w:p>
      <w:pPr>
        <w:pStyle w:val="nHeading3"/>
        <w:rPr>
          <w:snapToGrid w:val="0"/>
        </w:rPr>
      </w:pPr>
      <w:bookmarkStart w:id="290" w:name="_Toc457551815"/>
      <w:r>
        <w:rPr>
          <w:snapToGrid w:val="0"/>
        </w:rPr>
        <w:t>Compilation table</w:t>
      </w:r>
      <w:bookmarkEnd w:id="29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rFonts w:ascii="Times" w:hAnsi="Times"/>
                <w:bCs/>
                <w:snapToGrid w:val="0"/>
              </w:rPr>
              <w:t>r. 1 and 2: 5 Aug 2014 (see r. 2(a));</w:t>
            </w:r>
            <w:r>
              <w:rPr>
                <w:rFonts w:ascii="Times" w:hAnsi="Times"/>
                <w:bCs/>
                <w:snapToGrid w:val="0"/>
              </w:rPr>
              <w:br/>
              <w:t>Regulations other than r. 1 and 2: 6 Aug 2014 (see r. 2(b))</w:t>
            </w:r>
          </w:p>
        </w:tc>
      </w:tr>
      <w:tr>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rFonts w:ascii="Times" w:hAnsi="Times"/>
                <w:bCs/>
                <w:snapToGrid w:val="0"/>
              </w:rPr>
            </w:pPr>
            <w:r>
              <w:rPr>
                <w:rFonts w:ascii="Times" w:hAnsi="Times"/>
                <w:bCs/>
                <w:snapToGrid w:val="0"/>
              </w:rPr>
              <w:t xml:space="preserve">r. 1 and 2: </w:t>
            </w:r>
            <w:r>
              <w:t>2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16 Jun 2015 (see r. 2(a));</w:t>
            </w:r>
            <w:r>
              <w:rPr>
                <w:rFonts w:ascii="Times" w:hAnsi="Times"/>
                <w:bCs/>
                <w:snapToGrid w:val="0"/>
              </w:rPr>
              <w:br/>
              <w:t>Regulations other than r. 1 and 2: 17 Jun 2015 (see r. 2(b) and Gazette 16 Jun 2015 p. 2071)</w:t>
            </w:r>
          </w:p>
        </w:tc>
      </w:tr>
      <w:t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Security and Related Activities (Control) Regulations 1997</w:t>
            </w:r>
            <w:r>
              <w:rPr>
                <w:rFonts w:ascii="Times" w:hAnsi="Times"/>
                <w:b/>
                <w:bCs/>
                <w:snapToGrid w:val="0"/>
                <w:spacing w:val="-2"/>
              </w:rPr>
              <w:t xml:space="preserve"> as at 4 Dec 2015</w:t>
            </w:r>
            <w:r>
              <w:rPr>
                <w:rFonts w:ascii="Times" w:hAnsi="Times"/>
                <w:bCs/>
                <w:snapToGrid w:val="0"/>
                <w:spacing w:val="-2"/>
              </w:rPr>
              <w:t xml:space="preserve"> (includes amendments listed above)</w:t>
            </w:r>
          </w:p>
        </w:tc>
      </w:tr>
      <w:tr>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rFonts w:ascii="Times" w:hAnsi="Times"/>
                <w:bCs/>
                <w:snapToGrid w:val="0"/>
              </w:rPr>
            </w:pPr>
            <w:r>
              <w:t>1 Jul 2016 (see r. 2(b))</w:t>
            </w:r>
          </w:p>
        </w:tc>
      </w:tr>
      <w:tr>
        <w:tc>
          <w:tcPr>
            <w:tcW w:w="3119" w:type="dxa"/>
            <w:tcBorders>
              <w:bottom w:val="single" w:sz="4" w:space="0" w:color="auto"/>
            </w:tcBorders>
            <w:shd w:val="clear" w:color="auto" w:fill="auto"/>
          </w:tcPr>
          <w:p>
            <w:pPr>
              <w:pStyle w:val="nTable"/>
              <w:spacing w:after="40"/>
              <w:rPr>
                <w:i/>
              </w:rPr>
            </w:pPr>
            <w:r>
              <w:rPr>
                <w:i/>
              </w:rPr>
              <w:t>Security and Related Activities (Control) Amendment Regulations 2016</w:t>
            </w:r>
          </w:p>
        </w:tc>
        <w:tc>
          <w:tcPr>
            <w:tcW w:w="1276" w:type="dxa"/>
            <w:tcBorders>
              <w:bottom w:val="single" w:sz="4" w:space="0" w:color="auto"/>
            </w:tcBorders>
            <w:shd w:val="clear" w:color="auto" w:fill="auto"/>
          </w:tcPr>
          <w:p>
            <w:pPr>
              <w:pStyle w:val="nTable"/>
              <w:spacing w:after="40"/>
            </w:pPr>
            <w:r>
              <w:t>29 Jul 2016 p. 3243-57</w:t>
            </w:r>
          </w:p>
        </w:tc>
        <w:tc>
          <w:tcPr>
            <w:tcW w:w="2693" w:type="dxa"/>
            <w:tcBorders>
              <w:bottom w:val="single" w:sz="4" w:space="0" w:color="auto"/>
            </w:tcBorders>
            <w:shd w:val="clear" w:color="auto" w:fill="auto"/>
          </w:tcPr>
          <w:p>
            <w:pPr>
              <w:pStyle w:val="nTable"/>
              <w:spacing w:after="40"/>
            </w:pPr>
            <w:r>
              <w:rPr>
                <w:rFonts w:ascii="Times" w:hAnsi="Times"/>
                <w:bCs/>
                <w:snapToGrid w:val="0"/>
                <w:spacing w:val="-2"/>
              </w:rPr>
              <w:t>r. 1 and 2: 29 Jul 2016 (see r. 2(a));</w:t>
            </w:r>
            <w:r>
              <w:rPr>
                <w:rFonts w:ascii="Times" w:hAnsi="Times"/>
                <w:bCs/>
                <w:snapToGrid w:val="0"/>
                <w:spacing w:val="-2"/>
              </w:rPr>
              <w:br/>
              <w:t>Regulations other than r. 1 and 2: 30 Jul 2016 (see r. 2(b))</w:t>
            </w:r>
          </w:p>
        </w:tc>
      </w:tr>
    </w:tbl>
    <w:p>
      <w:pPr>
        <w:pStyle w:val="nSubsection"/>
        <w:keepNext/>
        <w:spacing w:before="160"/>
      </w:pPr>
      <w:r>
        <w:rPr>
          <w:szCs w:val="13"/>
          <w:vertAlign w:val="superscript"/>
        </w:rPr>
        <w:t>2</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keepNext/>
        <w:spacing w:before="160"/>
      </w:pPr>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292" w:name="_Toc457551816"/>
      <w:r>
        <w:rPr>
          <w:sz w:val="28"/>
        </w:rPr>
        <w:t>Defined terms</w:t>
      </w:r>
      <w:bookmarkEnd w:id="2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chief executive officer</w:t>
      </w:r>
      <w:r>
        <w:tab/>
        <w:t>44</w:t>
      </w:r>
    </w:p>
    <w:p>
      <w:pPr>
        <w:pStyle w:val="DefinedTerms"/>
      </w:pPr>
      <w:r>
        <w:t>commencement day</w:t>
      </w:r>
      <w:r>
        <w:tab/>
        <w:t>Sch. 1 cl. 11A(2)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GPO</w:t>
      </w:r>
      <w:r>
        <w:tab/>
        <w:t>14</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responsible police division</w:t>
      </w:r>
      <w:r>
        <w:tab/>
        <w:t>3(1)</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Superintendent</w:t>
      </w:r>
      <w:r>
        <w:tab/>
        <w:t>3(1)</w:t>
      </w:r>
    </w:p>
    <w:p>
      <w:pPr>
        <w:pStyle w:val="DefinedTerms"/>
      </w:pPr>
      <w:r>
        <w:t>technologist</w:t>
      </w:r>
      <w:r>
        <w:tab/>
        <w:t>44</w:t>
      </w:r>
    </w:p>
    <w:p>
      <w:pPr>
        <w:pStyle w:val="DefinedTerms"/>
      </w:pPr>
      <w:r>
        <w:t>training course in firearms discharge</w:t>
      </w:r>
      <w:r>
        <w:tab/>
        <w:t>3(1)</w:t>
      </w:r>
    </w:p>
    <w:p>
      <w:pPr>
        <w:pStyle w:val="DefinedTerms"/>
      </w:pPr>
      <w:r>
        <w:t>urine sampling equipment</w:t>
      </w:r>
      <w:r>
        <w:tab/>
        <w:t>44</w:t>
      </w:r>
    </w:p>
    <w:p>
      <w:pPr>
        <w:pStyle w:val="DefinedTerms"/>
      </w:pPr>
      <w:r>
        <w:t>written examination</w:t>
      </w:r>
      <w:r>
        <w:tab/>
        <w:t>17(3)</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915" w:type="dxa"/>
        </w:tcPr>
        <w:p>
          <w:pPr>
            <w:pStyle w:val="Header"/>
            <w:spacing w:before="40"/>
          </w:pPr>
          <w:r>
            <w:fldChar w:fldCharType="begin"/>
          </w:r>
          <w:r>
            <w:instrText>styleref CharPartText</w:instrText>
          </w:r>
          <w:r>
            <w:fldChar w:fldCharType="separate"/>
          </w:r>
          <w:r>
            <w:t>Preliminary</w:t>
          </w:r>
          <w:r>
            <w:fldChar w:fldCharType="end"/>
          </w:r>
        </w:p>
      </w:tc>
    </w:tr>
    <w:t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r>
            <w:fldChar w:fldCharType="begin"/>
          </w:r>
          <w:r>
            <w:instrText>styleref CharPartText</w:instrText>
          </w:r>
          <w:r>
            <w:fldChar w:fldCharType="separate"/>
          </w:r>
          <w:r>
            <w:t>Preliminary</w: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49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66"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497"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p>
      </w:tc>
      <w:tc>
        <w:tcPr>
          <w:tcW w:w="5766" w:type="dxa"/>
        </w:tcPr>
        <w:p>
          <w:pPr>
            <w:pStyle w:val="Header"/>
            <w:spacing w:before="40"/>
          </w:pPr>
          <w:r>
            <w:fldChar w:fldCharType="begin"/>
          </w:r>
          <w:r>
            <w:instrText>styleref CharSDivText</w:instrText>
          </w:r>
          <w:r>
            <w:fldChar w:fldCharType="separate"/>
          </w:r>
          <w:r>
            <w:t>Security agent’s licence</w:t>
          </w:r>
          <w:r>
            <w:fldChar w:fldCharType="end"/>
          </w:r>
        </w:p>
      </w:tc>
    </w:tr>
    <w:t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Security agent’s licence</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1</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9" w:name="Schedule"/>
    <w:bookmarkEnd w:id="19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91" w:name="Compilation"/>
    <w:bookmarkEnd w:id="291"/>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3" w:name="DefinedTerms"/>
    <w:bookmarkEnd w:id="293"/>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4" w:name="Coversheet"/>
    <w:bookmarkEnd w:id="2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F1D5558"/>
    <w:multiLevelType w:val="multilevel"/>
    <w:tmpl w:val="345E717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13007"/>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link w:val="HeaderCha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link w:val="HeaderCha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image" Target="media/image2.png"/><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4CFCEA-24BD-4A23-A9DB-77446817C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87</Pages>
  <Words>18226</Words>
  <Characters>88764</Characters>
  <Application>Microsoft Office Word</Application>
  <DocSecurity>0</DocSecurity>
  <Lines>3060</Lines>
  <Paragraphs>1813</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105177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1997 - 07-d0-00</dc:title>
  <dc:subject/>
  <dc:creator/>
  <cp:keywords/>
  <dc:description/>
  <cp:lastModifiedBy>svcMRProcess</cp:lastModifiedBy>
  <cp:revision>4</cp:revision>
  <cp:lastPrinted>2016-07-28T08:24:00Z</cp:lastPrinted>
  <dcterms:created xsi:type="dcterms:W3CDTF">2018-09-15T18:13:00Z</dcterms:created>
  <dcterms:modified xsi:type="dcterms:W3CDTF">2018-09-15T18:14:00Z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AsAtDate">
    <vt:lpwstr>30 Jul 2016</vt:lpwstr>
  </property>
  <property fmtid="{D5CDD505-2E9C-101B-9397-08002B2CF9AE}" pid="9" name="Suffix">
    <vt:lpwstr>07-d0-00</vt:lpwstr>
  </property>
  <property fmtid="{D5CDD505-2E9C-101B-9397-08002B2CF9AE}" pid="10" name="CommencementDate">
    <vt:lpwstr>20160730</vt:lpwstr>
  </property>
</Properties>
</file>