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_Toc456191990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_Toc456191991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_Toc456191992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_Toc456191993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_Toc456191994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_Toc456191995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_Toc456191996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_Toc456191997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_Toc456192000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50 days</w:t>
      </w:r>
      <w:r>
        <w:tab/>
      </w:r>
      <w:r>
        <w:fldChar w:fldCharType="begin"/>
      </w:r>
      <w:r>
        <w:instrText xml:space="preserve"> PAGEREF _Toc456192001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_Toc456192002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_Toc456192003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_Toc456192005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_Toc456192006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_Toc456192007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_Toc456192008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Responding to claims for payment</w:t>
      </w:r>
      <w:r>
        <w:tab/>
      </w:r>
      <w:r>
        <w:fldChar w:fldCharType="begin"/>
      </w:r>
      <w:r>
        <w:instrText xml:space="preserve"> PAGEREF _Toc456192009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_Toc456192010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_Toc456192011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_Toc456192012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_Toc456192013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_Toc456192014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_Toc456192015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_Toc456192018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_Toc456192020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_Toc456192021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_Toc456192022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_Toc456192023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_Toc456192024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_Toc456192026 \h </w:instrText>
      </w:r>
      <w:r>
        <w:fldChar w:fldCharType="separate"/>
      </w:r>
      <w:r>
        <w:t>18</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_Toc456192027 \h </w:instrText>
      </w:r>
      <w:r>
        <w:fldChar w:fldCharType="separate"/>
      </w:r>
      <w:r>
        <w:t>18</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_Toc456192028 \h </w:instrText>
      </w:r>
      <w:r>
        <w:fldChar w:fldCharType="separate"/>
      </w:r>
      <w:r>
        <w:t>19</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_Toc456192029 \h </w:instrText>
      </w:r>
      <w:r>
        <w:fldChar w:fldCharType="separate"/>
      </w:r>
      <w:r>
        <w:t>21</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_Toc456192030 \h </w:instrText>
      </w:r>
      <w:r>
        <w:fldChar w:fldCharType="separate"/>
      </w:r>
      <w:r>
        <w:t>21</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_Toc456192031 \h </w:instrText>
      </w:r>
      <w:r>
        <w:fldChar w:fldCharType="separate"/>
      </w:r>
      <w:r>
        <w:t>22</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_Toc456192032 \h </w:instrText>
      </w:r>
      <w:r>
        <w:fldChar w:fldCharType="separate"/>
      </w:r>
      <w:r>
        <w:t>22</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_Toc456192033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_Toc456192035 \h </w:instrText>
      </w:r>
      <w:r>
        <w:fldChar w:fldCharType="separate"/>
      </w:r>
      <w:r>
        <w:t>23</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_Toc456192036 \h </w:instrText>
      </w:r>
      <w:r>
        <w:fldChar w:fldCharType="separate"/>
      </w:r>
      <w:r>
        <w:t>24</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_Toc456192037 \h </w:instrText>
      </w:r>
      <w:r>
        <w:fldChar w:fldCharType="separate"/>
      </w:r>
      <w:r>
        <w:t>24</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_Toc456192038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_Toc456192040 \h </w:instrText>
      </w:r>
      <w:r>
        <w:fldChar w:fldCharType="separate"/>
      </w:r>
      <w:r>
        <w:t>25</w:t>
      </w:r>
      <w:r>
        <w:fldChar w:fldCharType="end"/>
      </w:r>
    </w:p>
    <w:p>
      <w:pPr>
        <w:pStyle w:val="TOC8"/>
        <w:rPr>
          <w:rFonts w:asciiTheme="minorHAnsi" w:eastAsiaTheme="minorEastAsia" w:hAnsiTheme="minorHAnsi" w:cstheme="minorBidi"/>
          <w:szCs w:val="22"/>
        </w:rPr>
      </w:pPr>
      <w:r>
        <w:t>43.</w:t>
      </w:r>
      <w:r>
        <w:tab/>
        <w:t>Determinations may be enforced as judgments</w:t>
      </w:r>
      <w:r>
        <w:tab/>
      </w:r>
      <w:r>
        <w:fldChar w:fldCharType="begin"/>
      </w:r>
      <w:r>
        <w:instrText xml:space="preserve"> PAGEREF _Toc456192041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_Toc456192043 \h </w:instrText>
      </w:r>
      <w:r>
        <w:fldChar w:fldCharType="separate"/>
      </w:r>
      <w:r>
        <w:t>27</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_Toc456192044 \h </w:instrText>
      </w:r>
      <w:r>
        <w:fldChar w:fldCharType="separate"/>
      </w:r>
      <w:r>
        <w:t>28</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_Toc456192045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_Toc456192047 \h </w:instrText>
      </w:r>
      <w:r>
        <w:fldChar w:fldCharType="separate"/>
      </w:r>
      <w:r>
        <w:t>30</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_Toc456192048 \h </w:instrText>
      </w:r>
      <w:r>
        <w:fldChar w:fldCharType="separate"/>
      </w:r>
      <w:r>
        <w:t>31</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_Toc456192049 \h </w:instrText>
      </w:r>
      <w:r>
        <w:fldChar w:fldCharType="separate"/>
      </w:r>
      <w:r>
        <w:t>31</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_Toc456192050 \h </w:instrText>
      </w:r>
      <w:r>
        <w:fldChar w:fldCharType="separate"/>
      </w:r>
      <w:r>
        <w:t>31</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_Toc456192051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_Toc456192053 \h </w:instrText>
      </w:r>
      <w:r>
        <w:fldChar w:fldCharType="separate"/>
      </w:r>
      <w:r>
        <w:t>33</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_Toc456192054 \h </w:instrText>
      </w:r>
      <w:r>
        <w:fldChar w:fldCharType="separate"/>
      </w:r>
      <w:r>
        <w:t>33</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_Toc456192055 \h </w:instrText>
      </w:r>
      <w:r>
        <w:fldChar w:fldCharType="separate"/>
      </w:r>
      <w:r>
        <w:t>34</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_Toc456192056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_Toc456192059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_Toc456192061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_Toc456192063 \h </w:instrText>
      </w:r>
      <w:r>
        <w:fldChar w:fldCharType="separate"/>
      </w:r>
      <w:r>
        <w:t>35</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_Toc456192064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_Toc456192066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_Toc456192068 \h </w:instrText>
      </w:r>
      <w:r>
        <w:fldChar w:fldCharType="separate"/>
      </w:r>
      <w:r>
        <w:t>37</w:t>
      </w:r>
      <w:r>
        <w:fldChar w:fldCharType="end"/>
      </w:r>
    </w:p>
    <w:p>
      <w:pPr>
        <w:pStyle w:val="TOC8"/>
        <w:rPr>
          <w:rFonts w:asciiTheme="minorHAnsi" w:eastAsiaTheme="minorEastAsia" w:hAnsiTheme="minorHAnsi" w:cstheme="minorBidi"/>
          <w:szCs w:val="22"/>
        </w:rPr>
      </w:pPr>
      <w:r>
        <w:t>7.</w:t>
      </w:r>
      <w:r>
        <w:tab/>
        <w:t>Responding to payment claim</w:t>
      </w:r>
      <w:r>
        <w:tab/>
      </w:r>
      <w:r>
        <w:fldChar w:fldCharType="begin"/>
      </w:r>
      <w:r>
        <w:instrText xml:space="preserve"> PAGEREF _Toc456192069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_Toc456192071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_Toc456192073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_Toc456192075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_Toc456192077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_Toc456192079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2016</w:t>
            </w:r>
          </w:p>
        </w:tc>
      </w:tr>
    </w:tbl>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456191897"/>
      <w:bookmarkStart w:id="4" w:name="_Toc4561919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5619199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6" w:name="_Toc456191991"/>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7" w:name="_Toc456191992"/>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means a claim made under a construction contract — </w:t>
      </w:r>
    </w:p>
    <w:p>
      <w:pPr>
        <w:pStyle w:val="Defpara"/>
      </w:pPr>
      <w:r>
        <w:tab/>
        <w:t>(a)</w:t>
      </w:r>
      <w:r>
        <w:tab/>
        <w:t>by the contractor to the principal for payment of an amount in relation to the performance by the contractor of its obligations under the contract; or</w:t>
      </w:r>
    </w:p>
    <w:p>
      <w:pPr>
        <w:pStyle w:val="Defpara"/>
      </w:pPr>
      <w:r>
        <w:tab/>
        <w:t>(b)</w:t>
      </w:r>
      <w:r>
        <w:tab/>
        <w:t>by the principal to the contractor for payment of an amount in relation to the performance or non</w:t>
      </w:r>
      <w:r>
        <w:noBreakHyphen/>
        <w:t>performance by the contractor of its obligations under the contract;</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p>
    <w:p>
      <w:pPr>
        <w:pStyle w:val="Heading5"/>
      </w:pPr>
      <w:bookmarkStart w:id="8" w:name="_Toc456191993"/>
      <w:r>
        <w:rPr>
          <w:rStyle w:val="CharSectno"/>
        </w:rPr>
        <w:t>4</w:t>
      </w:r>
      <w:r>
        <w:t>.</w:t>
      </w:r>
      <w:r>
        <w:tab/>
        <w:t>Construction work</w:t>
      </w:r>
      <w:bookmarkEnd w:id="8"/>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constructing any plant for the purposes of extracting or processing oil, natural gas or any derivative of natural gas, or any mineral bearing or other substance;</w:t>
      </w:r>
    </w:p>
    <w:p>
      <w:pPr>
        <w:pStyle w:val="Indenta"/>
      </w:pPr>
      <w:r>
        <w:tab/>
        <w:t>(d)</w:t>
      </w:r>
      <w:r>
        <w:tab/>
        <w:t>constructing, installing, altering, repairing, restoring, maintaining, extending, dismantling, demolishing, or removing, wholly artistic works, including sculptures, installations and murals;</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Heading5"/>
      </w:pPr>
      <w:bookmarkStart w:id="9" w:name="_Toc456191994"/>
      <w:r>
        <w:rPr>
          <w:rStyle w:val="CharSectno"/>
        </w:rPr>
        <w:t>5</w:t>
      </w:r>
      <w:r>
        <w:t>.</w:t>
      </w:r>
      <w:r>
        <w:tab/>
        <w:t>Goods and services related to construction work</w:t>
      </w:r>
      <w:bookmarkEnd w:id="9"/>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0" w:name="_Toc456191995"/>
      <w:r>
        <w:rPr>
          <w:rStyle w:val="CharSectno"/>
        </w:rPr>
        <w:t>6</w:t>
      </w:r>
      <w:r>
        <w:t>.</w:t>
      </w:r>
      <w:r>
        <w:tab/>
        <w:t>Payment dispute</w:t>
      </w:r>
      <w:bookmarkEnd w:id="10"/>
    </w:p>
    <w:p>
      <w:pPr>
        <w:pStyle w:val="Subsection"/>
        <w:spacing w:before="180"/>
      </w:pPr>
      <w:r>
        <w:tab/>
      </w:r>
      <w:r>
        <w:tab/>
        <w:t xml:space="preserve">For the purposes of this Act, a payment dispute arises if — </w:t>
      </w:r>
    </w:p>
    <w:p>
      <w:pPr>
        <w:pStyle w:val="Indenta"/>
        <w:spacing w:before="100"/>
      </w:pPr>
      <w:r>
        <w:tab/>
        <w:t>(a)</w:t>
      </w:r>
      <w:r>
        <w:tab/>
        <w:t>by the time when the amount claimed in a payment claim is due to be paid under the contract, the amount has not been paid in full, or the claim has been rejected or wholly or partly disputed;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Heading5"/>
        <w:spacing w:before="260"/>
      </w:pPr>
      <w:bookmarkStart w:id="11" w:name="_Toc456191996"/>
      <w:r>
        <w:rPr>
          <w:rStyle w:val="CharSectno"/>
        </w:rPr>
        <w:t>7</w:t>
      </w:r>
      <w:r>
        <w:t>.</w:t>
      </w:r>
      <w:r>
        <w:tab/>
        <w:t>Construction contracts to which this Act applies</w:t>
      </w:r>
      <w:bookmarkEnd w:id="11"/>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2" w:name="_Toc456191997"/>
      <w:r>
        <w:rPr>
          <w:rStyle w:val="CharSectno"/>
        </w:rPr>
        <w:t>8</w:t>
      </w:r>
      <w:r>
        <w:t>.</w:t>
      </w:r>
      <w:r>
        <w:tab/>
        <w:t>Application to Crown</w:t>
      </w:r>
      <w:bookmarkEnd w:id="12"/>
      <w:r>
        <w:t xml:space="preserve"> </w:t>
      </w:r>
    </w:p>
    <w:p>
      <w:pPr>
        <w:pStyle w:val="Subsection"/>
      </w:pPr>
      <w:r>
        <w:tab/>
      </w:r>
      <w:r>
        <w:tab/>
        <w:t>This Act binds the Crown.</w:t>
      </w:r>
    </w:p>
    <w:p>
      <w:pPr>
        <w:pStyle w:val="Heading2"/>
      </w:pPr>
      <w:bookmarkStart w:id="13" w:name="_Toc456191906"/>
      <w:bookmarkStart w:id="14" w:name="_Toc456191998"/>
      <w:r>
        <w:rPr>
          <w:rStyle w:val="CharPartNo"/>
        </w:rPr>
        <w:t>Part 2</w:t>
      </w:r>
      <w:r>
        <w:t xml:space="preserve"> — </w:t>
      </w:r>
      <w:r>
        <w:rPr>
          <w:rStyle w:val="CharPartText"/>
        </w:rPr>
        <w:t>Content of construction contracts</w:t>
      </w:r>
      <w:bookmarkEnd w:id="13"/>
      <w:bookmarkEnd w:id="14"/>
    </w:p>
    <w:p>
      <w:pPr>
        <w:pStyle w:val="Heading3"/>
      </w:pPr>
      <w:bookmarkStart w:id="15" w:name="_Toc456191907"/>
      <w:bookmarkStart w:id="16" w:name="_Toc456191999"/>
      <w:r>
        <w:rPr>
          <w:rStyle w:val="CharDivNo"/>
        </w:rPr>
        <w:t>Division 1</w:t>
      </w:r>
      <w:r>
        <w:t> — </w:t>
      </w:r>
      <w:r>
        <w:rPr>
          <w:rStyle w:val="CharDivText"/>
        </w:rPr>
        <w:t>Prohibited provisions</w:t>
      </w:r>
      <w:bookmarkEnd w:id="15"/>
      <w:bookmarkEnd w:id="16"/>
    </w:p>
    <w:p>
      <w:pPr>
        <w:pStyle w:val="Heading5"/>
      </w:pPr>
      <w:bookmarkStart w:id="17" w:name="_Toc456192000"/>
      <w:r>
        <w:rPr>
          <w:rStyle w:val="CharSectno"/>
        </w:rPr>
        <w:t>9</w:t>
      </w:r>
      <w:r>
        <w:t>.</w:t>
      </w:r>
      <w:r>
        <w:tab/>
        <w:t>Prohibited: pay if paid/when paid provisions</w:t>
      </w:r>
      <w:bookmarkEnd w:id="17"/>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 w:name="_Toc456192001"/>
      <w:r>
        <w:rPr>
          <w:rStyle w:val="CharSectno"/>
        </w:rPr>
        <w:t>10</w:t>
      </w:r>
      <w:r>
        <w:t>.</w:t>
      </w:r>
      <w:r>
        <w:tab/>
        <w:t>Prohibited: provisions requiring payment to be made after 50 days</w:t>
      </w:r>
      <w:bookmarkEnd w:id="18"/>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19" w:name="_Toc456192002"/>
      <w:r>
        <w:rPr>
          <w:rStyle w:val="CharSectno"/>
        </w:rPr>
        <w:t>11</w:t>
      </w:r>
      <w:r>
        <w:t>.</w:t>
      </w:r>
      <w:r>
        <w:tab/>
        <w:t>Prohibited: prescribed provisions</w:t>
      </w:r>
      <w:bookmarkEnd w:id="19"/>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20" w:name="_Toc456192003"/>
      <w:r>
        <w:rPr>
          <w:rStyle w:val="CharSectno"/>
        </w:rPr>
        <w:t>12</w:t>
      </w:r>
      <w:r>
        <w:t>.</w:t>
      </w:r>
      <w:r>
        <w:tab/>
        <w:t>Other provisions of contract not affected</w:t>
      </w:r>
      <w:bookmarkEnd w:id="20"/>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21" w:name="_Toc456191912"/>
      <w:bookmarkStart w:id="22" w:name="_Toc456192004"/>
      <w:r>
        <w:rPr>
          <w:rStyle w:val="CharDivNo"/>
        </w:rPr>
        <w:t>Division 2</w:t>
      </w:r>
      <w:r>
        <w:t> — </w:t>
      </w:r>
      <w:r>
        <w:rPr>
          <w:rStyle w:val="CharDivText"/>
        </w:rPr>
        <w:t>Implied provisions</w:t>
      </w:r>
      <w:bookmarkEnd w:id="21"/>
      <w:bookmarkEnd w:id="22"/>
    </w:p>
    <w:p>
      <w:pPr>
        <w:pStyle w:val="Heading5"/>
      </w:pPr>
      <w:bookmarkStart w:id="23" w:name="_Toc456192005"/>
      <w:r>
        <w:rPr>
          <w:rStyle w:val="CharSectno"/>
        </w:rPr>
        <w:t>13</w:t>
      </w:r>
      <w:r>
        <w:t>.</w:t>
      </w:r>
      <w:r>
        <w:tab/>
        <w:t>Variations of contractual obligations</w:t>
      </w:r>
      <w:bookmarkEnd w:id="23"/>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24" w:name="_Toc456192006"/>
      <w:r>
        <w:rPr>
          <w:rStyle w:val="CharSectno"/>
        </w:rPr>
        <w:t>14</w:t>
      </w:r>
      <w:r>
        <w:t>.</w:t>
      </w:r>
      <w:r>
        <w:tab/>
        <w:t>Contractor’s entitlement to be paid</w:t>
      </w:r>
      <w:bookmarkEnd w:id="24"/>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25" w:name="_Toc456192007"/>
      <w:r>
        <w:rPr>
          <w:rStyle w:val="CharSectno"/>
        </w:rPr>
        <w:t>15</w:t>
      </w:r>
      <w:r>
        <w:t>.</w:t>
      </w:r>
      <w:r>
        <w:tab/>
        <w:t>Contractor’s entitlement to claim progress payments</w:t>
      </w:r>
      <w:bookmarkEnd w:id="25"/>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26" w:name="_Toc456192008"/>
      <w:r>
        <w:rPr>
          <w:rStyle w:val="CharSectno"/>
        </w:rPr>
        <w:t>16</w:t>
      </w:r>
      <w:r>
        <w:t>.</w:t>
      </w:r>
      <w:r>
        <w:tab/>
        <w:t>Making claims for payment</w:t>
      </w:r>
      <w:bookmarkEnd w:id="26"/>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27" w:name="_Toc456192009"/>
      <w:r>
        <w:rPr>
          <w:rStyle w:val="CharSectno"/>
        </w:rPr>
        <w:t>17</w:t>
      </w:r>
      <w:r>
        <w:t>.</w:t>
      </w:r>
      <w:r>
        <w:tab/>
        <w:t>Responding to claims for payment</w:t>
      </w:r>
      <w:bookmarkEnd w:id="27"/>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28" w:name="_Toc456192010"/>
      <w:r>
        <w:rPr>
          <w:rStyle w:val="CharSectno"/>
        </w:rPr>
        <w:t>18</w:t>
      </w:r>
      <w:r>
        <w:t>.</w:t>
      </w:r>
      <w:r>
        <w:tab/>
        <w:t>Time for payment</w:t>
      </w:r>
      <w:bookmarkEnd w:id="28"/>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29" w:name="_Toc456192011"/>
      <w:r>
        <w:rPr>
          <w:rStyle w:val="CharSectno"/>
        </w:rPr>
        <w:t>19</w:t>
      </w:r>
      <w:r>
        <w:t>.</w:t>
      </w:r>
      <w:r>
        <w:tab/>
        <w:t>Interest on overdue payments</w:t>
      </w:r>
      <w:bookmarkEnd w:id="29"/>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30" w:name="_Toc456192012"/>
      <w:r>
        <w:rPr>
          <w:rStyle w:val="CharSectno"/>
        </w:rPr>
        <w:t>20</w:t>
      </w:r>
      <w:r>
        <w:t>.</w:t>
      </w:r>
      <w:r>
        <w:tab/>
        <w:t>Ownership of goods</w:t>
      </w:r>
      <w:bookmarkEnd w:id="30"/>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31" w:name="_Toc456192013"/>
      <w:r>
        <w:rPr>
          <w:rStyle w:val="CharSectno"/>
        </w:rPr>
        <w:t>21</w:t>
      </w:r>
      <w:r>
        <w:t>.</w:t>
      </w:r>
      <w:r>
        <w:tab/>
        <w:t>Duties as to unfixed goods on insolvency</w:t>
      </w:r>
      <w:bookmarkEnd w:id="31"/>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32" w:name="_Toc456192014"/>
      <w:r>
        <w:rPr>
          <w:rStyle w:val="CharSectno"/>
        </w:rPr>
        <w:t>22</w:t>
      </w:r>
      <w:r>
        <w:t>.</w:t>
      </w:r>
      <w:r>
        <w:tab/>
        <w:t>Retention money</w:t>
      </w:r>
      <w:bookmarkEnd w:id="32"/>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33" w:name="_Toc456192015"/>
      <w:r>
        <w:rPr>
          <w:rStyle w:val="CharSectno"/>
        </w:rPr>
        <w:t>23</w:t>
      </w:r>
      <w:r>
        <w:t>.</w:t>
      </w:r>
      <w:r>
        <w:tab/>
        <w:t>Implied provisions: interpretation etc.</w:t>
      </w:r>
      <w:bookmarkEnd w:id="33"/>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34" w:name="_Toc456191924"/>
      <w:bookmarkStart w:id="35" w:name="_Toc456192016"/>
      <w:r>
        <w:rPr>
          <w:rStyle w:val="CharPartNo"/>
        </w:rPr>
        <w:t>Part 3</w:t>
      </w:r>
      <w:r>
        <w:t xml:space="preserve"> — </w:t>
      </w:r>
      <w:r>
        <w:rPr>
          <w:rStyle w:val="CharPartText"/>
        </w:rPr>
        <w:t>Adjudication of disputes</w:t>
      </w:r>
      <w:bookmarkEnd w:id="34"/>
      <w:bookmarkEnd w:id="35"/>
    </w:p>
    <w:p>
      <w:pPr>
        <w:pStyle w:val="Heading3"/>
      </w:pPr>
      <w:bookmarkStart w:id="36" w:name="_Toc456191925"/>
      <w:bookmarkStart w:id="37" w:name="_Toc456192017"/>
      <w:r>
        <w:rPr>
          <w:rStyle w:val="CharDivNo"/>
        </w:rPr>
        <w:t>Division 1</w:t>
      </w:r>
      <w:r>
        <w:t> — </w:t>
      </w:r>
      <w:r>
        <w:rPr>
          <w:rStyle w:val="CharDivText"/>
        </w:rPr>
        <w:t>Preliminary</w:t>
      </w:r>
      <w:bookmarkEnd w:id="36"/>
      <w:bookmarkEnd w:id="37"/>
    </w:p>
    <w:p>
      <w:pPr>
        <w:pStyle w:val="Heading5"/>
      </w:pPr>
      <w:bookmarkStart w:id="38" w:name="_Toc456192018"/>
      <w:r>
        <w:rPr>
          <w:rStyle w:val="CharSectno"/>
        </w:rPr>
        <w:t>24</w:t>
      </w:r>
      <w:r>
        <w:t>.</w:t>
      </w:r>
      <w:r>
        <w:tab/>
        <w:t>Interpretation of construction contract</w:t>
      </w:r>
      <w:bookmarkEnd w:id="38"/>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39" w:name="_Toc456191927"/>
      <w:bookmarkStart w:id="40" w:name="_Toc456192019"/>
      <w:r>
        <w:rPr>
          <w:rStyle w:val="CharDivNo"/>
        </w:rPr>
        <w:t>Division 2</w:t>
      </w:r>
      <w:r>
        <w:t> — </w:t>
      </w:r>
      <w:r>
        <w:rPr>
          <w:rStyle w:val="CharDivText"/>
        </w:rPr>
        <w:t>Commencing adjudication</w:t>
      </w:r>
      <w:bookmarkEnd w:id="39"/>
      <w:bookmarkEnd w:id="40"/>
    </w:p>
    <w:p>
      <w:pPr>
        <w:pStyle w:val="Heading5"/>
      </w:pPr>
      <w:bookmarkStart w:id="41" w:name="_Toc456192020"/>
      <w:r>
        <w:rPr>
          <w:rStyle w:val="CharSectno"/>
        </w:rPr>
        <w:t>25</w:t>
      </w:r>
      <w:r>
        <w:t>.</w:t>
      </w:r>
      <w:r>
        <w:tab/>
        <w:t>Who can apply for adjudication</w:t>
      </w:r>
      <w:bookmarkEnd w:id="41"/>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42" w:name="_Toc456192021"/>
      <w:r>
        <w:rPr>
          <w:rStyle w:val="CharSectno"/>
        </w:rPr>
        <w:t>26</w:t>
      </w:r>
      <w:r>
        <w:t>.</w:t>
      </w:r>
      <w:r>
        <w:tab/>
        <w:t>Applying for adjudication</w:t>
      </w:r>
      <w:bookmarkEnd w:id="42"/>
    </w:p>
    <w:p>
      <w:pPr>
        <w:pStyle w:val="Subsection"/>
      </w:pPr>
      <w:r>
        <w:tab/>
        <w:t>(1)</w:t>
      </w:r>
      <w:r>
        <w:tab/>
        <w:t xml:space="preserve">To apply to have a payment dispute adjudicated, a party to the contract, within 28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Heading5"/>
      </w:pPr>
      <w:bookmarkStart w:id="43" w:name="_Toc456192022"/>
      <w:r>
        <w:rPr>
          <w:rStyle w:val="CharSectno"/>
        </w:rPr>
        <w:t>27</w:t>
      </w:r>
      <w:r>
        <w:t>.</w:t>
      </w:r>
      <w:r>
        <w:tab/>
        <w:t>Responding to application for adjudication</w:t>
      </w:r>
      <w:bookmarkEnd w:id="43"/>
    </w:p>
    <w:p>
      <w:pPr>
        <w:pStyle w:val="Subsection"/>
      </w:pPr>
      <w:r>
        <w:tab/>
        <w:t>(1)</w:t>
      </w:r>
      <w:r>
        <w:tab/>
        <w:t xml:space="preserve">Within 14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Heading5"/>
      </w:pPr>
      <w:bookmarkStart w:id="44" w:name="_Toc456192023"/>
      <w:r>
        <w:rPr>
          <w:rStyle w:val="CharSectno"/>
        </w:rPr>
        <w:t>28</w:t>
      </w:r>
      <w:r>
        <w:t>.</w:t>
      </w:r>
      <w:r>
        <w:tab/>
        <w:t>Appointment of adjudicator in absence of agreed appointment</w:t>
      </w:r>
      <w:bookmarkEnd w:id="44"/>
    </w:p>
    <w:p>
      <w:pPr>
        <w:pStyle w:val="Subsection"/>
      </w:pPr>
      <w:r>
        <w:tab/>
        <w:t>(1)</w:t>
      </w:r>
      <w:r>
        <w:tab/>
        <w:t>If an application for adjudication is served on a prescribed appointor the appointor, within 5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p>
    <w:p>
      <w:pPr>
        <w:pStyle w:val="Heading5"/>
      </w:pPr>
      <w:bookmarkStart w:id="45" w:name="_Toc456192024"/>
      <w:r>
        <w:rPr>
          <w:rStyle w:val="CharSectno"/>
        </w:rPr>
        <w:t>29</w:t>
      </w:r>
      <w:r>
        <w:t>.</w:t>
      </w:r>
      <w:r>
        <w:tab/>
        <w:t>Adjudicators: conflicts of interest</w:t>
      </w:r>
      <w:bookmarkEnd w:id="45"/>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Heading3"/>
        <w:pageBreakBefore/>
        <w:spacing w:before="0"/>
      </w:pPr>
      <w:bookmarkStart w:id="46" w:name="_Toc456191933"/>
      <w:bookmarkStart w:id="47" w:name="_Toc456192025"/>
      <w:r>
        <w:rPr>
          <w:rStyle w:val="CharDivNo"/>
        </w:rPr>
        <w:t>Division 3</w:t>
      </w:r>
      <w:r>
        <w:t> — </w:t>
      </w:r>
      <w:r>
        <w:rPr>
          <w:rStyle w:val="CharDivText"/>
        </w:rPr>
        <w:t>The adjudication process</w:t>
      </w:r>
      <w:bookmarkEnd w:id="46"/>
      <w:bookmarkEnd w:id="47"/>
    </w:p>
    <w:p>
      <w:pPr>
        <w:pStyle w:val="Heading5"/>
      </w:pPr>
      <w:bookmarkStart w:id="48" w:name="_Toc456192026"/>
      <w:r>
        <w:rPr>
          <w:rStyle w:val="CharSectno"/>
        </w:rPr>
        <w:t>30</w:t>
      </w:r>
      <w:r>
        <w:t>.</w:t>
      </w:r>
      <w:r>
        <w:tab/>
        <w:t>Object of adjudication process</w:t>
      </w:r>
      <w:bookmarkEnd w:id="48"/>
    </w:p>
    <w:p>
      <w:pPr>
        <w:pStyle w:val="Subsection"/>
      </w:pPr>
      <w:r>
        <w:tab/>
      </w:r>
      <w:r>
        <w:tab/>
        <w:t>The object of an adjudication of a payment dispute is to determine the dispute fairly and as quickly, informally and inexpensively as possible.</w:t>
      </w:r>
    </w:p>
    <w:p>
      <w:pPr>
        <w:pStyle w:val="Heading5"/>
      </w:pPr>
      <w:bookmarkStart w:id="49" w:name="_Toc456192027"/>
      <w:r>
        <w:rPr>
          <w:rStyle w:val="CharSectno"/>
        </w:rPr>
        <w:t>31</w:t>
      </w:r>
      <w:r>
        <w:t>.</w:t>
      </w:r>
      <w:r>
        <w:tab/>
        <w:t>Adjudicator’s functions</w:t>
      </w:r>
      <w:bookmarkEnd w:id="49"/>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14 days after the date of the service of the response;</w:t>
      </w:r>
    </w:p>
    <w:p>
      <w:pPr>
        <w:pStyle w:val="Defpara"/>
      </w:pPr>
      <w:r>
        <w:tab/>
        <w:t>(b)</w:t>
      </w:r>
      <w:r>
        <w:tab/>
        <w:t>if the appointed adjudicator is not served with a response under section 27(1) — 14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(ii)</w:t>
      </w:r>
      <w:r>
        <w:tab/>
        <w:t>the application has not been prepared and served in accordance with section 26;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Heading5"/>
      </w:pPr>
      <w:bookmarkStart w:id="50" w:name="_Toc456192028"/>
      <w:r>
        <w:rPr>
          <w:rStyle w:val="CharSectno"/>
        </w:rPr>
        <w:t>32</w:t>
      </w:r>
      <w:r>
        <w:t>.</w:t>
      </w:r>
      <w:r>
        <w:tab/>
        <w:t>Adjudication procedure</w:t>
      </w:r>
      <w:bookmarkEnd w:id="50"/>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with the consent of all the parties concerned, adjudicate the payment dispute simultaneously with another payment dispute.</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Heading5"/>
        <w:spacing w:before="120"/>
      </w:pPr>
      <w:bookmarkStart w:id="51" w:name="_Toc456192029"/>
      <w:r>
        <w:rPr>
          <w:rStyle w:val="CharSectno"/>
        </w:rPr>
        <w:t>33</w:t>
      </w:r>
      <w:r>
        <w:t>.</w:t>
      </w:r>
      <w:r>
        <w:tab/>
        <w:t>Interest up to determination</w:t>
      </w:r>
      <w:bookmarkEnd w:id="51"/>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52" w:name="_Toc456192030"/>
      <w:r>
        <w:rPr>
          <w:rStyle w:val="CharSectno"/>
        </w:rPr>
        <w:t>34</w:t>
      </w:r>
      <w:r>
        <w:t>.</w:t>
      </w:r>
      <w:r>
        <w:tab/>
        <w:t>Costs of parties to payment disputes</w:t>
      </w:r>
      <w:bookmarkEnd w:id="52"/>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53" w:name="_Toc456192031"/>
      <w:r>
        <w:rPr>
          <w:rStyle w:val="CharSectno"/>
        </w:rPr>
        <w:t>35</w:t>
      </w:r>
      <w:r>
        <w:t>.</w:t>
      </w:r>
      <w:r>
        <w:tab/>
        <w:t>Certificates of completion etc., effect of</w:t>
      </w:r>
      <w:bookmarkEnd w:id="53"/>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54" w:name="_Toc456192032"/>
      <w:r>
        <w:rPr>
          <w:rStyle w:val="CharSectno"/>
        </w:rPr>
        <w:t>36</w:t>
      </w:r>
      <w:r>
        <w:t>.</w:t>
      </w:r>
      <w:r>
        <w:tab/>
        <w:t>Determination, content of</w:t>
      </w:r>
      <w:bookmarkEnd w:id="54"/>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55" w:name="_Toc456192033"/>
      <w:r>
        <w:rPr>
          <w:rStyle w:val="CharSectno"/>
        </w:rPr>
        <w:t>37</w:t>
      </w:r>
      <w:r>
        <w:t>.</w:t>
      </w:r>
      <w:r>
        <w:tab/>
        <w:t>Dismissed applications</w:t>
      </w:r>
      <w:bookmarkEnd w:id="55"/>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28 days after the previous application is taken to be dismissed under section 31(3).</w:t>
      </w:r>
    </w:p>
    <w:p>
      <w:pPr>
        <w:pStyle w:val="Heading3"/>
      </w:pPr>
      <w:bookmarkStart w:id="56" w:name="_Toc456191942"/>
      <w:bookmarkStart w:id="57" w:name="_Toc456192034"/>
      <w:r>
        <w:rPr>
          <w:rStyle w:val="CharDivNo"/>
        </w:rPr>
        <w:t>Division 4</w:t>
      </w:r>
      <w:r>
        <w:t> — </w:t>
      </w:r>
      <w:r>
        <w:rPr>
          <w:rStyle w:val="CharDivText"/>
        </w:rPr>
        <w:t>Effect of determinations</w:t>
      </w:r>
      <w:bookmarkEnd w:id="56"/>
      <w:bookmarkEnd w:id="57"/>
    </w:p>
    <w:p>
      <w:pPr>
        <w:pStyle w:val="Heading5"/>
      </w:pPr>
      <w:bookmarkStart w:id="58" w:name="_Toc456192035"/>
      <w:r>
        <w:rPr>
          <w:rStyle w:val="CharSectno"/>
        </w:rPr>
        <w:t>38</w:t>
      </w:r>
      <w:r>
        <w:t>.</w:t>
      </w:r>
      <w:r>
        <w:tab/>
        <w:t>Determinations have effect despite other proceedings</w:t>
      </w:r>
      <w:bookmarkEnd w:id="58"/>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59" w:name="_Toc456192036"/>
      <w:r>
        <w:rPr>
          <w:rStyle w:val="CharSectno"/>
        </w:rPr>
        <w:t>39</w:t>
      </w:r>
      <w:r>
        <w:t>.</w:t>
      </w:r>
      <w:r>
        <w:tab/>
        <w:t>Payment of amount determined and interest</w:t>
      </w:r>
      <w:bookmarkEnd w:id="59"/>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t>If under section 43(2) a judgment is entered in the terms of a determination, interest under subsection (2) ceases to accrue.</w:t>
      </w:r>
    </w:p>
    <w:p>
      <w:pPr>
        <w:pStyle w:val="Footnotesection"/>
      </w:pPr>
      <w:r>
        <w:tab/>
        <w:t>[Section 39 amended by No. 8 of 2009 s. 38(3).]</w:t>
      </w:r>
    </w:p>
    <w:p>
      <w:pPr>
        <w:pStyle w:val="Heading5"/>
      </w:pPr>
      <w:bookmarkStart w:id="60" w:name="_Toc456192037"/>
      <w:r>
        <w:rPr>
          <w:rStyle w:val="CharSectno"/>
        </w:rPr>
        <w:t>40</w:t>
      </w:r>
      <w:r>
        <w:t>.</w:t>
      </w:r>
      <w:r>
        <w:tab/>
        <w:t>Progress payments under determinations to be on account</w:t>
      </w:r>
      <w:bookmarkEnd w:id="60"/>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61" w:name="_Toc456192038"/>
      <w:r>
        <w:rPr>
          <w:rStyle w:val="CharSectno"/>
        </w:rPr>
        <w:t>41</w:t>
      </w:r>
      <w:r>
        <w:t>.</w:t>
      </w:r>
      <w:r>
        <w:tab/>
        <w:t>Determinations are final</w:t>
      </w:r>
      <w:bookmarkEnd w:id="61"/>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62" w:name="_Toc456191947"/>
      <w:bookmarkStart w:id="63" w:name="_Toc456192039"/>
      <w:r>
        <w:rPr>
          <w:rStyle w:val="CharDivNo"/>
        </w:rPr>
        <w:t>Division 5</w:t>
      </w:r>
      <w:r>
        <w:t> — </w:t>
      </w:r>
      <w:r>
        <w:rPr>
          <w:rStyle w:val="CharDivText"/>
        </w:rPr>
        <w:t>Enforcing determinations</w:t>
      </w:r>
      <w:bookmarkEnd w:id="62"/>
      <w:bookmarkEnd w:id="63"/>
    </w:p>
    <w:p>
      <w:pPr>
        <w:pStyle w:val="Heading5"/>
        <w:spacing w:before="240"/>
      </w:pPr>
      <w:bookmarkStart w:id="64" w:name="_Toc456192040"/>
      <w:r>
        <w:rPr>
          <w:rStyle w:val="CharSectno"/>
        </w:rPr>
        <w:t>42</w:t>
      </w:r>
      <w:r>
        <w:t>.</w:t>
      </w:r>
      <w:r>
        <w:tab/>
        <w:t>Non</w:t>
      </w:r>
      <w:r>
        <w:noBreakHyphen/>
        <w:t>compliance by principal, contractor may suspend its obligations</w:t>
      </w:r>
      <w:bookmarkEnd w:id="6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Heading5"/>
      </w:pPr>
      <w:bookmarkStart w:id="65" w:name="_Toc456192041"/>
      <w:r>
        <w:rPr>
          <w:rStyle w:val="CharSectno"/>
        </w:rPr>
        <w:t>43</w:t>
      </w:r>
      <w:r>
        <w:t>.</w:t>
      </w:r>
      <w:r>
        <w:tab/>
        <w:t>Determinations may be enforced as judgments</w:t>
      </w:r>
      <w:bookmarkEnd w:id="6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A determination may, with the leave of a court of competent jurisdiction, be enforced in the same manner as a judgment or order of the court to the same effect, and if such leave is given, judgment may be entered in terms of the determination.</w:t>
      </w:r>
    </w:p>
    <w:p>
      <w:pPr>
        <w:pStyle w:val="Subsection"/>
      </w:pPr>
      <w:r>
        <w:tab/>
        <w:t>(3)</w:t>
      </w:r>
      <w:r>
        <w:tab/>
        <w:t>For the purposes of subsection (2), a determination signed by an adjudicator and certified by the Building Commissioner as having been made by a registered adjudicator under this Part is to be taken as having been made under this Part.</w:t>
      </w:r>
    </w:p>
    <w:p>
      <w:pPr>
        <w:pStyle w:val="Footnotesection"/>
      </w:pPr>
      <w:r>
        <w:tab/>
        <w:t>[Section 43 amended by No. 16 of 2011 s. 128(6).]</w:t>
      </w:r>
    </w:p>
    <w:p>
      <w:pPr>
        <w:pStyle w:val="Heading3"/>
        <w:spacing w:before="180"/>
      </w:pPr>
      <w:bookmarkStart w:id="66" w:name="_Toc456191950"/>
      <w:bookmarkStart w:id="67" w:name="_Toc456192042"/>
      <w:r>
        <w:rPr>
          <w:rStyle w:val="CharDivNo"/>
        </w:rPr>
        <w:t>Division 6</w:t>
      </w:r>
      <w:r>
        <w:t> — </w:t>
      </w:r>
      <w:r>
        <w:rPr>
          <w:rStyle w:val="CharDivText"/>
        </w:rPr>
        <w:t>General</w:t>
      </w:r>
      <w:bookmarkEnd w:id="66"/>
      <w:bookmarkEnd w:id="67"/>
    </w:p>
    <w:p>
      <w:pPr>
        <w:pStyle w:val="Heading5"/>
        <w:spacing w:before="240"/>
      </w:pPr>
      <w:bookmarkStart w:id="68" w:name="_Toc456192043"/>
      <w:r>
        <w:rPr>
          <w:rStyle w:val="CharSectno"/>
        </w:rPr>
        <w:t>44</w:t>
      </w:r>
      <w:r>
        <w:t>.</w:t>
      </w:r>
      <w:r>
        <w:tab/>
        <w:t>Costs of adjudications</w:t>
      </w:r>
      <w:bookmarkEnd w:id="68"/>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69" w:name="_Toc456192044"/>
      <w:r>
        <w:rPr>
          <w:rStyle w:val="CharSectno"/>
        </w:rPr>
        <w:t>45</w:t>
      </w:r>
      <w:r>
        <w:t>.</w:t>
      </w:r>
      <w:r>
        <w:tab/>
        <w:t>Effect of this Part on civil proceedings</w:t>
      </w:r>
      <w:bookmarkEnd w:id="69"/>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70" w:name="_Toc456192045"/>
      <w:r>
        <w:rPr>
          <w:rStyle w:val="CharSectno"/>
        </w:rPr>
        <w:t>46</w:t>
      </w:r>
      <w:r>
        <w:t>.</w:t>
      </w:r>
      <w:r>
        <w:tab/>
        <w:t>Review, limited right of</w:t>
      </w:r>
      <w:bookmarkEnd w:id="70"/>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14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Heading2"/>
      </w:pPr>
      <w:bookmarkStart w:id="71" w:name="_Toc456191954"/>
      <w:bookmarkStart w:id="72" w:name="_Toc456192046"/>
      <w:r>
        <w:rPr>
          <w:rStyle w:val="CharPartNo"/>
        </w:rPr>
        <w:t>Part 4</w:t>
      </w:r>
      <w:r>
        <w:rPr>
          <w:rStyle w:val="CharDivNo"/>
        </w:rPr>
        <w:t> </w:t>
      </w:r>
      <w:r>
        <w:t>—</w:t>
      </w:r>
      <w:r>
        <w:rPr>
          <w:rStyle w:val="CharDivText"/>
        </w:rPr>
        <w:t> </w:t>
      </w:r>
      <w:r>
        <w:rPr>
          <w:rStyle w:val="CharPartText"/>
        </w:rPr>
        <w:t>Administration</w:t>
      </w:r>
      <w:bookmarkEnd w:id="71"/>
      <w:bookmarkEnd w:id="72"/>
    </w:p>
    <w:p>
      <w:pPr>
        <w:pStyle w:val="Ednotesection"/>
      </w:pPr>
      <w:r>
        <w:t>[</w:t>
      </w:r>
      <w:r>
        <w:rPr>
          <w:b/>
        </w:rPr>
        <w:t>47.</w:t>
      </w:r>
      <w:r>
        <w:tab/>
        <w:t>Deleted by No. 16 of 2011 s. 128(5)]</w:t>
      </w:r>
    </w:p>
    <w:p>
      <w:pPr>
        <w:pStyle w:val="Heading5"/>
      </w:pPr>
      <w:bookmarkStart w:id="73" w:name="_Toc456192047"/>
      <w:r>
        <w:rPr>
          <w:rStyle w:val="CharSectno"/>
        </w:rPr>
        <w:t>48</w:t>
      </w:r>
      <w:r>
        <w:t>.</w:t>
      </w:r>
      <w:r>
        <w:tab/>
        <w:t>Registering adjudicators</w:t>
      </w:r>
      <w:bookmarkEnd w:id="73"/>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74" w:name="_Toc456192048"/>
      <w:r>
        <w:rPr>
          <w:rStyle w:val="CharSectno"/>
        </w:rPr>
        <w:t>49</w:t>
      </w:r>
      <w:r>
        <w:t>.</w:t>
      </w:r>
      <w:r>
        <w:tab/>
        <w:t>Review of registration decisions</w:t>
      </w:r>
      <w:bookmarkEnd w:id="74"/>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75" w:name="_Toc456192049"/>
      <w:r>
        <w:rPr>
          <w:rStyle w:val="CharSectno"/>
        </w:rPr>
        <w:t>50</w:t>
      </w:r>
      <w:r>
        <w:t>.</w:t>
      </w:r>
      <w:r>
        <w:tab/>
        <w:t>Publication of adjudicators’ decisions</w:t>
      </w:r>
      <w:bookmarkEnd w:id="75"/>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76" w:name="_Toc456192050"/>
      <w:r>
        <w:rPr>
          <w:rStyle w:val="CharSectno"/>
        </w:rPr>
        <w:t>51</w:t>
      </w:r>
      <w:r>
        <w:t>.</w:t>
      </w:r>
      <w:r>
        <w:tab/>
        <w:t>Appointors’ and adjudicators’ rates to be published</w:t>
      </w:r>
      <w:bookmarkEnd w:id="76"/>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77" w:name="_Toc456192051"/>
      <w:r>
        <w:rPr>
          <w:rStyle w:val="CharSectno"/>
        </w:rPr>
        <w:t>52</w:t>
      </w:r>
      <w:r>
        <w:t>.</w:t>
      </w:r>
      <w:r>
        <w:tab/>
        <w:t>Annual report</w:t>
      </w:r>
      <w:bookmarkEnd w:id="77"/>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78" w:name="_Toc456191960"/>
      <w:bookmarkStart w:id="79" w:name="_Toc456192052"/>
      <w:r>
        <w:rPr>
          <w:rStyle w:val="CharPartNo"/>
        </w:rPr>
        <w:t>Part 5</w:t>
      </w:r>
      <w:r>
        <w:rPr>
          <w:rStyle w:val="CharDivNo"/>
        </w:rPr>
        <w:t> </w:t>
      </w:r>
      <w:r>
        <w:t>—</w:t>
      </w:r>
      <w:r>
        <w:rPr>
          <w:rStyle w:val="CharDivText"/>
        </w:rPr>
        <w:t> </w:t>
      </w:r>
      <w:r>
        <w:rPr>
          <w:rStyle w:val="CharPartText"/>
        </w:rPr>
        <w:t>Miscellaneous</w:t>
      </w:r>
      <w:bookmarkEnd w:id="78"/>
      <w:bookmarkEnd w:id="79"/>
    </w:p>
    <w:p>
      <w:pPr>
        <w:pStyle w:val="Heading5"/>
      </w:pPr>
      <w:bookmarkStart w:id="80" w:name="_Toc456192053"/>
      <w:r>
        <w:rPr>
          <w:rStyle w:val="CharSectno"/>
        </w:rPr>
        <w:t>53</w:t>
      </w:r>
      <w:r>
        <w:t>.</w:t>
      </w:r>
      <w:r>
        <w:tab/>
        <w:t>No contracting out</w:t>
      </w:r>
      <w:bookmarkEnd w:id="80"/>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81" w:name="_Toc456192054"/>
      <w:r>
        <w:rPr>
          <w:rStyle w:val="CharSectno"/>
        </w:rPr>
        <w:t>54</w:t>
      </w:r>
      <w:r>
        <w:t>.</w:t>
      </w:r>
      <w:r>
        <w:tab/>
        <w:t>Immunity from tortious liability</w:t>
      </w:r>
      <w:bookmarkEnd w:id="81"/>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82" w:name="_Toc456192055"/>
      <w:r>
        <w:rPr>
          <w:rStyle w:val="CharSectno"/>
        </w:rPr>
        <w:t>55</w:t>
      </w:r>
      <w:r>
        <w:t>.</w:t>
      </w:r>
      <w:r>
        <w:tab/>
        <w:t>Regulations</w:t>
      </w:r>
      <w:bookmarkEnd w:id="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83" w:name="_Toc456192056"/>
      <w:r>
        <w:rPr>
          <w:rStyle w:val="CharSectno"/>
        </w:rPr>
        <w:t>56</w:t>
      </w:r>
      <w:r>
        <w:t>.</w:t>
      </w:r>
      <w:r>
        <w:tab/>
        <w:t>Review of Act</w:t>
      </w:r>
      <w:bookmarkEnd w:id="83"/>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4" w:name="_Toc456191965"/>
      <w:bookmarkStart w:id="85" w:name="_Toc456192057"/>
      <w:r>
        <w:rPr>
          <w:rStyle w:val="CharSchNo"/>
        </w:rPr>
        <w:t>Schedule 1</w:t>
      </w:r>
      <w:r>
        <w:t xml:space="preserve"> — </w:t>
      </w:r>
      <w:r>
        <w:rPr>
          <w:rStyle w:val="CharSchText"/>
        </w:rPr>
        <w:t>Implied provisions</w:t>
      </w:r>
      <w:bookmarkEnd w:id="84"/>
      <w:bookmarkEnd w:id="85"/>
    </w:p>
    <w:p>
      <w:pPr>
        <w:pStyle w:val="yShoulderClause"/>
      </w:pPr>
      <w:r>
        <w:t>[s. 13 to 22]</w:t>
      </w:r>
    </w:p>
    <w:p>
      <w:pPr>
        <w:pStyle w:val="yHeading3"/>
      </w:pPr>
      <w:bookmarkStart w:id="86" w:name="_Toc456191966"/>
      <w:bookmarkStart w:id="87" w:name="_Toc456192058"/>
      <w:r>
        <w:rPr>
          <w:rStyle w:val="CharSDivNo"/>
        </w:rPr>
        <w:t>Division 1</w:t>
      </w:r>
      <w:r>
        <w:rPr>
          <w:b w:val="0"/>
        </w:rPr>
        <w:t> — </w:t>
      </w:r>
      <w:r>
        <w:rPr>
          <w:rStyle w:val="CharSDivText"/>
        </w:rPr>
        <w:t>Variations</w:t>
      </w:r>
      <w:bookmarkEnd w:id="86"/>
      <w:bookmarkEnd w:id="87"/>
    </w:p>
    <w:p>
      <w:pPr>
        <w:pStyle w:val="yHeading5"/>
      </w:pPr>
      <w:bookmarkStart w:id="88" w:name="_Toc456192059"/>
      <w:r>
        <w:rPr>
          <w:rStyle w:val="CharSClsNo"/>
        </w:rPr>
        <w:t>1</w:t>
      </w:r>
      <w:r>
        <w:t>.</w:t>
      </w:r>
      <w:r>
        <w:tab/>
        <w:t>Variations must be agreed</w:t>
      </w:r>
      <w:bookmarkEnd w:id="88"/>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89" w:name="_Toc456191968"/>
      <w:bookmarkStart w:id="90" w:name="_Toc456192060"/>
      <w:r>
        <w:rPr>
          <w:rStyle w:val="CharSDivNo"/>
        </w:rPr>
        <w:t>Division 2</w:t>
      </w:r>
      <w:r>
        <w:rPr>
          <w:b w:val="0"/>
        </w:rPr>
        <w:t> — </w:t>
      </w:r>
      <w:r>
        <w:rPr>
          <w:rStyle w:val="CharSDivText"/>
        </w:rPr>
        <w:t>Contractor’s entitlement to be paid</w:t>
      </w:r>
      <w:bookmarkEnd w:id="89"/>
      <w:bookmarkEnd w:id="90"/>
    </w:p>
    <w:p>
      <w:pPr>
        <w:pStyle w:val="yHeading5"/>
      </w:pPr>
      <w:bookmarkStart w:id="91" w:name="_Toc456192061"/>
      <w:r>
        <w:rPr>
          <w:rStyle w:val="CharSClsNo"/>
        </w:rPr>
        <w:t>2</w:t>
      </w:r>
      <w:r>
        <w:t>.</w:t>
      </w:r>
      <w:r>
        <w:tab/>
        <w:t>Contractor entitled to be paid</w:t>
      </w:r>
      <w:bookmarkEnd w:id="91"/>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92" w:name="_Toc456191970"/>
      <w:bookmarkStart w:id="93" w:name="_Toc456192062"/>
      <w:r>
        <w:rPr>
          <w:rStyle w:val="CharSDivNo"/>
        </w:rPr>
        <w:t>Division 3</w:t>
      </w:r>
      <w:r>
        <w:rPr>
          <w:b w:val="0"/>
        </w:rPr>
        <w:t> — </w:t>
      </w:r>
      <w:r>
        <w:rPr>
          <w:rStyle w:val="CharSDivText"/>
        </w:rPr>
        <w:t>Claims for progress payments</w:t>
      </w:r>
      <w:bookmarkEnd w:id="92"/>
      <w:bookmarkEnd w:id="93"/>
    </w:p>
    <w:p>
      <w:pPr>
        <w:pStyle w:val="yHeading5"/>
      </w:pPr>
      <w:bookmarkStart w:id="94" w:name="_Toc456192063"/>
      <w:r>
        <w:rPr>
          <w:rStyle w:val="CharSClsNo"/>
        </w:rPr>
        <w:t>3</w:t>
      </w:r>
      <w:r>
        <w:t>.</w:t>
      </w:r>
      <w:r>
        <w:tab/>
        <w:t>Entitlement to claim progress payments</w:t>
      </w:r>
      <w:bookmarkEnd w:id="94"/>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95" w:name="_Toc456192064"/>
      <w:r>
        <w:rPr>
          <w:rStyle w:val="CharSClsNo"/>
        </w:rPr>
        <w:t>4</w:t>
      </w:r>
      <w:r>
        <w:t>.</w:t>
      </w:r>
      <w:r>
        <w:tab/>
        <w:t>When claims for progress payments can be made</w:t>
      </w:r>
      <w:bookmarkEnd w:id="95"/>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96" w:name="_Toc456191973"/>
      <w:bookmarkStart w:id="97" w:name="_Toc456192065"/>
      <w:r>
        <w:rPr>
          <w:rStyle w:val="CharSDivNo"/>
        </w:rPr>
        <w:t>Division 4</w:t>
      </w:r>
      <w:r>
        <w:rPr>
          <w:b w:val="0"/>
        </w:rPr>
        <w:t> — </w:t>
      </w:r>
      <w:r>
        <w:rPr>
          <w:rStyle w:val="CharSDivText"/>
        </w:rPr>
        <w:t>Making claims for payment</w:t>
      </w:r>
      <w:bookmarkEnd w:id="96"/>
      <w:bookmarkEnd w:id="97"/>
    </w:p>
    <w:p>
      <w:pPr>
        <w:pStyle w:val="yHeading5"/>
      </w:pPr>
      <w:bookmarkStart w:id="98" w:name="_Toc456192066"/>
      <w:r>
        <w:rPr>
          <w:rStyle w:val="CharSClsNo"/>
        </w:rPr>
        <w:t>5</w:t>
      </w:r>
      <w:r>
        <w:t>.</w:t>
      </w:r>
      <w:r>
        <w:tab/>
        <w:t>Claim for payment, content</w:t>
      </w:r>
      <w:bookmarkEnd w:id="98"/>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99" w:name="_Toc456191975"/>
      <w:bookmarkStart w:id="100" w:name="_Toc456192067"/>
      <w:r>
        <w:rPr>
          <w:rStyle w:val="CharSDivNo"/>
        </w:rPr>
        <w:t>Division 5</w:t>
      </w:r>
      <w:r>
        <w:rPr>
          <w:b w:val="0"/>
        </w:rPr>
        <w:t> — </w:t>
      </w:r>
      <w:r>
        <w:rPr>
          <w:rStyle w:val="CharSDivText"/>
        </w:rPr>
        <w:t>Responding to claims for payment</w:t>
      </w:r>
      <w:bookmarkEnd w:id="99"/>
      <w:bookmarkEnd w:id="100"/>
    </w:p>
    <w:p>
      <w:pPr>
        <w:pStyle w:val="yHeading5"/>
      </w:pPr>
      <w:bookmarkStart w:id="101" w:name="_Toc456192068"/>
      <w:r>
        <w:rPr>
          <w:rStyle w:val="CharSClsNo"/>
        </w:rPr>
        <w:t>6</w:t>
      </w:r>
      <w:r>
        <w:t>.</w:t>
      </w:r>
      <w:r>
        <w:tab/>
        <w:t>Term used: payment claim</w:t>
      </w:r>
      <w:bookmarkEnd w:id="101"/>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02" w:name="_Toc456192069"/>
      <w:r>
        <w:rPr>
          <w:rStyle w:val="CharSClsNo"/>
        </w:rPr>
        <w:t>7</w:t>
      </w:r>
      <w:r>
        <w:t>.</w:t>
      </w:r>
      <w:r>
        <w:tab/>
        <w:t>Responding to payment claim</w:t>
      </w:r>
      <w:bookmarkEnd w:id="102"/>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03" w:name="_Toc456191978"/>
      <w:bookmarkStart w:id="104" w:name="_Toc456192070"/>
      <w:r>
        <w:rPr>
          <w:rStyle w:val="CharSDivNo"/>
        </w:rPr>
        <w:t>Division 6</w:t>
      </w:r>
      <w:r>
        <w:rPr>
          <w:b w:val="0"/>
        </w:rPr>
        <w:t> — </w:t>
      </w:r>
      <w:r>
        <w:rPr>
          <w:rStyle w:val="CharSDivText"/>
        </w:rPr>
        <w:t>Interest on overdue payments</w:t>
      </w:r>
      <w:bookmarkEnd w:id="103"/>
      <w:bookmarkEnd w:id="104"/>
    </w:p>
    <w:p>
      <w:pPr>
        <w:pStyle w:val="yHeading5"/>
      </w:pPr>
      <w:bookmarkStart w:id="105" w:name="_Toc456192071"/>
      <w:r>
        <w:rPr>
          <w:rStyle w:val="CharSClsNo"/>
        </w:rPr>
        <w:t>8</w:t>
      </w:r>
      <w:r>
        <w:t>.</w:t>
      </w:r>
      <w:r>
        <w:tab/>
        <w:t>Interest payable on overdue payments</w:t>
      </w:r>
      <w:bookmarkEnd w:id="105"/>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106" w:name="_Toc456191980"/>
      <w:bookmarkStart w:id="107" w:name="_Toc456192072"/>
      <w:r>
        <w:rPr>
          <w:rStyle w:val="CharSDivNo"/>
        </w:rPr>
        <w:t>Division 7</w:t>
      </w:r>
      <w:r>
        <w:rPr>
          <w:b w:val="0"/>
        </w:rPr>
        <w:t> — </w:t>
      </w:r>
      <w:r>
        <w:rPr>
          <w:rStyle w:val="CharSDivText"/>
        </w:rPr>
        <w:t>Ownership of goods</w:t>
      </w:r>
      <w:bookmarkEnd w:id="106"/>
      <w:bookmarkEnd w:id="107"/>
    </w:p>
    <w:p>
      <w:pPr>
        <w:pStyle w:val="yHeading5"/>
      </w:pPr>
      <w:bookmarkStart w:id="108" w:name="_Toc456192073"/>
      <w:r>
        <w:rPr>
          <w:rStyle w:val="CharSClsNo"/>
        </w:rPr>
        <w:t>9</w:t>
      </w:r>
      <w:r>
        <w:t>.</w:t>
      </w:r>
      <w:r>
        <w:tab/>
        <w:t>When ownership of goods supplied by contractor passes</w:t>
      </w:r>
      <w:bookmarkEnd w:id="108"/>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09" w:name="_Toc456191982"/>
      <w:bookmarkStart w:id="110" w:name="_Toc456192074"/>
      <w:r>
        <w:rPr>
          <w:rStyle w:val="CharSDivNo"/>
        </w:rPr>
        <w:t>Division 8</w:t>
      </w:r>
      <w:r>
        <w:rPr>
          <w:b w:val="0"/>
        </w:rPr>
        <w:t> — </w:t>
      </w:r>
      <w:r>
        <w:rPr>
          <w:rStyle w:val="CharSDivText"/>
        </w:rPr>
        <w:t>Duties as to unfixed goods on insolvency</w:t>
      </w:r>
      <w:bookmarkEnd w:id="109"/>
      <w:bookmarkEnd w:id="110"/>
    </w:p>
    <w:p>
      <w:pPr>
        <w:pStyle w:val="yHeading5"/>
      </w:pPr>
      <w:bookmarkStart w:id="111" w:name="_Toc456192075"/>
      <w:r>
        <w:rPr>
          <w:rStyle w:val="CharSClsNo"/>
        </w:rPr>
        <w:t>10</w:t>
      </w:r>
      <w:r>
        <w:t>.</w:t>
      </w:r>
      <w:r>
        <w:tab/>
        <w:t>Duties of principal or landowner etc. as to unfixed goods on insolvency</w:t>
      </w:r>
      <w:bookmarkEnd w:id="111"/>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112" w:name="_Toc456191984"/>
      <w:bookmarkStart w:id="113" w:name="_Toc456192076"/>
      <w:r>
        <w:rPr>
          <w:rStyle w:val="CharSDivNo"/>
        </w:rPr>
        <w:t>Division 9</w:t>
      </w:r>
      <w:r>
        <w:rPr>
          <w:b w:val="0"/>
        </w:rPr>
        <w:t> — </w:t>
      </w:r>
      <w:r>
        <w:rPr>
          <w:rStyle w:val="CharSDivText"/>
        </w:rPr>
        <w:t>Retention money</w:t>
      </w:r>
      <w:bookmarkEnd w:id="112"/>
      <w:bookmarkEnd w:id="113"/>
    </w:p>
    <w:p>
      <w:pPr>
        <w:pStyle w:val="yHeading5"/>
        <w:spacing w:before="240"/>
      </w:pPr>
      <w:bookmarkStart w:id="114" w:name="_Toc456192077"/>
      <w:r>
        <w:rPr>
          <w:rStyle w:val="CharSClsNo"/>
        </w:rPr>
        <w:t>11</w:t>
      </w:r>
      <w:r>
        <w:t>.</w:t>
      </w:r>
      <w:r>
        <w:tab/>
        <w:t>Retention money to be held on trust</w:t>
      </w:r>
      <w:bookmarkEnd w:id="114"/>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pStyle w:val="yIndenta"/>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15" w:name="_Toc456191986"/>
      <w:bookmarkStart w:id="116" w:name="_Toc456192078"/>
      <w:r>
        <w:t>Notes</w:t>
      </w:r>
      <w:bookmarkEnd w:id="115"/>
      <w:bookmarkEnd w:id="116"/>
    </w:p>
    <w:p>
      <w:pPr>
        <w:pStyle w:val="nSubsection"/>
      </w:pPr>
      <w:r>
        <w:rPr>
          <w:vertAlign w:val="superscript"/>
        </w:rPr>
        <w:t>1</w:t>
      </w:r>
      <w:r>
        <w:tab/>
        <w:t xml:space="preserve">This reprint is a compilation as at 12 August 2016 of the </w:t>
      </w:r>
      <w:r>
        <w:rPr>
          <w:i/>
          <w:noProof/>
          <w:snapToGrid w:val="0"/>
        </w:rPr>
        <w:t xml:space="preserve">Construction Contracts Act 2004 </w:t>
      </w:r>
      <w:r>
        <w:t>and includes the amendments made by the other written laws referred to in the following table.  The table also contains information about any reprint.</w:t>
      </w:r>
    </w:p>
    <w:p>
      <w:pPr>
        <w:pStyle w:val="nHeading3"/>
        <w:rPr>
          <w:snapToGrid w:val="0"/>
        </w:rPr>
      </w:pPr>
      <w:bookmarkStart w:id="117" w:name="_Toc456192079"/>
      <w:r>
        <w:rPr>
          <w:snapToGrid w:val="0"/>
        </w:rPr>
        <w:t>Compilation table</w:t>
      </w:r>
      <w:bookmarkEnd w:id="117"/>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shd w:val="clear" w:color="auto" w:fill="auto"/>
          </w:tcPr>
          <w:p>
            <w:pPr>
              <w:pStyle w:val="nTable"/>
              <w:spacing w:after="40"/>
              <w:rPr>
                <w:rFonts w:ascii="Times New Roman" w:hAnsi="Times New Roman"/>
              </w:rPr>
            </w:pPr>
            <w:r>
              <w:rPr>
                <w:rFonts w:ascii="Times New Roman" w:hAnsi="Times New Roman"/>
              </w:rPr>
              <w:t>16 of 2011</w:t>
            </w:r>
          </w:p>
        </w:tc>
        <w:tc>
          <w:tcPr>
            <w:tcW w:w="1134" w:type="dxa"/>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9" w:name="_Toc456191988"/>
      <w:bookmarkStart w:id="120" w:name="_Toc456192080"/>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5(3)(b)(i)</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5(3)(b)(i)</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17D9F-75EC-4D02-97DA-FAFB9E856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10164</Words>
  <Characters>50618</Characters>
  <Application>Microsoft Office Word</Application>
  <DocSecurity>0</DocSecurity>
  <Lines>1406</Lines>
  <Paragraphs>844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59938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2004 - 01-a0-01</dc:title>
  <dc:subject/>
  <dc:creator/>
  <cp:keywords/>
  <dc:description/>
  <cp:lastModifiedBy>svcMRProcess</cp:lastModifiedBy>
  <cp:revision>4</cp:revision>
  <cp:lastPrinted>2016-08-16T06:33:00Z</cp:lastPrinted>
  <dcterms:created xsi:type="dcterms:W3CDTF">2018-08-21T22:05:00Z</dcterms:created>
  <dcterms:modified xsi:type="dcterms:W3CDTF">2018-08-21T22:05:00Z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AsAtDate">
    <vt:lpwstr>12 Aug 2016</vt:lpwstr>
  </property>
  <property fmtid="{D5CDD505-2E9C-101B-9397-08002B2CF9AE}" pid="8" name="Suffix">
    <vt:lpwstr>01-a0-01</vt:lpwstr>
  </property>
  <property fmtid="{D5CDD505-2E9C-101B-9397-08002B2CF9AE}" pid="9" name="CommencementDate">
    <vt:lpwstr>20160812</vt:lpwstr>
  </property>
</Properties>
</file>