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_Toc460852038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_Toc460852039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_Toc460852041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_Toc460852042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_Toc460852043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_Toc460852044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_Toc460852045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_Toc460852046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_Toc460852047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_Toc460852048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_Toc460852049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_Toc460852050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_Toc460852051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_Toc460852052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_Toc460852053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_Toc460852054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_Toc460852055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_Toc460852056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_Toc460852057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_Toc460852058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_Toc460852059 \h </w:instrText>
      </w:r>
      <w:r>
        <w:fldChar w:fldCharType="separate"/>
      </w:r>
      <w:r>
        <w:t>17</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_Toc460852060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_Toc460852061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_Toc460852062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_Toc460852063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_Toc460852064 \h </w:instrText>
      </w:r>
      <w:r>
        <w:fldChar w:fldCharType="separate"/>
      </w:r>
      <w:r>
        <w:t>19</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_Toc460852065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_Toc460852066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_Toc460852067 \h </w:instrText>
      </w:r>
      <w:r>
        <w:fldChar w:fldCharType="separate"/>
      </w:r>
      <w:r>
        <w:t>20</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_Toc460852068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_Toc460852070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_Toc460852071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_Toc460852072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_Toc460852073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_Toc460852074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_Toc460852075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_Toc460852077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_Toc460852078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_Toc460852079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_Toc460852080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_Toc460852081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_Toc460852082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_Toc460852083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_Toc460852084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_Toc460852085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_Toc460852086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_Toc460852087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_Toc460852088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_Toc460852089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_Toc460852090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_Toc460852091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_Toc460852092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_Toc460852095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460852037"/>
      <w:r>
        <w:rPr>
          <w:rStyle w:val="CharPartNo"/>
        </w:rPr>
        <w:t>Part 1 </w:t>
      </w:r>
      <w:r>
        <w:t>— </w:t>
      </w:r>
      <w:r>
        <w:rPr>
          <w:rStyle w:val="CharPartText"/>
        </w:rPr>
        <w:t>Preliminary</w:t>
      </w:r>
      <w:bookmarkEnd w:id="3"/>
    </w:p>
    <w:p>
      <w:pPr>
        <w:pStyle w:val="Heading5"/>
        <w:rPr>
          <w:snapToGrid w:val="0"/>
        </w:rPr>
      </w:pPr>
      <w:bookmarkStart w:id="4" w:name="_Toc460852038"/>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5" w:name="_Toc460852039"/>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6" w:name="_Toc460852040"/>
      <w:r>
        <w:rPr>
          <w:rStyle w:val="CharPartNo"/>
        </w:rPr>
        <w:t>Part 2</w:t>
      </w:r>
      <w:r>
        <w:rPr>
          <w:rStyle w:val="CharDivNo"/>
        </w:rPr>
        <w:t> </w:t>
      </w:r>
      <w:r>
        <w:t>—</w:t>
      </w:r>
      <w:r>
        <w:rPr>
          <w:rStyle w:val="CharDivText"/>
        </w:rPr>
        <w:t> </w:t>
      </w:r>
      <w:r>
        <w:rPr>
          <w:rStyle w:val="CharPartText"/>
        </w:rPr>
        <w:t>General</w:t>
      </w:r>
      <w:bookmarkEnd w:id="6"/>
    </w:p>
    <w:p>
      <w:pPr>
        <w:pStyle w:val="Heading5"/>
      </w:pPr>
      <w:bookmarkStart w:id="7" w:name="_Toc460852041"/>
      <w:r>
        <w:rPr>
          <w:rStyle w:val="CharSectno"/>
        </w:rPr>
        <w:t>3</w:t>
      </w:r>
      <w:r>
        <w:t>.</w:t>
      </w:r>
      <w:r>
        <w:tab/>
        <w:t xml:space="preserve">Services prescribed (Act s. 3(1) </w:t>
      </w:r>
      <w:r>
        <w:rPr>
          <w:i/>
        </w:rPr>
        <w:t>public utility services</w:t>
      </w:r>
      <w:r>
        <w:t>)</w:t>
      </w:r>
      <w:bookmarkEnd w:id="7"/>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8" w:name="_Toc460852042"/>
      <w:r>
        <w:t>3A.</w:t>
      </w:r>
      <w:r>
        <w:tab/>
        <w:t>Classes of persons prescribed (Act s. 9(1)(c)) for certain delegations</w:t>
      </w:r>
      <w:bookmarkEnd w:id="8"/>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9" w:name="_Toc460852043"/>
      <w:r>
        <w:rPr>
          <w:rStyle w:val="CharSectno"/>
        </w:rPr>
        <w:t>3B</w:t>
      </w:r>
      <w:r>
        <w:t>.</w:t>
      </w:r>
      <w:r>
        <w:tab/>
        <w:t>Persons prescribed (Act s. 9(1)(c))</w:t>
      </w:r>
      <w:bookmarkEnd w:id="9"/>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0" w:name="_Toc460852044"/>
      <w:r>
        <w:rPr>
          <w:rStyle w:val="CharSectno"/>
        </w:rPr>
        <w:t>4</w:t>
      </w:r>
      <w:r>
        <w:rPr>
          <w:snapToGrid w:val="0"/>
        </w:rPr>
        <w:t>.</w:t>
      </w:r>
      <w:r>
        <w:rPr>
          <w:snapToGrid w:val="0"/>
        </w:rPr>
        <w:tab/>
        <w:t>Conditions of delegation by Minister of powers to convey or transfer fee simple in Crown land (Act s. 9(1))</w:t>
      </w:r>
      <w:bookmarkEnd w:id="10"/>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11" w:name="_Toc460852045"/>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1"/>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2" w:name="_Toc460852046"/>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12"/>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3" w:name="_Toc460852047"/>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1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4" w:name="_Toc460852048"/>
      <w:r>
        <w:rPr>
          <w:rStyle w:val="CharSectno"/>
        </w:rPr>
        <w:t>5D</w:t>
      </w:r>
      <w:r>
        <w:t>.</w:t>
      </w:r>
      <w:r>
        <w:tab/>
        <w:t>Certain Old Swan Brewery transactions etc. prescribed (Act s. 18(7)(b))</w:t>
      </w:r>
      <w:bookmarkEnd w:id="1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15" w:name="_Toc460852049"/>
      <w:r>
        <w:rPr>
          <w:rStyle w:val="CharSectno"/>
        </w:rPr>
        <w:t>5E</w:t>
      </w:r>
      <w:r>
        <w:t>.</w:t>
      </w:r>
      <w:r>
        <w:tab/>
        <w:t>Land prescribed (Act s. 51A(1))</w:t>
      </w:r>
      <w:bookmarkEnd w:id="15"/>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16" w:name="_Toc46085205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6"/>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7" w:name="_Toc460852051"/>
      <w:r>
        <w:rPr>
          <w:rStyle w:val="CharSectno"/>
        </w:rPr>
        <w:t>6</w:t>
      </w:r>
      <w:r>
        <w:rPr>
          <w:snapToGrid w:val="0"/>
        </w:rPr>
        <w:t>.</w:t>
      </w:r>
      <w:r>
        <w:rPr>
          <w:snapToGrid w:val="0"/>
        </w:rPr>
        <w:tab/>
        <w:t>Procedures to be followed by local government before requesting acquisition of private road (Act s. 52(1)(b))</w:t>
      </w:r>
      <w:bookmarkEnd w:id="17"/>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8" w:name="_Toc460852052"/>
      <w:r>
        <w:rPr>
          <w:rStyle w:val="CharSectno"/>
        </w:rPr>
        <w:t>7</w:t>
      </w:r>
      <w:r>
        <w:rPr>
          <w:snapToGrid w:val="0"/>
        </w:rPr>
        <w:t>.</w:t>
      </w:r>
      <w:r>
        <w:rPr>
          <w:snapToGrid w:val="0"/>
        </w:rPr>
        <w:tab/>
        <w:t>Procedures to be followed by local government before requesting acquisition of alienated land in a townsite (Act s. 52(1)(c))</w:t>
      </w:r>
      <w:bookmarkEnd w:id="18"/>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19" w:name="_Toc460852053"/>
      <w:r>
        <w:rPr>
          <w:rStyle w:val="CharSectno"/>
        </w:rPr>
        <w:t>8</w:t>
      </w:r>
      <w:r>
        <w:rPr>
          <w:snapToGrid w:val="0"/>
        </w:rPr>
        <w:t>.</w:t>
      </w:r>
      <w:r>
        <w:rPr>
          <w:snapToGrid w:val="0"/>
        </w:rPr>
        <w:tab/>
        <w:t>Local government request to dedicate land as a road (Act s. 56), requirements for</w:t>
      </w:r>
      <w:bookmarkEnd w:id="19"/>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0" w:name="_Toc460852054"/>
      <w:r>
        <w:rPr>
          <w:rStyle w:val="CharSectno"/>
        </w:rPr>
        <w:t>9</w:t>
      </w:r>
      <w:r>
        <w:rPr>
          <w:snapToGrid w:val="0"/>
        </w:rPr>
        <w:t>.</w:t>
      </w:r>
      <w:r>
        <w:rPr>
          <w:snapToGrid w:val="0"/>
        </w:rPr>
        <w:tab/>
        <w:t>Local government request to close road permanently (Act s. 58(2)), requirements for</w:t>
      </w:r>
      <w:bookmarkEnd w:id="20"/>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1" w:name="_Toc460852055"/>
      <w:r>
        <w:rPr>
          <w:rStyle w:val="CharSectno"/>
        </w:rPr>
        <w:t>10</w:t>
      </w:r>
      <w:r>
        <w:rPr>
          <w:snapToGrid w:val="0"/>
        </w:rPr>
        <w:t>.</w:t>
      </w:r>
      <w:r>
        <w:rPr>
          <w:snapToGrid w:val="0"/>
        </w:rPr>
        <w:tab/>
        <w:t>Manner of advertising prescribed etc. for proposed mall reserve (Act s. 59)</w:t>
      </w:r>
      <w:bookmarkEnd w:id="21"/>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2" w:name="_Toc460852056"/>
      <w:r>
        <w:rPr>
          <w:rStyle w:val="CharSectno"/>
        </w:rPr>
        <w:t>11</w:t>
      </w:r>
      <w:r>
        <w:rPr>
          <w:snapToGrid w:val="0"/>
        </w:rPr>
        <w:t>.</w:t>
      </w:r>
      <w:r>
        <w:rPr>
          <w:snapToGrid w:val="0"/>
        </w:rPr>
        <w:tab/>
        <w:t>Manner of advertising prescribed etc. for cancelling mall reserve (Act s. 62)</w:t>
      </w:r>
      <w:bookmarkEnd w:id="22"/>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3" w:name="_Toc460852057"/>
      <w:r>
        <w:rPr>
          <w:rStyle w:val="CharSectno"/>
        </w:rPr>
        <w:t>12</w:t>
      </w:r>
      <w:r>
        <w:rPr>
          <w:snapToGrid w:val="0"/>
        </w:rPr>
        <w:t>.</w:t>
      </w:r>
      <w:r>
        <w:rPr>
          <w:snapToGrid w:val="0"/>
        </w:rPr>
        <w:tab/>
        <w:t>Procedure to be followed by Minister when determining and altering prices of Crown land (Act s. 74(2)(a))</w:t>
      </w:r>
      <w:bookmarkEnd w:id="2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24" w:name="_Toc460852058"/>
      <w:r>
        <w:rPr>
          <w:rStyle w:val="CharSectno"/>
        </w:rPr>
        <w:t>13</w:t>
      </w:r>
      <w:r>
        <w:rPr>
          <w:snapToGrid w:val="0"/>
        </w:rPr>
        <w:t>.</w:t>
      </w:r>
      <w:r>
        <w:rPr>
          <w:snapToGrid w:val="0"/>
        </w:rPr>
        <w:tab/>
        <w:t>Requirements for entering joint ventures prescribed (Act s. 78(1))</w:t>
      </w:r>
      <w:bookmarkEnd w:id="24"/>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5" w:name="_Toc460852059"/>
      <w:r>
        <w:rPr>
          <w:rStyle w:val="CharSectno"/>
        </w:rPr>
        <w:t>14</w:t>
      </w:r>
      <w:r>
        <w:rPr>
          <w:snapToGrid w:val="0"/>
        </w:rPr>
        <w:t>.</w:t>
      </w:r>
      <w:r>
        <w:rPr>
          <w:snapToGrid w:val="0"/>
        </w:rPr>
        <w:tab/>
        <w:t>Conditions prescribed (Act s. 89)</w:t>
      </w:r>
      <w:bookmarkEnd w:id="25"/>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6" w:name="_Toc460852060"/>
      <w:r>
        <w:rPr>
          <w:rStyle w:val="CharSectno"/>
        </w:rPr>
        <w:t>15</w:t>
      </w:r>
      <w:r>
        <w:t>.</w:t>
      </w:r>
      <w:r>
        <w:tab/>
        <w:t>Pastoral leases, phasing in of increased rents for (Act s. 124A)</w:t>
      </w:r>
      <w:bookmarkEnd w:id="26"/>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27" w:name="_Toc460852061"/>
      <w:r>
        <w:rPr>
          <w:rStyle w:val="CharSectno"/>
        </w:rPr>
        <w:t>16</w:t>
      </w:r>
      <w:r>
        <w:rPr>
          <w:snapToGrid w:val="0"/>
        </w:rPr>
        <w:t>.</w:t>
      </w:r>
      <w:r>
        <w:rPr>
          <w:snapToGrid w:val="0"/>
        </w:rPr>
        <w:tab/>
        <w:t>Rate of interest prescribed (Act s. 125(4))</w:t>
      </w:r>
      <w:bookmarkEnd w:id="27"/>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8" w:name="_Toc460852062"/>
      <w:r>
        <w:rPr>
          <w:rStyle w:val="CharSectno"/>
        </w:rPr>
        <w:t>17</w:t>
      </w:r>
      <w:r>
        <w:rPr>
          <w:snapToGrid w:val="0"/>
        </w:rPr>
        <w:t>.</w:t>
      </w:r>
      <w:r>
        <w:rPr>
          <w:snapToGrid w:val="0"/>
        </w:rPr>
        <w:tab/>
        <w:t>Fees (Sch. 1)</w:t>
      </w:r>
      <w:bookmarkEnd w:id="28"/>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9" w:name="_Toc460852063"/>
      <w:r>
        <w:rPr>
          <w:rStyle w:val="CharSectno"/>
        </w:rPr>
        <w:t>17A</w:t>
      </w:r>
      <w:r>
        <w:t>.</w:t>
      </w:r>
      <w:r>
        <w:tab/>
        <w:t>Australian datum prescribed for determining Divisions of State (Act s. 5A)</w:t>
      </w:r>
      <w:bookmarkEnd w:id="29"/>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30" w:name="_Toc460852064"/>
      <w:r>
        <w:rPr>
          <w:rStyle w:val="CharSectno"/>
        </w:rPr>
        <w:t>17B</w:t>
      </w:r>
      <w:r>
        <w:t>.</w:t>
      </w:r>
      <w:r>
        <w:tab/>
        <w:t>Acts prescribed (Act s. 18(8)(b)(ii))</w:t>
      </w:r>
      <w:bookmarkEnd w:id="30"/>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31" w:name="_Toc460852065"/>
      <w:r>
        <w:rPr>
          <w:rStyle w:val="CharSectno"/>
        </w:rPr>
        <w:t>17C</w:t>
      </w:r>
      <w:r>
        <w:t>.</w:t>
      </w:r>
      <w:r>
        <w:tab/>
        <w:t xml:space="preserve">Stock prescribed (Act s. 93 </w:t>
      </w:r>
      <w:r>
        <w:rPr>
          <w:i/>
        </w:rPr>
        <w:t>authorised stock</w:t>
      </w:r>
      <w:r>
        <w:t>)</w:t>
      </w:r>
      <w:bookmarkEnd w:id="31"/>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32" w:name="_Toc460852066"/>
      <w:r>
        <w:rPr>
          <w:rStyle w:val="CharSectno"/>
        </w:rPr>
        <w:t>17D</w:t>
      </w:r>
      <w:r>
        <w:t>.</w:t>
      </w:r>
      <w:r>
        <w:tab/>
        <w:t>Longer period prescribed (Act 143(6g) etc.)</w:t>
      </w:r>
      <w:bookmarkEnd w:id="32"/>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33" w:name="_Toc456173853"/>
      <w:bookmarkStart w:id="34" w:name="_Toc456174202"/>
      <w:bookmarkStart w:id="35" w:name="_Toc460852067"/>
      <w:r>
        <w:rPr>
          <w:rStyle w:val="CharSectno"/>
        </w:rPr>
        <w:t>17E</w:t>
      </w:r>
      <w:r>
        <w:t>.</w:t>
      </w:r>
      <w:r>
        <w:tab/>
        <w:t>Circumstances prescribed (Act s. 75(7a))</w:t>
      </w:r>
      <w:bookmarkEnd w:id="33"/>
      <w:bookmarkEnd w:id="34"/>
      <w:bookmarkEnd w:id="35"/>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in Gazette 6 Sep 2016 p. 3826</w:t>
      </w:r>
      <w:r>
        <w:noBreakHyphen/>
        <w:t>7; amended in Gazette 6 Sep 2016 p. 3825-6.]</w:t>
      </w:r>
    </w:p>
    <w:p>
      <w:pPr>
        <w:pStyle w:val="Heading5"/>
      </w:pPr>
      <w:bookmarkStart w:id="36" w:name="_Toc460852068"/>
      <w:r>
        <w:rPr>
          <w:rStyle w:val="CharSectno"/>
        </w:rPr>
        <w:t>17F</w:t>
      </w:r>
      <w:r>
        <w:t>.</w:t>
      </w:r>
      <w:r>
        <w:tab/>
        <w:t xml:space="preserve">Commonwealth agencies prescribed (Act s. 275A(1) </w:t>
      </w:r>
      <w:r>
        <w:rPr>
          <w:i/>
        </w:rPr>
        <w:t>public authority</w:t>
      </w:r>
      <w:r>
        <w:t>)</w:t>
      </w:r>
      <w:bookmarkEnd w:id="36"/>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37" w:name="_Toc460852069"/>
      <w:r>
        <w:rPr>
          <w:rStyle w:val="CharPartNo"/>
        </w:rPr>
        <w:t>Part 3</w:t>
      </w:r>
      <w:r>
        <w:rPr>
          <w:rStyle w:val="CharDivNo"/>
        </w:rPr>
        <w:t> </w:t>
      </w:r>
      <w:r>
        <w:t>—</w:t>
      </w:r>
      <w:r>
        <w:rPr>
          <w:rStyle w:val="CharDivText"/>
        </w:rPr>
        <w:t> </w:t>
      </w:r>
      <w:r>
        <w:rPr>
          <w:rStyle w:val="CharPartText"/>
        </w:rPr>
        <w:t>Surveys</w:t>
      </w:r>
      <w:bookmarkEnd w:id="37"/>
    </w:p>
    <w:p>
      <w:pPr>
        <w:pStyle w:val="Heading5"/>
        <w:rPr>
          <w:snapToGrid w:val="0"/>
        </w:rPr>
      </w:pPr>
      <w:bookmarkStart w:id="38" w:name="_Toc460852070"/>
      <w:r>
        <w:rPr>
          <w:rStyle w:val="CharSectno"/>
        </w:rPr>
        <w:t>18</w:t>
      </w:r>
      <w:r>
        <w:rPr>
          <w:snapToGrid w:val="0"/>
        </w:rPr>
        <w:t>.</w:t>
      </w:r>
      <w:r>
        <w:rPr>
          <w:snapToGrid w:val="0"/>
        </w:rPr>
        <w:tab/>
        <w:t>Terms used</w:t>
      </w:r>
      <w:bookmarkEnd w:id="3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39" w:name="_Toc460852071"/>
      <w:r>
        <w:rPr>
          <w:rStyle w:val="CharSectno"/>
        </w:rPr>
        <w:t>19</w:t>
      </w:r>
      <w:r>
        <w:rPr>
          <w:snapToGrid w:val="0"/>
        </w:rPr>
        <w:t>.</w:t>
      </w:r>
      <w:r>
        <w:rPr>
          <w:snapToGrid w:val="0"/>
        </w:rPr>
        <w:tab/>
        <w:t>Doubts etc. about survey, duties of departmental surveyor as to</w:t>
      </w:r>
      <w:bookmarkEnd w:id="3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0" w:name="_Toc460852072"/>
      <w:r>
        <w:rPr>
          <w:rStyle w:val="CharSectno"/>
        </w:rPr>
        <w:t>20</w:t>
      </w:r>
      <w:r>
        <w:rPr>
          <w:snapToGrid w:val="0"/>
        </w:rPr>
        <w:t>.</w:t>
      </w:r>
      <w:r>
        <w:rPr>
          <w:snapToGrid w:val="0"/>
        </w:rPr>
        <w:tab/>
        <w:t>Authorised land officer’s powers for Act s. 32</w:t>
      </w:r>
      <w:bookmarkEnd w:id="40"/>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1" w:name="_Toc460852073"/>
      <w:r>
        <w:rPr>
          <w:rStyle w:val="CharSectno"/>
        </w:rPr>
        <w:t>21</w:t>
      </w:r>
      <w:r>
        <w:rPr>
          <w:snapToGrid w:val="0"/>
        </w:rPr>
        <w:t>.</w:t>
      </w:r>
      <w:r>
        <w:rPr>
          <w:snapToGrid w:val="0"/>
        </w:rPr>
        <w:tab/>
        <w:t>Alternative methodology for authorised surveys in special cases</w:t>
      </w:r>
      <w:bookmarkEnd w:id="41"/>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2" w:name="_Toc460852074"/>
      <w:r>
        <w:rPr>
          <w:rStyle w:val="CharSectno"/>
        </w:rPr>
        <w:t>22</w:t>
      </w:r>
      <w:r>
        <w:rPr>
          <w:snapToGrid w:val="0"/>
        </w:rPr>
        <w:t>.</w:t>
      </w:r>
      <w:r>
        <w:rPr>
          <w:snapToGrid w:val="0"/>
        </w:rPr>
        <w:tab/>
        <w:t>Documents of departmental surveyor are Crown property</w:t>
      </w:r>
      <w:bookmarkEnd w:id="42"/>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3" w:name="_Toc46085207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4" w:name="_Toc460852076"/>
      <w:r>
        <w:rPr>
          <w:rStyle w:val="CharPartNo"/>
        </w:rPr>
        <w:t>Part 4</w:t>
      </w:r>
      <w:r>
        <w:rPr>
          <w:rStyle w:val="CharDivNo"/>
        </w:rPr>
        <w:t> </w:t>
      </w:r>
      <w:r>
        <w:t>—</w:t>
      </w:r>
      <w:r>
        <w:rPr>
          <w:rStyle w:val="CharDivText"/>
        </w:rPr>
        <w:t> </w:t>
      </w:r>
      <w:r>
        <w:rPr>
          <w:rStyle w:val="CharPartText"/>
        </w:rPr>
        <w:t>Advisory panels</w:t>
      </w:r>
      <w:bookmarkEnd w:id="44"/>
    </w:p>
    <w:p>
      <w:pPr>
        <w:pStyle w:val="Heading5"/>
        <w:rPr>
          <w:snapToGrid w:val="0"/>
        </w:rPr>
      </w:pPr>
      <w:bookmarkStart w:id="45" w:name="_Toc460852077"/>
      <w:r>
        <w:rPr>
          <w:rStyle w:val="CharSectno"/>
        </w:rPr>
        <w:t>24</w:t>
      </w:r>
      <w:r>
        <w:rPr>
          <w:snapToGrid w:val="0"/>
        </w:rPr>
        <w:t>.</w:t>
      </w:r>
      <w:r>
        <w:rPr>
          <w:snapToGrid w:val="0"/>
        </w:rPr>
        <w:tab/>
        <w:t>Terms used</w:t>
      </w:r>
      <w:bookmarkEnd w:id="4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46" w:name="_Toc460852078"/>
      <w:r>
        <w:rPr>
          <w:rStyle w:val="CharSectno"/>
        </w:rPr>
        <w:t>25</w:t>
      </w:r>
      <w:r>
        <w:rPr>
          <w:snapToGrid w:val="0"/>
        </w:rPr>
        <w:t>.</w:t>
      </w:r>
      <w:r>
        <w:rPr>
          <w:snapToGrid w:val="0"/>
        </w:rPr>
        <w:tab/>
        <w:t>Members of panels</w:t>
      </w:r>
      <w:bookmarkEnd w:id="46"/>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47" w:name="_Toc460852079"/>
      <w:r>
        <w:rPr>
          <w:rStyle w:val="CharSectno"/>
        </w:rPr>
        <w:t>26</w:t>
      </w:r>
      <w:r>
        <w:rPr>
          <w:snapToGrid w:val="0"/>
        </w:rPr>
        <w:t>.</w:t>
      </w:r>
      <w:r>
        <w:rPr>
          <w:snapToGrid w:val="0"/>
        </w:rPr>
        <w:tab/>
        <w:t>Remuneration of members</w:t>
      </w:r>
      <w:bookmarkEnd w:id="4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48" w:name="_Toc460852080"/>
      <w:r>
        <w:rPr>
          <w:rStyle w:val="CharSectno"/>
        </w:rPr>
        <w:t>27</w:t>
      </w:r>
      <w:r>
        <w:rPr>
          <w:snapToGrid w:val="0"/>
        </w:rPr>
        <w:t>.</w:t>
      </w:r>
      <w:r>
        <w:rPr>
          <w:snapToGrid w:val="0"/>
        </w:rPr>
        <w:tab/>
        <w:t>Term of office</w:t>
      </w:r>
      <w:bookmarkEnd w:id="4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49" w:name="_Toc460852081"/>
      <w:r>
        <w:rPr>
          <w:rStyle w:val="CharSectno"/>
        </w:rPr>
        <w:t>28</w:t>
      </w:r>
      <w:r>
        <w:rPr>
          <w:snapToGrid w:val="0"/>
        </w:rPr>
        <w:t>.</w:t>
      </w:r>
      <w:r>
        <w:rPr>
          <w:snapToGrid w:val="0"/>
        </w:rPr>
        <w:tab/>
        <w:t>Member unable to act</w:t>
      </w:r>
      <w:bookmarkEnd w:id="4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0" w:name="_Toc460852082"/>
      <w:r>
        <w:rPr>
          <w:rStyle w:val="CharSectno"/>
        </w:rPr>
        <w:t>29</w:t>
      </w:r>
      <w:r>
        <w:rPr>
          <w:snapToGrid w:val="0"/>
        </w:rPr>
        <w:t>.</w:t>
      </w:r>
      <w:r>
        <w:rPr>
          <w:snapToGrid w:val="0"/>
        </w:rPr>
        <w:tab/>
        <w:t>Calling of meetings</w:t>
      </w:r>
      <w:bookmarkEnd w:id="5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1" w:name="_Toc460852083"/>
      <w:r>
        <w:rPr>
          <w:rStyle w:val="CharSectno"/>
        </w:rPr>
        <w:t>30</w:t>
      </w:r>
      <w:r>
        <w:rPr>
          <w:snapToGrid w:val="0"/>
        </w:rPr>
        <w:t>.</w:t>
      </w:r>
      <w:r>
        <w:rPr>
          <w:snapToGrid w:val="0"/>
        </w:rPr>
        <w:tab/>
        <w:t>Who presides at meetings</w:t>
      </w:r>
      <w:bookmarkEnd w:id="5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2" w:name="_Toc460852084"/>
      <w:r>
        <w:rPr>
          <w:rStyle w:val="CharSectno"/>
        </w:rPr>
        <w:t>31</w:t>
      </w:r>
      <w:r>
        <w:rPr>
          <w:snapToGrid w:val="0"/>
        </w:rPr>
        <w:t>.</w:t>
      </w:r>
      <w:r>
        <w:rPr>
          <w:snapToGrid w:val="0"/>
        </w:rPr>
        <w:tab/>
        <w:t>Quorum</w:t>
      </w:r>
      <w:bookmarkEnd w:id="5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3" w:name="_Toc460852085"/>
      <w:r>
        <w:rPr>
          <w:rStyle w:val="CharSectno"/>
        </w:rPr>
        <w:t>32</w:t>
      </w:r>
      <w:r>
        <w:rPr>
          <w:snapToGrid w:val="0"/>
        </w:rPr>
        <w:t>.</w:t>
      </w:r>
      <w:r>
        <w:rPr>
          <w:snapToGrid w:val="0"/>
        </w:rPr>
        <w:tab/>
        <w:t>Voting</w:t>
      </w:r>
      <w:bookmarkEnd w:id="5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54" w:name="_Toc460852086"/>
      <w:r>
        <w:rPr>
          <w:rStyle w:val="CharSectno"/>
        </w:rPr>
        <w:t>33</w:t>
      </w:r>
      <w:r>
        <w:rPr>
          <w:snapToGrid w:val="0"/>
        </w:rPr>
        <w:t>.</w:t>
      </w:r>
      <w:r>
        <w:rPr>
          <w:snapToGrid w:val="0"/>
        </w:rPr>
        <w:tab/>
        <w:t>Minutes</w:t>
      </w:r>
      <w:bookmarkEnd w:id="5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5" w:name="_Toc460852087"/>
      <w:r>
        <w:rPr>
          <w:rStyle w:val="CharSectno"/>
        </w:rPr>
        <w:t>34</w:t>
      </w:r>
      <w:r>
        <w:rPr>
          <w:snapToGrid w:val="0"/>
        </w:rPr>
        <w:t>.</w:t>
      </w:r>
      <w:r>
        <w:rPr>
          <w:snapToGrid w:val="0"/>
        </w:rPr>
        <w:tab/>
        <w:t>Telephone or video meetings</w:t>
      </w:r>
      <w:bookmarkEnd w:id="5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56" w:name="_Toc460852088"/>
      <w:r>
        <w:rPr>
          <w:rStyle w:val="CharSectno"/>
        </w:rPr>
        <w:t>35</w:t>
      </w:r>
      <w:r>
        <w:rPr>
          <w:snapToGrid w:val="0"/>
        </w:rPr>
        <w:t>.</w:t>
      </w:r>
      <w:r>
        <w:rPr>
          <w:snapToGrid w:val="0"/>
        </w:rPr>
        <w:tab/>
        <w:t>How panel is to inform itself</w:t>
      </w:r>
      <w:bookmarkEnd w:id="5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57" w:name="_Toc460852089"/>
      <w:r>
        <w:rPr>
          <w:rStyle w:val="CharSectno"/>
        </w:rPr>
        <w:t>36</w:t>
      </w:r>
      <w:r>
        <w:rPr>
          <w:snapToGrid w:val="0"/>
        </w:rPr>
        <w:t>.</w:t>
      </w:r>
      <w:r>
        <w:rPr>
          <w:snapToGrid w:val="0"/>
        </w:rPr>
        <w:tab/>
        <w:t>Public hearings</w:t>
      </w:r>
      <w:bookmarkEnd w:id="5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58" w:name="_Toc460852090"/>
      <w:r>
        <w:rPr>
          <w:rStyle w:val="CharSectno"/>
        </w:rPr>
        <w:t>37</w:t>
      </w:r>
      <w:r>
        <w:rPr>
          <w:snapToGrid w:val="0"/>
        </w:rPr>
        <w:t>.</w:t>
      </w:r>
      <w:r>
        <w:rPr>
          <w:snapToGrid w:val="0"/>
        </w:rPr>
        <w:tab/>
        <w:t>Panel to determine own procedures</w:t>
      </w:r>
      <w:bookmarkEnd w:id="5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59" w:name="_Toc460852091"/>
      <w:r>
        <w:rPr>
          <w:rStyle w:val="CharSectno"/>
        </w:rPr>
        <w:t>38</w:t>
      </w:r>
      <w:r>
        <w:rPr>
          <w:snapToGrid w:val="0"/>
        </w:rPr>
        <w:t>.</w:t>
      </w:r>
      <w:r>
        <w:rPr>
          <w:snapToGrid w:val="0"/>
        </w:rPr>
        <w:tab/>
        <w:t>Conflict of interest</w:t>
      </w:r>
      <w:bookmarkEnd w:id="5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0" w:name="_Toc460852092"/>
      <w:r>
        <w:rPr>
          <w:rStyle w:val="CharSectno"/>
        </w:rPr>
        <w:t>39</w:t>
      </w:r>
      <w:r>
        <w:rPr>
          <w:snapToGrid w:val="0"/>
        </w:rPr>
        <w:t>.</w:t>
      </w:r>
      <w:r>
        <w:rPr>
          <w:snapToGrid w:val="0"/>
        </w:rPr>
        <w:tab/>
        <w:t>Confidentiality</w:t>
      </w:r>
      <w:bookmarkEnd w:id="6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61" w:name="_Toc460852093"/>
      <w:r>
        <w:rPr>
          <w:rStyle w:val="CharSchNo"/>
        </w:rPr>
        <w:t>Schedule 1</w:t>
      </w:r>
      <w:r>
        <w:t> — </w:t>
      </w:r>
      <w:r>
        <w:rPr>
          <w:rStyle w:val="CharSchText"/>
        </w:rPr>
        <w:t>Fees payable to chief executive officer</w:t>
      </w:r>
      <w:bookmarkEnd w:id="61"/>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135.00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149.00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 13 Oct 2015 p. 4063.]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63" w:name="_Toc460852094"/>
      <w:r>
        <w:t>Notes</w:t>
      </w:r>
      <w:bookmarkEnd w:id="63"/>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64" w:name="_Toc460852095"/>
      <w:r>
        <w:rPr>
          <w:snapToGrid w:val="0"/>
        </w:rPr>
        <w:t>Compilation table</w:t>
      </w:r>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tcBorders>
              <w:bottom w:val="single" w:sz="4" w:space="0" w:color="auto"/>
            </w:tcBorders>
            <w:shd w:val="clear" w:color="auto" w:fill="auto"/>
          </w:tcPr>
          <w:p>
            <w:pPr>
              <w:pStyle w:val="nTable"/>
              <w:spacing w:after="40"/>
              <w:rPr>
                <w:i/>
              </w:rPr>
            </w:pPr>
            <w:r>
              <w:rPr>
                <w:i/>
              </w:rPr>
              <w:t xml:space="preserve">Land Administration Regulations Amendment Regulations 2016 </w:t>
            </w:r>
            <w:r>
              <w:t>Pt. 2</w:t>
            </w:r>
          </w:p>
        </w:tc>
        <w:tc>
          <w:tcPr>
            <w:tcW w:w="1276" w:type="dxa"/>
            <w:tcBorders>
              <w:bottom w:val="single" w:sz="4" w:space="0" w:color="auto"/>
            </w:tcBorders>
            <w:shd w:val="clear" w:color="auto" w:fill="auto"/>
          </w:tcPr>
          <w:p>
            <w:pPr>
              <w:pStyle w:val="nTable"/>
              <w:spacing w:after="40"/>
            </w:pPr>
            <w:r>
              <w:t>6 Sep 2016 p. 3826-7</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9"/>
          <w:headerReference w:type="default" r:id="rId30"/>
          <w:foot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66" w:name="_Toc460852096"/>
      <w:r>
        <w:rPr>
          <w:sz w:val="28"/>
        </w:rPr>
        <w:t>Defined terms</w:t>
      </w:r>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 w:name="Schedule"/>
    <w:bookmarkEnd w:id="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 w:name="Compilation"/>
    <w:bookmarkEnd w:id="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 w:name="Coversheet"/>
    <w:bookmarkEnd w:id="6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8729</Words>
  <Characters>41990</Characters>
  <Application>Microsoft Office Word</Application>
  <DocSecurity>0</DocSecurity>
  <Lines>1272</Lines>
  <Paragraphs>745</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1998 - 04-d0-00</dc:title>
  <dc:subject/>
  <dc:creator/>
  <cp:keywords/>
  <dc:description/>
  <cp:lastModifiedBy>svcMRProcess</cp:lastModifiedBy>
  <cp:revision>4</cp:revision>
  <cp:lastPrinted>2012-08-28T00:48:00Z</cp:lastPrinted>
  <dcterms:created xsi:type="dcterms:W3CDTF">2016-09-05T07:52:00Z</dcterms:created>
  <dcterms:modified xsi:type="dcterms:W3CDTF">2016-09-05T07:52:00Z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07 Sep 2016</vt:lpwstr>
  </property>
  <property fmtid="{D5CDD505-2E9C-101B-9397-08002B2CF9AE}" pid="8" name="Suffix">
    <vt:lpwstr>04-d0-00</vt:lpwstr>
  </property>
  <property fmtid="{D5CDD505-2E9C-101B-9397-08002B2CF9AE}" pid="9" name="CommencementDate">
    <vt:lpwstr>20160907</vt:lpwstr>
  </property>
</Properties>
</file>