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Blood and Tissue (Transmissible Diseases)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_Toc461177909 \h </w:instrText>
      </w:r>
      <w:r>
        <w:fldChar w:fldCharType="separate"/>
      </w:r>
      <w:r>
        <w:t>1</w:t>
      </w:r>
      <w:r>
        <w:fldChar w:fldCharType="end"/>
      </w:r>
    </w:p>
    <w:p>
      <w:pPr>
        <w:pStyle w:val="TOC8"/>
        <w:rPr>
          <w:rFonts w:asciiTheme="minorHAnsi" w:eastAsiaTheme="minorEastAsia" w:hAnsiTheme="minorHAnsi" w:cstheme="minorBidi"/>
          <w:szCs w:val="22"/>
        </w:rPr>
      </w:pPr>
      <w:r>
        <w:t>2A.</w:t>
      </w:r>
      <w:r>
        <w:tab/>
        <w:t>Regulations operate as local laws</w:t>
      </w:r>
      <w:r>
        <w:tab/>
      </w:r>
      <w:r>
        <w:fldChar w:fldCharType="begin"/>
      </w:r>
      <w:r>
        <w:instrText xml:space="preserve"> PAGEREF _Toc461177910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blood</w:t>
      </w:r>
      <w:r>
        <w:tab/>
      </w:r>
      <w:r>
        <w:fldChar w:fldCharType="begin"/>
      </w:r>
      <w:r>
        <w:instrText xml:space="preserve"> PAGEREF _Toc461177911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blood without declaration</w:t>
      </w:r>
      <w:r>
        <w:tab/>
      </w:r>
      <w:r>
        <w:fldChar w:fldCharType="begin"/>
      </w:r>
      <w:r>
        <w:instrText xml:space="preserve"> PAGEREF _Toc461177912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to be required from donor</w:t>
      </w:r>
      <w:r>
        <w:tab/>
      </w:r>
      <w:r>
        <w:fldChar w:fldCharType="begin"/>
      </w:r>
      <w:r>
        <w:instrText xml:space="preserve"> PAGEREF _Toc461177913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 authorised to permit declarations to be made</w:t>
      </w:r>
      <w:r>
        <w:tab/>
      </w:r>
      <w:r>
        <w:fldChar w:fldCharType="begin"/>
      </w:r>
      <w:r>
        <w:instrText xml:space="preserve"> PAGEREF _Toc461177914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declaration</w:t>
      </w:r>
      <w:r>
        <w:tab/>
      </w:r>
      <w:r>
        <w:fldChar w:fldCharType="begin"/>
      </w:r>
      <w:r>
        <w:instrText xml:space="preserve"> PAGEREF _Toc461177915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w:t>
      </w:r>
      <w:r>
        <w:tab/>
      </w:r>
      <w:r>
        <w:fldChar w:fldCharType="begin"/>
      </w:r>
      <w:r>
        <w:instrText xml:space="preserve"> PAGEREF _Toc461177916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Blood donor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_Toc461177919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Health (Miscellaneous Provisions) Act 1911</w:t>
      </w:r>
    </w:p>
    <w:p>
      <w:pPr>
        <w:pStyle w:val="NameofActReg"/>
        <w:spacing w:before="360"/>
      </w:pPr>
      <w:r>
        <w:t>Blood and Tissue (Transmissible Diseases) Regulations 1985</w:t>
      </w:r>
    </w:p>
    <w:p>
      <w:pPr>
        <w:pStyle w:val="Heading5"/>
        <w:rPr>
          <w:snapToGrid w:val="0"/>
        </w:rPr>
      </w:pPr>
      <w:bookmarkStart w:id="3" w:name="_Toc404677849"/>
      <w:bookmarkStart w:id="4" w:name="_Toc46117790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5" w:name="_Toc404677850"/>
      <w:bookmarkStart w:id="6" w:name="_Toc461177910"/>
      <w:r>
        <w:rPr>
          <w:rStyle w:val="CharSectno"/>
        </w:rPr>
        <w:t>2A</w:t>
      </w:r>
      <w:r>
        <w:t>.</w:t>
      </w:r>
      <w:r>
        <w:tab/>
        <w:t>Regulations operate as local laws</w:t>
      </w:r>
      <w:bookmarkEnd w:id="5"/>
      <w:bookmarkEnd w:id="6"/>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7" w:name="_Toc404677851"/>
      <w:bookmarkStart w:id="8" w:name="_Toc461177911"/>
      <w:r>
        <w:rPr>
          <w:rStyle w:val="CharSectno"/>
        </w:rPr>
        <w:t>2</w:t>
      </w:r>
      <w:r>
        <w:rPr>
          <w:snapToGrid w:val="0"/>
        </w:rPr>
        <w:t>.</w:t>
      </w:r>
      <w:r>
        <w:rPr>
          <w:snapToGrid w:val="0"/>
        </w:rPr>
        <w:tab/>
        <w:t>Term used: blood</w:t>
      </w:r>
      <w:bookmarkEnd w:id="7"/>
      <w:bookmarkEnd w:id="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9" w:name="_Toc404677852"/>
      <w:bookmarkStart w:id="10" w:name="_Toc461177912"/>
      <w:r>
        <w:rPr>
          <w:rStyle w:val="CharSectno"/>
        </w:rPr>
        <w:t>3</w:t>
      </w:r>
      <w:r>
        <w:rPr>
          <w:snapToGrid w:val="0"/>
        </w:rPr>
        <w:t>.</w:t>
      </w:r>
      <w:r>
        <w:rPr>
          <w:snapToGrid w:val="0"/>
        </w:rPr>
        <w:tab/>
        <w:t>Taking of blood without declaration</w:t>
      </w:r>
      <w:bookmarkEnd w:id="9"/>
      <w:bookmarkEnd w:id="10"/>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11" w:name="_Toc404677853"/>
      <w:bookmarkStart w:id="12" w:name="_Toc461177913"/>
      <w:r>
        <w:rPr>
          <w:rStyle w:val="CharSectno"/>
        </w:rPr>
        <w:t>4</w:t>
      </w:r>
      <w:r>
        <w:rPr>
          <w:snapToGrid w:val="0"/>
        </w:rPr>
        <w:t>.</w:t>
      </w:r>
      <w:r>
        <w:rPr>
          <w:snapToGrid w:val="0"/>
        </w:rPr>
        <w:tab/>
        <w:t>Declaration to be required from donor</w:t>
      </w:r>
      <w:bookmarkEnd w:id="11"/>
      <w:bookmarkEnd w:id="12"/>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3" w:name="_Toc404677854"/>
      <w:bookmarkStart w:id="14" w:name="_Toc461177914"/>
      <w:r>
        <w:rPr>
          <w:rStyle w:val="CharSectno"/>
        </w:rPr>
        <w:t>5</w:t>
      </w:r>
      <w:r>
        <w:rPr>
          <w:snapToGrid w:val="0"/>
        </w:rPr>
        <w:t>.</w:t>
      </w:r>
      <w:r>
        <w:rPr>
          <w:snapToGrid w:val="0"/>
        </w:rPr>
        <w:tab/>
        <w:t>Person authorised to permit declarations to be made</w:t>
      </w:r>
      <w:bookmarkEnd w:id="13"/>
      <w:bookmarkEnd w:id="14"/>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15" w:name="_Toc404677855"/>
      <w:bookmarkStart w:id="16" w:name="_Toc461177915"/>
      <w:r>
        <w:rPr>
          <w:rStyle w:val="CharSectno"/>
        </w:rPr>
        <w:t>6</w:t>
      </w:r>
      <w:r>
        <w:rPr>
          <w:snapToGrid w:val="0"/>
        </w:rPr>
        <w:t>.</w:t>
      </w:r>
      <w:r>
        <w:rPr>
          <w:snapToGrid w:val="0"/>
        </w:rPr>
        <w:tab/>
        <w:t>Form of declaration</w:t>
      </w:r>
      <w:bookmarkEnd w:id="15"/>
      <w:bookmarkEnd w:id="16"/>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17" w:name="_Toc404677856"/>
      <w:bookmarkStart w:id="18" w:name="_Toc461177916"/>
      <w:r>
        <w:rPr>
          <w:rStyle w:val="CharSectno"/>
        </w:rPr>
        <w:t>7</w:t>
      </w:r>
      <w:r>
        <w:rPr>
          <w:snapToGrid w:val="0"/>
        </w:rPr>
        <w:t>.</w:t>
      </w:r>
      <w:r>
        <w:rPr>
          <w:snapToGrid w:val="0"/>
        </w:rPr>
        <w:tab/>
        <w:t>Offences</w:t>
      </w:r>
      <w:bookmarkEnd w:id="17"/>
      <w:bookmarkEnd w:id="18"/>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9" w:name="_Toc404677857"/>
      <w:bookmarkStart w:id="20" w:name="_Toc415055558"/>
      <w:bookmarkStart w:id="21" w:name="_Toc415055594"/>
      <w:bookmarkStart w:id="22" w:name="_Toc445468630"/>
      <w:bookmarkStart w:id="23" w:name="_Toc445468665"/>
      <w:bookmarkStart w:id="24" w:name="_Toc461177917"/>
      <w:r>
        <w:rPr>
          <w:rStyle w:val="CharSchNo"/>
        </w:rPr>
        <w:t>Schedule 1</w:t>
      </w:r>
      <w:r>
        <w:rPr>
          <w:rStyle w:val="CharSDivNo"/>
        </w:rPr>
        <w:t> </w:t>
      </w:r>
      <w:r>
        <w:t>—</w:t>
      </w:r>
      <w:r>
        <w:rPr>
          <w:rStyle w:val="CharSDivText"/>
        </w:rPr>
        <w:t> </w:t>
      </w:r>
      <w:r>
        <w:rPr>
          <w:rStyle w:val="CharSchText"/>
        </w:rPr>
        <w:t>Blood donor declaration</w:t>
      </w:r>
      <w:bookmarkEnd w:id="19"/>
      <w:bookmarkEnd w:id="20"/>
      <w:bookmarkEnd w:id="21"/>
      <w:bookmarkEnd w:id="22"/>
      <w:bookmarkEnd w:id="23"/>
      <w:bookmarkEnd w:id="24"/>
    </w:p>
    <w:p>
      <w:pPr>
        <w:pStyle w:val="yShoulderClause"/>
      </w:pPr>
      <w:r>
        <w:t>[r. 6]</w:t>
      </w:r>
    </w:p>
    <w:p>
      <w:pPr>
        <w:pStyle w:val="yFootnoteheading"/>
      </w:pPr>
      <w:r>
        <w:tab/>
        <w:t xml:space="preserve">[Heading inserted in Gazette 22 May 2012 p. 2164.] </w:t>
      </w:r>
    </w:p>
    <w:p>
      <w:pPr>
        <w:pStyle w:val="yMiscellaneousBody"/>
      </w:pPr>
      <w:r>
        <w:t xml:space="preserve">There are some people who MUST NOT give blood as it may transmit infections to </w:t>
      </w:r>
      <w:r>
        <w:rPr>
          <w:szCs w:val="22"/>
        </w:rPr>
        <w:t>those who receive it.</w:t>
      </w:r>
      <w:r>
        <w:t xml:space="preserve">  To determine if your blood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Donations of blood are tested for hepatitis B, hepatitis C and HIV (AIDS virus).  Donations are also tested for HTLV (human T</w:t>
      </w:r>
      <w:r>
        <w:noBreakHyphen/>
        <w:t>lymphotropic virus) and syphilis, unless the donation is allocated solely to making externally manufactured plasma products.  If your blood tests positive for any of these conditions, or shows a significantly abnormal result, we will notify you.</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pPr>
            <w:r>
              <w:br/>
            </w:r>
            <w:r>
              <w:sym w:font="Wingdings" w:char="F0A8"/>
            </w:r>
            <w:r>
              <w:t xml:space="preserve"> Yes</w:t>
            </w:r>
            <w:r>
              <w:tab/>
            </w:r>
            <w:r>
              <w:sym w:font="Wingdings" w:char="F0A8"/>
            </w:r>
            <w:r>
              <w:t xml:space="preserve"> No</w:t>
            </w:r>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4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 xml:space="preserve">We would like you to </w:t>
      </w:r>
      <w:r>
        <w:rPr>
          <w:szCs w:val="22"/>
        </w:rPr>
        <w:t>initial and sign this declaration as indicated</w:t>
      </w:r>
      <w:r>
        <w:t xml:space="preserve">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w:t>
      </w:r>
      <w:r>
        <w:rPr>
          <w:szCs w:val="22"/>
        </w:rPr>
        <w:t xml:space="preserve"> </w:t>
      </w:r>
      <w:r>
        <w:t xml:space="preserve">within a week after donating, </w:t>
      </w:r>
      <w:r>
        <w:rPr>
          <w:szCs w:val="22"/>
        </w:rPr>
        <w:t>or you are diagnosed or hospitalised with a serious infection within 2 months after donating,</w:t>
      </w:r>
      <w:r>
        <w:t xml:space="preserve">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rPr>
                <w:noProof/>
              </w:rPr>
              <mc:AlternateContent>
                <mc:Choice Requires="wps">
                  <w:drawing>
                    <wp:anchor distT="0" distB="0" distL="114300" distR="114300" simplePos="0" relativeHeight="251661312"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r>
              <w:t>•</w:t>
            </w:r>
            <w:r>
              <w:tab/>
              <w:t xml:space="preserve">I have been provided with “Information about the risk of donating blood”.  I have read and understood this information and have had the opportunity to ask questions.  I accept the risks associated with donation and agree to follow the instructions of the staff to minimise these risks.  </w:t>
            </w:r>
            <w:r>
              <w:rPr>
                <w:szCs w:val="22"/>
              </w:rPr>
              <w:t xml:space="preserve">Please initial: </w:t>
            </w:r>
          </w:p>
          <w:p>
            <w:pPr>
              <w:pStyle w:val="yTableNAm"/>
              <w:tabs>
                <w:tab w:val="clear" w:pos="567"/>
                <w:tab w:val="left" w:pos="600"/>
              </w:tabs>
              <w:ind w:left="600" w:hanging="600"/>
              <w:rPr>
                <w:b/>
              </w:rPr>
            </w:pPr>
            <w:r>
              <w:rPr>
                <w:noProof/>
              </w:rPr>
              <mc:AlternateContent>
                <mc:Choice Requires="wps">
                  <w:drawing>
                    <wp:anchor distT="0" distB="0" distL="114300" distR="114300" simplePos="0" relativeHeight="251663360"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r>
              <w:t>•</w:t>
            </w:r>
            <w:r>
              <w:tab/>
              <w:t xml:space="preserve">I declare that I have understood the information on this form and answered the questions in the declaration honestly and to the best of my knowledge.  I understand that there are penalties, including fines and imprisonment, for providing false or misleading information.  </w:t>
            </w:r>
            <w:r>
              <w:rPr>
                <w:szCs w:val="22"/>
              </w:rPr>
              <w:t>Please initial:</w:t>
            </w:r>
            <w:r>
              <w:rPr>
                <w:noProof/>
              </w:rPr>
              <w:t xml:space="preserve"> </w:t>
            </w:r>
          </w:p>
        </w:tc>
      </w:tr>
      <w:tr>
        <w:trPr>
          <w:cantSplit/>
          <w:trHeight w:val="285"/>
        </w:trPr>
        <w:tc>
          <w:tcPr>
            <w:tcW w:w="3784" w:type="dxa"/>
            <w:tcBorders>
              <w:top w:val="nil"/>
            </w:tcBorders>
          </w:tcPr>
          <w:p>
            <w:pPr>
              <w:pStyle w:val="yTableNAm"/>
              <w:keepNext/>
            </w:pPr>
            <w:r>
              <w:rPr>
                <w:b/>
              </w:rPr>
              <w:t>Donor</w:t>
            </w:r>
          </w:p>
        </w:tc>
        <w:tc>
          <w:tcPr>
            <w:tcW w:w="3260" w:type="dxa"/>
            <w:tcBorders>
              <w:top w:val="nil"/>
            </w:tcBorders>
          </w:tcPr>
          <w:p>
            <w:pPr>
              <w:pStyle w:val="yTableNAm"/>
              <w:keepNext/>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 11 Mar 2016 p. 681</w:t>
      </w:r>
      <w:r>
        <w:noBreakHyphen/>
        <w:t>2; 9 Sep 2016 p. 3885.]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6" w:name="_Toc404677858"/>
      <w:bookmarkStart w:id="27" w:name="_Toc415055559"/>
      <w:bookmarkStart w:id="28" w:name="_Toc415055595"/>
      <w:bookmarkStart w:id="29" w:name="_Toc445468631"/>
      <w:bookmarkStart w:id="30" w:name="_Toc445468666"/>
      <w:bookmarkStart w:id="31" w:name="_Toc461177918"/>
      <w:r>
        <w:t>Notes</w:t>
      </w:r>
      <w:bookmarkEnd w:id="26"/>
      <w:bookmarkEnd w:id="27"/>
      <w:bookmarkEnd w:id="28"/>
      <w:bookmarkEnd w:id="29"/>
      <w:bookmarkEnd w:id="30"/>
      <w:bookmarkEnd w:id="31"/>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32" w:name="_Toc404677859"/>
      <w:bookmarkStart w:id="33" w:name="_Toc461177919"/>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c>
          <w:tcPr>
            <w:tcW w:w="3118" w:type="dxa"/>
          </w:tcPr>
          <w:p>
            <w:pPr>
              <w:pStyle w:val="nTable"/>
              <w:spacing w:before="30" w:after="30"/>
              <w:rPr>
                <w:i/>
              </w:rPr>
            </w:pPr>
            <w:r>
              <w:rPr>
                <w:i/>
              </w:rPr>
              <w:t>Blood and Tissue (Transmissible Diseases) Amendment Regulations 2016</w:t>
            </w:r>
          </w:p>
        </w:tc>
        <w:tc>
          <w:tcPr>
            <w:tcW w:w="1276" w:type="dxa"/>
          </w:tcPr>
          <w:p>
            <w:pPr>
              <w:pStyle w:val="nTable"/>
              <w:spacing w:before="30" w:after="30"/>
            </w:pPr>
            <w:r>
              <w:t>11 Mar 2016 p. 681</w:t>
            </w:r>
            <w:r>
              <w:noBreakHyphen/>
              <w:t>2</w:t>
            </w:r>
          </w:p>
        </w:tc>
        <w:tc>
          <w:tcPr>
            <w:tcW w:w="2693" w:type="dxa"/>
          </w:tcPr>
          <w:p>
            <w:pPr>
              <w:pStyle w:val="nTable"/>
              <w:spacing w:before="30" w:after="30"/>
              <w:rPr>
                <w:snapToGrid w:val="0"/>
              </w:rPr>
            </w:pPr>
            <w:r>
              <w:rPr>
                <w:snapToGrid w:val="0"/>
              </w:rPr>
              <w:t>r. 1 and 2: 11 Mar 2016 (see r. 2(a));</w:t>
            </w:r>
            <w:r>
              <w:rPr>
                <w:snapToGrid w:val="0"/>
              </w:rPr>
              <w:br/>
              <w:t>Regulations other than r. 1 and 2: 13 Mar 2016 (see r. 2(b))</w:t>
            </w:r>
          </w:p>
        </w:tc>
      </w:tr>
      <w:tr>
        <w:tc>
          <w:tcPr>
            <w:tcW w:w="3118" w:type="dxa"/>
            <w:tcBorders>
              <w:bottom w:val="single" w:sz="4" w:space="0" w:color="auto"/>
            </w:tcBorders>
          </w:tcPr>
          <w:p>
            <w:pPr>
              <w:pStyle w:val="nTable"/>
              <w:spacing w:before="30" w:after="30"/>
              <w:rPr>
                <w:i/>
              </w:rPr>
            </w:pPr>
            <w:r>
              <w:rPr>
                <w:i/>
              </w:rPr>
              <w:t>Blood and Tissue (Transmissible Diseases) Amendment Regulations (No. 2) 2016</w:t>
            </w:r>
          </w:p>
        </w:tc>
        <w:tc>
          <w:tcPr>
            <w:tcW w:w="1276" w:type="dxa"/>
            <w:tcBorders>
              <w:bottom w:val="single" w:sz="4" w:space="0" w:color="auto"/>
            </w:tcBorders>
          </w:tcPr>
          <w:p>
            <w:pPr>
              <w:pStyle w:val="nTable"/>
              <w:spacing w:before="30" w:after="30"/>
            </w:pPr>
            <w:r>
              <w:t>9 Sep 2016 p. 3885</w:t>
            </w:r>
          </w:p>
        </w:tc>
        <w:tc>
          <w:tcPr>
            <w:tcW w:w="2693" w:type="dxa"/>
            <w:tcBorders>
              <w:bottom w:val="single" w:sz="4" w:space="0" w:color="auto"/>
            </w:tcBorders>
          </w:tcPr>
          <w:p>
            <w:pPr>
              <w:pStyle w:val="nTable"/>
              <w:spacing w:before="30" w:after="30"/>
              <w:rPr>
                <w:snapToGrid w:val="0"/>
              </w:rPr>
            </w:pPr>
            <w:r>
              <w:rPr>
                <w:rFonts w:ascii="Times" w:hAnsi="Times"/>
                <w:bCs/>
                <w:snapToGrid w:val="0"/>
                <w:spacing w:val="-2"/>
              </w:rPr>
              <w:t>r. 1 and 2: 9 Sep 2016 (see r. 2(a));</w:t>
            </w:r>
            <w:r>
              <w:rPr>
                <w:rFonts w:ascii="Times" w:hAnsi="Times"/>
                <w:bCs/>
                <w:snapToGrid w:val="0"/>
                <w:spacing w:val="-2"/>
              </w:rPr>
              <w:br/>
              <w:t>Regulations other than r. 1 and 2: 11 Sep 2016 (see r. 2(b))</w:t>
            </w:r>
          </w:p>
        </w:tc>
      </w:tr>
    </w:tbl>
    <w:p>
      <w:pPr>
        <w:rPr>
          <w:sz w:val="16"/>
          <w:szCs w:val="16"/>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5" w:name="_Toc415055597"/>
      <w:bookmarkStart w:id="36" w:name="_Toc445468633"/>
      <w:bookmarkStart w:id="37" w:name="_Toc445468668"/>
      <w:bookmarkStart w:id="38" w:name="_Toc461177920"/>
      <w:r>
        <w:rPr>
          <w:sz w:val="28"/>
        </w:rPr>
        <w:t>Defined terms</w:t>
      </w:r>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blood</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A2762-5EE8-4882-B5D7-0B7FBB333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2237</Words>
  <Characters>10676</Characters>
  <Application>Microsoft Office Word</Application>
  <DocSecurity>0</DocSecurity>
  <Lines>395</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1985 - 02-c0-01</dc:title>
  <dc:subject/>
  <dc:creator/>
  <cp:keywords/>
  <dc:description/>
  <cp:lastModifiedBy>svcMRProcess</cp:lastModifiedBy>
  <cp:revision>4</cp:revision>
  <cp:lastPrinted>2014-11-20T03:21:00Z</cp:lastPrinted>
  <dcterms:created xsi:type="dcterms:W3CDTF">2017-04-19T01:57:00Z</dcterms:created>
  <dcterms:modified xsi:type="dcterms:W3CDTF">2017-04-19T01:57:00Z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AsAtDate">
    <vt:lpwstr>11 Sep 2016</vt:lpwstr>
  </property>
  <property fmtid="{D5CDD505-2E9C-101B-9397-08002B2CF9AE}" pid="8" name="Suffix">
    <vt:lpwstr>02-c0-01</vt:lpwstr>
  </property>
  <property fmtid="{D5CDD505-2E9C-101B-9397-08002B2CF9AE}" pid="9" name="CommencementDate">
    <vt:lpwstr>20160911</vt:lpwstr>
  </property>
</Properties>
</file>